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60331.htm"/>
      <w:bookmarkStart w:id="1" w:name="kssght20260331"/>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April 30, 2026, the registrant had</w:t>
      </w:r>
      <w:r>
        <w:rPr>
          <w:rFonts w:ascii="Times New Roman" w:hAnsi="Times New Roman"/>
          <w:color w:val="000000"/>
          <w:sz w:val="20"/>
        </w:rPr>
        <w:t xml:space="preserve"> </w:t>
      </w:r>
      <w:r>
        <w:rPr>
          <w:rFonts w:ascii="Times New Roman" w:hAnsi="Times New Roman"/>
          <w:color w:val="000000"/>
          <w:sz w:val="16"/>
        </w:rPr>
        <w:t>54,409,942</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quarterly period ended March 31, 2026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Interventional Glaucoma products and establish broad reimbursement for our Interventional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manage and grow our business by maintaining and expanding our sales to existing customers or introducing our products to new customers;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of our total addressable market, future revenue, expenses, margins, capital requirements, and our needs for additional financing;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compliance with, and retain favorable payment terms under our current secured credit facility;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geopolitical tensions, including with respect to trade policies, government regulations and tariffs, and the related impacts on the cost of our products and gross margins;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evaluation and expansion of additional third-party manufacturing locations, and the related costs and impacts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 as well as potential impacts to our business that may result from intellectual property related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abilities to protect and scale our intellectual property portfolio and to prosecute intellectual property litigation to a successful conclusion;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capital on favorable terms, if and when needed, including through debt or equity financings;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enter into and compete in new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or a smaller reporting company under applicable Securities and Exchange Commission ("SEC") rules;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events or results may differ from those expressed in or implied by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outcomes of the events described in these forward-looking statements are subject to risks, uncertainties, assumptions, and other factors described in the section titled “Risk Factors” in our Annual Report on Form 10-K for the year ended December 31, 2025 filed with the SEC on March 4, 2026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1"/>
        <w:gridCol w:w="841"/>
        <w:gridCol w:w="166"/>
        <w:gridCol w:w="146"/>
        <w:gridCol w:w="213"/>
        <w:gridCol w:w="853"/>
        <w:gridCol w:w="6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$139 and $234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54,033,998 and 53,493,711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51,290,665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37"/>
        <w:gridCol w:w="831"/>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54,033,998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37"/>
        <w:gridCol w:w="831"/>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51,376,751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397"/>
        <w:gridCol w:w="146"/>
        <w:gridCol w:w="211"/>
        <w:gridCol w:w="736"/>
        <w:gridCol w:w="166"/>
        <w:gridCol w:w="146"/>
        <w:gridCol w:w="211"/>
        <w:gridCol w:w="781"/>
        <w:gridCol w:w="411"/>
      </w:tblGrid>
      <w:tr>
        <w:trPr/>
        <w:tc>
          <w:tcPr>
            <w:tcW w:w="7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Allowance (benefit)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 (benefit) for excess and obsolete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(11,605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Taxes paid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120,357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108,768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108,768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noncash disclosure of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New operating lease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Acquisition of property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Interventional Glaucoma and Interventional Dry Eye. The products for the Interventional Glaucoma segment consist of the OMNI® Surgical System family of products ("OMNI") and the SION® Surgical Instrument ("SION"). The Company’s commercial OMNI offerings, consisting of the Ergo Series of the OMNI Surgical System ("OMNI Ergo") and the OMNI EDGE Surgical System ("OMNI EDGE"), are implant-free, minimally invasive glaucoma surgery technologies. OMNI Ergo and OMNI EDGE are indicated in the United States to reduce intraocular pressure in adult patients with primary open-angle glaucoma. The OMNI Ergo is CE Marked for the catheterization and transluminal viscodilation of Schlemm’s canal and cutting of the trabecular meshwork to reduce intraocular pressure in adult patients with open-angle glaucoma. SION is a bladeless, manually operated device used in ophthalmic surgical procedures to excise trabecular meshwork. The product portfolio for the Interventional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when used in conjunction with manual expression of the meibomian glands, enabling clearance of gland obstructions by physicians to address the leading cause of dry eye disease. The latest iteration of our family of TearCare Products, the pre-commercial TearCare MGX System, is indicated to improve meibomian gland function in adult patients with evaporative dry eye disease due to meibomian gland dysfunction, when used in conjunction with manual expression of the meibomian glands.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March 31, 2026, the Company had an accumulated deficit of $397.7 million and recorded a net loss of $13.0 million for the three months then ended and expects to incur additional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its unaudited condensed consolidated financial statements. Any failure to generate increased revenue, achieve improved gross profit,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refinance its secured indebtedness on disadvantageous terms, or reduce operating costs. Any of these actions could harm the Company’s business, requiring it to change its business strategy, scale back its operations, or limit its ability to achieve its strategic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of December 31, 2025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2025, which are contained in the Annual Report. The Company's results of operations for the three months ended March 31, 2026 are not necessarily indicative of the results to be expected for the year ending December 31, 2026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Presentation Classification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prior year amounts have been reclassified for consistency with current year presentation. This reclassification was to report withholding taxes on net share settlement of restricted stock units as a deduction to the issuance of common stock upon vesting of restricted stock units in the consolidated statements of stockholders’ equity. This reclassification had no effect on the reported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 to the allowance for credit losses, inventory excess and obsolescence, the selection of useful lives of property and equipment,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it could result in a material effect on the Company’s financial condition, results of operations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equity incentive plan permits the grant of stock-based awards, such as stock options and restricted stock units ("RSUs"), to employees, directors and consultants, including RSUs under which vesting is dependent upon the achievement of certain performance criteria (“Performance-Based RSUs”). Our Performance-Based RSU awards have a three-year vesting period, and shares are issued at the end of the vesting periods based on the achievement of performance targets. The Company measures and records the expense related to stock-based payment awards based on the fair value of those awards as determined on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2026, there were no ASUs recently adopted by the Company.</w:t>
      </w:r>
    </w:p>
    <w:p>
      <w:pPr>
        <w:pStyle w:val="TextBody"/>
        <w:bidi w:val="0"/>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The ASU requires additional disclosure in the notes to the consolidated financial statements about certain expenses such as purchases of inventory, employee compensation, depreciation, intangible asset amortization, and other expenses which are presented on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 Targeted Improvements to the Accounting for Internal-Use Software. This ASU modifies the criteria for when software costs may be capitalized by eliminating consideration of software project development stages and by enhancing guidance for the "probable-to-complete" threshold. This ASU is effective for our annual reports beginning in 2028, and interim periods within those annual reporting periods. Early adoption of this ASU is permitted. We are currently evaluating the impact that adoption of this ASU may have on our financial statements and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adopting this standard and does not expect it to have a material impact on its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there are no additional ASUs issued and not yet adopted that are expected to have a material impact on the Company's financial statements and related disclosures.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tables set forth by level within the fair value hierarchy our assets and liabilities that are measured on a recurring basis and reported at fair value as of March 31, 2026 and December 31, 2025 (in thousands). </w:t>
      </w:r>
    </w:p>
    <w:p>
      <w:pPr>
        <w:pStyle w:val="TextBody"/>
        <w:bidi w:val="0"/>
        <w:jc w:val="both"/>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Company's investments in U.S. treasury securities are classified as held-to-maturity and all have been purchased with original maturities of 90 days or less. Held-to-maturity debt securities are recorded at amortized cost in the financial statements. The following tables set forth the unrealized gains on held-to-maturity U.S. treasury securities as of March 31, 2026 and December 31, 2025 (in thousands). </w:t>
      </w:r>
    </w:p>
    <w:p>
      <w:pPr>
        <w:pStyle w:val="TextBody"/>
        <w:bidi w:val="0"/>
        <w:jc w:val="left"/>
        <w:rPr/>
      </w:pPr>
      <w:r>
        <w:rPr/>
        <w:t> </w:t>
      </w:r>
    </w:p>
    <w:tbl>
      <w:tblPr>
        <w:tblW w:w="8854" w:type="dxa"/>
        <w:jc w:val="left"/>
        <w:tblInd w:w="0" w:type="dxa"/>
        <w:tblLayout w:type="fixed"/>
        <w:tblCellMar>
          <w:top w:w="28" w:type="dxa"/>
          <w:left w:w="28" w:type="dxa"/>
          <w:bottom w:w="28" w:type="dxa"/>
          <w:right w:w="28" w:type="dxa"/>
        </w:tblCellMar>
      </w:tblPr>
      <w:tblGrid>
        <w:gridCol w:w="1951"/>
        <w:gridCol w:w="146"/>
        <w:gridCol w:w="296"/>
        <w:gridCol w:w="949"/>
        <w:gridCol w:w="146"/>
        <w:gridCol w:w="146"/>
        <w:gridCol w:w="675"/>
        <w:gridCol w:w="675"/>
        <w:gridCol w:w="146"/>
        <w:gridCol w:w="146"/>
        <w:gridCol w:w="603"/>
        <w:gridCol w:w="777"/>
        <w:gridCol w:w="166"/>
        <w:gridCol w:w="146"/>
        <w:gridCol w:w="403"/>
        <w:gridCol w:w="129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96"/>
        <w:gridCol w:w="949"/>
        <w:gridCol w:w="146"/>
        <w:gridCol w:w="146"/>
        <w:gridCol w:w="539"/>
        <w:gridCol w:w="811"/>
        <w:gridCol w:w="146"/>
        <w:gridCol w:w="146"/>
        <w:gridCol w:w="522"/>
        <w:gridCol w:w="858"/>
        <w:gridCol w:w="146"/>
        <w:gridCol w:w="146"/>
        <w:gridCol w:w="403"/>
        <w:gridCol w:w="129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March 31, 2026 and December 31, 2025, total debt of $40.5 million and $40.3 million is reported at amortized cost, respectively. This outstanding debt is classified as Level 2 as it is not actively traded. The amortized cost of the outstanding debt approximates the fair value.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measures the fair value of the unissued common stock warrants that may be issued pursuant to the Hercules Loan Agreement (as defined in Note 5, Debt) using the Black-Scholes option pricing method. See Note 5, Debt, and Note 7, Stockholders' Equity, for additional information regarding the common stock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financial statements as of March 31, 2026 and December 31, 2025 do not include any assets or liabilities that are measured at fair value on a nonrecurring basis.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570" w:type="dxa"/>
        <w:jc w:val="left"/>
        <w:tblInd w:w="0" w:type="dxa"/>
        <w:tblLayout w:type="fixed"/>
        <w:tblCellMar>
          <w:top w:w="28" w:type="dxa"/>
          <w:left w:w="28" w:type="dxa"/>
          <w:bottom w:w="28" w:type="dxa"/>
          <w:right w:w="28" w:type="dxa"/>
        </w:tblCellMar>
      </w:tblPr>
      <w:tblGrid>
        <w:gridCol w:w="2911"/>
        <w:gridCol w:w="146"/>
        <w:gridCol w:w="319"/>
        <w:gridCol w:w="956"/>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for both the three months ended March 31, 2026 and 2025.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7300" w:type="dxa"/>
        <w:jc w:val="left"/>
        <w:tblInd w:w="0" w:type="dxa"/>
        <w:tblLayout w:type="fixed"/>
        <w:tblCellMar>
          <w:top w:w="28" w:type="dxa"/>
          <w:left w:w="28" w:type="dxa"/>
          <w:bottom w:w="28" w:type="dxa"/>
          <w:right w:w="28" w:type="dxa"/>
        </w:tblCellMar>
      </w:tblPr>
      <w:tblGrid>
        <w:gridCol w:w="3681"/>
        <w:gridCol w:w="146"/>
        <w:gridCol w:w="344"/>
        <w:gridCol w:w="931"/>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litigation 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litigation success fee includes amount payable to our external counsel associated with the final judgment in the Alcon litigation. This payment was made during the second quarter of 2026. Refer to Note 6. Commitments and Contingencies for more information.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6785" w:type="dxa"/>
        <w:jc w:val="left"/>
        <w:tblInd w:w="0" w:type="dxa"/>
        <w:tblLayout w:type="fixed"/>
        <w:tblCellMar>
          <w:top w:w="28" w:type="dxa"/>
          <w:left w:w="28" w:type="dxa"/>
          <w:bottom w:w="28" w:type="dxa"/>
          <w:right w:w="28" w:type="dxa"/>
        </w:tblCellMar>
      </w:tblPr>
      <w:tblGrid>
        <w:gridCol w:w="3166"/>
        <w:gridCol w:w="146"/>
        <w:gridCol w:w="426"/>
        <w:gridCol w:w="849"/>
        <w:gridCol w:w="146"/>
        <w:gridCol w:w="146"/>
        <w:gridCol w:w="572"/>
        <w:gridCol w:w="9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As of March 31, 2026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Hercules Loan Agreement originally provided for a maturity date of July 1, 2028, with an interest-only period running for the first 30 months of the agreement term. In September 2025, the Company and Hercules entered into a third amendment (the “Amendment”) to the Hercules Loan Agreement, pursuant to which the expiration of the interest-only period under the agreement was extended by an additional six-months, from August 1, 2026 to February 1, 2027. The Amendment also amended the Hercules Loan Agreement to reallocate an undrawn and unavailable $10.0 million tranche by increasing the amount available to draw through the interest only period from $15.0 million to $25.0 million in minimum increments of $5.0 million, subject to the sole approval of Hercules’ investment committee, maintaining the maximum $65.0 million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Loans made to the Company under the Hercules Loan Agreement (collectively, the "Term Loans") accrue interest at a floating annual rate equal to the greater of 10.35% or the Wall Street Journal prime rate plus 2.35%, with the interest rate equal to 10.35% at March 31, 2026. The final payment fee is set at 5.95% of the funded balance, which is recognized as a debt discount and is being accreted into the amortization of debt issuance costs using the effective interest rate method over the term of the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I(b) Loan,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March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Long-term and short-term debt as of March 31, 2026 and December 31, 2025, respectively, was as follows (in thousands):</w:t>
      </w:r>
    </w:p>
    <w:tbl>
      <w:tblPr>
        <w:tblW w:w="7295" w:type="dxa"/>
        <w:jc w:val="left"/>
        <w:tblInd w:w="0" w:type="dxa"/>
        <w:tblLayout w:type="fixed"/>
        <w:tblCellMar>
          <w:top w:w="28" w:type="dxa"/>
          <w:left w:w="28" w:type="dxa"/>
          <w:bottom w:w="28" w:type="dxa"/>
          <w:right w:w="28" w:type="dxa"/>
        </w:tblCellMar>
      </w:tblPr>
      <w:tblGrid>
        <w:gridCol w:w="3856"/>
        <w:gridCol w:w="146"/>
        <w:gridCol w:w="303"/>
        <w:gridCol w:w="972"/>
        <w:gridCol w:w="166"/>
        <w:gridCol w:w="146"/>
        <w:gridCol w:w="360"/>
        <w:gridCol w:w="1155"/>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repayment schedule relating to the Term Loans as of March 31, 2026,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and Trademark Office (“USPTO”) seeking inter partes review of U.S. Patent Nos. 8,287,482, 9,370,443, 9,486,361, and 10,314,742 (IPR2022-01529, IPR2022-01530,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IPR2022-01533, IPR2022-01540), each of which the USPTO denied for raising prior art references and invalidity arguments that were cumulative of those previously considered by the USPTO.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judgment. On April 22, 2026, the Court entered its final judgment on the parties’ post-trial motions. The final judgment upheld the trial jury’s findings that the patent claims asserted by the Company at trial were valid and were willfully infringed by Alcon and awarded the Company: (i) total monetary damages of $55.4 million, and (ii) an ongoing royalty of 10% of Hydrus revenue through the date of expiration of the last of the patents. The final judgment is subject to appeal.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Alcon filed petitions with the USPTO for ex parte reexaminations challenging the validity of each of the three patents asserted by the Company at trial, based on prior art patents and publications. The USPTO granted Alcon’s requests to initiate the reexaminations. On May 5, 2026, the USPTO issued a Notice of Intent to Issue ex parte Reexamination Certificate for U.S. Patent No. 9,370,443 (“the ‘443 patent”), which confirms the patentability of the patent claims at issue in the ‘443 patent, including claims 8, 24, and 58, which were found infringed by Alcon by a jury in the federal court for the U.S. District Court for the District of Delaware. The Reexamination Certificate is expected to publish in the next few months and cannot be appealed by Alcon. Ex parte reexamination proceedings regarding the other two patents that were found infringed by the jury remain pending in the USPTO.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April 2024 jury verdict in the Company’s favor, including its ability to collect past damages and ongoing royalties, may be materially and adversely impacted if either or both of the two remaining reexamination proceedings result in final, non-appealable judgments of invalidity of the asserted claims of the patents-in-suit before a final, non-appealable judgment is entered by the Court in the patent infringement litigation or if the asserted claims are amended during the reexamination proceedings. For example, entry of such judgments of invalidity by the USPTO could include vacating the jury verdict and a finding of invalidity by the court of either or both of these patents-in-suit. The Company is presently unable to predict the outcome of the lawsuit or the remaining two ex parte reexamination proceedings or to reasonably estimate the potential financial impact of the lawsuit or ex parte reexamination proceedings. The entry of the final judgment triggered the Company’s obligation to pay a $5.4 million success fee to its litigation counsel, which was accrued in the first quarter of 2026 and paid in the second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of loss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March 31, 2026 the Company was not a party to any legal proceedings, regulatory matters, or other disputes or claims which, if determined adversely, it believes would, individually or taken together, have a material adverse effect on the Company’s business, financial condition, operating results, liquidity, or future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March 31, 2026 and December 31, 2025.</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March 31, 2026, no dividends have been declared. Each share of common stock is entitled to one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March 31, 2026 and December 31, 2025, the Company had reserved common stock for future issuances as follows:</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1,880,211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issuance upon exercise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19,474,225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17,030,933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22, 2024, in conjunction with the funding of the Initial Loan under the Hercules Loan Agreement, the Company issued common stock warrants to the Lenders to purchase up to an aggregate of 135,686 shares of its common stock at an exercise price of $5.159 per share. On December 10, 2024, upon the funding of the Tranche I(b) Loan, the Company issued additional warrants to the Lenders to purchase 26,095 shares of its common stock at an exercise price of $3.83 per share. Each warrant is exercisable for up to seven years from the date of issuance. During the year ended December 31, 2024, the fair value of the issued warrants recorded was $0.7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other noncurrent liabilities in the consolidated financial statements. As of both March 31, 2026 and December 31, 2025, the fair value of the unissued warrants recorded was less than $0.1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units ("RSUs"), including performance-based and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and settlement of the awards. Time-based RSUs granted to employees generally vest over a four-year period with straight-line vesting in equal amounts, either in annual or quarterly installments. Time-based RSUs granted to newly hired non-executive employees generally vest over a four-year period, with 25% of the shares vesting on the first anniversary of the grant date and the remaining shares vesting in 12 equal quarterly installments thereafter. Time-based RSUs granted to newly hired executive employees generally vest over a four-year period, with shares vesting in four (4) equal annual installments. Time-based RSUs granted to executive and non-executive employees as merit awards generally vest in 16 equal quarterly installments following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RSUs may be granted to executives, the vesting of which is based on achievement of performance targets, defined in each executive’s grant agreement. These awards generally vest over a three-year period in equal, consecutive installments commencing upon, and subject to and contingent upon the achievement of the performance targets. Up to 200% of the target number of shares subject to each performance-based RSU are eligible to be earned.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Company's board of directors (the "Board"), subject to certain limitations. Pursuant to the evergreen provision, the initial share reserve was increased by 2,674,685 and 2,546,899 shares on January 1,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there were 8,440,065 shares and 7,876,575 shares, respectively, of common stock available for issuance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Plan was superseded by the 2021 Plan at the time of the initial public offering of the Company's common stock, which closed on July 15, 2021, and no further grants have been made under the 2011 Plan from the date the 2021 Plan became effective.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25"/>
        <w:gridCol w:w="146"/>
        <w:gridCol w:w="146"/>
        <w:gridCol w:w="931"/>
        <w:gridCol w:w="166"/>
        <w:gridCol w:w="146"/>
        <w:gridCol w:w="557"/>
        <w:gridCol w:w="1515"/>
        <w:gridCol w:w="146"/>
        <w:gridCol w:w="146"/>
        <w:gridCol w:w="423"/>
        <w:gridCol w:w="1048"/>
        <w:gridCol w:w="146"/>
        <w:gridCol w:w="146"/>
        <w:gridCol w:w="411"/>
        <w:gridCol w:w="1113"/>
        <w:gridCol w:w="394"/>
      </w:tblGrid>
      <w:tr>
        <w:trPr/>
        <w:tc>
          <w:tcPr>
            <w:tcW w:w="2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recorded stock-based compensation expense of $0.2 million and $1.6 million related to stock option awards, respectively. The Company did not grant any stock option awards during the three months ended March 31, 2026 or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three months ended March 31, 2026 was $0.3 million. The aggregate intrinsic value was calculated as the difference between the exercise prices of the underlying stock options and the estimated fair value of the common stock on the date of exercise. As of March 31, 2026, the unrecognized stock-based compensation expense relating to unvested stock options was $0.6 million, which is expected to be recognized over a weighted-average period of approximately 0.7 years.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RSU activity under the 2021 Plan during the periods presented:</w:t>
      </w:r>
    </w:p>
    <w:tbl>
      <w:tblPr>
        <w:tblW w:w="8737" w:type="dxa"/>
        <w:jc w:val="left"/>
        <w:tblInd w:w="0" w:type="dxa"/>
        <w:tblLayout w:type="fixed"/>
        <w:tblCellMar>
          <w:top w:w="28" w:type="dxa"/>
          <w:left w:w="28" w:type="dxa"/>
          <w:bottom w:w="28" w:type="dxa"/>
          <w:right w:w="28" w:type="dxa"/>
        </w:tblCellMar>
      </w:tblPr>
      <w:tblGrid>
        <w:gridCol w:w="2866"/>
        <w:gridCol w:w="146"/>
        <w:gridCol w:w="146"/>
        <w:gridCol w:w="931"/>
        <w:gridCol w:w="166"/>
        <w:gridCol w:w="146"/>
        <w:gridCol w:w="1453"/>
        <w:gridCol w:w="2492"/>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months ended March 31, 2026, the Company granted performance-based RSUs to certain employees, the vesting of which is dependent upon the achievement of a revenue performance target. These awards, if earned, shall vest in equal, consecutive installments over three years, with the first installment vesting upon the date of determination of the level of achievement of the performance target and accompanying number of RSUs. The number of shares included as “Granted” in the above table includes 226,043 shares. This represents achievement at 100% of the performance target, which the Company believes is probable as of March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2026 and 2025, the Company recorded stock-based compensation expense of $2.5 million and $2.5 million related to the RSUs, respectively, including $0.1 million and $0.0 million related to the performance-based RSUs, respectively. As of March 31, 2026, the unrecognized stock-based compensation expense relating to RSUs was $23.7 million, of which $1.4 million is related to performance-based RSUs. This expense is expected to be recognized over a weighted-average period of approximately 3.3 years.</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nine months, with the first offering period typically beginning in the second quarter, and the second offering period typically beginning in the fourth quarter. The purchase of shares for participants in the ESPP occurs at the conclusion of each offering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534,937 and 509,379 shares on January 1, 2026 and 2025,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2026 and December 31, 2025, there were 2,415,148 and 1,880,211 shares of common stock available for issuance under the ESPP, respectively.</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and 2025, there were no shares purchased under the ESPP. As of March 31, 2026, the Company has collected payroll withholdings of $0.4 million in the current offering period for the purchase of shares under the ESPP. The Company recorded stock-based compensation expense of $0.1 million related to the ESPP for the three months ended March 31,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shares issuable under the ESPP was calculated using the Black-Scholes valuation model using the following assumptions:</w:t>
      </w:r>
    </w:p>
    <w:p>
      <w:pPr>
        <w:pStyle w:val="TextBody"/>
        <w:bidi w:val="0"/>
        <w:spacing w:before="120" w:after="283"/>
        <w:jc w:val="left"/>
        <w:rPr/>
      </w:pPr>
      <w:r>
        <w:rPr/>
        <w:t> </w:t>
      </w:r>
    </w:p>
    <w:tbl>
      <w:tblPr>
        <w:tblW w:w="3926" w:type="dxa"/>
        <w:jc w:val="left"/>
        <w:tblInd w:w="0" w:type="dxa"/>
        <w:tblLayout w:type="fixed"/>
        <w:tblCellMar>
          <w:top w:w="28" w:type="dxa"/>
          <w:left w:w="28" w:type="dxa"/>
          <w:bottom w:w="28" w:type="dxa"/>
          <w:right w:w="28" w:type="dxa"/>
        </w:tblCellMar>
      </w:tblPr>
      <w:tblGrid>
        <w:gridCol w:w="2086"/>
        <w:gridCol w:w="146"/>
        <w:gridCol w:w="750"/>
        <w:gridCol w:w="148"/>
        <w:gridCol w:w="7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6044"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months ended March 31, 2026 and 2025, basic net loss per share is the same as diluted net loss per share as the inclusion of potentially dilutive shares would have been antidilutive if included in the calculation.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tbl>
      <w:tblPr>
        <w:tblW w:w="7339" w:type="dxa"/>
        <w:jc w:val="left"/>
        <w:tblInd w:w="0" w:type="dxa"/>
        <w:tblLayout w:type="fixed"/>
        <w:tblCellMar>
          <w:top w:w="28" w:type="dxa"/>
          <w:left w:w="28" w:type="dxa"/>
          <w:bottom w:w="28" w:type="dxa"/>
          <w:right w:w="28" w:type="dxa"/>
        </w:tblCellMar>
      </w:tblPr>
      <w:tblGrid>
        <w:gridCol w:w="3996"/>
        <w:gridCol w:w="146"/>
        <w:gridCol w:w="211"/>
        <w:gridCol w:w="1036"/>
        <w:gridCol w:w="166"/>
        <w:gridCol w:w="146"/>
        <w:gridCol w:w="211"/>
        <w:gridCol w:w="1036"/>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53,943,085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51,290,665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periods presented because including them would have been antidilutive as a result of the net loss position:</w:t>
      </w:r>
    </w:p>
    <w:tbl>
      <w:tblPr>
        <w:tblW w:w="4959"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146"/>
        <w:gridCol w:w="103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6,130,658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10,521,036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the Company’s Chief Executive Officer: (i) assesses operating performance on a regular basis, (ii) makes resource allocation decisions, and (iii) designates responsibilities of his direct reports. The Company’s operating segments, which were renamed in 2025, and which also qualify as reportable segments include: (i) Interventional Glaucoma (formerly “Surgical Glaucoma”) and (ii) Interventional Dry Eye (formerly “Dry Eye”). The change in names of the operating segments has no impact on how the CODM manages the business. These segments are generally determined based on the decision-making structure and the grouping of similar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assessing performance. The Company evaluated the monthly executive reporting package and did not identify any significant or other expenses for disclosure that are not already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tbl>
      <w:tblPr>
        <w:tblW w:w="5289" w:type="dxa"/>
        <w:jc w:val="left"/>
        <w:tblInd w:w="0" w:type="dxa"/>
        <w:tblLayout w:type="fixed"/>
        <w:tblCellMar>
          <w:top w:w="28" w:type="dxa"/>
          <w:left w:w="28" w:type="dxa"/>
          <w:bottom w:w="28" w:type="dxa"/>
          <w:right w:w="28" w:type="dxa"/>
        </w:tblCellMar>
      </w:tblPr>
      <w:tblGrid>
        <w:gridCol w:w="2346"/>
        <w:gridCol w:w="146"/>
        <w:gridCol w:w="211"/>
        <w:gridCol w:w="736"/>
        <w:gridCol w:w="166"/>
        <w:gridCol w:w="146"/>
        <w:gridCol w:w="211"/>
        <w:gridCol w:w="736"/>
        <w:gridCol w:w="5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Part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EXECUTIVE OVERVIEW</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0" w:after="120"/>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Interventional Glaucoma and Interventional Dry Eye. Our Interventional Glaucoma revenue consists of sales of our OMNI® Surgical System family of products (“OMNI”), currently comprised of our Ergo Series OMNI Surgical System and OMNI Edge Surgical System, and the SION® Surgical Instrument (“SION”), while our Interventional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sell OMNI directly in the United Kingdom and Germany, and indirectly in several other countries in Europe through distributors.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(“HOPDs”), which are typically reimbursed by Medicare (or similar foreign governmental reimbursement entity) or private payors for procedures using our products. We are focused on educating surgeons on the clinical benefits of earlier interventions with the comprehensive OMNI and TearCare procedures, driving TearCare revenue growth in the jurisdictions where appropriate payment values have been established for the TearCare procedure, expanding equitable reimbursed access to the TearCare procedure in other jurisdictions, engagement efforts with accounts, enhanced competitive counter selling, investments in targeted commercial resources including growth of our TearCare commercial infrastructure, and development of the OMNI pseudophakic standalone market.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sell TearCare to ECPs, where eyecare providers perform evacuation of meibomian glands, using heat-delivered through wearable, open-eye eyelid treatment devices and manual expression, which TearCare is specifically designed for.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continuing our TearCare commercial launch while focusing on our comprehensive, clinical data-driven, long-term market development plan that aims to improve awareness and patient access to TearCare. In addition, in the areas where appropriate fee schedules have been established for the TearCare procedure, we are focusing our commercial resources on supporting providers in these specific geographies to drive utilization. Our strategy is focused on driving adoption and utilization through our experienced sales, marketing, and customer support teams who are already dedicated to the dry eye market, and the ECP customers who have previously purchased TearCare SmartHubs in these states. We are also targeting new ECP customers in these states based on their current treatment approaches to DED and also focus on our Interventional Glaucoma customers in these states who may also benefit from adding TearCare to their treatment offerings.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current suppliers will be adequate to meet our current and anticipated manufacturing needs across all of our product lines. However, as part of our long-term manufacturing strategy, we are actively expanding third party manufacturing capacity and options for our products, which we expect to be available to us starting in the second quarter of 2026 for certain products. We plan to continue to utilize third party contract manufacturers for our products and any related components.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Interventional Glaucoma market segment with a focus on pseudophakic patients whose IOP is not well-controlled on two or more medications and who are at risk of disease progression, and (iii) increasing customer advocacy and pursuing reimbursement including expanding coverage and/or payment for TearCare;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enhance and improve upon our existing product technologies;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allow us to create transformational and interventional technology innovation with new products, devices or drugs, in glaucoma and ocular surface disease or in new eye disease areas.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and/or equity financing to fund our operations and planned growth.</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there are several important factors that have impacted and that will continue to impact our business, financial condition, and results of operations. There have been no material changes to such factors from those described in our Annual Report under the heading "Factors Affecting Our Business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Comparison of the Three Months Ended March 31, 2026 and 2025 (dollars in thousands)</w:t>
      </w:r>
    </w:p>
    <w:tbl>
      <w:tblPr>
        <w:tblW w:w="8779" w:type="dxa"/>
        <w:jc w:val="left"/>
        <w:tblInd w:w="0" w:type="dxa"/>
        <w:tblLayout w:type="fixed"/>
        <w:tblCellMar>
          <w:top w:w="28" w:type="dxa"/>
          <w:left w:w="28" w:type="dxa"/>
          <w:bottom w:w="28" w:type="dxa"/>
          <w:right w:w="28" w:type="dxa"/>
        </w:tblCellMar>
      </w:tblPr>
      <w:tblGrid>
        <w:gridCol w:w="3156"/>
        <w:gridCol w:w="146"/>
        <w:gridCol w:w="219"/>
        <w:gridCol w:w="764"/>
        <w:gridCol w:w="281"/>
        <w:gridCol w:w="151"/>
        <w:gridCol w:w="219"/>
        <w:gridCol w:w="764"/>
        <w:gridCol w:w="271"/>
        <w:gridCol w:w="146"/>
        <w:gridCol w:w="211"/>
        <w:gridCol w:w="631"/>
        <w:gridCol w:w="166"/>
        <w:gridCol w:w="146"/>
        <w:gridCol w:w="146"/>
        <w:gridCol w:w="571"/>
        <w:gridCol w:w="7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93.1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6.9</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26,845</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We currently derive the majority of our U.S. revenue from the sale of our OMNI and SION products to ASCs and HOPDs and from the sale of our TearCare products to ECPs. To date, the revenue from our Interventional Glaucoma segment has accounted for the vast majority of our total revenue, substantially all of which was generated from sales within the U.S. Our Interventional Glaucoma customers place orders based on their expected procedure volume.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three months ended March 31,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 For the three months ended March 31, 2026, we generated more than 90% of our revenue from customers in the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was $19.7 million during the three months ended March 31, 2026, an increase of $2.2 million, or 12.5% compared to $17.5 million in the prior year comparable period, primarily as a result of the following: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Glaucoma segment revenue for the three months ended March 31, 2026 was $18.3 million, an increase of $1.2 million, or 7.2%, from the prior year comparable period. The overall increase in Interventional Glaucoma revenue was primarily attributable to an increase in the number of OMNI units sold in the comparable periods and an increase in average selling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Dry Eye segment revenue for the three months ended March 31, 2026 was $1.4 million, an increase of $1.0 million, or 244%, from the prior year comparable period. The overall increase in Interventional Dry Eye revenue was primarily due to increased average selling prices and an increased volume of SmartLids sold after reimbursement progress in the fourth quarter of 2025 in the form of establishment of fee schedules for CPT code 0563T, the code specifically associated with the TearCare procedure, by two Medicare Administrative Contractors.</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Cost of Goods Sold. </w:t>
      </w:r>
      <w:r>
        <w:rPr>
          <w:rFonts w:ascii="Times New Roman" w:hAnsi="Times New Roman"/>
          <w:color w:val="000000"/>
          <w:sz w:val="20"/>
        </w:rPr>
        <w:t xml:space="preserve">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 of goods sold was $2.7 million during the three months ended March 31, 2026, an increase of $0.3 million, or 12.7%, from $2.4 million in the prior year comparable period, primarily as a result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Interventional Glaucoma segment cost of goods sold was relatively flat compared to the prior year comparable period despite increased unit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Dry Eye segment cost of goods sold increased $0.3 million in the three months ended March 31, 2026, compared to the prior year comparable period, primarily driven by higher volume of SmartLids sold.</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 xml:space="preserve">We calculate gross profit as revenue minus cost of goods sold. We calculate gross margin as gross profit divided by revenue. Our gross profit and gross margin have been, and we believe they will continue to be, affected by a variety of factors, including differences in segment gross profit and gross margins, changes in average selling prices, changes in product reimbursement rates, product sales mix, production and ordering volumes, manufacturing, tariff and freight costs, product yields, and headcount. In general, we expect our gross profit to increase over time as our revenue increases, and we expect our gross margins to increase over the long term to the extent our production and ordering volumes increase and as we spread the fixed portion of our overhead costs over a larger number of units produced and sold.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intend to use our design, engineering and manufacturing know-how and capabilities to further advance and improve the efficiency of our suppliers’ manufacturing processes, which we believe will reduce costs and increase our gross margins.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gross margins could fluctuate from quarter to quarter due to a number of factors, including variations in product mix, changes in product reimbursement rates or average selling prices,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China, and other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total gross profit was $17.0 million in the three months ended March 31, 2026, an increase of $1.9 million from the prior year comparable period. Our gross margin for the three months ended March 31, 2026 was flat at 86.2%, compared to the prior year comparable period, primarily as a result of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Interventional Glaucoma segment gross margin was 87.2% for the three months ended March 31, 2026, an increase from 86.6% for the prior year comparable period, primarily due to higher average selling prices, changes in product sales mix partially offset by overhead costs per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Dry Eye segment gross margin increased to 72.1% for the three months ended March 31, 2026 from 70.6% for the three months ended March 31, 2025, primarily driven by an increase in average selling prices and sales volume. We expect Interventional Dry Eye gross margin to improve over time as equitably reimbursed market access and volume expands.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 xml:space="preserve">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related to R&amp;D functions, supplies, consulting, prototyping, testing, materials, travel expenses, depreciation expenses for equipment and an allocation of information technology ("IT") and facility overhead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R&amp;D expenses as a percentage of revenue may vary over time depending on the level and timing of new product development efforts, as well as clinical development, clinical trial and other related activities. While we expect to continue to make key investments in our R&amp;D initiatives including active clinical trials, we implemented a targeted plan during the third quarter of 2025 intended to reduce operating expenses, improve cost efficiencies, and better align our operating structure for long-term profitability growth. This targeted plan is expected to reduce R&amp;D costs in the near term.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R&amp;D expenses were $2.5 million for the three months ended March 31, 2026, a decrease of $1.9 million from the prior year comparable period. The decrease in R&amp;D expenses was driven by a $1.7 million decrease in payroll expenses and a $0.4 million decrease in clinical studies expenses. The decrease in payroll expenses included decreases in bonus and stock-based compensation expenses compared to the prior year period.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Selling, General, and Administrative Expenses. </w:t>
      </w: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activities,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SG&amp;A expenses as a percentage of revenue may vary over time depending on the level and timing of commercial expansion efforts. While we expect to continue to make strategic investments in SG&amp;A expenses, we implemented a targeted plan during the third quarter of 2025 intended to reduce operating expenses, improve cost efficiencies, and better align our operating structure for long-term profitability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SG&amp;A expenses were $26.8 million for the three months ended March 31, 2026, an increase of $2.3 million from the prior year comparable period. The increase was primarily driven by a $5.2 million increase in legal expenses, which includes a $5.4 million success fee charge associated with the final judgment in the Alcon litigation. Partially offsetting the increase was a $1.5 million decrease in payroll-related expenses, including stock-based compensation expenses, driven by lower headcount following the Company’s restructuring in the third quarter of 2025. Additionally, there was a $1.1 million decrease in expenditures on marketing and sales training and events.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Investment Income. </w:t>
      </w:r>
      <w:r>
        <w:rPr>
          <w:rFonts w:ascii="Times New Roman" w:hAnsi="Times New Roman"/>
          <w:color w:val="000000"/>
          <w:sz w:val="20"/>
        </w:rPr>
        <w:t xml:space="preserve">Investment income primarily consists of interest and amortization on held-to-maturity investments in U.S. treasury securities and money market funds.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Investment income was $0.7 million for the three months ended March 31, 2026, a decrease of $0.4 million from the prior year comparable period, due to lower investment balances on held-to-maturity investments during the current period.</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Interest expense consists of interest incurred on our outstanding indebtedness and non-cash interest related to the accretion of debt discount and amortization of debt issuance costs associated with the Term Loans.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was flat during the three months ended March 31, 2026, compared to the prior year comparable period.</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Other Expense, Net. </w:t>
      </w:r>
      <w:r>
        <w:rPr>
          <w:rFonts w:ascii="Times New Roman" w:hAnsi="Times New Roman"/>
          <w:color w:val="000000"/>
          <w:sz w:val="20"/>
        </w:rPr>
        <w:t xml:space="preserve">Other expense, net primarily consists of income and expenses that do not originate from our primary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expense, net was less than $0.1 million for the three months ended March 31, 2026, compared to other expense, net of $0.1 million for the prior year comparable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7437" w:type="dxa"/>
        <w:jc w:val="left"/>
        <w:tblInd w:w="0" w:type="dxa"/>
        <w:tblLayout w:type="fixed"/>
        <w:tblCellMar>
          <w:top w:w="28" w:type="dxa"/>
          <w:left w:w="28" w:type="dxa"/>
          <w:bottom w:w="28" w:type="dxa"/>
          <w:right w:w="28" w:type="dxa"/>
        </w:tblCellMar>
      </w:tblPr>
      <w:tblGrid>
        <w:gridCol w:w="4681"/>
        <w:gridCol w:w="146"/>
        <w:gridCol w:w="241"/>
        <w:gridCol w:w="721"/>
        <w:gridCol w:w="189"/>
        <w:gridCol w:w="166"/>
        <w:gridCol w:w="241"/>
        <w:gridCol w:w="841"/>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Net Cash Used in Operating Activities. </w:t>
      </w:r>
      <w:r>
        <w:rPr>
          <w:rFonts w:ascii="Times New Roman" w:hAnsi="Times New Roman"/>
          <w:color w:val="000000"/>
          <w:sz w:val="20"/>
        </w:rPr>
        <w:t>Net cash used in operating activities for the three months ended March 31, 2026 was $7.0 million, consisting primarily of a net loss of $13.0 million, as well as a net change in our operating assets and liabilities of $2.8 million and non-cash charges of $3.2 million. The net change in our operating assets and liabilities was primarily due to a $5.6 million increase to accrued and other current liabilities and a $0.8 million decrease to our inventory balance. These changes were partially offset by a $2.4 million decrease in accrued compensation, a $0.7 million increase in accounts receivable, and a $0.7 million increase in prepaid expenses. The non-cash charges primarily consisted of a $2.9 million charge related to 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2025 was $11.6 million, consisting primarily of a net loss of $14.2 million, as well as a net change in our operating assets and liabilities of $2.2 million, partially offset by non-cash charges of $4.8 million. The net change in our operating assets and liabilities was primarily due to a $4.6 million decrease in accrued compensation, and a $0.6 million increase in prepaid expenses and other current assets, partially offset by a $1.3 million decrease in accounts receivable, a $1.1 million increase in accounts payable, and a $0.5 million decrease in our inventory balance. The non-cash charges primarily consisted of $4.2 million related to stock-based compensation expense, $0.2 million of accretion of debt discount and debt issuance costs, $0.1 million of depreciation and amortization, and $0.1 million of noncash operating lease expense.</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Used in Investing Activities. </w:t>
      </w:r>
      <w:r>
        <w:rPr>
          <w:rFonts w:ascii="Times New Roman" w:hAnsi="Times New Roman"/>
          <w:color w:val="000000"/>
          <w:sz w:val="20"/>
        </w:rPr>
        <w:t>Net cash used in investing activities for both the three months ended March 31, 2026 and 2025 was $0.1 million and $0.0 million, respectively.</w:t>
      </w:r>
    </w:p>
    <w:p>
      <w:pPr>
        <w:pStyle w:val="TextBody"/>
        <w:bidi w:val="0"/>
        <w:spacing w:before="0" w:after="120"/>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Net cash provided by financing activities for the three months ended March 31, 2026 was $0.1 million, consisting primarily of proceeds from the exercise of stock options and partially offset by taxes paid on settlement of vested RSUs. Net cash used in financing activities for the three months ended March 31, 2025 was less than $0.1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our previous credit facility (the “Prior Loan Agreement”) with MidCap Financial Trust and certain of its affiliates. In December 2024, we consummated the drawdown of the $5.0 million Tranche I(b) term loan advance (the "Tranche I(b) Loan") contemplated by the Hercules Loan Agreement.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March 31, 2026</w:t>
      </w:r>
      <w:r>
        <w:rPr>
          <w:rFonts w:ascii="Times New Roman" w:hAnsi="Times New Roman"/>
          <w:color w:val="231F20"/>
          <w:sz w:val="20"/>
        </w:rPr>
        <w:t xml:space="preserve">, we had cash and cash equivalents of $85.0 million, an accumulated deficit of $397.7 million, and an outstanding term loan balance of $40.0 million </w:t>
      </w:r>
      <w:r>
        <w:rPr>
          <w:rFonts w:ascii="Times New Roman" w:hAnsi="Times New Roman"/>
          <w:color w:val="000000"/>
          <w:sz w:val="20"/>
        </w:rPr>
        <w:t xml:space="preserve">plus a $2.4 million fee final payment due at maturity </w:t>
      </w:r>
      <w:r>
        <w:rPr>
          <w:rFonts w:ascii="Times New Roman" w:hAnsi="Times New Roman"/>
          <w:color w:val="231F20"/>
          <w:sz w:val="20"/>
        </w:rPr>
        <w:t>under the Hercules Loan Agreement (</w:t>
      </w:r>
      <w:r>
        <w:rPr>
          <w:rFonts w:ascii="Times New Roman" w:hAnsi="Times New Roman"/>
          <w:color w:val="000000"/>
          <w:sz w:val="20"/>
        </w:rPr>
        <w:t xml:space="preserve">excluding </w:t>
      </w:r>
      <w:r>
        <w:rPr>
          <w:rFonts w:ascii="Times New Roman" w:hAnsi="Times New Roman"/>
          <w:color w:val="231F20"/>
          <w:sz w:val="20"/>
        </w:rPr>
        <w:t xml:space="preserve">debt discount </w:t>
      </w:r>
      <w:r>
        <w:rPr>
          <w:rFonts w:ascii="Times New Roman" w:hAnsi="Times New Roman"/>
          <w:color w:val="000000"/>
          <w:sz w:val="20"/>
        </w:rPr>
        <w:t>and amortized debt issuance costs</w:t>
      </w:r>
      <w:r>
        <w:rPr>
          <w:rFonts w:ascii="Times New Roman" w:hAnsi="Times New Roman"/>
          <w:color w:val="231F20"/>
          <w:sz w:val="20"/>
        </w:rPr>
        <w:t>). Based on our current planned operations, we expect our cash and cash equivalents balance, as well as other sources of liquidity, will enable us to fund our operations for at least the next 12 months and the foreseeable future.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Our historical cash outflows have primarily been associated with cash used for operating activities such as sales, marketing and commercialization of our products, research and development activities, regulatory and market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access activities, intellectual property enforcement and portfolio expansion,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Interventional Glaucoma products and expanding and maintaining sufficient reimbursement for our Interventional Dry Eye products; the level of our investment in commercialization and research and development activities, including clinical trials; whether we enter into any strategic acquisitions or investments, and the timing and amount of the associated capital expenditures; the outcome of our litigation against Alcon, including receipt of any final, non-appealable award thereunder;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1(b) Loan, the Hercules Loan Agreement provides additional tranches available to us (the “Tranche Loans,” and together with the Initial Loan and the Tranche I(b) Loan, the “Term Loans). Tranche 2 originally consisted of $10.0 million available to draw through September 15, 2025, contingent upon the achievement of certain performance milestones prior to June 30, 2025, which milestones were not met and thus this Tranche 2 was not available to the Company. Tranche 3 consisted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originally provided for a maturity date of July 1, 2028, with an interest only period running for the first 30 months of the agreement term. This interest-only period was extendable for an additional six months for a total of 36 months upon the achievement of certain performance milestones prior to June 30, 2025; these milestones were not met by the June 30, 2025 deadline and thus the six-month extension of the interest only period was not available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and Hercules entered into a third amendment (the “Amendment”) to its Loan and Security Agreement. The Amendment provided for an additional six-month extension of the interest only period, to now extend to February 1, 2027. The Amendment also amended the Hercules Loan Agreement to reallocate the undrawn and unavailable $10.0 million tranche by increasing the amount available to draw through the interest only period from $15.0 million to $25.0 million in minimum increments of $5.0 million, subject in each case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accrue interest at a floating annual rate equal to the greater of 10.35%, or the Wall Street Journal prime rate (the “Prime Rate”) plus 2.35%, with the interest rate equal to 10.35% at March 31, 2026.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conjunction with the funding of the Initial Loan, we issued warrants to the Lenders to purchase up to an aggregate of 135,686 shares of our common stock at an exercise price of $5.159 per share, which were recorded and classified as equity. On December 10, 2024, upon the funding of the Tranche I(b) Loan, we issued additional warrants to the Lenders to purchase 26,095 shares of our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March 31, 2026.</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unaudited condensed consolidated financial statements included elsewhere in this Quarterly Report have been prepared in accordance with accounting principles generally accepted in the United States of America. The preparation of these condensed consolidated financial statements requires us to make estimates and assumptions that affect the reported amounts of assets and liabilities, disclosure of contingent liabilities, and the reported amounts of revenue and expense during the reporting period. We evaluate our estimates and assumptions on an ongoing basis using historical experience, existing and known circumstances, authoritative accounting guidance, and various other factors we believe are reasonable under the circumstances. Actual results may differ from these estimates under different assumptions or conditions and any such differences may be material.</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Part II, Item 7, “Management’s Discussion and Analysis of Financial Condition and Results of Operations” in our Annual Report under the heading “Critical Accounting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12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risk. Our exposure to interest rate risk is principally confined to our cash and cash equivalents and the Hercules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cash and cash equivalents of $85.0 million, which consisted of bank deposits, money market funds, and U.S. treasury bills. We believe that we do not have any material exposure to changes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these assets as a result of changes in interest rates due to the short-term nature of our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Hercules Loan Agreement contains a floating rate equal to the greater of 10.35% or the Prime Rate plus 2.35%, with an interest rate equal to 10.35% as of March 31, 2026. Based upon the balance outstanding as of March 31, 2026, a hypothetical 1.0% (100 basis points) change in interest rates would not have a material impact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March 31, 2026, our disclosure controls and procedures were effective at the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to the notes to the unaudited condensed consolidated financial statements in Part I, Item 1, “Financial Information” of this Quarterly Report, which is incorporated herein by reference,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results of operations and liquidity.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aware of any material changes to the risks and uncertainties described under the heading “Risk Factors” in our Annual Report, which information is incorporated herein by reference. The risks described in our Annual Report are not the only ones we face. Additional risks we currently do not know about or that we currently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believe to be immaterial may also impair our business, financial condition, operating results, liquidity, and future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none of our directors or officers adopted, terminated, or modified a Rule 10b5-1 trading arrangement or a non-Rule 10b5-1 trading arrangement, as each term is defined in Item 408(a) of Regulation S-K.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1"/>
        <w:gridCol w:w="146"/>
        <w:gridCol w:w="3876"/>
        <w:gridCol w:w="146"/>
        <w:gridCol w:w="1370"/>
        <w:gridCol w:w="146"/>
        <w:gridCol w:w="634"/>
        <w:gridCol w:w="146"/>
        <w:gridCol w:w="676"/>
        <w:gridCol w:w="146"/>
        <w:gridCol w:w="636"/>
        <w:gridCol w:w="146"/>
        <w:gridCol w:w="1226"/>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Second Amendment to Multi-Tenant Space Lease between Sight Sciences and Deerfield Campbell, LLC, date January 29,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5917" w:type="dxa"/>
        <w:jc w:val="left"/>
        <w:tblInd w:w="0" w:type="dxa"/>
        <w:tblLayout w:type="fixed"/>
        <w:tblCellMar>
          <w:top w:w="28" w:type="dxa"/>
          <w:left w:w="28" w:type="dxa"/>
          <w:bottom w:w="28" w:type="dxa"/>
          <w:right w:w="28" w:type="dxa"/>
        </w:tblCellMar>
      </w:tblPr>
      <w:tblGrid>
        <w:gridCol w:w="1636"/>
        <w:gridCol w:w="109"/>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Rodberg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2026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1696"/>
        <w:gridCol w:w="246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May 6, 2026</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Paul Badawi</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James Rodberg,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2026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1636"/>
        <w:gridCol w:w="382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Rodberg</w:t>
              <w:b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2026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182" w:type="dxa"/>
        <w:jc w:val="left"/>
        <w:tblInd w:w="0" w:type="dxa"/>
        <w:tblLayout w:type="fixed"/>
        <w:tblCellMar>
          <w:top w:w="28" w:type="dxa"/>
          <w:left w:w="28" w:type="dxa"/>
          <w:bottom w:w="28" w:type="dxa"/>
          <w:right w:w="28" w:type="dxa"/>
        </w:tblCellMar>
      </w:tblPr>
      <w:tblGrid>
        <w:gridCol w:w="1741"/>
        <w:gridCol w:w="4441"/>
      </w:tblGrid>
      <w:tr>
        <w:trPr/>
        <w:tc>
          <w:tcPr>
            <w:tcW w:w="17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Badawi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2026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1741"/>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hyperlink" Target="https://www.sec.gov/Archives/edgar/data/1531177/000119312526091558/sght-ex10_1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17458</Words>
  <Characters>96771</Characters>
  <CharactersWithSpaces>114868</CharactersWithSpaces>
  <Paragraphs>3801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