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850900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104775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72"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3340" w:right="1620" w:hanging="3319"/>
        <w:spacing w:after="0" w:line="383" w:lineRule="auto"/>
        <w:tabs>
          <w:tab w:leader="none" w:pos="48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SIGHT 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5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80-0625749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8"/>
          <w:szCs w:val="18"/>
          <w:b w:val="1"/>
          <w:bCs w:val="1"/>
          <w:color w:val="auto"/>
        </w:rPr>
        <w:t>4040 Campbell Ave, Suite 100</w:t>
      </w:r>
    </w:p>
    <w:p>
      <w:pPr>
        <w:spacing w:after="0" w:line="25" w:lineRule="exact"/>
        <w:rPr>
          <w:sz w:val="24"/>
          <w:szCs w:val="24"/>
          <w:color w:val="auto"/>
        </w:rPr>
      </w:pPr>
    </w:p>
    <w:p>
      <w:pPr>
        <w:ind w:left="218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Menlo Park, CA</w:t>
      </w:r>
      <w:r>
        <w:rPr>
          <w:sz w:val="20"/>
          <w:szCs w:val="20"/>
          <w:color w:val="auto"/>
        </w:rPr>
        <w:tab/>
      </w:r>
      <w:r>
        <w:rPr>
          <w:rFonts w:ascii="Times New Roman" w:cs="Times New Roman" w:eastAsia="Times New Roman" w:hAnsi="Times New Roman"/>
          <w:sz w:val="17"/>
          <w:szCs w:val="17"/>
          <w:b w:val="1"/>
          <w:bCs w:val="1"/>
          <w:color w:val="auto"/>
        </w:rPr>
        <w:t>94025</w:t>
      </w:r>
    </w:p>
    <w:p>
      <w:pPr>
        <w:spacing w:after="0" w:line="42"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266-1144</w:t>
      </w:r>
    </w:p>
    <w:p>
      <w:pPr>
        <w:spacing w:after="0" w:line="76"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82550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SGHT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7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tabs>
          <w:tab w:leader="none" w:pos="670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the close of business on November 1, 2024, the registrant had 50,754,616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563C1"/>
              </w:rPr>
              <w:t>Special Note Regarding Forward-Looking Statements</w:t>
            </w: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4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top w:val="single" w:sz="8" w:color="0563C1"/>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8"/>
              </w:rPr>
              <w:t>FINANCIAL INFORMATION</w:t>
            </w:r>
          </w:p>
        </w:tc>
        <w:tc>
          <w:tcPr>
            <w:tcW w:w="1620" w:type="dxa"/>
            <w:vAlign w:val="bottom"/>
            <w:tcBorders>
              <w:top w:val="single" w:sz="8" w:color="0563C1"/>
            </w:tcBorders>
            <w:gridSpan w:val="4"/>
          </w:tcPr>
          <w:p>
            <w:pPr>
              <w:spacing w:after="0"/>
              <w:rPr>
                <w:sz w:val="24"/>
                <w:szCs w:val="24"/>
                <w:color w:val="auto"/>
              </w:rPr>
            </w:pPr>
          </w:p>
        </w:tc>
        <w:tc>
          <w:tcPr>
            <w:tcW w:w="542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4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3860" w:type="dxa"/>
            <w:vAlign w:val="bottom"/>
            <w:tcBorders>
              <w:bottom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w w:val="99"/>
              </w:rPr>
              <w:t>Condensed Consolidated Balance Sheets (Unaudited)</w:t>
            </w:r>
          </w:p>
        </w:tc>
        <w:tc>
          <w:tcPr>
            <w:tcW w:w="5440" w:type="dxa"/>
            <w:vAlign w:val="bottom"/>
            <w:gridSpan w:val="9"/>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40" w:type="dxa"/>
            <w:vAlign w:val="bottom"/>
            <w:tcBorders>
              <w:bottom w:val="single" w:sz="8" w:color="0563C1"/>
            </w:tcBorders>
            <w:gridSpan w:val="19"/>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Operations and Comprehensive Loss (Unaudited)</w:t>
            </w:r>
          </w:p>
        </w:tc>
        <w:tc>
          <w:tcPr>
            <w:tcW w:w="286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Condensed Consolidated Statements of Stockholders’ Equity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300" w:type="dxa"/>
            <w:vAlign w:val="bottom"/>
            <w:tcBorders>
              <w:top w:val="single" w:sz="8" w:color="0563C1"/>
            </w:tcBorders>
            <w:gridSpan w:val="18"/>
          </w:tcPr>
          <w:p>
            <w:pPr>
              <w:spacing w:after="0"/>
              <w:rPr>
                <w:sz w:val="20"/>
                <w:szCs w:val="20"/>
                <w:color w:val="auto"/>
              </w:rPr>
            </w:pPr>
            <w:r>
              <w:rPr>
                <w:rFonts w:ascii="Times New Roman" w:cs="Times New Roman" w:eastAsia="Times New Roman" w:hAnsi="Times New Roman"/>
                <w:sz w:val="18"/>
                <w:szCs w:val="18"/>
                <w:color w:val="0563C1"/>
              </w:rPr>
              <w:t>Condensed Consolidated Statements of Cash Flows (Unaudited)</w:t>
            </w:r>
          </w:p>
        </w:tc>
        <w:tc>
          <w:tcPr>
            <w:tcW w:w="400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563C1"/>
            </w:tcBorders>
            <w:gridSpan w:val="20"/>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940" w:type="dxa"/>
            <w:vAlign w:val="bottom"/>
            <w:gridSpan w:val="6"/>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4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4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563C1"/>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8"/>
              </w:rPr>
              <w:t>Legal Proceedings</w:t>
            </w:r>
          </w:p>
        </w:tc>
        <w:tc>
          <w:tcPr>
            <w:tcW w:w="540" w:type="dxa"/>
            <w:vAlign w:val="bottom"/>
            <w:tcBorders>
              <w:top w:val="single" w:sz="8" w:color="0563C1"/>
            </w:tcBorders>
            <w:gridSpan w:val="3"/>
          </w:tcPr>
          <w:p>
            <w:pPr>
              <w:spacing w:after="0"/>
              <w:rPr>
                <w:sz w:val="24"/>
                <w:szCs w:val="24"/>
                <w:color w:val="auto"/>
              </w:rPr>
            </w:pPr>
          </w:p>
        </w:tc>
        <w:tc>
          <w:tcPr>
            <w:tcW w:w="742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8380" w:type="dxa"/>
            <w:vAlign w:val="bottom"/>
            <w:gridSpan w:val="18"/>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rPr>
              <w:t>Defaults Upon Senior Securities</w:t>
            </w:r>
          </w:p>
        </w:tc>
        <w:tc>
          <w:tcPr>
            <w:tcW w:w="4960" w:type="dxa"/>
            <w:vAlign w:val="bottom"/>
            <w:gridSpan w:val="7"/>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540" w:type="dxa"/>
            <w:vAlign w:val="bottom"/>
            <w:tcBorders>
              <w:top w:val="single" w:sz="8" w:color="0563C1"/>
            </w:tcBorders>
            <w:gridSpan w:val="4"/>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980" w:type="dxa"/>
            <w:vAlign w:val="bottom"/>
            <w:gridSpan w:val="17"/>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Signatures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897"/>
        </w:trPr>
        <w:tc>
          <w:tcPr>
            <w:tcW w:w="1160" w:type="dxa"/>
            <w:vAlign w:val="bottom"/>
          </w:tcPr>
          <w:p>
            <w:pPr>
              <w:spacing w:after="0"/>
              <w:rPr>
                <w:sz w:val="24"/>
                <w:szCs w:val="24"/>
                <w:color w:val="auto"/>
              </w:rPr>
            </w:pPr>
          </w:p>
        </w:tc>
        <w:tc>
          <w:tcPr>
            <w:tcW w:w="760" w:type="dxa"/>
            <w:vAlign w:val="bottom"/>
            <w:tcBorders>
              <w:top w:val="single" w:sz="8" w:color="0563C1"/>
            </w:tcBorders>
            <w:gridSpan w:val="2"/>
          </w:tcPr>
          <w:p>
            <w:pPr>
              <w:spacing w:after="0"/>
              <w:rPr>
                <w:sz w:val="24"/>
                <w:szCs w:val="24"/>
                <w:color w:val="auto"/>
              </w:rPr>
            </w:pPr>
          </w:p>
        </w:tc>
        <w:tc>
          <w:tcPr>
            <w:tcW w:w="3860" w:type="dxa"/>
            <w:vAlign w:val="bottom"/>
            <w:gridSpan w:val="14"/>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on Form 10-Q to the “Company,” “Sight Sciences,” “we,” “us” and “our” refer to Sight Sciences, Inc.</w:t>
      </w:r>
    </w:p>
    <w:p>
      <w:pPr>
        <w:spacing w:after="0" w:line="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the fiscal period ended September 30, 2024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78" w:lineRule="exact"/>
        <w:rPr>
          <w:sz w:val="20"/>
          <w:szCs w:val="20"/>
          <w:color w:val="auto"/>
        </w:rPr>
      </w:pPr>
    </w:p>
    <w:p>
      <w:pPr>
        <w:ind w:left="380" w:right="440" w:hanging="372"/>
        <w:spacing w:after="0" w:line="28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reimbursement for our products, including our ability to maintain competitive reimbursement for our Surgical Glaucoma products and establish sufficient reimbursement for our Dry Eye products;</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6" w:lineRule="exact"/>
        <w:rPr>
          <w:rFonts w:ascii="Times New Roman" w:cs="Times New Roman" w:eastAsia="Times New Roman" w:hAnsi="Times New Roman"/>
          <w:sz w:val="18"/>
          <w:szCs w:val="18"/>
          <w:color w:val="auto"/>
        </w:rPr>
      </w:pPr>
    </w:p>
    <w:p>
      <w:pPr>
        <w:ind w:left="380" w:right="220" w:hanging="372"/>
        <w:spacing w:after="0" w:line="265"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recently published local coverage determinations by Medicare Administrative Contractors regarding Minimally Invasive Glaucoma Surgery (“MIGS”) procedures on our business, financial condition, and results of operations, and the expected timing of effectiveness of each of the foregoing;</w:t>
      </w:r>
    </w:p>
    <w:p>
      <w:pPr>
        <w:spacing w:after="0" w:line="6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revenue, expenses, liquidity,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compete in new markets, and to expand the markets for our current products;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strategic realignment of our operations, including our reduction in workforce and related cost-savings initiatives;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our secured credit facility;</w:t>
      </w:r>
    </w:p>
    <w:p>
      <w:pPr>
        <w:spacing w:after="0" w:line="116" w:lineRule="exact"/>
        <w:rPr>
          <w:rFonts w:ascii="Times New Roman" w:cs="Times New Roman" w:eastAsia="Times New Roman" w:hAnsi="Times New Roman"/>
          <w:sz w:val="18"/>
          <w:szCs w:val="18"/>
          <w:color w:val="auto"/>
        </w:rPr>
      </w:pPr>
    </w:p>
    <w:p>
      <w:pPr>
        <w:ind w:left="380" w:right="40" w:hanging="372"/>
        <w:spacing w:after="0" w:line="28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and trends impacting our financial results, including our product development approach, market education, and our ability to achieve operating and financial milestones with optimal capital efficiency;</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infrastructure to achieve our business objectives;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16" w:lineRule="exact"/>
        <w:rPr>
          <w:rFonts w:ascii="Times New Roman" w:cs="Times New Roman" w:eastAsia="Times New Roman" w:hAnsi="Times New Roman"/>
          <w:sz w:val="18"/>
          <w:szCs w:val="18"/>
          <w:color w:val="auto"/>
        </w:rPr>
      </w:pPr>
    </w:p>
    <w:p>
      <w:pPr>
        <w:ind w:left="380" w:right="100" w:hanging="372"/>
        <w:spacing w:after="0" w:line="28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scale our intellectual property portfolio, including successfully defending our intellectual property against infringement, and the outcome of our ongoing litigation regarding certain of our patents;</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in future offerings;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6" w:lineRule="exact"/>
        <w:rPr>
          <w:rFonts w:ascii="Times New Roman" w:cs="Times New Roman" w:eastAsia="Times New Roman" w:hAnsi="Times New Roman"/>
          <w:sz w:val="18"/>
          <w:szCs w:val="18"/>
          <w:color w:val="auto"/>
        </w:rPr>
      </w:pPr>
    </w:p>
    <w:p>
      <w:pPr>
        <w:ind w:left="380" w:right="120" w:hanging="372"/>
        <w:spacing w:after="0" w:line="28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time during which we will be an emerging growth company under the Jumpstart Our Business Startups Act (the "JOBS Act"); and</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spacing w:after="0" w:line="8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outcomes of the events described in these forward-looking statements are subject to risks, uncertainties, assumptions, and other factors described in the section titled “Risk Factors” in our Annual Report on Form 10-K for the year ended December 31, 2023 filed with the Securities and Exchange Commission (the "SEC") on March 13, 2024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spacing w:after="0" w:line="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138,129</w:t>
            </w:r>
          </w:p>
        </w:tc>
        <w:tc>
          <w:tcPr>
            <w:tcW w:w="100" w:type="dxa"/>
            <w:vAlign w:val="bottom"/>
            <w:shd w:val="clear" w:color="auto" w:fill="CFF0FC"/>
          </w:tcPr>
          <w:p>
            <w:pPr>
              <w:spacing w:after="0"/>
              <w:rPr>
                <w:sz w:val="21"/>
                <w:szCs w:val="21"/>
                <w:color w:val="auto"/>
              </w:rPr>
            </w:pPr>
          </w:p>
        </w:tc>
      </w:tr>
      <w:tr>
        <w:trPr>
          <w:trHeight w:val="211"/>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$824 and $1,186 at September 30, 2024 and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20"/>
                <w:szCs w:val="20"/>
                <w:color w:val="auto"/>
              </w:rPr>
            </w:pPr>
          </w:p>
        </w:tc>
      </w:tr>
      <w:tr>
        <w:trPr>
          <w:trHeight w:val="240"/>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140,469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162,871</w:t>
            </w:r>
          </w:p>
        </w:tc>
        <w:tc>
          <w:tcPr>
            <w:tcW w:w="100" w:type="dxa"/>
            <w:vAlign w:val="bottom"/>
            <w:shd w:val="clear" w:color="auto" w:fill="CFF0FC"/>
          </w:tcPr>
          <w:p>
            <w:pPr>
              <w:spacing w:after="0"/>
              <w:rPr>
                <w:sz w:val="20"/>
                <w:szCs w:val="20"/>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0"/>
                <w:szCs w:val="20"/>
                <w:color w:val="auto"/>
              </w:rPr>
            </w:pPr>
          </w:p>
        </w:tc>
      </w:tr>
      <w:tr>
        <w:trPr>
          <w:trHeight w:val="247"/>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r>
      <w:tr>
        <w:trPr>
          <w:trHeight w:val="276"/>
        </w:trPr>
        <w:tc>
          <w:tcPr>
            <w:tcW w:w="8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143,597</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20"/>
                <w:szCs w:val="20"/>
                <w:color w:val="auto"/>
              </w:rPr>
            </w:pPr>
          </w:p>
        </w:tc>
      </w:tr>
      <w:tr>
        <w:trPr>
          <w:trHeight w:val="247"/>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20"/>
                <w:szCs w:val="20"/>
                <w:color w:val="auto"/>
              </w:rPr>
            </w:pPr>
          </w:p>
        </w:tc>
      </w:tr>
      <w:tr>
        <w:trPr>
          <w:trHeight w:val="243"/>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 long-term debt, net</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100" w:type="dxa"/>
            <w:vAlign w:val="bottom"/>
            <w:tcBorders>
              <w:top w:val="single" w:sz="8" w:color="CFF0FC"/>
            </w:tcBorders>
          </w:tcPr>
          <w:p>
            <w:pPr>
              <w:spacing w:after="0"/>
              <w:rPr>
                <w:sz w:val="20"/>
                <w:szCs w:val="20"/>
                <w:color w:val="auto"/>
              </w:rPr>
            </w:pPr>
          </w:p>
        </w:tc>
      </w:tr>
      <w:tr>
        <w:trPr>
          <w:trHeight w:val="247"/>
        </w:trPr>
        <w:tc>
          <w:tcPr>
            <w:tcW w:w="8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100" w:type="dxa"/>
            <w:vAlign w:val="bottom"/>
          </w:tcPr>
          <w:p>
            <w:pPr>
              <w:spacing w:after="0"/>
              <w:rPr>
                <w:sz w:val="20"/>
                <w:szCs w:val="20"/>
                <w:color w:val="auto"/>
              </w:rPr>
            </w:pPr>
          </w:p>
        </w:tc>
      </w:tr>
      <w:tr>
        <w:trPr>
          <w:trHeight w:val="243"/>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46,436</w:t>
            </w:r>
          </w:p>
        </w:tc>
        <w:tc>
          <w:tcPr>
            <w:tcW w:w="100" w:type="dxa"/>
            <w:vAlign w:val="bottom"/>
          </w:tcPr>
          <w:p>
            <w:pPr>
              <w:spacing w:after="0"/>
              <w:rPr>
                <w:sz w:val="20"/>
                <w:szCs w:val="20"/>
                <w:color w:val="auto"/>
              </w:rPr>
            </w:pPr>
          </w:p>
        </w:tc>
      </w:tr>
      <w:tr>
        <w:trPr>
          <w:trHeight w:val="240"/>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$0.001 per share; 10,000,000 shares authorized; no shares issued and</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$0.001 per share; 200,000,000 shares authorized; 50,398,148 and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49,131,363 shares issued and outstanding as of September 30, 2024 and December 31, 2023, respectively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429,358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414,956</w:t>
            </w: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(334,451 )</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(294,790 )</w:t>
            </w:r>
          </w:p>
        </w:tc>
      </w:tr>
      <w:tr>
        <w:trPr>
          <w:trHeight w:val="236"/>
        </w:trPr>
        <w:tc>
          <w:tcPr>
            <w:tcW w:w="8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143,597</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166,651</w:t>
            </w:r>
          </w:p>
        </w:tc>
        <w:tc>
          <w:tcPr>
            <w:tcW w:w="100" w:type="dxa"/>
            <w:vAlign w:val="bottom"/>
          </w:tcPr>
          <w:p>
            <w:pPr>
              <w:spacing w:after="0"/>
              <w:rPr>
                <w:sz w:val="20"/>
                <w:szCs w:val="20"/>
                <w:color w:val="auto"/>
              </w:rPr>
            </w:pP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-3295650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-3278505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-2345690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-1720215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(11,229 )</w:t>
            </w: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(13,411 )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(38,603 )</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(46,164 )</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(1,151 )</w:t>
            </w: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(3,501 )</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(4,057 )</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(1,962 )</w:t>
            </w: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(10,900 )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(12,957 )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(39,463 )</w:t>
            </w:r>
          </w:p>
        </w:tc>
        <w:tc>
          <w:tcPr>
            <w:tcW w:w="3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(44,756 )</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(11,066 )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(13,035 )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(39,661 )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(44,856 )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(0.92 )</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50,340,603</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48,671,049</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49,911,655</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48,538,517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-1720215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-1720215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-1720215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-461645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-461645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-461645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13"/>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tcBorders>
              <w:bottom w:val="single" w:sz="8" w:color="auto"/>
            </w:tcBorders>
            <w:gridSpan w:val="5"/>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50,136,131</w:t>
            </w:r>
          </w:p>
        </w:tc>
        <w:tc>
          <w:tcPr>
            <w:tcW w:w="1160" w:type="dxa"/>
            <w:vAlign w:val="bottom"/>
            <w:gridSpan w:val="3"/>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424,973</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(323,385 )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223,081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(11,066 )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(11,066 )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50,398,148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429,358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(334,451 )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3"/>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34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49,131,363</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414,956</w:t>
            </w:r>
          </w:p>
        </w:tc>
        <w:tc>
          <w:tcPr>
            <w:tcW w:w="20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(294,790 )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840,376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taxes on net share settlement of</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9"/>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issuance</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purchases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(39,661 )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(39,661 )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50,398,148</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429,358</w:t>
            </w:r>
          </w:p>
        </w:tc>
        <w:tc>
          <w:tcPr>
            <w:tcW w:w="20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(334,451 )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-2602230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-2602230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-2602230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-2602230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52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52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48,649,343</w:t>
            </w:r>
          </w:p>
        </w:tc>
        <w:tc>
          <w:tcPr>
            <w:tcW w:w="1220" w:type="dxa"/>
            <w:vAlign w:val="bottom"/>
            <w:gridSpan w:val="3"/>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407,146</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(271,064 )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w:t>
            </w:r>
          </w:p>
        </w:tc>
        <w:tc>
          <w:tcPr>
            <w:tcW w:w="1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(13,035 )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(13,035 )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48,722,219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411,119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(284,099 )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8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520" w:type="dxa"/>
            <w:vAlign w:val="bottom"/>
            <w:gridSpan w:val="4"/>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52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3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48,298,138</w:t>
            </w:r>
          </w:p>
        </w:tc>
        <w:tc>
          <w:tcPr>
            <w:tcW w:w="122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399,271</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(239,243 )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163,940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vesting of</w:t>
            </w:r>
          </w:p>
        </w:tc>
        <w:tc>
          <w:tcPr>
            <w:tcW w:w="1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181,607</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 of net share settlement of</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49"/>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purchases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78,534</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(44,856 )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(44,856 )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48,722,219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(284,099 )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-2525395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-2525395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-2525395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-2525395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-187960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72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(39,661 )</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(44,856 )</w:t>
            </w: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debt discount and debt issuance costs</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(68 )</w:t>
            </w: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excess and obsolete inventories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(105 )</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loss on debt extinguishment</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(2,187 )</w:t>
            </w: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(3,345 )</w:t>
            </w: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(280 )</w:t>
            </w: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(35 )</w:t>
            </w:r>
          </w:p>
        </w:tc>
        <w:tc>
          <w:tcPr>
            <w:tcW w:w="6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(444 )</w:t>
            </w: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(1,851 )</w:t>
            </w: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(3,089 )</w:t>
            </w: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(1,524 )</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(18,892 )</w:t>
            </w:r>
          </w:p>
        </w:tc>
        <w:tc>
          <w:tcPr>
            <w:tcW w:w="6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(40,700 )</w:t>
            </w:r>
          </w:p>
        </w:tc>
      </w:tr>
      <w:tr>
        <w:trPr>
          <w:trHeight w:val="236"/>
        </w:trPr>
        <w:tc>
          <w:tcPr>
            <w:tcW w:w="7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(248 )</w:t>
            </w:r>
          </w:p>
        </w:tc>
        <w:tc>
          <w:tcPr>
            <w:tcW w:w="6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r>
      <w:tr>
        <w:trPr>
          <w:trHeight w:val="20"/>
        </w:trPr>
        <w:tc>
          <w:tcPr>
            <w:tcW w:w="7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(248 )</w:t>
            </w:r>
          </w:p>
        </w:tc>
        <w:tc>
          <w:tcPr>
            <w:tcW w:w="6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r>
      <w:tr>
        <w:trPr>
          <w:trHeight w:val="238"/>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Hercules Loan Agreement</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MidCap Loan Agreement</w:t>
            </w:r>
          </w:p>
        </w:tc>
        <w:tc>
          <w:tcPr>
            <w:tcW w:w="1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(35,375 )</w:t>
            </w:r>
          </w:p>
        </w:tc>
        <w:tc>
          <w:tcPr>
            <w:tcW w:w="6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(238 )</w:t>
            </w:r>
          </w:p>
        </w:tc>
        <w:tc>
          <w:tcPr>
            <w:tcW w:w="6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purchase plan purchases</w:t>
            </w: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on net share settlement of restricted stock units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6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r>
      <w:tr>
        <w:trPr>
          <w:trHeight w:val="243"/>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(425 )</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(19,565 )</w:t>
            </w:r>
          </w:p>
        </w:tc>
        <w:tc>
          <w:tcPr>
            <w:tcW w:w="6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(40,499 )</w:t>
            </w: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138,129</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tcPr>
          <w:p>
            <w:pPr>
              <w:spacing w:after="0"/>
              <w:rPr>
                <w:sz w:val="20"/>
                <w:szCs w:val="20"/>
                <w:color w:val="auto"/>
              </w:rPr>
            </w:pPr>
          </w:p>
        </w:tc>
      </w:tr>
      <w:tr>
        <w:trPr>
          <w:trHeight w:val="27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tcBorders>
              <w:bottom w:val="single" w:sz="8" w:color="auto"/>
            </w:tcBorders>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3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FF0FC"/>
          </w:tcPr>
          <w:p>
            <w:pPr>
              <w:spacing w:after="0"/>
              <w:rPr>
                <w:sz w:val="21"/>
                <w:szCs w:val="21"/>
                <w:color w:val="auto"/>
              </w:rPr>
            </w:pPr>
          </w:p>
        </w:tc>
      </w:tr>
      <w:tr>
        <w:trPr>
          <w:trHeight w:val="24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 of investing and financing activities</w:t>
            </w: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 included in accounts payable and accrued liabilities</w:t>
            </w:r>
          </w:p>
        </w:tc>
        <w:tc>
          <w:tcPr>
            <w:tcW w:w="112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1"/>
                <w:szCs w:val="21"/>
                <w:color w:val="auto"/>
              </w:rPr>
            </w:pP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 issued upon execution of Hercules Loan Agreement</w:t>
            </w:r>
          </w:p>
        </w:tc>
        <w:tc>
          <w:tcPr>
            <w:tcW w:w="11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-3153410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-3153410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-2836545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-1586230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-1586230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-944245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-927100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-944245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-927100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SIGHT 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 Company and Nature of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121"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w:t>
      </w:r>
    </w:p>
    <w:p>
      <w:pPr>
        <w:spacing w:after="0" w:line="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product portfolio aligns with its two reportable operating segments: Surgical Glaucoma and Dry Eye. The products for the Surgical Glaucoma segment include the OMNI® Surgical System ("OMNI"), which is an implant-free, handheld, single-use, therapeutic technology that enables ophthalmic surgeons to perform a comprehensive procedure (i) indicated in the United States to reduce intraocular pressure in adult patients with primary open-angle glaucoma, and (ii) CE Marked for the catheterization and transluminal viscodilation of Schlemm’s canal and cutting of the trabecular meshwork to reduce intraocular pressure in adult patients with open-angle glaucoma; and the SION® Surgical Instrument ("SION"),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Significant Risks and Uncertainties</w:t>
      </w:r>
    </w:p>
    <w:p>
      <w:pPr>
        <w:spacing w:after="0" w:line="121" w:lineRule="exact"/>
        <w:rPr>
          <w:sz w:val="20"/>
          <w:szCs w:val="20"/>
          <w:color w:val="auto"/>
        </w:rPr>
      </w:pPr>
    </w:p>
    <w:p>
      <w:pPr>
        <w:ind w:right="40" w:firstLine="509"/>
        <w:spacing w:after="0" w:line="280" w:lineRule="auto"/>
        <w:rPr>
          <w:sz w:val="20"/>
          <w:szCs w:val="20"/>
          <w:color w:val="auto"/>
        </w:rPr>
      </w:pPr>
      <w:r>
        <w:rPr>
          <w:rFonts w:ascii="Times New Roman" w:cs="Times New Roman" w:eastAsia="Times New Roman" w:hAnsi="Times New Roman"/>
          <w:sz w:val="17"/>
          <w:szCs w:val="17"/>
          <w:color w:val="auto"/>
        </w:rPr>
        <w:t>Since inception, the Company has incurred losses and negative cash flows from operations. As of September 30, 2024, the Company had an accumulated deficit of $334.5 million since inception and recorded a net loss of $39.7 million for the nine months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spacing w:after="0" w:line="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its existing sources of liquidity will satisfy its working capital and capital requirements for at least 12 months from the issuance of its unaudited condensed consolidated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thereto are unaudited and have been prepared in accordance with accounting principles generally accepted in the United States of America ("US GAAP") applicable to interim periods and pursuant to the instructions to Form 10-Q and Article 10 of Regulation S-X. The Company’s condensed consolidated financial statements include the accounts of the Company and its wholly owned subsidiaries, Sight Sciences UK, Ltd and Sight Sciences GmbH. All intercompany balances and transactions have been eliminated in consolidation.</w:t>
      </w:r>
    </w:p>
    <w:p>
      <w:pPr>
        <w:spacing w:after="0" w:line="74"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0" w:name="page11"/>
    <w:bookmarkEnd w:id="10"/>
    <w:p>
      <w:pPr>
        <w:spacing w:after="0" w:line="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presentation of the Company's financial information contained herein. The condensed consolidated balance sheet as of December 31, 2023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notes thereto for the fiscal year ended December 31, 2023, which are contained in the Annual Report. The Company's results of operations for the nine months ended September 30, 2024 are not necessarily indicative of the results to be expected for the year ending December 31, 2024 or for any other interim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231F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the provision for credit losses, inventory excess and obsolescence,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19"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During the nine-month period ended September 30, 2024, there were no significant Accounting Standard Updates ("ASUs") issued that were adopted.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Reportable Segment Disclosures. </w:t>
      </w:r>
      <w:r>
        <w:rPr>
          <w:rFonts w:ascii="Times New Roman" w:cs="Times New Roman" w:eastAsia="Times New Roman" w:hAnsi="Times New Roman"/>
          <w:sz w:val="18"/>
          <w:szCs w:val="18"/>
          <w:color w:val="auto"/>
        </w:rPr>
        <w:t>The ASU updates reportable segment disclosure requirements, primarily through requiring enhanced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information used to assess segment performance. The ASU is effective on a retrospective basis for fiscal years beginning after December 15, 2023, and interim periods within fiscal years beginning after December 15, 2024, with early adoption permitted. The Company is currently evaluating the impact of adopting this ASU on its disclosures.</w:t>
      </w:r>
    </w:p>
    <w:p>
      <w:pPr>
        <w:spacing w:after="0" w:line="7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of adopting this ASU on its disclosures.</w:t>
      </w:r>
    </w:p>
    <w:p>
      <w:pPr>
        <w:spacing w:after="0" w:line="72"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there are no additional ASUs issued and not yet adopted that are expected to have a material impact on the Company's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4"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55"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Company's cash and cash equivalents included Level 1 investments in treasury securities of $100.5 million and $129.1 million as of September 30, 2024 and December 31, 2023, respectively. These securities are classified as held-to-maturity and all have been purchased with original maturities of 90 days or less. Held-to-maturity debt securities are recorded at amortized cost in the financial statements.</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20" w:type="dxa"/>
            <w:vAlign w:val="bottom"/>
          </w:tcPr>
          <w:p>
            <w:pPr>
              <w:spacing w:after="0"/>
              <w:rPr>
                <w:sz w:val="14"/>
                <w:szCs w:val="14"/>
                <w:color w:val="auto"/>
              </w:rPr>
            </w:pPr>
          </w:p>
        </w:tc>
      </w:tr>
      <w:tr>
        <w:trPr>
          <w:trHeight w:val="23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100,488</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700" w:type="dxa"/>
            <w:vAlign w:val="bottom"/>
            <w:gridSpan w:val="3"/>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  $</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100,511</w:t>
            </w:r>
          </w:p>
        </w:tc>
        <w:tc>
          <w:tcPr>
            <w:tcW w:w="120" w:type="dxa"/>
            <w:vAlign w:val="bottom"/>
            <w:shd w:val="clear" w:color="auto" w:fill="CFF0FC"/>
          </w:tcPr>
          <w:p>
            <w:pPr>
              <w:spacing w:after="0"/>
              <w:rPr>
                <w:sz w:val="20"/>
                <w:szCs w:val="20"/>
                <w:color w:val="auto"/>
              </w:rPr>
            </w:pPr>
          </w:p>
        </w:tc>
      </w:tr>
      <w:tr>
        <w:trPr>
          <w:trHeight w:val="391"/>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20" w:type="dxa"/>
            <w:vAlign w:val="bottom"/>
          </w:tcPr>
          <w:p>
            <w:pPr>
              <w:spacing w:after="0"/>
              <w:rPr>
                <w:sz w:val="14"/>
                <w:szCs w:val="14"/>
                <w:color w:val="auto"/>
              </w:rPr>
            </w:pPr>
          </w:p>
        </w:tc>
      </w:tr>
      <w:tr>
        <w:trPr>
          <w:trHeight w:val="23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129,113</w:t>
            </w:r>
          </w:p>
        </w:tc>
        <w:tc>
          <w:tcPr>
            <w:tcW w:w="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gridSpan w:val="3"/>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129,141</w:t>
            </w:r>
          </w:p>
        </w:tc>
        <w:tc>
          <w:tcPr>
            <w:tcW w:w="120" w:type="dxa"/>
            <w:vAlign w:val="bottom"/>
            <w:shd w:val="clear" w:color="auto" w:fill="CFF0FC"/>
          </w:tcPr>
          <w:p>
            <w:pPr>
              <w:spacing w:after="0"/>
              <w:rPr>
                <w:sz w:val="20"/>
                <w:szCs w:val="20"/>
                <w:color w:val="auto"/>
              </w:rPr>
            </w:pPr>
          </w:p>
        </w:tc>
      </w:tr>
    </w:tbl>
    <w:p>
      <w:pPr>
        <w:spacing w:after="0" w:line="197"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Company measures the fair value of outstanding debt for disclosure purposes on a recurring basis. As of September 30, 2024 and December 31, 2023, total debt of $34.2 million and $33.9 million is reported at amortized cost, respectively. This outstanding debt is classified as Level 2 as it is not actively traded. The amortized cost of the outstanding debt approximates the fair value.</w:t>
      </w:r>
    </w:p>
    <w:p>
      <w:pPr>
        <w:spacing w:after="0" w:line="177"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the unissued common stock warrants to be issued pursuant to the Hercules Loan Agreement (as defined in Note 5, Debt) using the Black-Scholes option pricing method. These are classified as Level 3 liabilities, with an overall value of less than $0.1 million as of September 30, 2024. The unissued warrants are remeasured at each reporting date following execution of the Hercules Loan Agreement. See Note 5, Debt, and Note 7, Stockholders' Equity, for additional information regarding the common stock warrants.</w:t>
      </w:r>
    </w:p>
    <w:p>
      <w:pPr>
        <w:spacing w:after="0" w:line="7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financial statements as of September 30, 2024 and December 31, 2023 do not include any assets or liabilities that are measured at fair value on a nonrecurring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5"/>
                <w:szCs w:val="15"/>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3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(1,975 )</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(1,627 )</w:t>
            </w:r>
          </w:p>
        </w:tc>
        <w:tc>
          <w:tcPr>
            <w:tcW w:w="0" w:type="dxa"/>
            <w:vAlign w:val="bottom"/>
          </w:tcPr>
          <w:p>
            <w:pPr>
              <w:spacing w:after="0"/>
              <w:rPr>
                <w:sz w:val="1"/>
                <w:szCs w:val="1"/>
                <w:color w:val="auto"/>
              </w:rPr>
            </w:pPr>
          </w:p>
        </w:tc>
      </w:tr>
      <w:tr>
        <w:trPr>
          <w:trHeight w:val="234"/>
        </w:trPr>
        <w:tc>
          <w:tcPr>
            <w:tcW w:w="40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18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0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0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-1549400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-1232535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2"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Depreciation expense was $0.1 million and $0.4 million for the three and nine months ended September 30, 2024, respectively. Depreciation expense was $0.2 million and $0.5 million for the three and nine months ended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7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20"/>
                <w:szCs w:val="20"/>
                <w:color w:val="auto"/>
              </w:rPr>
            </w:pP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interest payable</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1"/>
                <w:szCs w:val="21"/>
                <w:color w:val="auto"/>
              </w:rPr>
            </w:pP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0"/>
                <w:szCs w:val="20"/>
                <w:color w:val="auto"/>
              </w:rPr>
            </w:pPr>
          </w:p>
        </w:tc>
      </w:tr>
      <w:tr>
        <w:trPr>
          <w:trHeight w:val="27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shd w:val="clear" w:color="auto" w:fill="CFF0FC"/>
          </w:tcPr>
          <w:p>
            <w:pPr>
              <w:spacing w:after="0"/>
              <w:rPr>
                <w:sz w:val="24"/>
                <w:szCs w:val="24"/>
                <w:color w:val="auto"/>
              </w:rPr>
            </w:pPr>
          </w:p>
        </w:tc>
      </w:tr>
      <w:tr>
        <w:trPr>
          <w:trHeight w:val="565"/>
        </w:trPr>
        <w:tc>
          <w:tcPr>
            <w:tcW w:w="7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Noncurrent Liabilities</w:t>
            </w: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8"/>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FF0FC"/>
          </w:tcPr>
          <w:p>
            <w:pPr>
              <w:spacing w:after="0"/>
              <w:rPr>
                <w:sz w:val="20"/>
                <w:szCs w:val="20"/>
                <w:color w:val="auto"/>
              </w:rPr>
            </w:pPr>
          </w:p>
        </w:tc>
      </w:tr>
      <w:tr>
        <w:trPr>
          <w:trHeight w:val="23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3"/>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interest payable</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-1685925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-1668780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Hercules Capital Loan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entered into a Loan and Security Agreement (the “Hercules Loan Agreement”), with Hercules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(“Hercules”) and certain of its affiliates (collective with Hercules, the “Lenders”), which provides for a senior secured term loan facility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up to $65.0 million. An initial tranche of $35.0 million (the “Initial Loan”) was funded under the Hercules Loan Agreement on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2024. In addition to the Initial Loan, the Hercules Loan Agreement provides for additional tranches as follows: $5.0 million available in a single draw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15, 2024, $10.0 million available to draw upon the achievement of certain performance milestones through September 15,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million available for the Company to draw on through the interest-only period in increments of $5.0 million, subject to the sole approval of Hercules'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committee (such tranche loans together with the Initial Loan, the “Term Loans”).</w:t>
      </w:r>
    </w:p>
    <w:p>
      <w:pPr>
        <w:spacing w:after="0" w:line="9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Hercules Loan Agreement includes a maturity date of July 1, 2028, with an interest only period running for the first 30 months of the agreement term, extendable for an additional six months for a total of 36 months upon the achievement of certain milestones. The Term Loans accrue interest at a floating annual rate of the greater of 10.35% or the Wall Street Journal prime rate plus 2.35%, with the interest rate under the Term Loans equal to 10.35% at September 30, 2024. The final payment fee is set at 5.95% of the funded balance, which is recognized as a debt discount and is being accreted into the amortization of debt issuance costs using the effective interest rate method over the term of the loan. In conjunction with the funding of the Initial Loan, the Company issued warrants to the Lenders to purchase up to an aggregate of 135,686 shares of its common stock at an exercise price of $5.159 per share, which were recorded and classified as equity. Each warrant is exercisable for a period of seven years from the date of issuance. See Note 7, Stockholders' Equity, for additional information regarding these common stock warrants.</w:t>
      </w:r>
    </w:p>
    <w:p>
      <w:pPr>
        <w:spacing w:after="0" w:line="8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September 30,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MidCap Loan Agreement</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had credit and security agreements with certain entities affiliated with MidCap Financial Services (such entities collectively, “MidCap”), which provided for a $35.0 million senior secured term loan (the “MidCap Term Loan”). In January 2024, the Company terminated the Amended and Restated Credit and Security Agreement (Term Loan) (the “MidCap Term Loan Agreement”) evidencing the MidCap Term Loan and paid off in full the secured obligations thereunder in connection with its entry into the Hercules Loan Agreement. The Company recorded a loss on debt extinguishment of $2.0 million during the nine months ended September 30, 2024.</w:t>
      </w:r>
    </w:p>
    <w:p>
      <w:pPr>
        <w:spacing w:after="0" w:line="7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The commitment obligations under the MidCap Term Loan Agreement were guaranteed by the Company’s current and future subsidiaries, subject to exceptions for certain foreign subsidiaries, and secured by substantially all assets of the Company, including material intellectual property. The MidCap Term Loan Agreement had a maturity date of November 1, 2025, and principal payments under the Term Loan were scheduled to commence in December 2024. In addition, the MidCap Term Loan Agreement included a stated floating interest rate that was reserve-adjusted Secured Overnight Finance Rate, plus 7.00%, and a provision for a final payment fee of 6.0% of the $35.0 million MidCap Term Loan balance, which was recorded as a long-term interest payable as of December 31,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Schedule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and short-term debt as of September 30, 2024 and December 31, 2023, respectively, was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Hercules Initial Loan</w:t>
            </w:r>
          </w:p>
        </w:tc>
        <w:tc>
          <w:tcPr>
            <w:tcW w:w="2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MidCap Term Loan</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 payments due</w:t>
            </w:r>
          </w:p>
        </w:tc>
        <w:tc>
          <w:tcPr>
            <w:tcW w:w="28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(1,073 )</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amounts outstanding</w:t>
            </w:r>
          </w:p>
        </w:tc>
        <w:tc>
          <w:tcPr>
            <w:tcW w:w="28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(2,219 )</w:t>
            </w:r>
          </w:p>
        </w:tc>
        <w:tc>
          <w:tcPr>
            <w:tcW w:w="0" w:type="dxa"/>
            <w:vAlign w:val="bottom"/>
          </w:tcPr>
          <w:p>
            <w:pPr>
              <w:spacing w:after="0"/>
              <w:rPr>
                <w:sz w:val="1"/>
                <w:szCs w:val="1"/>
                <w:color w:val="auto"/>
              </w:rPr>
            </w:pPr>
          </w:p>
        </w:tc>
      </w:tr>
      <w:tr>
        <w:trPr>
          <w:trHeight w:val="27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8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1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repayment schedule relating to the Hercules Initial Loan as of September 30, 2024, is as follows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Final fee due at maturity</w:t>
            </w:r>
          </w:p>
        </w:tc>
        <w:tc>
          <w:tcPr>
            <w:tcW w:w="28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repayments</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4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6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-3587115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-3587115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-3270250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-2945130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-2927985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Company’s leases include facility leases and equipment leases. In determining the present value of lease payments, the Company uses its incremental borrowing rate based on the information available at the lease commencement date if the rate implicit in the lease is not readily determinable. The Company</w:t>
      </w:r>
      <w:r>
        <w:rPr>
          <w:rFonts w:ascii="Times New Roman" w:cs="Times New Roman" w:eastAsia="Times New Roman" w:hAnsi="Times New Roman"/>
          <w:sz w:val="18"/>
          <w:szCs w:val="18"/>
          <w:color w:val="231F20"/>
        </w:rPr>
        <w:t>’s incremental borrowing rate represents the interest rate that the Company would expect to incur at lease commencement to borrow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amount equal to the lease payments on a collateralized basis with similar terms and payments, in an economic environment where the leased asset is located. </w:t>
      </w:r>
      <w:r>
        <w:rPr>
          <w:rFonts w:ascii="Times New Roman" w:cs="Times New Roman" w:eastAsia="Times New Roman" w:hAnsi="Times New Roman"/>
          <w:sz w:val="18"/>
          <w:szCs w:val="18"/>
          <w:color w:val="000000"/>
        </w:rPr>
        <w:t>In determining the lease term, the Company includes all renewal options that are reasonably probable to be executed.</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Upon signing the amendment, the Company recorded an aggregate lease right-of-use ("ROU") asset and lease liability of $1.2 million. The lease ROU asset and corresponding liability were estimated using a weighted-average incremental borrowing rate of 11.40%. Total base rent for the remaining 34 months under the amended lease agreement is approximately $1.5 million.</w:t>
      </w:r>
    </w:p>
    <w:p>
      <w:pPr>
        <w:spacing w:after="0" w:line="7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supply agreement that was expected to last approximately 18 months. In January 2024, the term was extended through December 31, 2024. The supply agreement contained provisions that, when evaluated, indicated an embedded lease was present within the agreement and the Company recorded an aggregate lease ROU asset and lease liability of $0.7 million. The lease ROU asset and corresponding lease liability were estimated using a weighted-average incremental borrowing rate of 10.75%. Total base rent under the agreement is approximately $0.7 million.</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term. The Company’s rent expense was $0.2 million and $0.3 million for the three months ended September 30, 2024 and 2023, respectively. The Company’s rent expense was $0.6 million and $0.9 million for the nine months ended September 30, 2024 and 2023, respectively. As of September 30, 2024, the weighted average remaining lease term for the leases was 2.0 years.</w:t>
      </w:r>
    </w:p>
    <w:p>
      <w:pPr>
        <w:spacing w:after="0" w:line="74"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Operating lease expense and supplemental cash flow information related to operating leases for the three months ended September 30, 2024 and 2023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140" w:type="dxa"/>
            <w:vAlign w:val="bottom"/>
            <w:gridSpan w:val="4"/>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2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20"/>
                <w:szCs w:val="20"/>
                <w:color w:val="auto"/>
              </w:rPr>
            </w:pP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Aggregate future minimum lease payments as of September 30, 2024, under these noncancelable operating leases were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47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36"/>
        </w:trPr>
        <w:tc>
          <w:tcPr>
            <w:tcW w:w="4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45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4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34"/>
        </w:trPr>
        <w:tc>
          <w:tcPr>
            <w:tcW w:w="4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45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52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45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5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-1934210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-1617345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-1301115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Legal Proceedings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The parties have submitted their post-trial briefings and the Court will hold an in-person hearing in December 2024 to hear the parties’ oral arguments on these briefings. The Court will enter its final judgement after the hearing, with such entry currently expected in late fourth quarter 2024 or in first quarter 2025. The Court's final judgment will be subject to appeal. The Company is presently unable to predict the outcome of this lawsuit or to reasonably estimate the potential financial impact of the lawsuit on the Company, if any.</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w:t>
      </w:r>
    </w:p>
    <w:p>
      <w:pPr>
        <w:spacing w:after="0" w:line="8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Except as described above, as of September 30, 2024 and December 31, 2023, the Company was not a party to any legal proceedings, regulatory matters, or other disputes or claims which, if determined adversely, would, individually or taken together, have a material adverse effect on the Company’s business, financial condition, operating results, liquidity, or future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Indemnification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7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Company believes the fair value of these indemnification obligations is minimal. Accordingly, the Company has not recognized any liabilities relating to these obligations as of September 30, 2024 and December 31, 2023.</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September 30, 2024, no dividends have been declared. Each share of common stock is entitled to one vote.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the Company had reserved common stock for future issuances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6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16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5,956,636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6,033,176</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4,583,289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4,574,045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purchase under employee stock purchase plan</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1,747,250</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1,488,227</w:t>
            </w:r>
          </w:p>
        </w:tc>
        <w:tc>
          <w:tcPr>
            <w:tcW w:w="100" w:type="dxa"/>
            <w:vAlign w:val="bottom"/>
          </w:tcPr>
          <w:p>
            <w:pPr>
              <w:spacing w:after="0"/>
              <w:rPr>
                <w:sz w:val="20"/>
                <w:szCs w:val="20"/>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16,861,220</w:t>
            </w:r>
          </w:p>
        </w:tc>
        <w:tc>
          <w:tcPr>
            <w:tcW w:w="2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15,222,954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In conjunction with the funding of the Initial Loan under the Hercules Loan Agreement, the Company issued common stock warrants to the Lenders to purchase up to an aggregate of 135,686 shares of our common stock at an exercise price of $5.159 per share. Each warrant is exercisable for up to seven years from the date of issuance. The warrants are classified as equity. During the nine months ended September 30, 2024, the fair value of the issued warrants recorded was $0.6 million, which was calculated using the Black-Scholes option pricing model. These warrants were recorded at fair value upon their issuance in additional paid-in capital in the condensed consolidated balance sheet. The issued warrants are not remeasured after the issuance date.</w:t>
      </w:r>
    </w:p>
    <w:p>
      <w:pPr>
        <w:spacing w:after="0" w:line="170"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If the additional Term Loans are funded, the Company will be obligated to issue to the Lenders additional warrants to purchase common stock in an amount equal to 2.0% of the funded balance of each tranche, divided by the exercise price on the date the Company draws funds from such tranche, or the issuance date. The exercise price will be calculated using the five-day volume-weighted average stock price as of such date.</w:t>
      </w:r>
    </w:p>
    <w:p>
      <w:pPr>
        <w:spacing w:after="0" w:line="17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unissued warrants do not meet the requirements for classification in equity, and are recorded as liabilities in other noncurrent liabilities in the financial statements. The fair value of the unissued common stock warrants was calculated using the Black-Scholes option pricing method and they were recorded at fair value upon the funding of the Hercules Loan Agreement. The unissued warrants are remeasured at each reporting date after the issuance date. According to the fair value measurement criteria, the unissued warrants are considered Level 3 liabilities, with an overall value of less than $0.1 million as of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8. Equity Incentive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2011 Stock Option Plan and 2021 Incentive Award Plan</w:t>
      </w:r>
    </w:p>
    <w:p>
      <w:pPr>
        <w:spacing w:after="0" w:line="121"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In 2011, the Company established its 2011 Stock Option Plan (the “2011 Plan”) that provided for the granting of stock options to employees and nonemployees of the Company.</w:t>
      </w:r>
    </w:p>
    <w:p>
      <w:pPr>
        <w:spacing w:after="0" w:line="55" w:lineRule="exact"/>
        <w:rPr>
          <w:sz w:val="20"/>
          <w:szCs w:val="20"/>
          <w:color w:val="auto"/>
        </w:rPr>
      </w:pPr>
    </w:p>
    <w:p>
      <w:pPr>
        <w:jc w:val="both"/>
        <w:ind w:right="60" w:firstLine="509"/>
        <w:spacing w:after="0" w:line="288" w:lineRule="auto"/>
        <w:rPr>
          <w:sz w:val="20"/>
          <w:szCs w:val="20"/>
          <w:color w:val="auto"/>
        </w:rPr>
      </w:pPr>
      <w:r>
        <w:rPr>
          <w:rFonts w:ascii="Times New Roman" w:cs="Times New Roman" w:eastAsia="Times New Roman" w:hAnsi="Times New Roman"/>
          <w:sz w:val="17"/>
          <w:szCs w:val="17"/>
          <w:color w:val="auto"/>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("RSUs"). Options under the 2021 Plan can typically be granted for periods of up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 RSUs granted generally vest over a four-year period with straight-line vesting in equal amounts (either in annual or quarterly installments).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2,456,568 shares and 2,414,907 shares on January 1, 2024 and 2023, respectively.</w:t>
      </w:r>
    </w:p>
    <w:p>
      <w:pPr>
        <w:spacing w:after="0" w:line="74"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2011 Plan was superseded by the 2021 Plan at the time of the initial public offering of the Company's common stock, which closed on July 15, 2021, and no further grants have been made under the 2011 Plan from the date the 2021 Plan became effective. The terms under the 2011 Plan are consistent with those described above for the 2021 Plan.</w:t>
      </w:r>
    </w:p>
    <w:p>
      <w:pPr>
        <w:spacing w:after="0" w:line="6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and December 31, 2023 there were 5,956,636 shares and 6,033,176 shares, respectively, of common stock available for issuance under the 2021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 Option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2021 Plan during the periods presented: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7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40" w:type="dxa"/>
            <w:vAlign w:val="bottom"/>
          </w:tcPr>
          <w:p>
            <w:pPr>
              <w:spacing w:after="0"/>
              <w:rPr>
                <w:sz w:val="13"/>
                <w:szCs w:val="13"/>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Intrinsic Value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4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4,980,190</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Forfeited/cancelled</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(210,159 )</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Exercised/released</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(194,119 )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2024</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4,583,289</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3,163,058</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September 30,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4,583,289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-333375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-316230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recorded stock-based compensation expense of $1.9 million and $2.1 million related to stock option awards, respectively. During the nine months ended September 30, 2024 and 2023, the Company recorded stock-based compensation expense of $5.7 million and $6.6 million related to stock option awards, respectively. The weighted-average grant-date fair values of options granted during the nine months ended September 30, 2024 and 2023 was $2.71 and $6.92 per share, respectively.</w:t>
      </w:r>
    </w:p>
    <w:p>
      <w:pPr>
        <w:spacing w:after="0" w:line="74"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The aggregate intrinsic value of options exercised was $0.2 million and $0.8 million during the three and nine months ended September 30, 2024, respectively. The aggregate intrinsic value was calculated as the difference between the exercise prices of the underlying options and the estimated fair value of the common stock on the date of exercise. As of September 30, 2024, the unrecognized stock-based compensation expense relating to unvested options was $8.1 million, which is expected to be recognized over a weighted-average period of 1.3 years.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estimated the grant date fair value of stock options using the Black-Scholes option-pricing model, which requires the use of highly subjective and complex valuation assumptions to determine the fair value of stock-based awards, including the option’s expected term, the expected volatility of the underlying stock, the risk-free interest rate, and the expected dividend yield. For the purposes of the Black-Scholes valuation model, the Company used the simplified method for determining the expected term of the granted options. The simplified method was used since the Company does not have adequate historical data to utilize in calculating the expected term of options. The fair value for options granted was calculated using the following weighted average assumptions:</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40" w:type="dxa"/>
            <w:vAlign w:val="bottom"/>
            <w:gridSpan w:val="3"/>
          </w:tcPr>
          <w:p>
            <w:pPr>
              <w:jc w:val="center"/>
              <w:ind w:right="10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r>
      <w:tr>
        <w:trPr>
          <w:trHeight w:val="187"/>
        </w:trPr>
        <w:tc>
          <w:tcPr>
            <w:tcW w:w="3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10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69"/>
        </w:trPr>
        <w:tc>
          <w:tcPr>
            <w:tcW w:w="3480" w:type="dxa"/>
            <w:vAlign w:val="bottom"/>
          </w:tcPr>
          <w:p>
            <w:pPr>
              <w:spacing w:after="0"/>
              <w:rPr>
                <w:sz w:val="14"/>
                <w:szCs w:val="14"/>
                <w:color w:val="auto"/>
              </w:rPr>
            </w:pP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5.99 – 6.01</w:t>
            </w:r>
          </w:p>
        </w:tc>
        <w:tc>
          <w:tcPr>
            <w:tcW w:w="1320" w:type="dxa"/>
            <w:vAlign w:val="bottom"/>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6.13</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6.07</w:t>
            </w:r>
          </w:p>
        </w:tc>
      </w:tr>
      <w:tr>
        <w:trPr>
          <w:trHeight w:val="26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640" w:type="dxa"/>
            <w:vAlign w:val="bottom"/>
            <w:gridSpan w:val="3"/>
          </w:tcPr>
          <w:p>
            <w:pPr>
              <w:jc w:val="center"/>
              <w:ind w:left="759"/>
              <w:spacing w:after="0"/>
              <w:rPr>
                <w:sz w:val="20"/>
                <w:szCs w:val="20"/>
                <w:color w:val="auto"/>
              </w:rPr>
            </w:pPr>
            <w:r>
              <w:rPr>
                <w:rFonts w:ascii="Times New Roman" w:cs="Times New Roman" w:eastAsia="Times New Roman" w:hAnsi="Times New Roman"/>
                <w:sz w:val="18"/>
                <w:szCs w:val="18"/>
                <w:color w:val="auto"/>
              </w:rPr>
              <w:t>79.82%</w:t>
            </w:r>
          </w:p>
        </w:tc>
        <w:tc>
          <w:tcPr>
            <w:tcW w:w="13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61.67%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79.82%</w:t>
            </w:r>
          </w:p>
        </w:tc>
      </w:tr>
      <w:tr>
        <w:trPr>
          <w:trHeight w:val="24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640" w:type="dxa"/>
            <w:vAlign w:val="bottom"/>
            <w:gridSpan w:val="3"/>
            <w:shd w:val="clear" w:color="auto" w:fill="CFF0FC"/>
          </w:tcPr>
          <w:p>
            <w:pPr>
              <w:jc w:val="center"/>
              <w:ind w:left="779"/>
              <w:spacing w:after="0"/>
              <w:rPr>
                <w:sz w:val="20"/>
                <w:szCs w:val="20"/>
                <w:color w:val="auto"/>
              </w:rPr>
            </w:pPr>
            <w:r>
              <w:rPr>
                <w:rFonts w:ascii="Times New Roman" w:cs="Times New Roman" w:eastAsia="Times New Roman" w:hAnsi="Times New Roman"/>
                <w:sz w:val="18"/>
                <w:szCs w:val="18"/>
                <w:color w:val="auto"/>
                <w:w w:val="98"/>
              </w:rPr>
              <w:t>4.04%</w:t>
            </w:r>
          </w:p>
        </w:tc>
        <w:tc>
          <w:tcPr>
            <w:tcW w:w="132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8"/>
              </w:rPr>
              <w:t>4.28%</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4.04%</w:t>
            </w:r>
          </w:p>
        </w:tc>
      </w:tr>
      <w:tr>
        <w:trPr>
          <w:trHeight w:val="25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center"/>
              <w:ind w:left="4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Restricted Stock Units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RSUs are share awards that entitle the holder to receive shares of common stock upon vesting. The RSUs cannot be transferred, and the awards are subject to forfeiture if the holder’s employment terminates prior to the release of the vesting restrictions. The RSUs generally vest either (i) annually over a four-year period with straight-line vesting in equal amounts, or (ii) quarterly over a four-year period with straight-line vesting in equal amounts, in each case provided the holder provides continuous services to the Company. The fair value of the RSUs is equal to the closing price of the Company’s common stock on the grant date.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share award activity:</w:t>
      </w: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1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60" w:type="dxa"/>
            <w:vAlign w:val="bottom"/>
          </w:tcPr>
          <w:p>
            <w:pPr>
              <w:spacing w:after="0"/>
              <w:rPr>
                <w:sz w:val="16"/>
                <w:szCs w:val="16"/>
                <w:color w:val="auto"/>
              </w:rPr>
            </w:pP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3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2,721,361</w:t>
            </w:r>
          </w:p>
        </w:tc>
        <w:tc>
          <w:tcPr>
            <w:tcW w:w="3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FF0FC"/>
          </w:tcPr>
          <w:p>
            <w:pPr>
              <w:spacing w:after="0"/>
              <w:rPr>
                <w:sz w:val="20"/>
                <w:szCs w:val="20"/>
                <w:color w:val="auto"/>
              </w:rPr>
            </w:pPr>
          </w:p>
        </w:tc>
      </w:tr>
      <w:tr>
        <w:trPr>
          <w:trHeight w:val="238"/>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2,949,065</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2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(213,175 )</w:t>
            </w:r>
          </w:p>
        </w:tc>
        <w:tc>
          <w:tcPr>
            <w:tcW w:w="7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FF0FC"/>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(883,206 )</w:t>
            </w: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1"/>
                <w:szCs w:val="21"/>
                <w:color w:val="auto"/>
              </w:rPr>
            </w:pPr>
          </w:p>
        </w:tc>
      </w:tr>
      <w:tr>
        <w:trPr>
          <w:trHeight w:val="276"/>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 2024</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4,574,045</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-24765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recorded stock-based compensation expense of $2.2 million and $1.6 million, respectively, related to the RSUs. During the nine months ended September 30, 2024 and 2023, the Company recorded stock-based compensation expense of $6.9 million and $4.2 million, respectively, related to the RSUs. As of September 30, 2024, there was $21.2 million of total unrecognized stock-based compensation expense relating to the RSUs that is expected to be recognized over a weighted-average period of 2.7 years.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 Stock Purchase Plan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July 2021, the board of directors and stockholders adopted and approved the 2021 Employee Stock Purchase Plan (the “ESPP”). 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491,313 and 482,981 shares on January 1, 2024 and 2023, respectively.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84"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Company has two offering periods annually, running for six months, with the first offering period beginning in the second quarter, and the second offering period beginning in the fourth quarter. The purchase of shares for participants in the ESPP occurs at the conclusion of each offering period.</w:t>
      </w:r>
    </w:p>
    <w:p>
      <w:pPr>
        <w:spacing w:after="0" w:line="3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participants in the ESPP purchased 232,290 shares for a total of $0.5 million. As of September 30, 2024, the Company has collected payroll withholdings of $0.4 million in the current offering period for the purchase of shares under the ESPP. The Company recorded stock-based compensation expense associated with the ESPP of $0.1 million for both the three months ended September 30, 2024 and 2023. The Company recorded stock-based compensation expense associated with the ESPP of $0.5 million and $0.4 million for the nine months ended September 30, 2024 and 2023, respectively.</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there were 1,747,250 shares of common stock available for issuance under the ESPP.</w:t>
      </w:r>
    </w:p>
    <w:p>
      <w:pPr>
        <w:spacing w:after="0" w:line="11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fair value of shares to be issued under the ESPP was estimated using the Black-Scholes valuation model with the following assumptions for the three and nine months ended September 30, 2024 and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87"/>
        </w:trPr>
        <w:tc>
          <w:tcPr>
            <w:tcW w:w="30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69"/>
        </w:trPr>
        <w:tc>
          <w:tcPr>
            <w:tcW w:w="306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6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197.51%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97.38%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197.51%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97.38%</w:t>
            </w:r>
          </w:p>
        </w:tc>
      </w:tr>
      <w:tr>
        <w:trPr>
          <w:trHeight w:val="24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5.40%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5.32%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5.40%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5.32%</w:t>
            </w:r>
          </w:p>
        </w:tc>
      </w:tr>
      <w:tr>
        <w:trPr>
          <w:trHeight w:val="25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stock-based compensation expense by function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0"/>
                <w:szCs w:val="20"/>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0"/>
                <w:szCs w:val="20"/>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-187960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9. Net Loss per Share Attributable to Common Stockholders</w:t>
      </w:r>
    </w:p>
    <w:p>
      <w:pPr>
        <w:spacing w:after="0" w:line="121"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common shares outstanding for the period. As the Company reported a net loss for the three and nine months ended September 30, 2024 and 2023, basic net loss per share is the same as diluted net loss per share for each of the reported periods.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4"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 (in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(11,066 )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(39,661 )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(44,856 )</w:t>
            </w: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50,340,603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48,671,049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49,911,655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48,538,517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96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(0.22 )</w:t>
            </w:r>
          </w:p>
        </w:tc>
        <w:tc>
          <w:tcPr>
            <w:tcW w:w="500" w:type="dxa"/>
            <w:vAlign w:val="bottom"/>
            <w:vMerge w:val="restart"/>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(0.27 )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(0.79 )</w:t>
            </w:r>
          </w:p>
        </w:tc>
        <w:tc>
          <w:tcPr>
            <w:tcW w:w="480" w:type="dxa"/>
            <w:vAlign w:val="bottom"/>
            <w:vMerge w:val="restart"/>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(0.92 )</w:t>
            </w:r>
          </w:p>
        </w:tc>
        <w:tc>
          <w:tcPr>
            <w:tcW w:w="0" w:type="dxa"/>
            <w:vAlign w:val="bottom"/>
          </w:tcPr>
          <w:p>
            <w:pPr>
              <w:spacing w:after="0"/>
              <w:rPr>
                <w:sz w:val="1"/>
                <w:szCs w:val="1"/>
                <w:color w:val="auto"/>
              </w:rPr>
            </w:pPr>
          </w:p>
        </w:tc>
      </w:tr>
      <w:tr>
        <w:trPr>
          <w:trHeight w:val="227"/>
        </w:trPr>
        <w:tc>
          <w:tcPr>
            <w:tcW w:w="4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320" w:type="dxa"/>
            <w:vAlign w:val="bottom"/>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issued and outstanding securities were excluded from the computation of diluted net loss per share attributable to common stockholders for the period presented because including them would have been antidilutive as a result of the net loss position:</w:t>
      </w:r>
    </w:p>
    <w:p>
      <w:pPr>
        <w:spacing w:after="0" w:line="2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8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 awards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4,583,289</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4,705,390</w:t>
            </w:r>
          </w:p>
        </w:tc>
        <w:tc>
          <w:tcPr>
            <w:tcW w:w="100" w:type="dxa"/>
            <w:vAlign w:val="bottom"/>
            <w:shd w:val="clear" w:color="auto" w:fill="CFF0FC"/>
          </w:tcPr>
          <w:p>
            <w:pPr>
              <w:spacing w:after="0"/>
              <w:rPr>
                <w:sz w:val="20"/>
                <w:szCs w:val="20"/>
                <w:color w:val="auto"/>
              </w:rPr>
            </w:pPr>
          </w:p>
        </w:tc>
      </w:tr>
      <w:tr>
        <w:trPr>
          <w:trHeight w:val="23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4,574,045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1,853,657</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0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135,686</w:t>
            </w:r>
          </w:p>
        </w:tc>
        <w:tc>
          <w:tcPr>
            <w:tcW w:w="26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9,293,020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6,559,047</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10. Segment Information</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74"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The Surgical Glaucoma segment includes sales of the Company’s OMNI Surgical System and SION Surgical Instrument for use in minimally invasive glaucoma procedures. The Dry Eye segment includes sales of the Company’s TearCare System and related components.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select operating results information for each reportable segment (in thousands):</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57,132</w:t>
            </w:r>
          </w:p>
        </w:tc>
        <w:tc>
          <w:tcPr>
            <w:tcW w:w="2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57,158</w:t>
            </w: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62,305</w:t>
            </w: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Glaucoma</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w:t>
            </w: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(11,229 )</w:t>
            </w:r>
          </w:p>
        </w:tc>
        <w:tc>
          <w:tcPr>
            <w:tcW w:w="5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(13,411 )</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(38,603 )</w:t>
            </w: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(46,164 )</w:t>
            </w:r>
          </w:p>
        </w:tc>
      </w:tr>
      <w:tr>
        <w:trPr>
          <w:trHeight w:val="245"/>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shd w:val="clear" w:color="auto" w:fill="CFF0FC"/>
          </w:tcPr>
          <w:p>
            <w:pPr>
              <w:spacing w:after="0"/>
              <w:rPr>
                <w:sz w:val="21"/>
                <w:szCs w:val="21"/>
                <w:color w:val="auto"/>
              </w:rPr>
            </w:pPr>
          </w:p>
        </w:tc>
      </w:tr>
      <w:tr>
        <w:trPr>
          <w:trHeight w:val="238"/>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(1,151 )</w:t>
            </w:r>
          </w:p>
        </w:tc>
        <w:tc>
          <w:tcPr>
            <w:tcW w:w="5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(1,432 )</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(3,501 )</w:t>
            </w: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(4,057 )</w:t>
            </w:r>
          </w:p>
        </w:tc>
      </w:tr>
      <w:tr>
        <w:trPr>
          <w:trHeight w:val="247"/>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(1,962 )</w:t>
            </w:r>
          </w:p>
        </w:tc>
        <w:tc>
          <w:tcPr>
            <w:tcW w:w="4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4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(10,900 )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(12,957 )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(39,463 )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(44,756 )</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-2533650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-2533650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-2533650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-2533650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-1908810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-1908810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-1908810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-1908810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-1283970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-1283970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-1283970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-1283970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-967105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-967105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-967105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-967105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a segment basis. Substantially all of the Company’s revenue is generated from sales in the United States.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in Park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231F20"/>
        </w:rPr>
        <w:t>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74"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comprehensively understanding disease physiology;</w:t>
      </w:r>
    </w:p>
    <w:p>
      <w:pPr>
        <w:spacing w:after="0" w:line="116" w:lineRule="exact"/>
        <w:rPr>
          <w:rFonts w:ascii="Times New Roman" w:cs="Times New Roman" w:eastAsia="Times New Roman" w:hAnsi="Times New Roman"/>
          <w:sz w:val="18"/>
          <w:szCs w:val="18"/>
          <w:color w:val="231F20"/>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products that are intended to preserve, protect and restore natural physiological functionality to diseased eyes;</w:t>
      </w:r>
    </w:p>
    <w:p>
      <w:pPr>
        <w:spacing w:after="0" w:line="116" w:lineRule="exact"/>
        <w:rPr>
          <w:rFonts w:ascii="Times New Roman" w:cs="Times New Roman" w:eastAsia="Times New Roman" w:hAnsi="Times New Roman"/>
          <w:sz w:val="18"/>
          <w:szCs w:val="18"/>
          <w:color w:val="231F20"/>
        </w:rPr>
      </w:pPr>
    </w:p>
    <w:p>
      <w:pPr>
        <w:ind w:left="1020" w:right="340" w:hanging="504"/>
        <w:spacing w:after="0" w:line="281"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and marketing products with proven clinical evidence that achieve superior effectiveness versus current treatment paradigms while minimizing complications or side effects;</w:t>
      </w:r>
    </w:p>
    <w:p>
      <w:pPr>
        <w:spacing w:after="0" w:line="54" w:lineRule="exact"/>
        <w:rPr>
          <w:rFonts w:ascii="Times New Roman" w:cs="Times New Roman" w:eastAsia="Times New Roman" w:hAnsi="Times New Roman"/>
          <w:sz w:val="18"/>
          <w:szCs w:val="18"/>
          <w:color w:val="231F20"/>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intuitive, patient-friendly, interventional solutions to ophthalmologists and optometrists (together, "ECPs"); and</w:t>
      </w:r>
    </w:p>
    <w:p>
      <w:pPr>
        <w:spacing w:after="0" w:line="116" w:lineRule="exact"/>
        <w:rPr>
          <w:rFonts w:ascii="Times New Roman" w:cs="Times New Roman" w:eastAsia="Times New Roman" w:hAnsi="Times New Roman"/>
          <w:sz w:val="18"/>
          <w:szCs w:val="18"/>
          <w:color w:val="231F20"/>
        </w:rPr>
      </w:pPr>
    </w:p>
    <w:p>
      <w:pPr>
        <w:ind w:left="1020" w:right="640" w:hanging="504"/>
        <w:spacing w:after="0" w:line="281"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delivering compelling economic value to all stakeholders, including patients, providers and third-party payors such as Medicare and commercial insurers.</w:t>
      </w:r>
    </w:p>
    <w:p>
      <w:pPr>
        <w:spacing w:after="0" w:line="55"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ur initial product development has focused on the treatment of two of the world’s most prevalent and underserved eye diseases, glaucoma and dry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eye disease (“DED”). We have commercialized products in each of our two reportable operating segments, Surgical Glaucoma and Dry Eye. Our Surgical Glaucoma revenues consist of sales of the OMNI® Surgical System ("OMNI") and the SION® Surgical Instrument ("SION"), while our Dry Eye revenues are comprised of sales of the TearCare® System ("TearCare"), and related components and accessories. Each product is primarily sold through a highly involved direct sales model that offers intensive education, training and customer service. We believe this philosophy and model not only enable us to differentiate our products and company from competitors, but also expand our addressable market by educating ECPs, patients and other stakeholders on our products and evolving treatment paradigms. Outside of the U.S., we have established direct commercial operations in the United Kingdom and Germany. We sell OMNI in several other countries through distributors.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sell OMNI and SION to facilities where ophthalmic surgeons perform outpatient procedures, such as ambulatory surgery centers ("ASCs") and hospital outpatient departments ("</w:t>
      </w:r>
      <w:r>
        <w:rPr>
          <w:rFonts w:ascii="Times New Roman" w:cs="Times New Roman" w:eastAsia="Times New Roman" w:hAnsi="Times New Roman"/>
          <w:sz w:val="18"/>
          <w:szCs w:val="18"/>
          <w:color w:val="231F20"/>
        </w:rPr>
        <w:t>HOPDs"),</w:t>
      </w:r>
      <w:r>
        <w:rPr>
          <w:rFonts w:ascii="Times New Roman" w:cs="Times New Roman" w:eastAsia="Times New Roman" w:hAnsi="Times New Roman"/>
          <w:sz w:val="18"/>
          <w:szCs w:val="18"/>
          <w:color w:val="auto"/>
        </w:rPr>
        <w:t xml:space="preserve"> which are typically reimbursed by Medicare or private payors for procedures using our products. We sell TearCare to ECPs. Currently, there is no meaningful reimbursement coverage by Medicare or private payors for DED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We have dedicated meaningful resources to execute our commercial strategy as we reduce operating expenses and improve cost efficiencies to better align our operating structure for long-term, profitable growth. The overall success of our approach to eyecare to date is evidenced by over 275,000 estimated uses of Surgical Glaucoma products and their predicates in over 2,000 hospitals and ASCs in the U.S. and Europe, and over 65,000 estimated uses of TearCare in over 1,500 eyecare facilities in the U.S. through September 30, 2024.</w:t>
      </w:r>
    </w:p>
    <w:p>
      <w:pPr>
        <w:spacing w:after="0" w:line="78"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We do not currently operate any manufacturing facilities and instead contract with third parties for our production requirements. We believe our suppliers will be able to meet our current and anticipated manufacturing</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3" w:name="page24"/>
    <w:bookmarkEnd w:id="23"/>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 across all of our product lines. We plan to continue to utilize third party contract manufacturers for our products and any related components.</w:t>
      </w:r>
    </w:p>
    <w:p>
      <w:pPr>
        <w:spacing w:after="0" w:line="11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Revenue in our Surgical Glaucoma segment for the nine-months ended September 30, 2024 and 2023 was $57.1 million and $57.2 million, respectively, with gross margins for the same periods of 87.6% and 88.1%, respectively. Revenue in our Dry Eye segment for the nine-months ended September 30, 2024 and 2023 was $3.7 million and $5.1 million, respectively, with gross margins for the same periods of 45.8% and 55.4%, respectively. </w:t>
      </w:r>
      <w:r>
        <w:rPr>
          <w:rFonts w:ascii="Times New Roman" w:cs="Times New Roman" w:eastAsia="Times New Roman" w:hAnsi="Times New Roman"/>
          <w:sz w:val="18"/>
          <w:szCs w:val="18"/>
          <w:color w:val="000000"/>
        </w:rPr>
        <w:t xml:space="preserve">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addition, we expect lower demand and related gross margin in the Dry Eye segment in the fourth quarter of 2024 due to our increase in dry eye pricing which took effect on October 1, 2024, which we believe will have a significant impact on cash-pay volumes. We expect TearCare procedure revenues will return to a growth trajectory upon receipt of positive payor coverage determinations that provide for sufficient and equitable reimbursement. We currently anticipate that we and our customers will begin receiving coverage and payment determinations with respect to the TearCare procedure in 2025, though there is no guarantee that such determinations will be made in accordance with this time frame. In the first three quarters of 2024, approximately 95% of our revenue </w:t>
      </w:r>
      <w:r>
        <w:rPr>
          <w:rFonts w:ascii="Times New Roman" w:cs="Times New Roman" w:eastAsia="Times New Roman" w:hAnsi="Times New Roman"/>
          <w:sz w:val="18"/>
          <w:szCs w:val="18"/>
          <w:color w:val="231F20"/>
        </w:rPr>
        <w:t>was generated from customers in the U.S.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in the importance of continued strategic investment in initiatives that:</w:t>
      </w:r>
    </w:p>
    <w:p>
      <w:pPr>
        <w:spacing w:after="0" w:line="117" w:lineRule="exact"/>
        <w:rPr>
          <w:sz w:val="20"/>
          <w:szCs w:val="20"/>
          <w:color w:val="auto"/>
        </w:rPr>
      </w:pPr>
    </w:p>
    <w:p>
      <w:pPr>
        <w:ind w:left="1020" w:right="44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demonstrate our products’ clinical effectiveness and safety to potential customers, patients, payors and regulators including establishing OMNI and SION as standards of care of interventional glaucoma treatment among MIGS-trained surgeons, developing the standalone MIGS market, and pursuing coverage and equitable reimbursement for TearCare;</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commercial capabilities and expertise, including resources dedicated to sales, marketing and education;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broadest possible patient access to the treatment alternatives that our products are cleared to offer;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improve upon our existing product technologies;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international markets and expand into new international markets; and</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create transformational and interventional technology innovation with new products, devices or drugs, in glaucoma and ocular surface disease or in new eye disease areas.</w:t>
      </w:r>
    </w:p>
    <w:p>
      <w:pPr>
        <w:spacing w:after="0" w:line="5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As a result, we intend to continue to invest in clinical studies, sales and marketing, education initiatives, market access, and product development. However, we are also focused on disciplined expenditures, and seek to grow our operating expenses at a lower rate than revenue. Because of these and other factors, we expect to continue to incur net losses for at least the next several years, and we may seek additional debt and equity financing to fund our operations and planned growth.</w:t>
      </w:r>
    </w:p>
    <w:p>
      <w:pPr>
        <w:spacing w:after="0" w:line="7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of redeemable convertible preferred stock, debt financing agreements, the sale of common stock in our IPO, and revenue from the sale of our products. As of September 30, 2024, we had an outstanding term loan balance of $35.0 million (excluding unamortized debt discount and debt issuance costs), cash and cash equivalents of $118.6 million and an accumulated deficit of $334.5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Results of Operations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will continue to impact our business, financial condition, and results of operations. Except as described in Part II, Item 1A, "Risk Factors," of this Quarterly Report, and except as described below, there have been no material changes to such factors from those described in Part II, Item 7, “Management’s Discussion and Analysis of Financial Condition and Results of Operations” in our Annual Report under the heading "Factors Affecting Our Business and Results of Operations."</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availability of sufficient coverage and reimbursement for procedures involving our OMNI technology is fundamental to our business and prospects, with Medicare providing reimbursement for procedures that account for a majority of our revenue. As such, our business and results of operation are in material part dependent upon</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Medicare coverage and reimbursement policies applicable to OMNI procedures. Recent occurrences that could reasonably be expected to materially impact Medicare coverage and reimbursement for OMNI procedures include the publication in September and October 2024, by five of the seven Medicare Administrative Contractors (“MACs”), of final local coverage determinations and related final local coverage articles (collectively, the “Final LCDs”) that, once effective, will establish new Medicare coverage policies for phacoemulsification / intraocular lens placement procedures (each, a “cataract surgery”) performed with a single minimally invasive glaucoma surgical ("MIGS") procedure in these MACs' jurisdictions, including both canaloplasty and goniotomy procedures. Unlike the local coverage determinations previously published and later withdrawn by these MACs in 2023, the Final LCDs do not characterize the OMNI procedure as investigational. Accordingly, Medicare coverage for canaloplasty and goniotomy procedures for single MIGS procedures will continue in the states administered by these MACs. The anticipated effective date of the Final LCDs is November 17, 2024.</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Each of the Final LCDs would adopt a non-coverage policy when an aqueous shunt or stent procedure is performed with another surgical MIGS procedure, such as canaloplasty or goniotomy, at the same time in the same patient eye. We expect that this non-coverage policy for multiple MIGS procedures will reduce overall MIGS procedure volumes in the near-term. Our estimate is that approximately 10% of total MIGS codes billed were done in combination with another MIGS code in the six months ended June 30, 2024. Given OMNI's comprehensive treatment of the conventional outflow pathway, we believe OMNI provides an effective single MIGS procedure option for cases that were previously treated with a combination of MIGS procedures, but we cannot assure you that the Final LCDs will not have an adverse impact on future OMNI sales and therefore adversely affect our business, financial condition and results of operations.</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business and results of operations have also been impacted by recent elevated customer trialing of alternative MIGS products and technologies that are less proven and generally available at lower average selling prices than our OMNI technology. While we believe that the effects of this current customer trialing are transitory, we believe trialing activities in the marketplace will continue and are indicative of increasing competition in the MIGS segment. If we are unable to successfully differentiate and compete against new alternative products, our business and results of operations will be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currently derive the majority of our U.S. revenue from the sale of our OMNI and SION products to ASCs and HOPDs and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nine months ended September 30, 2024 and 2023.</w:t>
      </w:r>
    </w:p>
    <w:p>
      <w:pPr>
        <w:spacing w:after="0" w:line="79"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231F20"/>
        </w:rPr>
        <w:t>The growth in our revenue is driven by the demand for elective surgery and treatment utilizing our products in the United States and Europe. Such demand is often lower during summer months because of ECP vacations and in winter months because of fewer business or surgery days due to holidays and adverse weather conditions.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220" w:firstLine="509"/>
        <w:spacing w:after="0" w:line="280" w:lineRule="auto"/>
        <w:rPr>
          <w:sz w:val="20"/>
          <w:szCs w:val="20"/>
          <w:color w:val="auto"/>
        </w:rPr>
      </w:pPr>
      <w:r>
        <w:rPr>
          <w:rFonts w:ascii="Times New Roman" w:cs="Times New Roman" w:eastAsia="Times New Roman" w:hAnsi="Times New Roman"/>
          <w:sz w:val="17"/>
          <w:szCs w:val="17"/>
          <w:color w:val="231F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calculate gross margin as gross profit divided by revenue. Our gross margin has been and we believe it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 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our product mix varies, we transition to new suppliers, introduce new products, and adopt new manufacturing processes and technologies.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Investment income primarily consists of interest and amortization on held-to-maturity investments in treasury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Interest expense consists primarily of interest incurred on our outstanding indebtedness and non-cash interest related to the accretion of debt discount and amortization of debt issuance costs associated with our term loan agreements.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loss on debt extinguishment is associated with our termination and settlement of the MidCap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Other income (expense), net primarily consists of income and expenses that do not originate from our primary business.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 (dollars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32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7"/>
        </w:trPr>
        <w:tc>
          <w:tcPr>
            <w:tcW w:w="4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92.4 %</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92.1 %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Pr>
          <w:p>
            <w:pPr>
              <w:spacing w:after="0"/>
              <w:rPr>
                <w:sz w:val="20"/>
                <w:szCs w:val="20"/>
                <w:color w:val="auto"/>
              </w:rPr>
            </w:pPr>
          </w:p>
        </w:tc>
      </w:tr>
      <w:tr>
        <w:trPr>
          <w:trHeight w:val="244"/>
        </w:trPr>
        <w:tc>
          <w:tcPr>
            <w:tcW w:w="4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7.6 %</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7.9 %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5"/>
        </w:trPr>
        <w:tc>
          <w:tcPr>
            <w:tcW w:w="40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32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(181 )</w:t>
            </w:r>
          </w:p>
        </w:tc>
        <w:tc>
          <w:tcPr>
            <w:tcW w:w="4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(19.9 )</w:t>
            </w:r>
          </w:p>
        </w:tc>
        <w:tc>
          <w:tcPr>
            <w:tcW w:w="6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86.8 %</w:t>
            </w:r>
          </w:p>
        </w:tc>
        <w:tc>
          <w:tcPr>
            <w:tcW w:w="9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89.1 %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47.7 %</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57.4 %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83.9 %</w:t>
            </w:r>
          </w:p>
        </w:tc>
        <w:tc>
          <w:tcPr>
            <w:tcW w:w="9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86.6 %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(3,114 )</w:t>
            </w:r>
          </w:p>
        </w:tc>
        <w:tc>
          <w:tcPr>
            <w:tcW w:w="4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c>
          <w:tcPr>
            <w:tcW w:w="6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(2,607 )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(11,229 )</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(13,411 )</w:t>
            </w: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(23.4 )</w:t>
            </w:r>
          </w:p>
        </w:tc>
        <w:tc>
          <w:tcPr>
            <w:tcW w:w="6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(1,151 )</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(1,432 )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8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02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(10,900 )</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(12,957 )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(11,066 )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(13,035 )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0"/>
        </w:trPr>
        <w:tc>
          <w:tcPr>
            <w:tcW w:w="4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-4100830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-4100830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-4100830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-4100830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-3475990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-3475990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-3475990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-2850515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-2850515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-2225675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-2225675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-2225675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-1600835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-1600835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-1600835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-658495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-658495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-658495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Our Surgical Glaucoma revenue for the three months ended September 30, 2024 was $18.6 million, an increase of $0.2 million, or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prior year comparable period. The overall increase in Surgical Glaucoma revenue was primarily attributable to an increase in the number of OMNI units sold in the three months ended September 30, 2024. This increase in units sold was primarily driven by an increase in unit utilization per ordering facility. Our Dry Eye revenue decreased 3.7% in the three months ended September 30, 2024 compared to the prior year comparable period primarily due to fewer new customers added in the period, which led to lower SmartHub revenue, partially offset by increased SmartLids purchased prior to our October 1, 2024 price increase. The primary reason that fewer new customers were added was the Company’s focus on the next phase of its commercial strategy for its Dry Eye segment which involves achieving reimbursed market access instead of adding customers pursuing a cash pay model for its TearCare products.</w:t>
      </w:r>
    </w:p>
    <w:p>
      <w:pPr>
        <w:spacing w:after="0" w:line="187"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i w:val="1"/>
          <w:iCs w:val="1"/>
          <w:color w:val="auto"/>
        </w:rPr>
        <w:t>Cost of Goods Sold</w:t>
      </w:r>
      <w:r>
        <w:rPr>
          <w:rFonts w:ascii="Times New Roman" w:cs="Times New Roman" w:eastAsia="Times New Roman" w:hAnsi="Times New Roman"/>
          <w:sz w:val="17"/>
          <w:szCs w:val="17"/>
          <w:color w:val="auto"/>
        </w:rPr>
        <w:t>. Cost of goods sold was $3.3 million during the three months ended September 30, 2024, an increase of $0.6 million from $2.7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the prior year comparable period. Our Surgical Glaucoma cost of goods sold increased $0.5 million as compared to the prior year comparable period. The increase was primarily driven by higher sales volumes and higher overhead costs per unit from lower production volumes. Our Dry Eye</w:t>
      </w:r>
    </w:p>
    <w:p>
      <w:pPr>
        <w:spacing w:after="0" w:line="3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7" w:name="page28"/>
    <w:bookmarkEnd w:id="27"/>
    <w:p>
      <w:pPr>
        <w:spacing w:after="0" w:line="1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cost of goods sold increased $0.1 million in the three months ended September 30, 2024 compared to the comparable period in 2023, primarily driven by higher costs per unit from lower production volumes.</w:t>
      </w:r>
    </w:p>
    <w:p>
      <w:pPr>
        <w:spacing w:after="0" w:line="16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Our total gross profit was $16.9 million in the three months ended September 30, 2024, a decrease of $0.4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prior year comparable period. Our gross margin for the three months ended September 30, 2024 decreased to 83.9%, from 86.6% in the prior year comparable period, with lower gross margin in both our Surgical Glaucoma and Dry Eye segments, primarily due to higher overhead costs per unit in the current period as a result of lower production volumes in both segments. Gross margin in our Surgical Glaucoma segment was 86.8% for the quarter ended September 30, 2024, a decrease from 89.1% for the prior year comparable period. In our Dry Eye segment, gross margin decreased from 57.4% in the third quarter of 2023 to 47.7% in the third quarter of 2024.</w:t>
      </w:r>
    </w:p>
    <w:p>
      <w:pPr>
        <w:spacing w:after="0" w:line="186"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during the three months ended September 30, 2024 increased $0.5 million, or 12.0%, to $4.7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The increase was primarily driven by a $0.2 million increase in personnel expenses, including corporate bonus and stock-based compensation expenses, as well as a $0.1 million increase in consulting expenses.</w:t>
      </w:r>
    </w:p>
    <w:p>
      <w:pPr>
        <w:spacing w:after="0" w:line="172"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SG&amp;A expenses were $23.4 million for the three months ended September 30, 2024,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million from the prior year comparable period. The decrease was primarily driven by a $2.3 million decrease in legal expenses, a $0.7 million decrease in marketing expenses, including sales training, and a $0.1 million decrease in facilities expenses.</w:t>
      </w:r>
    </w:p>
    <w:p>
      <w:pPr>
        <w:spacing w:after="0" w:line="172" w:lineRule="exact"/>
        <w:rPr>
          <w:sz w:val="20"/>
          <w:szCs w:val="20"/>
          <w:color w:val="auto"/>
        </w:rPr>
      </w:pPr>
    </w:p>
    <w:p>
      <w:pPr>
        <w:ind w:right="2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Investment Income</w:t>
      </w:r>
      <w:r>
        <w:rPr>
          <w:rFonts w:ascii="Times New Roman" w:cs="Times New Roman" w:eastAsia="Times New Roman" w:hAnsi="Times New Roman"/>
          <w:sz w:val="18"/>
          <w:szCs w:val="18"/>
          <w:color w:val="auto"/>
        </w:rPr>
        <w:t>. Investment income was $1.5 million for the three months ended September 30, 2024, a decline of $0.4 million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comparable period. The decline was primarily due to lower investment balances during the current year.</w:t>
      </w:r>
    </w:p>
    <w:p>
      <w:pPr>
        <w:spacing w:after="0" w:line="159" w:lineRule="exact"/>
        <w:rPr>
          <w:sz w:val="20"/>
          <w:szCs w:val="20"/>
          <w:color w:val="auto"/>
        </w:rPr>
      </w:pPr>
    </w:p>
    <w:p>
      <w:pPr>
        <w:ind w:right="2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$0.3 million during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due to lower lending rates associated with the Hercules Loan Agreement.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Loss on Debt Extinguishment. </w:t>
      </w:r>
      <w:r>
        <w:rPr>
          <w:rFonts w:ascii="Times New Roman" w:cs="Times New Roman" w:eastAsia="Times New Roman" w:hAnsi="Times New Roman"/>
          <w:sz w:val="18"/>
          <w:szCs w:val="18"/>
          <w:color w:val="auto"/>
        </w:rPr>
        <w:t>Loss on debt extinguishment was $0.0 million for both the three months ended September 30, 2024 and 2023.</w:t>
      </w:r>
    </w:p>
    <w:p>
      <w:pPr>
        <w:spacing w:after="0" w:line="225" w:lineRule="exact"/>
        <w:rPr>
          <w:sz w:val="20"/>
          <w:szCs w:val="20"/>
          <w:color w:val="auto"/>
        </w:rPr>
      </w:pPr>
    </w:p>
    <w:p>
      <w:pPr>
        <w:ind w:right="30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income of less than $0.1 million for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expense of less than $0.1 million for the three months ended September 30, 2023.</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 (dollars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57,132</w:t>
            </w:r>
          </w:p>
        </w:tc>
        <w:tc>
          <w:tcPr>
            <w:tcW w:w="320" w:type="dxa"/>
            <w:vAlign w:val="bottom"/>
          </w:tcPr>
          <w:p>
            <w:pPr>
              <w:spacing w:after="0"/>
              <w:rPr>
                <w:sz w:val="20"/>
                <w:szCs w:val="20"/>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57,158</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4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7"/>
        </w:trPr>
        <w:tc>
          <w:tcPr>
            <w:tcW w:w="4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94.0 %</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91.7 %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Pr>
          <w:p>
            <w:pPr>
              <w:spacing w:after="0"/>
              <w:rPr>
                <w:sz w:val="20"/>
                <w:szCs w:val="20"/>
                <w:color w:val="auto"/>
              </w:rPr>
            </w:pPr>
          </w:p>
        </w:tc>
      </w:tr>
      <w:tr>
        <w:trPr>
          <w:trHeight w:val="244"/>
        </w:trPr>
        <w:tc>
          <w:tcPr>
            <w:tcW w:w="4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Percentage of total revenue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6.0 %</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8.3 %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60,792</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(1,513 )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(313 )</w:t>
            </w:r>
          </w:p>
        </w:tc>
        <w:tc>
          <w:tcPr>
            <w:tcW w:w="4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(1,174 )</w:t>
            </w:r>
          </w:p>
        </w:tc>
        <w:tc>
          <w:tcPr>
            <w:tcW w:w="4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c>
          <w:tcPr>
            <w:tcW w:w="10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51,724</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(1,476 )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Surgical Glaucoma</w:t>
            </w:r>
          </w:p>
        </w:tc>
        <w:tc>
          <w:tcPr>
            <w:tcW w:w="9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87.6 %</w:t>
            </w:r>
          </w:p>
        </w:tc>
        <w:tc>
          <w:tcPr>
            <w:tcW w:w="9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88.1 %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Dry Eye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45.8 %</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55.4 %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85.1 %</w:t>
            </w:r>
          </w:p>
        </w:tc>
        <w:tc>
          <w:tcPr>
            <w:tcW w:w="9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85.4 %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76,629</w:t>
            </w: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85,235</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(8,606 )</w:t>
            </w:r>
          </w:p>
        </w:tc>
        <w:tc>
          <w:tcPr>
            <w:tcW w:w="4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90,327</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99,364</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(9,037 )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(38,603 )</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(46,164 )</w:t>
            </w: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(871 )</w:t>
            </w:r>
          </w:p>
        </w:tc>
        <w:tc>
          <w:tcPr>
            <w:tcW w:w="4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(3,501 )</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(4,057 )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(1,962 )</w:t>
            </w:r>
          </w:p>
        </w:tc>
        <w:tc>
          <w:tcPr>
            <w:tcW w:w="9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(1,962 )</w:t>
            </w:r>
          </w:p>
        </w:tc>
        <w:tc>
          <w:tcPr>
            <w:tcW w:w="4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(25 )</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02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(39,463 )</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(44,756 )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spacing w:after="0"/>
              <w:rPr>
                <w:sz w:val="20"/>
                <w:szCs w:val="20"/>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9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(39,661 )</w:t>
            </w:r>
          </w:p>
        </w:tc>
        <w:tc>
          <w:tcPr>
            <w:tcW w:w="9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(44,856 )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4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-4100830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-4100830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-4100830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-4100830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-3475990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-3475990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-3475990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-2850515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-2850515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-2225675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-2225675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-2225675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-1600835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-1600835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-1600835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-658495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-658495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-658495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3"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Our Surgical Glaucoma revenue for the nine months ended September 30, 2024 was $57.1 million, a decrease of less than $0.1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0.1%, from the prior year comparable period. The overall decrease in Surgical Glaucoma revenue was primarily attributable to a decrease in the number of OMNI units sold during the nine months ended September 30, 2024. This decline in units sold was primarily driven by a decrease in unit utilization per ordering facility and a lower average selling price primarily due to product mix. Our Dry Eye revenue decreased $1.5 million, or 28.9%, in the nine months ended September 30, 2024 versus the prior year comparable period primarily due to fewer new customers added in the period, which led to lower SmartHub revenue and fewer SmartLids purchased, partially offset by a higher average selling price for SmartHubs. The primary reason that fewer new customers were added was the Company’s focus on the next phase of its commercial strategy for its Dry Eye segment which involves achieving reimbursed market access instead of adding customers pursuing a cash pay model for its TearCare products.</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was $9.1 million during the nine months ended September 30, 2024, a decrease of less than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$9.1 million in the prior year comparable period. Our Surgical Glaucoma cost of goods sold increased $0.3 million as compared to the prior year comparable period. The increase was primarily driven by product sales mix and higher per unit cost, partially offset by higher prior year scrap charges. Our Dry Eye cost of goods sold decreased $0.3 million in the nine months ended September 30, 2024 compared to the prior year comparable period, primarily driven by lower sales volumes and product mix.</w:t>
      </w: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9" w:name="page30"/>
    <w:bookmarkEnd w:id="29"/>
    <w:p>
      <w:pPr>
        <w:spacing w:after="0" w:line="19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Our gross profit was $51.7 million in the nine months ended September 30, 2024, a decrease of $1.5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comparable period. Our total gross margin for the nine months ended September 30, 2024 decreased to 85.1%, from 85.4% in the prior year comparable period. Gross margin in our Surgical Glaucoma segment was 87.6% for the nine months ended September 30, 2024, a decrease from 88.1% for the prior year comparable period, primarily due to product sales mix and higher cost per unit, partially offset by higher prior year comparable period scrap charges. In our Dry Eye segment, gross margin decreased from 55.4% in the nine months ended September 30, 2023 to 45.8% in the nine months ended September 30, 2024, primarily due to higher overhead costs per unit due to lower volumes.</w:t>
      </w:r>
    </w:p>
    <w:p>
      <w:pPr>
        <w:spacing w:after="0" w:line="186"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during the nine months ended September 30, 2024 decreased $0.4 million, or 3.1%, to $13.7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The decrease was primarily driven by a $0.8 million decrease in clinical studies and general research and development expenses, as well as $0.5 million decrease in payroll expenses. These were partially offset by a $0.4 million increase in professional and outside services, as well as a $0.2 million increase in legal expenses and stock-based compensation expenses.</w:t>
      </w:r>
    </w:p>
    <w:p>
      <w:pPr>
        <w:spacing w:after="0" w:line="17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SG&amp;A expenses were $76.6 million for the nine months ended September 30, 2024,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 million from the prior year comparable period. The decrease was primarily driven by a $5.8 million decrease in personnel expenses, including lower commissions during the current period. In addition, there was a $2.9 million decrease in marketing expenses, including sales training and demos, a $1.2 million decrease in travel and entertainment expenses, and a $0.7 million decrease in facilities expenses. These decreases were partially offset by a $1.8 million increase in stock-based compensation expenses, as well as a $1.1 million increase in accounting and legal expenses.</w:t>
      </w:r>
    </w:p>
    <w:p>
      <w:pPr>
        <w:spacing w:after="0" w:line="182" w:lineRule="exact"/>
        <w:rPr>
          <w:sz w:val="20"/>
          <w:szCs w:val="20"/>
          <w:color w:val="auto"/>
        </w:rPr>
      </w:pPr>
    </w:p>
    <w:p>
      <w:pPr>
        <w:ind w:right="34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Investment Income</w:t>
      </w:r>
      <w:r>
        <w:rPr>
          <w:rFonts w:ascii="Times New Roman" w:cs="Times New Roman" w:eastAsia="Times New Roman" w:hAnsi="Times New Roman"/>
          <w:sz w:val="18"/>
          <w:szCs w:val="18"/>
          <w:color w:val="auto"/>
        </w:rPr>
        <w:t>. Investment income was $4.6 million for the nine months ended September 30, 2024, a decline of $0.9 million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comparable period. The decline was primarily due to lower investment balances during the current year.</w:t>
      </w:r>
    </w:p>
    <w:p>
      <w:pPr>
        <w:spacing w:after="0" w:line="159" w:lineRule="exact"/>
        <w:rPr>
          <w:sz w:val="20"/>
          <w:szCs w:val="20"/>
          <w:color w:val="auto"/>
        </w:rPr>
      </w:pPr>
    </w:p>
    <w:p>
      <w:pPr>
        <w:ind w:right="16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$0.6 million, due to lower lending rates associated with the Hercules Loan Agreement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compared to the nine months ended September 30, 2023.</w:t>
      </w:r>
    </w:p>
    <w:p>
      <w:pPr>
        <w:spacing w:after="0" w:line="159" w:lineRule="exact"/>
        <w:rPr>
          <w:sz w:val="20"/>
          <w:szCs w:val="20"/>
          <w:color w:val="auto"/>
        </w:rPr>
      </w:pPr>
    </w:p>
    <w:p>
      <w:pPr>
        <w:ind w:right="5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Debt Extinguishment. </w:t>
      </w:r>
      <w:r>
        <w:rPr>
          <w:rFonts w:ascii="Times New Roman" w:cs="Times New Roman" w:eastAsia="Times New Roman" w:hAnsi="Times New Roman"/>
          <w:sz w:val="18"/>
          <w:szCs w:val="18"/>
          <w:color w:val="auto"/>
        </w:rPr>
        <w:t>Loss on debt extinguishment was $2.0 million for the nine months ended September 30, 2024 compared to $0.0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nine months ended September 30, 2023. The increase in the current year is driven by our loss on the termination and settlement of the MidCap Term Loan.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expense of less than $0.1 million for both the nine months ended September 30, 2024 and 2023.</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(18,892 )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(40,700 )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(425 )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(19,565 )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(40,499 )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$18.9 million, consisting of a net loss of $39.7 million, partially offset by non-cash charges of $15.6 million as well as a net change in our operating assets and liabilities of $5.2 million. The net change in our operating assets and liabilities was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primarily due to a $1.4 million decrease in accounts receivable, a $1.9 million decrease in our inventory balance, and a $3.4 million increase in accrued compensation. These were partially offset by a $1.5 million decrease in other noncurrent liabilities. The non-cash charges primarily consisted of $13.1 million related to stock-based compensation expense, $1.0 million of noncash loss on debt extinguishment, $0.5 million of depreciation and amortization, $0.5 million of noncash operating lease expense, and $0.5 million of accretion of debt discount and debt issuance costs.</w:t>
      </w:r>
    </w:p>
    <w:p>
      <w:pPr>
        <w:spacing w:after="0" w:line="7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$40.7 million, consisting primarily of a net loss of $44.9 million and a net change in our operating assets and liabilities of $9.3 million, partially offset by non-cash charges of $13.5 million. The net change in our operating assets and liabilities was primarily due to a $2.2 million increase in accounts receivable and a $3.3 million increase in inventory to support the continued growth of our operations and increase stocking levels. We had a $0.9 million increase in accounts payable, while accrued compensation and accrued and other current liabilities decreased by an aggregate of $4.9 million, primarily driven by the timing of payments on invoices and bonuses. The non-cash charges primarily consisted of $11.1 million related to stock-based compensation, $0.7 million of noncash operating lease expense, $0.5 million of depreciation, and $0.5 million of accretion of debt discount and debt issuance costs.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and 2023 was $0.2 million and $0.5 million, respectively, in both cases for purchases of property and equipment.</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was $0.4 million, consisting primarily of the costs associated with our term loan agreement with Hercules Capital, Inc. ("Hercules"). Net cash provided by financing activities for the nine months ended September 30, 2023 of $0.7 million, which primarily relates to the exercise of common stock options and proceeds from employee stock plan purchases, partially offset by taxes paid on the net share settlement of restricted stock units.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 In January 2024, we entered into a Loan and Security Agreement (the “Hercules Loan Agreement”) with Hercules and certain of its affiliates (collectively with Hercules, the “Lenders”), which provides for a senior secured term loan facility in the aggregate principal amount of up to $65.0 million. We used the proceeds from an initial $35.0 million tranche (the "Initial Loan") funded under the Hercules Loan Agreement to discharge our indebtedness under our prior secured credit facility with MidCap Financial Services and certain of its affiliates (the “Prior Lenders”). While our indebtedness to Lenders remains outstanding, we are required to use commercially reasonable efforts to grant the Lenders the option to invest up to $3.0 million in our next round of equity financing, if any, broadly marketed to multiple investors on the same terms, conditions and pricing offered to investors in such subsequent equity financing.</w:t>
      </w:r>
    </w:p>
    <w:p>
      <w:pPr>
        <w:spacing w:after="0" w:line="83"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231F20"/>
        </w:rPr>
        <w:t>As of September 30, 2024, we had cash and cash equivalents of $118.6 million, an accumulated deficit of $334.5 million and $35.0 million outstanding under the Hercules Term Loan Agreement (before debt discount). Based on our current planned operations, we expect our cash and cash equivalents and additional borrowings available under the Hercules Loan Agreement will enable us to fund our operations for at least the next 12 months and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Hercules Capital Loan Agreement</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231F20"/>
        </w:rPr>
        <w:t>The Hercules Loan Agreement provides for a senior secured term loan facility in the aggregate principal amount of up to $65.0 million, and the Initial Loan was funded on January 22, 2024. In addition to the Initial Loan, the Hercules Loan Agreement provides for the following tranches: $5.0 million available in a single draw through</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4"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color w:val="231F20"/>
        </w:rPr>
        <w:t>December 15, 2024, $10.0 million available to draw upon the achievement of certain performance milestones through September 15, 2025, and $15.0 million available for us to draw on through the interest-only period in increments of $5.0 million, subject to the sole approval of Hercules' investment committee (such tranche loans, together with the Initial Loan, the “Term Loans”).</w:t>
      </w:r>
    </w:p>
    <w:p>
      <w:pPr>
        <w:spacing w:after="0" w:line="6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The Hercules Loan Agreement includes a maturity date of July 1, 2028, with an interest only period running for 30 months, extendable for an additional six months for a total of 36 months upon the achievement of certain milestones. The Term Loans accurate interest at a floating annual rate of the greater of 10.35% or the Wall Street Journal prime rate plus 2.35%, with an interest rate under the Term Loans equal to 10.35% as of September 30, 2024. The final payment fee is set at 5.95% of the funded balance. In conjunction with the funding of the Initial Loan, we issued warrants to the Lenders to purchase up to an aggregate of 135,686 shares of our common stock at an exercise price of $5.159 per share. Each warrant is exercisable for a period of seven years from the date of issuance and is tradeable in accordance with the provisions of Rule 144 of the Securities Act.</w:t>
      </w:r>
    </w:p>
    <w:p>
      <w:pPr>
        <w:spacing w:after="0" w:line="7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Our obligations under the Hercules Loan Agreement are guaranteed by us and our future subsidiaries, subject to exceptions for certain foreign subsidiaries and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MidCap Loan Agreements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January 2019, we entered into credit and security agreements with the Prior Lenders. These agreements were amended and restated in November 2020, providing for a maximum $40.0 million credit facility consisting of a $35.0 million senior secured term loan (the "2020 Term Loan") and a $5.0 million revolving loan (the "2020 Revolver” and together with the 2020 Term Loan, the “MidCap Credit Facility”). In July 2023, we terminated the 2020 Revolver. In January 2024, we terminated the Amended and Restated Credit and Security Agreement (Term Loan) (the “MidCap Term Loan Agreement”) and paid off in full the secured obligations thereunder in connection with our entry into the Hercules Loan Agreement.</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231F20"/>
        </w:rPr>
        <w:t>The MidCap Term Loan Agreement extended the maturity date of the 2020 Term Loan to November 1, 2025 and adjusted the stated floating interest rate to reserve-adjusted SOFR, plus 7.00%. Principal payments under the MidCap Term Loan Agreement were extended and scheduled to begin in December 2024. The final payment fee was amended to 6.0%.</w:t>
      </w:r>
    </w:p>
    <w:p>
      <w:pPr>
        <w:spacing w:after="0" w:line="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Our obligations under the MidCap Term Loan Agreement were guaranteed by us and our future subsidiaries, subject to exceptions for certain foreign subsidiaries. Our obligations under the agreements were secured by substantially all of our assets, including our material intellectual property. Additionally, we were subject to customary affirmative and negative covenants, including covenants that limited or restricted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w:t>
      </w:r>
    </w:p>
    <w:p>
      <w:pPr>
        <w:spacing w:after="0" w:line="74"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231F20"/>
        </w:rPr>
        <w:t>The MidCap Credit Term Loan Agreement contained events of default that included, among others, non-payment of principal, interest or fees, breach of covenants, inaccuracy of representations and warranties, cross-defaults and bankruptcy and insolvency events.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Our corporate headquarters are located in Menlo Park, California, where we lease approximately 11,000 square feet of office, research and development, engineering and laboratory space pursuant to a lease that commenced on August 1, 2021, and expires on October 31,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included elsewhere in this Quarterly Report have been prepared in accordance with U.S. generally accepted accounting principles. The preparation of these condensed consolidated financial statements requires us to make estimates and assumptions that affect the reported amounts of assets, liabilities, revenue, expenses and related disclosures. Our estimates are based on our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78"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An accounting estimate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w:t>
      </w:r>
    </w:p>
    <w:p>
      <w:pPr>
        <w:spacing w:after="0" w:line="6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described in Part II, Item 7, “Management’s Discussion and Analysis of Financial Condition and Results of Operations” in our Annual Report under the heading “Critical Accounting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our unaudited condensed consolidated financial statements in this Quarterly Report for recent accounting pronouncements not yet adopted as of the date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include interest rate risk. There have been no material changes to such risks from those described in our Annual Report under the heading "Quantitative and Qualitative Disclosures About Market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and accounting officer, as appropriate to allow timely decisions regarding required disclosure.</w:t>
      </w:r>
    </w:p>
    <w:p>
      <w:pPr>
        <w:spacing w:after="0" w:line="8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concluded that, as of the end of the period covered by this Quarterly Report, our disclosure controls and procedures were effective at a reasonable assurance level.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Except as set forth in Note 6, Commitments and Contingencies, in the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 and may have an adverse impact on us as a result of defense and settlement costs, diversion of management time and resources,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Except as set forth below, we are not aware of any material changes to the risks and uncertainties described under the heading "Risk Factors" in our Annual Report or Quarterly Report on Form 10-Q for the three months ended March 31, 2024, which are incorporated herein by reference. The risks described below and in our Annual Report and our Quarterly Report on Form 10-Q for the three months ended March 31, 2024 are not the only ones we face. Additional risks we currently do not know about or that we currently believe to be immaterial may also impair our business, financial condition, operating results, liquidity, and future prospects.</w:t>
      </w:r>
    </w:p>
    <w:p>
      <w:pPr>
        <w:spacing w:after="0" w:line="17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incrementally secure or maintain adequate levels of third-party coverage and reimbursement for procedures in which our Surgical Glaucoma or Dry Eye products are used, and third parties may rescind or modify their coverage or delay payments related to these products, which will adversely affect our business, financial condition, and results of operations.</w:t>
      </w:r>
    </w:p>
    <w:p>
      <w:pPr>
        <w:spacing w:after="0" w:line="6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derive revenue from sales of OMNI and SION to physicians, ASCs, and HOPDs, which typically bill all or a portion of the costs and fees associated with our products to various third-party payors, including Medicare, Medicaid, foreign governmental payers, private commercial insurance companies, health maintenance organizations and other healthcare-related organizations, and then bill patients for any applicable deductibles or co-payments. As a result, access to adequate coverage and reimbursement for procedures in which our Surgical Glaucoma products are used by third-party payors is essential to their acceptance and adoption by patients and ECPs.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For example, in the third quarter of 2024, certain reimbursement guidance in the United Kingdom has caused a shift in perspectives regarding appropriate coding for procedures performed with our OMNI technology. This shift may result in disadvantageous reimbursement for OMNI procedures as compared to historic reimbursement levels, which in turn could materially affect our business, results of operations and prospects in the United Kingdom.</w:t>
      </w:r>
    </w:p>
    <w:p>
      <w:pPr>
        <w:spacing w:after="0" w:line="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third-party payors continually review new and existing technologies for possible coverage and can deny or reverse coverage for new or existing products and procedures, and there can be no assurance that third-party payor policies provide coverage, or will continue to provide coverage, for procedures in which OMNI or our other products are used. For example, in the U.S., CMS, MACs or commercial payors could require or issue coverage policies that could restrict or eliminate coverage for the patient populations eligible for treatment with our products or that are otherwise unfavorable to our business. In June 2023, for instance, five MACs published proposed local</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coverage determinations (the “Prior LCDs”)that proposed to identify certain non-implantable MIGS procedures as investigational and not reasonable and necessary in the jurisdictions where these MACS administer Medicare Part B benefits, including but not limited to adult canaloplasty in combination with trabeculotomy ab interno, a procedure performed with OMNI and for which it is indicated. The Prior LCDs may also have categorized our SION technology as investigational and thus non-covered with respect to goniotomy procedures. The Prior LCDs were withdrawn in late December 2023, prior to becoming effective, and then replaced with updated LCDs issued in late September and early October 2024 (the “Final LCDs”) that are scheduled to become effective in November 2024. The Final LCDs allow for continued coverage of canaloplasty and goniotomy procedures performed with our OMNI and SION technologies in these five MAC jurisdictions. However, each of the Final LCDs will adopt a non-coverage policy when an aqueous shunt or stent procedure is performed with another surgical MIGS procedure, such as canaloplasty or goniotomy, at the same time in the same patient eye. We estimate that approximately 10% of total MIGS codes billed in the six months ended June 30, 2024 were done in combination with another MIGS code and expect the non-coverage determination for multiple MIGS procedures will reduce overall MIGS procedure volumes.</w:t>
      </w:r>
    </w:p>
    <w:p>
      <w:pPr>
        <w:spacing w:after="0" w:line="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future, governmental or private payers may issue coverage policies or guidance that may establish non-coverage, materially restrict coverage, or reduce reimbursement levels for one or more of our products. Any such policies, determinations or guidance could in turn influence coverage determinations by other third-party payors. If we are not successful in reversing any proposed non-coverage policies, or if third-party payors that currently cover or reimburse procedures in which our products are used reverse or limit their coverage in the future, or if other third-party payors issue similar policies, it would have a material adverse effect on our business, financial condition, and results of operations. Moreover, any uncertainty with respect to coverage or coding may impact management’s ability to accurately forecast results.</w:t>
      </w:r>
    </w:p>
    <w:p>
      <w:pPr>
        <w:spacing w:after="0" w:line="7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also derive revenue from sales of TearCare to ECPs and eye care clinics, which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no MACs have formal policies establishing coverage for the TearCare procedure; however, MACs from time to time may include, and we are currently aware of three MACs that have included, low payment rates for TearCare procedures in their fee schedules that, if not removed or increased to what we believe is an appropriate reimbursement level, could adversely impact our efforts to achieve reimbursement for TearCare that is sufficient to support its broad commercial growth and adoption. Further, commercial payors may from time to time make “no coverage” or similar determinations with respect to our TearCare product that could hamper our efforts to drive broad commercial adoption of TearCare.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 which could adversely affect our business.</w:t>
      </w:r>
    </w:p>
    <w:p>
      <w:pPr>
        <w:spacing w:after="0" w:line="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AMA generally assigns specific billing codes for procedures under a coding system known as Current Procedure Terminology (“CPT”), which surgeons use to bill third-party payors and receive reimbursement. Once a permanent CPT code ("Category I CPT code") is established 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which could negatively impact our revenue. For example, in 2021 the RVS Update Committee ("RUC") of the AMA reevaluated the physician work associated with CPT code 66174. As a result of this RUC review and further conversion factor reductions, CMS reduced the Medicare Physician Fee Schedule amount associated with this service from approximately $950 in 2021, to $761 in 2022, to $622 in 2023, to $608 in 2024 and to $600 in 2025. Many of the factors considered by the RUC, and many of the factors evaluated by payors and other payor advisory bodies, in assessing the costs of, and payments with respect to, procedures associated with our products are not within our control. For instance, with respect to determination of hospital, ASC and physician payment associated with CPT code 66174, evaluation of procedure costs may include the costs of competitive products that are priced well below our products, and may also reflect reduced physician work with respect to procedures that are less comprehensive than the procedures performed with OMNI. This, in turn, may adversely affect our ability to obtain and maintain adequate and appropriate levels of reimbursement for the comprehensive procedure enabled by our OMNI technology, which could adversely affect our financial condition and results of operations.</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("MPFS").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w:t>
      </w:r>
    </w:p>
    <w:p>
      <w:pPr>
        <w:spacing w:after="0" w:line="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spacing w:after="0" w:line="6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AbbVie/Allergan, Novartis, Alcon, Johnson &amp; Johnson, Nova Eye Medical, and New World Medical. These companies, or other entrants into the market, may have or develop competing technologies, other products that are in or that enter clinical trials, new devices or additional indications for existing devices that could demonstrate better safety, effectiveness, clinical results, lower costs or greater ECP and market acceptance than our products. For example, there has been a recent increase in ECP trialing of alternative products that are offered at lower prices than OMNI, which we believe has had a near-term adverse impact on utilization of OMNI. Though in the past, we viewed such ECP trialing and use of alternative devices as temporary and not material to the continued growth of OMNI sales, we cannot guarantee that this has continued or will continue to remain the case. Sustained increases in ECP use of alternative MIGS devices could result in reduced OMNI sales and revenue growth or even loss of market share, which would adversely impact our competitive position, business and results of operations. In addition, despite what we believe to be the strong safety profile of our products for their intended uses, patients may experience adverse events following canaloplasty or trabeculotomy with OMNI, including, but not limited to, hyphema, mild anterior chamber inflammation and spikes in intraocular pressure. Similarly, patients may experience adverse events following use of the SION surgical instrument, including anterior chamber shallowing and prolonged, or persistent intraocular inflammation, or application of localized heat with TearCare, including discomfort, pain or erythema of the eyelids. Any failure to meet customer and patient expectations and any resulting negative perceptions or publicity could harm our reputation and future sales and therefore adversely affect our business, financial condition and results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firstLine="509"/>
        <w:spacing w:after="0" w:line="265" w:lineRule="auto"/>
        <w:rPr>
          <w:sz w:val="20"/>
          <w:szCs w:val="20"/>
          <w:color w:val="auto"/>
        </w:rPr>
      </w:pPr>
      <w:r>
        <w:rPr>
          <w:rFonts w:ascii="Times New Roman" w:cs="Times New Roman" w:eastAsia="Times New Roman" w:hAnsi="Times New Roman"/>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69" w:lineRule="exact"/>
        <w:rPr>
          <w:sz w:val="20"/>
          <w:szCs w:val="20"/>
          <w:color w:val="auto"/>
        </w:rPr>
      </w:pPr>
    </w:p>
    <w:p>
      <w:pPr>
        <w:ind w:left="760" w:right="100" w:hanging="378"/>
        <w:spacing w:after="0" w:line="26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treatment patterns pursuant to which prescription medications, traditional glaucoma surgery or more conventional MIGS procedures are generally first-line therapies for the treatment of glaucoma and eye drops or warm-compresses are first-line therapies for the treatment of MGD;</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ECPs who are familiar with their products and procedures for the treatment of glaucoma or MGD;</w:t>
      </w:r>
    </w:p>
    <w:p>
      <w:pPr>
        <w:spacing w:after="0" w:line="116" w:lineRule="exact"/>
        <w:rPr>
          <w:rFonts w:ascii="Times New Roman" w:cs="Times New Roman" w:eastAsia="Times New Roman" w:hAnsi="Times New Roman"/>
          <w:sz w:val="18"/>
          <w:szCs w:val="18"/>
          <w:color w:val="auto"/>
        </w:rPr>
      </w:pPr>
    </w:p>
    <w:p>
      <w:pPr>
        <w:ind w:left="760" w:right="68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key stakeholders, including hospital outpatient departments, ambulatory surgery centers, optometrists and ophthalmologists, general practitioners and administrators;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capital resources;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16"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greater discounts or incentives to gain a competitive advantage;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sales, marketing and worldwide distribution networks.</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One of the major hurdles to adoption of our products will be overcoming established treatment patterns, which will require educating ECPs and supportive clinical data. However, because of the size of the market opportunity for devices used in procedures to address MIGS and MGD, we believe current and potential future competitors will dedicate significant resources to aggressively promote their products or develop new products or treatments, such as Glaukos’ iStent® technologies, iPRIME™ Viscodelivery System, and iDose® TR intraocular implant; Alcon’s Hydrus® MicroStent; and various canaloplasty devices including Nova Eye’s iTrack™ Advance. Further, new treatment options may be developed that could compete more effectively with our products due to the prevalence of glaucoma and MGD, and the research and technological progress that exist within the market. Also, even if competitor products do not have indications for use or clinical data that are comparable to ours, ECPs can still choose these competitor products for a variety of reasons, including those set forth above. For instance, competitors may seek to bundle their products in a manner that is attractive to ECPs, which may result in decreased use or adoption of our products by ECPs, notwithstanding that our products may offer superior efficacy.</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and supply our products, many of which are single-source providers and certain of which are located outside the U.S., and we are subject to numerous risks relating to our reliance on these parties.</w:t>
      </w:r>
    </w:p>
    <w:p>
      <w:pPr>
        <w:spacing w:after="0" w:line="5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future products in sufficient quantities, on terms that are acceptable to us, and on a timely basis to meet customer demand, while adhering to product quality standards, complying with regulatory quality system requirements, and managing manufacturing costs. We do not have any internal manufacturing capabilities or infrastructure and rely on a limited number of third-party manufacturers, many of which are single-source suppliers, and certain of which are located outside the U.S., for the components, accessories, materials and assembly that we utilize in our products. These items are critical and, for certain items, there are relatively few or no readily available alternative sources of supply. These single-source suppliers may be unwilling or unable to supply these items reliably and at the levels we anticipate or that are required by the market, or we may be unable to purchase these items on terms that are acceptable to us, or at all.</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ability to obtain products and components in sufficient quantities from these suppliers may be limited for several reasons, including their financial difficulties, damage to their manufacturing equipment or facilities, inability to obtain components, problems with their own suppliers, our relative importance as a customer to each manufacturer. In addition, geopolitical or trade tensions between China and Taiwan or China and the United States, or potential tariffs, could increase the cost of our products or components, and materially and adversely affect our business operations and financial condition. For example, a significant portion of our OMNI and SION products, and certain of our TearCare system components, are produced and assembled by a single Taiwan-based manufacturer in China, and there is currently significant uncertainty about the future relationship between the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7" w:name="page38"/>
    <w:bookmarkEnd w:id="3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China with respect to trade policies, government regulations, and tariffs, and such uncertainty could continue in future periods.</w:t>
      </w:r>
    </w:p>
    <w:p>
      <w:pPr>
        <w:spacing w:after="0" w:line="11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has been increasing discussion from U.S. and foreign leaders regarding the possibility of instituting tariffs against foreign imports of certain materials. The institution of trade tariffs between the U.S. and China specifically could cause a significant increase in the cost of our products and the components for our products, which could materially and adversely affect our business, results of operations, and financial condition. To mitigate these risks, we have also contracted with a U.S.-based manufacturer to produce and assemble OMNI products, and have supply arrangements with other suppliers for the production of certain TearCare system components. However, for our business strategy to be successful, our suppliers must be able to provide us with products in sufficient quantities, in compliance with regulatory requirements, including the FDA’s QSR or other applicable laws or regulations enforced by the FDA, state and foreign regulatory authorities, in accordance with agreed-upon specifications, at acceptable costs and on a timely basis, and tariffs or a trade war could materially and adversely impact our ability to do so. If we are unable to meet our demand requirements on a timely basis, we may not have a sufficient number of our products available for delivery to support ECPs that utilize our products as part of their treatment. For instance, if our supply of OMNI products from our manufacturer in China was interrupted or suspended for any significant period, or tariffs that affect our products or components were imposed by the United States, we may be unable to meet customer demand for our OMNI products during that time. Any shortfall in the supply of products may result in lower adoption and usage rates of our products and have a material adverse effect on our business, financial condition and results of operations.</w:t>
      </w:r>
    </w:p>
    <w:p>
      <w:pPr>
        <w:spacing w:after="0" w:line="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process of identifying and qualifying alternative manufacturing facilities for any other reason could be time-consuming and expensive, may result in interruptions in our operations and product delivery, and could affect the performance specifications of our products. We cannot assure you that we will be able to identify and engage alternative contract manufacturers on terms similar to our current arrangements, or without delay. Furthermore, our contract manufacturers could require that their manufacture and assembly of our products be moved to another of their production facilities. The occurrence of any of these events could harm our ability to meet the demand for our products in a timely and cost-effective manner, which could have a material adverse effect on our business, financial condition and results of operations.</w:t>
      </w:r>
    </w:p>
    <w:p>
      <w:pPr>
        <w:spacing w:after="0" w:line="7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numerous other risks relating to our reliance on third parties, including potential quality issues at our suppliers' manufacturing facilities with respect to our products, and our potential inability to renew or extend contracts and arrangements with such third parties or renew any such contracts or arrangements on terms that are favorable to us, and price fluctuations due to a lack of long-term supply agreements with certain of our suppliers. These risks are likely to be exacerbated by our limited experience with our current products and manufacturing processes. As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the manufacture of future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On July 14, 2021, our registration statement on Form S-1 (File No. 333-257320) relating to our IPO became effective. The IPO closed on July 15, 2021, at which time we issued 11,500,000 shares of our common stock at a price of $24.00 per share.</w:t>
      </w:r>
    </w:p>
    <w:p>
      <w:pPr>
        <w:spacing w:after="0" w:line="5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dated July 14, 2021 and filed with the SEC on July 15, 2021 pursuant to Rule 424(b) under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spacing w:after="0" w:line="6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Set forth below is a summary of the adoption, modification, and termination activity of our directors and executive officers in respect of their Rule 10b5-1 trading plans during the quarter ended September 30, 2024: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2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12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3"/>
                <w:szCs w:val="13"/>
                <w:color w:val="auto"/>
              </w:rPr>
            </w:pPr>
          </w:p>
        </w:tc>
        <w:tc>
          <w:tcPr>
            <w:tcW w:w="19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Contract End Date</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Shares Covered</w:t>
            </w:r>
          </w:p>
        </w:tc>
        <w:tc>
          <w:tcPr>
            <w:tcW w:w="0" w:type="dxa"/>
            <w:vAlign w:val="bottom"/>
          </w:tcPr>
          <w:p>
            <w:pPr>
              <w:spacing w:after="0"/>
              <w:rPr>
                <w:sz w:val="1"/>
                <w:szCs w:val="1"/>
                <w:color w:val="auto"/>
              </w:rPr>
            </w:pPr>
          </w:p>
        </w:tc>
      </w:tr>
      <w:tr>
        <w:trPr>
          <w:trHeight w:val="188"/>
        </w:trPr>
        <w:tc>
          <w:tcPr>
            <w:tcW w:w="2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ones)</w:t>
            </w:r>
          </w:p>
        </w:tc>
        <w:tc>
          <w:tcPr>
            <w:tcW w:w="0" w:type="dxa"/>
            <w:vAlign w:val="bottom"/>
          </w:tcPr>
          <w:p>
            <w:pPr>
              <w:spacing w:after="0"/>
              <w:rPr>
                <w:sz w:val="1"/>
                <w:szCs w:val="1"/>
                <w:color w:val="auto"/>
              </w:rPr>
            </w:pPr>
          </w:p>
        </w:tc>
      </w:tr>
      <w:tr>
        <w:trPr>
          <w:trHeight w:val="25"/>
        </w:trPr>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2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Jeremy B. Hayden,</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Chief Legal Officer</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28, 2024</w:t>
            </w: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25, 2025</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 25, 2025</w:t>
            </w:r>
          </w:p>
        </w:tc>
        <w:tc>
          <w:tcPr>
            <w:tcW w:w="19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40"/>
        </w:trPr>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-353060</wp:posOffset>
            </wp:positionV>
            <wp:extent cx="76835"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-353060</wp:posOffset>
            </wp:positionV>
            <wp:extent cx="6858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-353060</wp:posOffset>
            </wp:positionV>
            <wp:extent cx="6858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-353060</wp:posOffset>
            </wp:positionV>
            <wp:extent cx="6858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or furnished as a part of, or incorporated by reference into, this Quarterly Report.</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0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Incorporated by</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Reference</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2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Filing</w:t>
            </w: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Filed/Furnished</w:t>
            </w:r>
          </w:p>
        </w:tc>
      </w:t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Herewith</w:t>
            </w: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3.1</w:t>
            </w:r>
          </w:p>
        </w:tc>
        <w:tc>
          <w:tcPr>
            <w:tcW w:w="3880" w:type="dxa"/>
            <w:vAlign w:val="bottom"/>
            <w:tcBorders>
              <w:bottom w:val="single" w:sz="8" w:color="0000FF"/>
            </w:tcBorders>
            <w:gridSpan w:val="2"/>
          </w:tcPr>
          <w:p>
            <w:pPr>
              <w:spacing w:after="0" w:line="181" w:lineRule="exact"/>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Restated Certificate of Incorporation of Sight Sciences, Inc.</w:t>
              </w:r>
            </w:hyperlink>
          </w:p>
        </w:tc>
        <w:tc>
          <w:tcPr>
            <w:tcW w:w="140" w:type="dxa"/>
            <w:vAlign w:val="bottom"/>
          </w:tcPr>
          <w:p>
            <w:pPr>
              <w:spacing w:after="0"/>
              <w:rPr>
                <w:sz w:val="15"/>
                <w:szCs w:val="15"/>
                <w:color w:val="auto"/>
              </w:rPr>
            </w:pPr>
          </w:p>
        </w:tc>
        <w:tc>
          <w:tcPr>
            <w:tcW w:w="146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001-40587</w:t>
            </w:r>
          </w:p>
        </w:tc>
        <w:tc>
          <w:tcPr>
            <w:tcW w:w="980" w:type="dxa"/>
            <w:vAlign w:val="bottom"/>
          </w:tcPr>
          <w:p>
            <w:pPr>
              <w:ind w:left="260"/>
              <w:spacing w:after="0" w:line="181" w:lineRule="exact"/>
              <w:rPr>
                <w:sz w:val="20"/>
                <w:szCs w:val="20"/>
                <w:color w:val="auto"/>
              </w:rPr>
            </w:pPr>
            <w:r>
              <w:rPr>
                <w:rFonts w:ascii="Times New Roman" w:cs="Times New Roman" w:eastAsia="Times New Roman" w:hAnsi="Times New Roman"/>
                <w:sz w:val="16"/>
                <w:szCs w:val="16"/>
                <w:color w:val="auto"/>
              </w:rPr>
              <w:t>3.1</w:t>
            </w:r>
          </w:p>
        </w:tc>
        <w:tc>
          <w:tcPr>
            <w:tcW w:w="88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7/19/21</w:t>
            </w:r>
          </w:p>
        </w:tc>
        <w:tc>
          <w:tcPr>
            <w:tcW w:w="1300" w:type="dxa"/>
            <w:vAlign w:val="bottom"/>
          </w:tcPr>
          <w:p>
            <w:pPr>
              <w:spacing w:after="0"/>
              <w:rPr>
                <w:sz w:val="15"/>
                <w:szCs w:val="15"/>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4020" w:type="dxa"/>
            <w:vAlign w:val="bottom"/>
            <w:gridSpan w:val="3"/>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Amended and Restated Bylaws of Sight Sciences, Inc.</w:t>
              </w:r>
            </w:hyperlink>
          </w:p>
        </w:tc>
        <w:tc>
          <w:tcPr>
            <w:tcW w:w="1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001-40587</w:t>
            </w: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w:t>
            </w: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7/19/21</w:t>
            </w:r>
          </w:p>
        </w:tc>
        <w:tc>
          <w:tcPr>
            <w:tcW w:w="13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5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w:t>
            </w:r>
          </w:p>
        </w:tc>
        <w:tc>
          <w:tcPr>
            <w:tcW w:w="2980" w:type="dxa"/>
            <w:vAlign w:val="bottom"/>
            <w:gridSpan w:val="4"/>
          </w:tcPr>
          <w:p>
            <w:pPr>
              <w:spacing w:after="0"/>
              <w:rPr>
                <w:sz w:val="16"/>
                <w:szCs w:val="16"/>
                <w:color w:val="auto"/>
              </w:rPr>
            </w:pP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308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Borders>
              <w:bottom w:val="single" w:sz="8" w:color="0000EE"/>
            </w:tcBorders>
          </w:tcPr>
          <w:p>
            <w:pPr>
              <w:spacing w:after="0"/>
              <w:rPr>
                <w:sz w:val="15"/>
                <w:szCs w:val="15"/>
                <w:color w:val="auto"/>
              </w:rPr>
            </w:pPr>
          </w:p>
        </w:tc>
        <w:tc>
          <w:tcPr>
            <w:tcW w:w="3520" w:type="dxa"/>
            <w:vAlign w:val="bottom"/>
            <w:gridSpan w:val="6"/>
          </w:tcPr>
          <w:p>
            <w:pPr>
              <w:spacing w:after="0"/>
              <w:rPr>
                <w:sz w:val="15"/>
                <w:szCs w:val="15"/>
                <w:color w:val="auto"/>
              </w:rPr>
            </w:pPr>
          </w:p>
        </w:tc>
        <w:tc>
          <w:tcPr>
            <w:tcW w:w="2880" w:type="dxa"/>
            <w:vAlign w:val="bottom"/>
          </w:tcPr>
          <w:p>
            <w:pPr>
              <w:spacing w:after="0"/>
              <w:rPr>
                <w:sz w:val="15"/>
                <w:szCs w:val="15"/>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w:t>
            </w:r>
          </w:p>
        </w:tc>
        <w:tc>
          <w:tcPr>
            <w:tcW w:w="3040" w:type="dxa"/>
            <w:vAlign w:val="bottom"/>
            <w:gridSpan w:val="5"/>
          </w:tcPr>
          <w:p>
            <w:pPr>
              <w:spacing w:after="0"/>
              <w:rPr>
                <w:sz w:val="17"/>
                <w:szCs w:val="17"/>
                <w:color w:val="auto"/>
              </w:rPr>
            </w:pP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308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20" w:type="dxa"/>
            <w:vAlign w:val="bottom"/>
            <w:tcBorders>
              <w:bottom w:val="single" w:sz="8" w:color="0000EE"/>
            </w:tcBorders>
          </w:tcPr>
          <w:p>
            <w:pPr>
              <w:spacing w:after="0"/>
              <w:rPr>
                <w:sz w:val="15"/>
                <w:szCs w:val="15"/>
                <w:color w:val="auto"/>
              </w:rPr>
            </w:pPr>
          </w:p>
        </w:tc>
        <w:tc>
          <w:tcPr>
            <w:tcW w:w="3520" w:type="dxa"/>
            <w:vAlign w:val="bottom"/>
            <w:gridSpan w:val="6"/>
          </w:tcPr>
          <w:p>
            <w:pPr>
              <w:spacing w:after="0"/>
              <w:rPr>
                <w:sz w:val="15"/>
                <w:szCs w:val="15"/>
                <w:color w:val="auto"/>
              </w:rPr>
            </w:pPr>
          </w:p>
        </w:tc>
        <w:tc>
          <w:tcPr>
            <w:tcW w:w="2880" w:type="dxa"/>
            <w:vAlign w:val="bottom"/>
          </w:tcPr>
          <w:p>
            <w:pPr>
              <w:spacing w:after="0"/>
              <w:rPr>
                <w:sz w:val="15"/>
                <w:szCs w:val="15"/>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3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18</w:t>
            </w:r>
          </w:p>
        </w:tc>
        <w:tc>
          <w:tcPr>
            <w:tcW w:w="2780" w:type="dxa"/>
            <w:vAlign w:val="bottom"/>
            <w:gridSpan w:val="2"/>
          </w:tcPr>
          <w:p>
            <w:pPr>
              <w:spacing w:after="0"/>
              <w:rPr>
                <w:sz w:val="17"/>
                <w:szCs w:val="17"/>
                <w:color w:val="auto"/>
              </w:rPr>
            </w:pP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384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6"/>
                <w:szCs w:val="16"/>
                <w:color w:val="0000FF"/>
              </w:rPr>
              <w:t>U.S.C Section 1350, as adopted pursuant to Section 906 of</w:t>
            </w:r>
          </w:p>
        </w:tc>
        <w:tc>
          <w:tcPr>
            <w:tcW w:w="2780" w:type="dxa"/>
            <w:vAlign w:val="bottom"/>
            <w:gridSpan w:val="2"/>
          </w:tcPr>
          <w:p>
            <w:pPr>
              <w:spacing w:after="0"/>
              <w:rPr>
                <w:sz w:val="15"/>
                <w:szCs w:val="15"/>
                <w:color w:val="auto"/>
              </w:rPr>
            </w:pPr>
          </w:p>
        </w:tc>
        <w:tc>
          <w:tcPr>
            <w:tcW w:w="288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21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20" w:type="dxa"/>
            <w:vAlign w:val="bottom"/>
            <w:tcBorders>
              <w:bottom w:val="single" w:sz="8" w:color="0000EE"/>
            </w:tcBorders>
          </w:tcPr>
          <w:p>
            <w:pPr>
              <w:spacing w:after="0"/>
              <w:rPr>
                <w:sz w:val="15"/>
                <w:szCs w:val="15"/>
                <w:color w:val="auto"/>
              </w:rPr>
            </w:pPr>
          </w:p>
        </w:tc>
        <w:tc>
          <w:tcPr>
            <w:tcW w:w="4500" w:type="dxa"/>
            <w:vAlign w:val="bottom"/>
            <w:gridSpan w:val="8"/>
          </w:tcPr>
          <w:p>
            <w:pPr>
              <w:spacing w:after="0"/>
              <w:rPr>
                <w:sz w:val="15"/>
                <w:szCs w:val="15"/>
                <w:color w:val="auto"/>
              </w:rPr>
            </w:pPr>
          </w:p>
        </w:tc>
        <w:tc>
          <w:tcPr>
            <w:tcW w:w="2880" w:type="dxa"/>
            <w:vAlign w:val="bottom"/>
          </w:tcPr>
          <w:p>
            <w:pPr>
              <w:spacing w:after="0"/>
              <w:rPr>
                <w:sz w:val="15"/>
                <w:szCs w:val="15"/>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3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w:t>
            </w:r>
          </w:p>
        </w:tc>
        <w:tc>
          <w:tcPr>
            <w:tcW w:w="2820" w:type="dxa"/>
            <w:vAlign w:val="bottom"/>
            <w:gridSpan w:val="3"/>
          </w:tcPr>
          <w:p>
            <w:pPr>
              <w:spacing w:after="0"/>
              <w:rPr>
                <w:sz w:val="17"/>
                <w:szCs w:val="17"/>
                <w:color w:val="auto"/>
              </w:rPr>
            </w:pP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38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6"/>
                <w:szCs w:val="16"/>
                <w:color w:val="0000FF"/>
              </w:rPr>
              <w:t>U.S.C. Section 1350, as adopted pursuant to Section 906 of</w:t>
            </w:r>
          </w:p>
        </w:tc>
        <w:tc>
          <w:tcPr>
            <w:tcW w:w="27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21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20" w:type="dxa"/>
            <w:vAlign w:val="bottom"/>
            <w:tcBorders>
              <w:bottom w:val="single" w:sz="8" w:color="0000EE"/>
            </w:tcBorders>
          </w:tcPr>
          <w:p>
            <w:pPr>
              <w:spacing w:after="0"/>
              <w:rPr>
                <w:sz w:val="15"/>
                <w:szCs w:val="15"/>
                <w:color w:val="auto"/>
              </w:rPr>
            </w:pPr>
          </w:p>
        </w:tc>
        <w:tc>
          <w:tcPr>
            <w:tcW w:w="4500" w:type="dxa"/>
            <w:vAlign w:val="bottom"/>
            <w:gridSpan w:val="8"/>
          </w:tcPr>
          <w:p>
            <w:pPr>
              <w:spacing w:after="0"/>
              <w:rPr>
                <w:sz w:val="15"/>
                <w:szCs w:val="15"/>
                <w:color w:val="auto"/>
              </w:rPr>
            </w:pPr>
          </w:p>
        </w:tc>
        <w:tc>
          <w:tcPr>
            <w:tcW w:w="2880" w:type="dxa"/>
            <w:vAlign w:val="bottom"/>
          </w:tcPr>
          <w:p>
            <w:pPr>
              <w:spacing w:after="0"/>
              <w:rPr>
                <w:sz w:val="15"/>
                <w:szCs w:val="15"/>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20" w:type="dxa"/>
            <w:vAlign w:val="bottom"/>
          </w:tcPr>
          <w:p>
            <w:pPr>
              <w:spacing w:after="0"/>
              <w:rPr>
                <w:sz w:val="18"/>
                <w:szCs w:val="18"/>
                <w:color w:val="auto"/>
              </w:rPr>
            </w:pP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2880" w:type="dxa"/>
            <w:vAlign w:val="bottom"/>
          </w:tcPr>
          <w:p>
            <w:pPr>
              <w:spacing w:after="0"/>
              <w:rPr>
                <w:sz w:val="18"/>
                <w:szCs w:val="18"/>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20" w:type="dxa"/>
            <w:vAlign w:val="bottom"/>
          </w:tcPr>
          <w:p>
            <w:pPr>
              <w:spacing w:after="0"/>
              <w:rPr>
                <w:sz w:val="18"/>
                <w:szCs w:val="18"/>
                <w:color w:val="auto"/>
              </w:rPr>
            </w:pP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2880" w:type="dxa"/>
            <w:vAlign w:val="bottom"/>
          </w:tcPr>
          <w:p>
            <w:pPr>
              <w:spacing w:after="0"/>
              <w:rPr>
                <w:sz w:val="18"/>
                <w:szCs w:val="18"/>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20" w:type="dxa"/>
            <w:vAlign w:val="bottom"/>
          </w:tcPr>
          <w:p>
            <w:pPr>
              <w:spacing w:after="0"/>
              <w:rPr>
                <w:sz w:val="18"/>
                <w:szCs w:val="18"/>
                <w:color w:val="auto"/>
              </w:rPr>
            </w:pP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2880" w:type="dxa"/>
            <w:vAlign w:val="bottom"/>
          </w:tcPr>
          <w:p>
            <w:pPr>
              <w:spacing w:after="0"/>
              <w:rPr>
                <w:sz w:val="18"/>
                <w:szCs w:val="18"/>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20" w:type="dxa"/>
            <w:vAlign w:val="bottom"/>
          </w:tcPr>
          <w:p>
            <w:pPr>
              <w:spacing w:after="0"/>
              <w:rPr>
                <w:sz w:val="18"/>
                <w:szCs w:val="18"/>
                <w:color w:val="auto"/>
              </w:rPr>
            </w:pP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2880" w:type="dxa"/>
            <w:vAlign w:val="bottom"/>
          </w:tcPr>
          <w:p>
            <w:pPr>
              <w:spacing w:after="0"/>
              <w:rPr>
                <w:sz w:val="18"/>
                <w:szCs w:val="18"/>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288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20" w:type="dxa"/>
            <w:vAlign w:val="bottom"/>
          </w:tcPr>
          <w:p>
            <w:pPr>
              <w:spacing w:after="0"/>
              <w:rPr>
                <w:sz w:val="18"/>
                <w:szCs w:val="18"/>
                <w:color w:val="auto"/>
              </w:rPr>
            </w:pPr>
          </w:p>
        </w:tc>
        <w:tc>
          <w:tcPr>
            <w:tcW w:w="66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and contained in Exhibit 101)</w:t>
            </w:r>
          </w:p>
        </w:tc>
        <w:tc>
          <w:tcPr>
            <w:tcW w:w="2880" w:type="dxa"/>
            <w:vAlign w:val="bottom"/>
          </w:tcPr>
          <w:p>
            <w:pPr>
              <w:spacing w:after="0"/>
              <w:rPr>
                <w:sz w:val="18"/>
                <w:szCs w:val="18"/>
                <w:color w:val="auto"/>
              </w:rPr>
            </w:pPr>
          </w:p>
        </w:tc>
      </w:tr>
    </w:tbl>
    <w:p>
      <w:pPr>
        <w:spacing w:after="0" w:line="208" w:lineRule="exact"/>
        <w:rPr>
          <w:sz w:val="20"/>
          <w:szCs w:val="20"/>
          <w:color w:val="auto"/>
        </w:rPr>
      </w:pPr>
    </w:p>
    <w:p>
      <w:pPr>
        <w:ind w:left="620" w:hanging="612"/>
        <w:spacing w:after="0"/>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620" w:hanging="612"/>
        <w:spacing w:after="0"/>
        <w:tabs>
          <w:tab w:leader="none" w:pos="6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12" w:right="77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SIGHT SCIENCES, INC</w:t>
            </w:r>
          </w:p>
        </w:tc>
        <w:tc>
          <w:tcPr>
            <w:tcW w:w="60" w:type="dxa"/>
            <w:vAlign w:val="bottom"/>
          </w:tcPr>
          <w:p>
            <w:pPr>
              <w:spacing w:after="0"/>
              <w:rPr>
                <w:sz w:val="20"/>
                <w:szCs w:val="20"/>
                <w:color w:val="auto"/>
              </w:rPr>
            </w:pPr>
          </w:p>
        </w:tc>
      </w:tr>
      <w:tr>
        <w:trPr>
          <w:trHeight w:val="472"/>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November 7, 2024</w:t>
            </w:r>
          </w:p>
        </w:tc>
        <w:tc>
          <w:tcPr>
            <w:tcW w:w="76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Alison Bauerlein</w:t>
            </w:r>
          </w:p>
        </w:tc>
        <w:tc>
          <w:tcPr>
            <w:tcW w:w="60" w:type="dxa"/>
            <w:vAlign w:val="bottom"/>
          </w:tcPr>
          <w:p>
            <w:pPr>
              <w:spacing w:after="0"/>
              <w:rPr>
                <w:sz w:val="24"/>
                <w:szCs w:val="24"/>
                <w:color w:val="auto"/>
              </w:rPr>
            </w:pPr>
          </w:p>
        </w:tc>
      </w:tr>
      <w:tr>
        <w:trPr>
          <w:trHeight w:val="204"/>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46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Alison Bauerlein</w:t>
            </w:r>
          </w:p>
        </w:tc>
        <w:tc>
          <w:tcPr>
            <w:tcW w:w="60" w:type="dxa"/>
            <w:vAlign w:val="bottom"/>
          </w:tcPr>
          <w:p>
            <w:pPr>
              <w:spacing w:after="0"/>
              <w:rPr>
                <w:sz w:val="17"/>
                <w:szCs w:val="17"/>
                <w:color w:val="auto"/>
              </w:rPr>
            </w:pPr>
          </w:p>
        </w:tc>
      </w:tr>
      <w:tr>
        <w:trPr>
          <w:trHeight w:val="229"/>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60" w:type="dxa"/>
            <w:vAlign w:val="bottom"/>
          </w:tcPr>
          <w:p>
            <w:pPr>
              <w:spacing w:after="0"/>
              <w:rPr>
                <w:sz w:val="19"/>
                <w:szCs w:val="19"/>
                <w:color w:val="auto"/>
              </w:rPr>
            </w:pPr>
          </w:p>
        </w:tc>
      </w:tr>
      <w:tr>
        <w:trPr>
          <w:trHeight w:val="234"/>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0" w:type="dxa"/>
            <w:vAlign w:val="bottom"/>
          </w:tcPr>
          <w:p>
            <w:pPr>
              <w:spacing w:after="0"/>
              <w:rPr>
                <w:sz w:val="20"/>
                <w:szCs w:val="20"/>
                <w:color w:val="auto"/>
              </w:rPr>
            </w:pPr>
          </w:p>
        </w:tc>
      </w:tr>
      <w:tr>
        <w:trPr>
          <w:trHeight w:val="876"/>
        </w:trPr>
        <w:tc>
          <w:tcPr>
            <w:tcW w:w="3560" w:type="dxa"/>
            <w:vAlign w:val="bottom"/>
          </w:tcPr>
          <w:p>
            <w:pPr>
              <w:spacing w:after="0"/>
              <w:rPr>
                <w:sz w:val="24"/>
                <w:szCs w:val="24"/>
                <w:color w:val="auto"/>
              </w:rPr>
            </w:pPr>
          </w:p>
        </w:tc>
        <w:tc>
          <w:tcPr>
            <w:tcW w:w="7620" w:type="dxa"/>
            <w:vAlign w:val="bottom"/>
            <w:gridSpan w:val="2"/>
          </w:tcPr>
          <w:p>
            <w:pPr>
              <w:jc w:val="right"/>
              <w:ind w:right="537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r>
      <w:tr>
        <w:trPr>
          <w:trHeight w:val="762"/>
        </w:trPr>
        <w:tc>
          <w:tcPr>
            <w:tcW w:w="35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1" w:name="page42"/>
    <w:bookmarkEnd w:id="41"/>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Badawi,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Sight Sciences,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369"/>
        <w:spacing w:after="0" w:line="265"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20" w:hanging="369"/>
        <w:spacing w:after="0" w:line="265"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jc w:val="both"/>
        <w:ind w:left="1500" w:right="20" w:hanging="369"/>
        <w:spacing w:after="0" w:line="312" w:lineRule="auto"/>
        <w:tabs>
          <w:tab w:leader="none" w:pos="15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369"/>
        <w:spacing w:after="0" w:line="265"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1500" w:right="320" w:hanging="369"/>
        <w:spacing w:after="0" w:line="281"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right"/>
        <w:ind w:right="280"/>
        <w:spacing w:after="0"/>
        <w:tabs>
          <w:tab w:leader="none" w:pos="10580" w:val="left"/>
          <w:tab w:leader="none" w:pos="140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8"/>
          <w:szCs w:val="18"/>
          <w:u w:val="single" w:color="auto"/>
          <w:color w:val="auto"/>
        </w:rPr>
        <w:t>/s/ Paul Badawi</w:t>
      </w:r>
    </w:p>
    <w:p>
      <w:pPr>
        <w:spacing w:after="0" w:line="3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Paul Badawi</w:t>
      </w:r>
    </w:p>
    <w:p>
      <w:pPr>
        <w:spacing w:after="0" w:line="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Alison Bauerlein,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Sight Sciences,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369"/>
        <w:spacing w:after="0" w:line="265"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20" w:hanging="369"/>
        <w:spacing w:after="0" w:line="265"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jc w:val="both"/>
        <w:ind w:left="1500" w:right="20" w:hanging="369"/>
        <w:spacing w:after="0" w:line="312" w:lineRule="auto"/>
        <w:tabs>
          <w:tab w:leader="none" w:pos="150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369"/>
        <w:spacing w:after="0" w:line="265"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369"/>
        <w:spacing w:after="0" w:line="281"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6"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u w:val="single" w:color="auto"/>
          <w:color w:val="auto"/>
        </w:rPr>
        <w:t>/s/ Alison Bauerlein</w:t>
      </w:r>
    </w:p>
    <w:p>
      <w:pPr>
        <w:spacing w:after="0" w:line="36"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Alison Bauerlein</w:t>
      </w:r>
    </w:p>
    <w:p>
      <w:pPr>
        <w:spacing w:after="0" w:line="2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5" w:name="page46"/>
    <w:bookmarkEnd w:id="45"/>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6" w:lineRule="exact"/>
        <w:rPr>
          <w:sz w:val="20"/>
          <w:szCs w:val="20"/>
          <w:color w:val="auto"/>
        </w:rPr>
      </w:pPr>
    </w:p>
    <w:p>
      <w:pPr>
        <w:ind w:right="540" w:firstLine="360"/>
        <w:spacing w:after="0" w:line="281"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his knowledge:</w:t>
      </w:r>
    </w:p>
    <w:p>
      <w:pPr>
        <w:spacing w:after="0" w:line="163" w:lineRule="exact"/>
        <w:rPr>
          <w:sz w:val="20"/>
          <w:szCs w:val="20"/>
          <w:color w:val="auto"/>
        </w:rPr>
      </w:pPr>
    </w:p>
    <w:p>
      <w:pPr>
        <w:ind w:left="1280" w:hanging="757"/>
        <w:spacing w:after="0" w:line="28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2024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280" w:right="380" w:hanging="757"/>
        <w:spacing w:after="0" w:line="28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60"/>
        <w:spacing w:after="0"/>
        <w:tabs>
          <w:tab w:leader="none" w:pos="146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17"/>
          <w:szCs w:val="17"/>
          <w:u w:val="single" w:color="auto"/>
          <w:color w:val="auto"/>
        </w:rPr>
        <w:t>/s/ Paul Badawi</w:t>
      </w:r>
    </w:p>
    <w:p>
      <w:pPr>
        <w:spacing w:after="0" w:line="3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Paul Badawi</w:t>
      </w:r>
    </w:p>
    <w:p>
      <w:pPr>
        <w:spacing w:after="0" w:line="3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38"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6" w:lineRule="exact"/>
        <w:rPr>
          <w:sz w:val="20"/>
          <w:szCs w:val="20"/>
          <w:color w:val="auto"/>
        </w:rPr>
      </w:pPr>
    </w:p>
    <w:p>
      <w:pPr>
        <w:ind w:right="540" w:firstLine="360"/>
        <w:spacing w:after="0" w:line="281"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Sight Sciences,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to her knowledge:</w:t>
      </w:r>
    </w:p>
    <w:p>
      <w:pPr>
        <w:spacing w:after="0" w:line="163" w:lineRule="exact"/>
        <w:rPr>
          <w:sz w:val="20"/>
          <w:szCs w:val="20"/>
          <w:color w:val="auto"/>
        </w:rPr>
      </w:pPr>
    </w:p>
    <w:p>
      <w:pPr>
        <w:ind w:left="1280" w:hanging="757"/>
        <w:spacing w:after="0" w:line="281"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2024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280" w:right="380" w:hanging="757"/>
        <w:spacing w:after="0" w:line="281"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60"/>
        <w:spacing w:after="0"/>
        <w:tabs>
          <w:tab w:leader="none" w:pos="176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17"/>
          <w:szCs w:val="17"/>
          <w:u w:val="single" w:color="auto"/>
          <w:color w:val="auto"/>
        </w:rPr>
        <w:t>/s/ Alison Bauerlein</w:t>
      </w:r>
    </w:p>
    <w:p>
      <w:pPr>
        <w:spacing w:after="0" w:line="3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Alison Bauerlein</w:t>
      </w:r>
    </w:p>
    <w:p>
      <w:pPr>
        <w:spacing w:after="0" w:line="36"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p>
      <w:pPr>
        <w:spacing w:after="0" w:line="2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35"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46" Type="http://schemas.openxmlformats.org/officeDocument/2006/relationships/hyperlink" Target="https://www.sec.gov/Archives/edgar/data/1531177/000119312521218705/d116785dex31.htm" TargetMode="External"/><Relationship Id="rId247" Type="http://schemas.openxmlformats.org/officeDocument/2006/relationships/hyperlink" Target="https://www.sec.gov/Archives/edgar/data/1531177/000119312521218705/d11678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2024-11-07T15:56:40Z</dcterms:created>
  <dcterms:modified xsi:type="dcterms:W3CDTF">2024-11-07T15:56:40Z</dcterms:modified>
</cp:coreProperties>
</file>