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Sight Sciences, Inc.</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243840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tbl>
      <w:tblPr>
        <w:tblLayout w:type="fixed"/>
        <w:tblInd w:w="1240" w:type="dxa"/>
        <w:tblCellMar>
          <w:top w:w="0" w:type="dxa"/>
          <w:left w:w="0" w:type="dxa"/>
          <w:bottom w:w="0" w:type="dxa"/>
          <w:right w:w="0" w:type="dxa"/>
        </w:tblCellMar>
      </w:tblPr>
      <w:tr>
        <w:trPr>
          <w:trHeight w:val="218"/>
        </w:trPr>
        <w:tc>
          <w:tcPr>
            <w:tcW w:w="2900" w:type="dxa"/>
            <w:vAlign w:val="bottom"/>
          </w:tcPr>
          <w:p>
            <w:pPr>
              <w:jc w:val="center"/>
              <w:ind w:right="6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04"/>
              <w:spacing w:after="0"/>
              <w:rPr>
                <w:sz w:val="20"/>
                <w:szCs w:val="20"/>
                <w:color w:val="auto"/>
              </w:rPr>
            </w:pPr>
            <w:r>
              <w:rPr>
                <w:rFonts w:ascii="Times New Roman" w:cs="Times New Roman" w:eastAsia="Times New Roman" w:hAnsi="Times New Roman"/>
                <w:sz w:val="18"/>
                <w:szCs w:val="18"/>
                <w:b w:val="1"/>
                <w:bCs w:val="1"/>
                <w:color w:val="auto"/>
              </w:rPr>
              <w:t>001-40587</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80-0625749</w:t>
            </w:r>
          </w:p>
        </w:tc>
      </w:tr>
      <w:tr>
        <w:trPr>
          <w:trHeight w:val="135"/>
        </w:trPr>
        <w:tc>
          <w:tcPr>
            <w:tcW w:w="2900" w:type="dxa"/>
            <w:vAlign w:val="bottom"/>
          </w:tcPr>
          <w:p>
            <w:pPr>
              <w:jc w:val="center"/>
              <w:ind w:right="682"/>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3260" w:type="dxa"/>
            <w:vAlign w:val="bottom"/>
          </w:tcPr>
          <w:p>
            <w:pPr>
              <w:jc w:val="center"/>
              <w:ind w:right="204"/>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2040" w:type="dxa"/>
            <w:vAlign w:val="bottom"/>
          </w:tcPr>
          <w:p>
            <w:pPr>
              <w:jc w:val="center"/>
              <w:ind w:left="96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2900" w:type="dxa"/>
            <w:vAlign w:val="bottom"/>
          </w:tcPr>
          <w:p>
            <w:pPr>
              <w:jc w:val="center"/>
              <w:ind w:right="682"/>
              <w:spacing w:after="0"/>
              <w:rPr>
                <w:sz w:val="20"/>
                <w:szCs w:val="20"/>
                <w:color w:val="auto"/>
              </w:rPr>
            </w:pPr>
            <w:r>
              <w:rPr>
                <w:rFonts w:ascii="Times New Roman" w:cs="Times New Roman" w:eastAsia="Times New Roman" w:hAnsi="Times New Roman"/>
                <w:sz w:val="13"/>
                <w:szCs w:val="13"/>
                <w:b w:val="1"/>
                <w:bCs w:val="1"/>
                <w:color w:val="auto"/>
                <w:w w:val="97"/>
              </w:rPr>
              <w:t>of Incorporation)</w:t>
            </w:r>
          </w:p>
        </w:tc>
        <w:tc>
          <w:tcPr>
            <w:tcW w:w="3260" w:type="dxa"/>
            <w:vAlign w:val="bottom"/>
          </w:tcPr>
          <w:p>
            <w:pPr>
              <w:spacing w:after="0"/>
              <w:rPr>
                <w:sz w:val="14"/>
                <w:szCs w:val="14"/>
                <w:color w:val="auto"/>
              </w:rPr>
            </w:pPr>
          </w:p>
        </w:tc>
        <w:tc>
          <w:tcPr>
            <w:tcW w:w="2040" w:type="dxa"/>
            <w:vAlign w:val="bottom"/>
          </w:tcPr>
          <w:p>
            <w:pPr>
              <w:jc w:val="center"/>
              <w:ind w:left="966"/>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399"/>
        </w:trPr>
        <w:tc>
          <w:tcPr>
            <w:tcW w:w="2900" w:type="dxa"/>
            <w:vAlign w:val="bottom"/>
          </w:tcPr>
          <w:p>
            <w:pPr>
              <w:jc w:val="center"/>
              <w:ind w:right="682"/>
              <w:spacing w:after="0"/>
              <w:rPr>
                <w:sz w:val="20"/>
                <w:szCs w:val="20"/>
                <w:color w:val="auto"/>
              </w:rPr>
            </w:pPr>
            <w:r>
              <w:rPr>
                <w:rFonts w:ascii="Times New Roman" w:cs="Times New Roman" w:eastAsia="Times New Roman" w:hAnsi="Times New Roman"/>
                <w:sz w:val="18"/>
                <w:szCs w:val="18"/>
                <w:b w:val="1"/>
                <w:bCs w:val="1"/>
                <w:color w:val="auto"/>
                <w:w w:val="99"/>
              </w:rPr>
              <w:t>4040 Campbell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2900" w:type="dxa"/>
            <w:vAlign w:val="bottom"/>
          </w:tcPr>
          <w:p>
            <w:pPr>
              <w:jc w:val="center"/>
              <w:ind w:right="682"/>
              <w:spacing w:after="0"/>
              <w:rPr>
                <w:sz w:val="20"/>
                <w:szCs w:val="20"/>
                <w:color w:val="auto"/>
              </w:rPr>
            </w:pPr>
            <w:r>
              <w:rPr>
                <w:rFonts w:ascii="Times New Roman" w:cs="Times New Roman" w:eastAsia="Times New Roman" w:hAnsi="Times New Roman"/>
                <w:sz w:val="18"/>
                <w:szCs w:val="18"/>
                <w:b w:val="1"/>
                <w:bCs w:val="1"/>
                <w:color w:val="auto"/>
                <w:w w:val="99"/>
              </w:rPr>
              <w:t>Suite 100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8"/>
        </w:trPr>
        <w:tc>
          <w:tcPr>
            <w:tcW w:w="2900" w:type="dxa"/>
            <w:vAlign w:val="bottom"/>
          </w:tcPr>
          <w:p>
            <w:pPr>
              <w:jc w:val="center"/>
              <w:ind w:right="662"/>
              <w:spacing w:after="0"/>
              <w:rPr>
                <w:sz w:val="20"/>
                <w:szCs w:val="20"/>
                <w:color w:val="auto"/>
              </w:rPr>
            </w:pPr>
            <w:r>
              <w:rPr>
                <w:rFonts w:ascii="Times New Roman" w:cs="Times New Roman" w:eastAsia="Times New Roman" w:hAnsi="Times New Roman"/>
                <w:sz w:val="18"/>
                <w:szCs w:val="18"/>
                <w:b w:val="1"/>
                <w:bCs w:val="1"/>
                <w:color w:val="auto"/>
              </w:rPr>
              <w:t>Menlo Park, California</w:t>
            </w:r>
          </w:p>
        </w:tc>
        <w:tc>
          <w:tcPr>
            <w:tcW w:w="3260" w:type="dxa"/>
            <w:vAlign w:val="bottom"/>
          </w:tcPr>
          <w:p>
            <w:pPr>
              <w:spacing w:after="0"/>
              <w:rPr>
                <w:sz w:val="18"/>
                <w:szCs w:val="18"/>
                <w:color w:val="auto"/>
              </w:rPr>
            </w:pPr>
          </w:p>
        </w:tc>
        <w:tc>
          <w:tcPr>
            <w:tcW w:w="2040" w:type="dxa"/>
            <w:vAlign w:val="bottom"/>
          </w:tcPr>
          <w:p>
            <w:pPr>
              <w:jc w:val="right"/>
              <w:ind w:right="206"/>
              <w:spacing w:after="0"/>
              <w:rPr>
                <w:sz w:val="20"/>
                <w:szCs w:val="20"/>
                <w:color w:val="auto"/>
              </w:rPr>
            </w:pPr>
            <w:r>
              <w:rPr>
                <w:rFonts w:ascii="Times New Roman" w:cs="Times New Roman" w:eastAsia="Times New Roman" w:hAnsi="Times New Roman"/>
                <w:sz w:val="18"/>
                <w:szCs w:val="18"/>
                <w:b w:val="1"/>
                <w:bCs w:val="1"/>
                <w:color w:val="auto"/>
              </w:rPr>
              <w:t>94025</w:t>
            </w:r>
          </w:p>
        </w:tc>
      </w:tr>
      <w:tr>
        <w:trPr>
          <w:trHeight w:val="166"/>
        </w:trPr>
        <w:tc>
          <w:tcPr>
            <w:tcW w:w="2900" w:type="dxa"/>
            <w:vAlign w:val="bottom"/>
          </w:tcPr>
          <w:p>
            <w:pPr>
              <w:jc w:val="center"/>
              <w:ind w:right="662"/>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3260" w:type="dxa"/>
            <w:vAlign w:val="bottom"/>
          </w:tcPr>
          <w:p>
            <w:pPr>
              <w:spacing w:after="0"/>
              <w:rPr>
                <w:sz w:val="14"/>
                <w:szCs w:val="14"/>
                <w:color w:val="auto"/>
              </w:rPr>
            </w:pPr>
          </w:p>
        </w:tc>
        <w:tc>
          <w:tcPr>
            <w:tcW w:w="2040" w:type="dxa"/>
            <w:vAlign w:val="bottom"/>
          </w:tcPr>
          <w:p>
            <w:pPr>
              <w:jc w:val="center"/>
              <w:ind w:left="966"/>
              <w:spacing w:after="0"/>
              <w:rPr>
                <w:sz w:val="20"/>
                <w:szCs w:val="20"/>
                <w:color w:val="auto"/>
              </w:rPr>
            </w:pPr>
            <w:r>
              <w:rPr>
                <w:rFonts w:ascii="Times New Roman" w:cs="Times New Roman" w:eastAsia="Times New Roman" w:hAnsi="Times New Roman"/>
                <w:sz w:val="13"/>
                <w:szCs w:val="13"/>
                <w:b w:val="1"/>
                <w:bCs w:val="1"/>
                <w:color w:val="auto"/>
                <w:w w:val="99"/>
              </w:rPr>
              <w:t>(Zip Code)</w:t>
            </w:r>
          </w:p>
        </w:tc>
      </w:tr>
    </w:tbl>
    <w:p>
      <w:pPr>
        <w:spacing w:after="0" w:line="200" w:lineRule="exact"/>
        <w:rPr>
          <w:sz w:val="24"/>
          <w:szCs w:val="24"/>
          <w:color w:val="auto"/>
        </w:rPr>
      </w:pPr>
    </w:p>
    <w:p>
      <w:pPr>
        <w:spacing w:after="0" w:line="22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877 266-1144</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241935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740" w:hanging="199"/>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740" w:hanging="199"/>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740" w:hanging="199"/>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740" w:hanging="199"/>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SGHT</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887095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June 4, 2026, Sight Sciences, Inc. (the “Company”) held its annual meeting of stockholders (the “Annual Meeting”). There were 54,403,542 shares of the Company’s common stock, par value $0.001 per share (“Common Stock”), outstanding and entitled to vote at the Annual Meeting at the close of business on April 8, 2026, the record date for the Annual Meeting (the “Record Date”). At the Annual Meeting, 41,456,258 shares of Common Stock were present virtually or represented by proxy, representing approximately 76.2% of the Common Stock outstanding on the Record Date.</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Set forth below are the voting results for the proposals considered and voted upon at the Annual Meeting, each of which are described in more detail in the Company’s definitive proxy statement on Schedule 14A filed with the Securities and Exchange Commission on April 22, 2026.</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Proposal 1 – Election of two Class II directors to serve as directors of the Company until the annual meeting of stockholders to be held in 2029, or until each such director’s respective successor has been duly elected and qualified, or until each such director’s earlier death, resignation or removal.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Director</w:t>
            </w:r>
          </w:p>
        </w:tc>
        <w:tc>
          <w:tcPr>
            <w:tcW w:w="20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For</w:t>
            </w:r>
          </w:p>
        </w:tc>
        <w:tc>
          <w:tcPr>
            <w:tcW w:w="300" w:type="dxa"/>
            <w:vAlign w:val="bottom"/>
          </w:tcPr>
          <w:p>
            <w:pPr>
              <w:spacing w:after="0"/>
              <w:rPr>
                <w:sz w:val="20"/>
                <w:szCs w:val="20"/>
                <w:color w:val="auto"/>
              </w:rPr>
            </w:pPr>
          </w:p>
        </w:tc>
        <w:tc>
          <w:tcPr>
            <w:tcW w:w="19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80" w:type="dxa"/>
            <w:vAlign w:val="bottom"/>
          </w:tcPr>
          <w:p>
            <w:pPr>
              <w:spacing w:after="0"/>
              <w:rPr>
                <w:sz w:val="20"/>
                <w:szCs w:val="20"/>
                <w:color w:val="auto"/>
              </w:rPr>
            </w:pPr>
          </w:p>
        </w:tc>
        <w:tc>
          <w:tcPr>
            <w:tcW w:w="2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100" w:type="dxa"/>
            <w:vAlign w:val="bottom"/>
          </w:tcPr>
          <w:p>
            <w:pPr>
              <w:spacing w:after="0"/>
              <w:rPr>
                <w:sz w:val="20"/>
                <w:szCs w:val="20"/>
                <w:color w:val="auto"/>
              </w:rPr>
            </w:pP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Gerhard Burbach</w:t>
            </w:r>
          </w:p>
        </w:tc>
        <w:tc>
          <w:tcPr>
            <w:tcW w:w="200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24,961,185</w:t>
            </w:r>
          </w:p>
        </w:tc>
        <w:tc>
          <w:tcPr>
            <w:tcW w:w="228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2,877,580</w:t>
            </w:r>
          </w:p>
        </w:tc>
        <w:tc>
          <w:tcPr>
            <w:tcW w:w="2280" w:type="dxa"/>
            <w:vAlign w:val="bottom"/>
            <w:gridSpan w:val="2"/>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13,617,493</w:t>
            </w:r>
          </w:p>
        </w:tc>
        <w:tc>
          <w:tcPr>
            <w:tcW w:w="100" w:type="dxa"/>
            <w:vAlign w:val="bottom"/>
            <w:shd w:val="clear" w:color="auto" w:fill="CFF0FC"/>
          </w:tcPr>
          <w:p>
            <w:pPr>
              <w:spacing w:after="0"/>
              <w:rPr>
                <w:sz w:val="18"/>
                <w:szCs w:val="18"/>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Staffan Encrantz</w:t>
            </w:r>
          </w:p>
        </w:tc>
        <w:tc>
          <w:tcPr>
            <w:tcW w:w="20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23,901,624</w:t>
            </w:r>
          </w:p>
        </w:tc>
        <w:tc>
          <w:tcPr>
            <w:tcW w:w="228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3,937,141</w:t>
            </w:r>
          </w:p>
        </w:tc>
        <w:tc>
          <w:tcPr>
            <w:tcW w:w="228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13,617,493</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Proposal 2 – Ratification of the appointment of Deloitte &amp; Touche LLP as the Company’s independent registered public accounting firm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1604010</wp:posOffset>
            </wp:positionH>
            <wp:positionV relativeFrom="paragraph">
              <wp:posOffset>101600</wp:posOffset>
            </wp:positionV>
            <wp:extent cx="102235" cy="179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3429635</wp:posOffset>
            </wp:positionH>
            <wp:positionV relativeFrom="paragraph">
              <wp:posOffset>101600</wp:posOffset>
            </wp:positionV>
            <wp:extent cx="93980" cy="179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5238750</wp:posOffset>
            </wp:positionH>
            <wp:positionV relativeFrom="paragraph">
              <wp:posOffset>101600</wp:posOffset>
            </wp:positionV>
            <wp:extent cx="93980"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3980" cy="17970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40" w:type="dxa"/>
            <w:vAlign w:val="bottom"/>
            <w:tcBorders>
              <w:top w:val="single" w:sz="8" w:color="auto"/>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For</w:t>
            </w:r>
          </w:p>
        </w:tc>
        <w:tc>
          <w:tcPr>
            <w:tcW w:w="120" w:type="dxa"/>
            <w:vAlign w:val="bottom"/>
          </w:tcPr>
          <w:p>
            <w:pPr>
              <w:spacing w:after="0"/>
              <w:rPr>
                <w:sz w:val="19"/>
                <w:szCs w:val="19"/>
                <w:color w:val="auto"/>
              </w:rPr>
            </w:pPr>
          </w:p>
        </w:tc>
        <w:tc>
          <w:tcPr>
            <w:tcW w:w="27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40" w:type="dxa"/>
            <w:vAlign w:val="bottom"/>
          </w:tcPr>
          <w:p>
            <w:pPr>
              <w:spacing w:after="0"/>
              <w:rPr>
                <w:sz w:val="19"/>
                <w:szCs w:val="19"/>
                <w:color w:val="auto"/>
              </w:rPr>
            </w:pPr>
          </w:p>
        </w:tc>
        <w:tc>
          <w:tcPr>
            <w:tcW w:w="250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340" w:type="dxa"/>
            <w:vAlign w:val="bottom"/>
          </w:tcPr>
          <w:p>
            <w:pPr>
              <w:spacing w:after="0"/>
              <w:rPr>
                <w:sz w:val="19"/>
                <w:szCs w:val="19"/>
                <w:color w:val="auto"/>
              </w:rPr>
            </w:pPr>
          </w:p>
        </w:tc>
        <w:tc>
          <w:tcPr>
            <w:tcW w:w="26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10"/>
        </w:trPr>
        <w:tc>
          <w:tcPr>
            <w:tcW w:w="254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41,059,471</w:t>
            </w:r>
          </w:p>
        </w:tc>
        <w:tc>
          <w:tcPr>
            <w:tcW w:w="2880" w:type="dxa"/>
            <w:vAlign w:val="bottom"/>
            <w:gridSpan w:val="2"/>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7,892</w:t>
            </w:r>
          </w:p>
        </w:tc>
        <w:tc>
          <w:tcPr>
            <w:tcW w:w="284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388,895</w:t>
            </w:r>
          </w:p>
        </w:tc>
        <w:tc>
          <w:tcPr>
            <w:tcW w:w="2980" w:type="dxa"/>
            <w:vAlign w:val="bottom"/>
            <w:gridSpan w:val="2"/>
            <w:shd w:val="clear" w:color="auto" w:fill="CFF0FC"/>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Based on the foregoing votes, Gerhard Burbach and Staffan Encrantz were elected as Class II directors, and the appointment of Deloitte &amp; Touche LLP as the Company’s independent registered public accounting firm for the fiscal year ending December 31, 2026 was duly ratified.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matters were presented for consideration or stockholder action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9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Sight Sciences, Inc.</w:t>
            </w:r>
          </w:p>
        </w:tc>
      </w:tr>
      <w:tr>
        <w:trPr>
          <w:trHeight w:val="581"/>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June 5, 2026</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James Rodberg</w:t>
            </w:r>
          </w:p>
        </w:tc>
      </w:tr>
      <w:tr>
        <w:trPr>
          <w:trHeight w:val="191"/>
        </w:trPr>
        <w:tc>
          <w:tcPr>
            <w:tcW w:w="5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James Rodberg</w:t>
            </w:r>
          </w:p>
        </w:tc>
      </w:tr>
      <w:tr>
        <w:trPr>
          <w:trHeight w:val="216"/>
        </w:trPr>
        <w:tc>
          <w:tcPr>
            <w:tcW w:w="5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4307840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2026-06-05T15:12:05Z</dcterms:created>
  <dcterms:modified xsi:type="dcterms:W3CDTF">2026-06-05T15:12:05Z</dcterms:modified>
</cp:coreProperties>
</file>