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660" w:right="1620" w:hanging="3639"/>
        <w:spacing w:after="0" w:line="399"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jc w:val="center"/>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3320" w:right="1600" w:hanging="3299"/>
        <w:spacing w:after="0" w:line="399" w:lineRule="auto"/>
        <w:tabs>
          <w:tab w:leader="none" w:pos="47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____________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001-40587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SIGHT SCIENCES, INC.</w:t>
      </w:r>
    </w:p>
    <w:p>
      <w:pPr>
        <w:sectPr>
          <w:pgSz w:w="11900" w:h="16838" w:orient="portrait"/>
          <w:cols w:equalWidth="0" w:num="1">
            <w:col w:w="11240"/>
          </w:cols>
          <w:pgMar w:left="320" w:top="935" w:right="339" w:bottom="1440" w:gutter="0" w:footer="0" w:header="0"/>
        </w:sectPr>
      </w:pPr>
    </w:p>
    <w:p>
      <w:pPr>
        <w:spacing w:after="0" w:line="7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3"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spacing w:after="0" w:line="50"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51"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4040 Campbell Ave, Suite 100</w:t>
      </w:r>
    </w:p>
    <w:p>
      <w:pPr>
        <w:spacing w:after="0" w:line="59"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Menlo Park,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0"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80-0625749</w:t>
      </w:r>
    </w:p>
    <w:p>
      <w:pPr>
        <w:spacing w:after="0" w:line="7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2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328"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94025</w:t>
      </w:r>
    </w:p>
    <w:p>
      <w:pPr>
        <w:spacing w:after="0" w:line="50" w:lineRule="exact"/>
        <w:rPr>
          <w:sz w:val="24"/>
          <w:szCs w:val="24"/>
          <w:color w:val="auto"/>
        </w:rPr>
      </w:pPr>
    </w:p>
    <w:p>
      <w:pPr>
        <w:sectPr>
          <w:pgSz w:w="11900" w:h="16838" w:orient="portrait"/>
          <w:cols w:equalWidth="0" w:num="2">
            <w:col w:w="7700" w:space="240"/>
            <w:col w:w="3300"/>
          </w:cols>
          <w:pgMar w:left="320" w:top="935"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107"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(877) 266-1144</w:t>
      </w:r>
    </w:p>
    <w:p>
      <w:pPr>
        <w:spacing w:after="0" w:line="90"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5"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r>
      <w:tr>
        <w:trPr>
          <w:trHeight w:val="19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9"/>
        </w:trPr>
        <w:tc>
          <w:tcPr>
            <w:tcW w:w="4280" w:type="dxa"/>
            <w:vAlign w:val="bottom"/>
          </w:tcPr>
          <w:p>
            <w:pPr>
              <w:jc w:val="center"/>
              <w:spacing w:after="0"/>
              <w:rPr>
                <w:sz w:val="20"/>
                <w:szCs w:val="20"/>
                <w:color w:val="auto"/>
              </w:rPr>
            </w:pPr>
            <w:r>
              <w:rPr>
                <w:rFonts w:ascii="Arial" w:cs="Arial" w:eastAsia="Arial" w:hAnsi="Arial"/>
                <w:sz w:val="16"/>
                <w:szCs w:val="16"/>
                <w:color w:val="auto"/>
                <w:w w:val="91"/>
              </w:rPr>
              <w:t>Common Stock, par value $0.001</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4"/>
              </w:rPr>
              <w:t>SGHT</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118" w:lineRule="exact"/>
        <w:rPr>
          <w:sz w:val="24"/>
          <w:szCs w:val="24"/>
          <w:color w:val="auto"/>
        </w:rPr>
      </w:pPr>
    </w:p>
    <w:p>
      <w:pPr>
        <w:jc w:val="both"/>
        <w:ind w:firstLine="59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8"/>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73"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600" w:right="206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8, 2021, the registrant had 47,307,477 shares of Common Stock, par value $0.001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514985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880" w:type="dxa"/>
            <w:vAlign w:val="bottom"/>
            <w:tcBorders>
              <w:bottom w:val="single" w:sz="8" w:color="0563C1"/>
            </w:tcBorders>
            <w:gridSpan w:val="12"/>
          </w:tcPr>
          <w:p>
            <w:pPr>
              <w:spacing w:after="0" w:line="189" w:lineRule="exact"/>
              <w:rPr>
                <w:rFonts w:ascii="Arial" w:cs="Arial" w:eastAsia="Arial" w:hAnsi="Arial"/>
                <w:sz w:val="18"/>
                <w:szCs w:val="18"/>
                <w:color w:val="0563C1"/>
                <w:w w:val="90"/>
              </w:rPr>
            </w:pPr>
            <w:hyperlink w:anchor="page3">
              <w:r>
                <w:rPr>
                  <w:rFonts w:ascii="Arial" w:cs="Arial" w:eastAsia="Arial" w:hAnsi="Arial"/>
                  <w:sz w:val="18"/>
                  <w:szCs w:val="18"/>
                  <w:color w:val="0563C1"/>
                  <w:w w:val="90"/>
                </w:rPr>
                <w:t>Special Note Regarding Forward-Looking Statements</w:t>
              </w:r>
            </w:hyperlink>
          </w:p>
        </w:tc>
        <w:tc>
          <w:tcPr>
            <w:tcW w:w="5420" w:type="dxa"/>
            <w:vAlign w:val="bottom"/>
            <w:gridSpan w:val="8"/>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466"/>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0"/>
          </w:tcPr>
          <w:p>
            <w:pPr>
              <w:spacing w:after="0"/>
              <w:rPr>
                <w:rFonts w:ascii="Arial" w:cs="Arial" w:eastAsia="Arial" w:hAnsi="Arial"/>
                <w:sz w:val="18"/>
                <w:szCs w:val="18"/>
                <w:color w:val="0563C1"/>
              </w:rPr>
            </w:pPr>
            <w:hyperlink w:anchor="page6">
              <w:r>
                <w:rPr>
                  <w:rFonts w:ascii="Arial" w:cs="Arial" w:eastAsia="Arial" w:hAnsi="Arial"/>
                  <w:sz w:val="18"/>
                  <w:szCs w:val="18"/>
                  <w:color w:val="0563C1"/>
                </w:rPr>
                <w:t>FINANCIAL INFORMATION</w:t>
              </w:r>
            </w:hyperlink>
          </w:p>
        </w:tc>
        <w:tc>
          <w:tcPr>
            <w:tcW w:w="7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tcPr>
          <w:p>
            <w:pPr>
              <w:ind w:left="20"/>
              <w:spacing w:after="0"/>
              <w:rPr>
                <w:sz w:val="20"/>
                <w:szCs w:val="20"/>
                <w:color w:val="auto"/>
              </w:rPr>
            </w:pPr>
            <w:r>
              <w:rPr>
                <w:rFonts w:ascii="Arial" w:cs="Arial" w:eastAsia="Arial" w:hAnsi="Arial"/>
                <w:sz w:val="18"/>
                <w:szCs w:val="18"/>
                <w:color w:val="auto"/>
              </w:rPr>
              <w:t>Item 1.</w:t>
            </w:r>
          </w:p>
        </w:tc>
        <w:tc>
          <w:tcPr>
            <w:tcW w:w="3260" w:type="dxa"/>
            <w:vAlign w:val="bottom"/>
            <w:tcBorders>
              <w:bottom w:val="single" w:sz="8" w:color="0563C1"/>
            </w:tcBorders>
            <w:gridSpan w:val="10"/>
          </w:tcPr>
          <w:p>
            <w:pPr>
              <w:spacing w:after="0"/>
              <w:rPr>
                <w:rFonts w:ascii="Arial" w:cs="Arial" w:eastAsia="Arial" w:hAnsi="Arial"/>
                <w:sz w:val="18"/>
                <w:szCs w:val="18"/>
                <w:color w:val="0563C1"/>
                <w:w w:val="88"/>
              </w:rPr>
            </w:pPr>
            <w:hyperlink w:anchor="page6">
              <w:r>
                <w:rPr>
                  <w:rFonts w:ascii="Arial" w:cs="Arial" w:eastAsia="Arial" w:hAnsi="Arial"/>
                  <w:sz w:val="18"/>
                  <w:szCs w:val="18"/>
                  <w:color w:val="0563C1"/>
                  <w:w w:val="88"/>
                </w:rPr>
                <w:t>Condensed Financial Statements (Unaudited)</w:t>
              </w:r>
            </w:hyperlink>
          </w:p>
        </w:tc>
        <w:tc>
          <w:tcPr>
            <w:tcW w:w="6040" w:type="dxa"/>
            <w:vAlign w:val="bottom"/>
            <w:gridSpan w:val="10"/>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9300" w:type="dxa"/>
            <w:vAlign w:val="bottom"/>
            <w:gridSpan w:val="20"/>
          </w:tcPr>
          <w:p>
            <w:pPr>
              <w:spacing w:after="0"/>
              <w:rPr>
                <w:rFonts w:ascii="Arial" w:cs="Arial" w:eastAsia="Arial" w:hAnsi="Arial"/>
                <w:sz w:val="18"/>
                <w:szCs w:val="18"/>
                <w:color w:val="0563C1"/>
              </w:rPr>
            </w:pPr>
            <w:hyperlink w:anchor="page6">
              <w:r>
                <w:rPr>
                  <w:rFonts w:ascii="Arial" w:cs="Arial" w:eastAsia="Arial" w:hAnsi="Arial"/>
                  <w:sz w:val="18"/>
                  <w:szCs w:val="18"/>
                  <w:color w:val="0563C1"/>
                </w:rPr>
                <w:t>Condensed Consolidated Balance Sheets (Unaudited)</w:t>
              </w:r>
            </w:hyperlink>
          </w:p>
        </w:tc>
        <w:tc>
          <w:tcPr>
            <w:tcW w:w="7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520" w:type="dxa"/>
            <w:vAlign w:val="bottom"/>
            <w:gridSpan w:val="2"/>
            <w:shd w:val="clear" w:color="auto" w:fill="0563C1"/>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6440" w:type="dxa"/>
            <w:vAlign w:val="bottom"/>
            <w:tcBorders>
              <w:bottom w:val="single" w:sz="8" w:color="0563C1"/>
            </w:tcBorders>
            <w:gridSpan w:val="17"/>
          </w:tcPr>
          <w:p>
            <w:pPr>
              <w:spacing w:after="0"/>
              <w:rPr>
                <w:rFonts w:ascii="Arial" w:cs="Arial" w:eastAsia="Arial" w:hAnsi="Arial"/>
                <w:sz w:val="18"/>
                <w:szCs w:val="18"/>
                <w:color w:val="0563C1"/>
                <w:w w:val="89"/>
              </w:rPr>
            </w:pPr>
            <w:hyperlink w:anchor="page7">
              <w:r>
                <w:rPr>
                  <w:rFonts w:ascii="Arial" w:cs="Arial" w:eastAsia="Arial" w:hAnsi="Arial"/>
                  <w:sz w:val="18"/>
                  <w:szCs w:val="18"/>
                  <w:color w:val="0563C1"/>
                  <w:w w:val="89"/>
                </w:rPr>
                <w:t>Condensed Consolidated Statements of Operations and Comprehensive Loss (Unaudited)</w:t>
              </w:r>
            </w:hyperlink>
          </w:p>
        </w:tc>
        <w:tc>
          <w:tcPr>
            <w:tcW w:w="2860" w:type="dxa"/>
            <w:vAlign w:val="bottom"/>
            <w:gridSpan w:val="3"/>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7640" w:type="dxa"/>
            <w:vAlign w:val="bottom"/>
            <w:tcBorders>
              <w:bottom w:val="single" w:sz="8" w:color="0563C1"/>
            </w:tcBorders>
            <w:gridSpan w:val="19"/>
          </w:tcPr>
          <w:p>
            <w:pPr>
              <w:spacing w:after="0"/>
              <w:rPr>
                <w:rFonts w:ascii="Arial" w:cs="Arial" w:eastAsia="Arial" w:hAnsi="Arial"/>
                <w:sz w:val="18"/>
                <w:szCs w:val="18"/>
                <w:color w:val="0563C1"/>
                <w:w w:val="90"/>
              </w:rPr>
            </w:pPr>
            <w:hyperlink w:anchor="page8">
              <w:r>
                <w:rPr>
                  <w:rFonts w:ascii="Arial" w:cs="Arial" w:eastAsia="Arial" w:hAnsi="Arial"/>
                  <w:sz w:val="18"/>
                  <w:szCs w:val="18"/>
                  <w:color w:val="0563C1"/>
                  <w:w w:val="90"/>
                </w:rPr>
                <w:t>Condensed Statements of Redeemable Convertible Preferred Stock and Stockholders’ Deficit (Unaudited)</w:t>
              </w:r>
            </w:hyperlink>
          </w:p>
        </w:tc>
        <w:tc>
          <w:tcPr>
            <w:tcW w:w="166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9300" w:type="dxa"/>
            <w:vAlign w:val="bottom"/>
            <w:gridSpan w:val="20"/>
          </w:tcPr>
          <w:p>
            <w:pPr>
              <w:spacing w:after="0"/>
              <w:rPr>
                <w:rFonts w:ascii="Arial" w:cs="Arial" w:eastAsia="Arial" w:hAnsi="Arial"/>
                <w:sz w:val="18"/>
                <w:szCs w:val="18"/>
                <w:color w:val="0563C1"/>
              </w:rPr>
            </w:pPr>
            <w:hyperlink w:anchor="page10">
              <w:r>
                <w:rPr>
                  <w:rFonts w:ascii="Arial" w:cs="Arial" w:eastAsia="Arial" w:hAnsi="Arial"/>
                  <w:sz w:val="18"/>
                  <w:szCs w:val="18"/>
                  <w:color w:val="0563C1"/>
                </w:rPr>
                <w:t>Condensed Consolidated Statements of Cash Flows (Unaudited)</w:t>
              </w:r>
            </w:hyperlink>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20" w:type="dxa"/>
            <w:vAlign w:val="bottom"/>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300" w:type="dxa"/>
            <w:vAlign w:val="bottom"/>
            <w:gridSpan w:val="20"/>
          </w:tcPr>
          <w:p>
            <w:pPr>
              <w:spacing w:after="0"/>
              <w:rPr>
                <w:rFonts w:ascii="Arial" w:cs="Arial" w:eastAsia="Arial" w:hAnsi="Arial"/>
                <w:sz w:val="18"/>
                <w:szCs w:val="18"/>
                <w:color w:val="0563C1"/>
              </w:rPr>
            </w:pPr>
            <w:hyperlink w:anchor="page12">
              <w:r>
                <w:rPr>
                  <w:rFonts w:ascii="Arial" w:cs="Arial" w:eastAsia="Arial" w:hAnsi="Arial"/>
                  <w:sz w:val="18"/>
                  <w:szCs w:val="18"/>
                  <w:color w:val="0563C1"/>
                </w:rPr>
                <w:t>Notes to Condensed Consolidated Financial Statements (Unaudited)</w:t>
              </w:r>
            </w:hyperlink>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20" w:type="dxa"/>
            <w:vAlign w:val="bottom"/>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563C1"/>
            </w:tcBorders>
            <w:gridSpan w:val="18"/>
          </w:tcPr>
          <w:p>
            <w:pPr>
              <w:spacing w:after="0"/>
              <w:rPr>
                <w:rFonts w:ascii="Arial" w:cs="Arial" w:eastAsia="Arial" w:hAnsi="Arial"/>
                <w:sz w:val="18"/>
                <w:szCs w:val="18"/>
                <w:color w:val="0563C1"/>
                <w:w w:val="90"/>
              </w:rPr>
            </w:pPr>
            <w:hyperlink w:anchor="page29">
              <w:r>
                <w:rPr>
                  <w:rFonts w:ascii="Arial" w:cs="Arial" w:eastAsia="Arial" w:hAnsi="Arial"/>
                  <w:sz w:val="18"/>
                  <w:szCs w:val="18"/>
                  <w:color w:val="0563C1"/>
                  <w:w w:val="90"/>
                </w:rPr>
                <w:t>Management’s Discussion and Analysis of Financial Condition and Results of Operations</w:t>
              </w:r>
            </w:hyperlink>
          </w:p>
        </w:tc>
        <w:tc>
          <w:tcPr>
            <w:tcW w:w="2840" w:type="dxa"/>
            <w:vAlign w:val="bottom"/>
            <w:gridSpan w:val="2"/>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29</w:t>
            </w:r>
          </w:p>
        </w:tc>
        <w:tc>
          <w:tcPr>
            <w:tcW w:w="0" w:type="dxa"/>
            <w:vAlign w:val="bottom"/>
          </w:tcPr>
          <w:p>
            <w:pPr>
              <w:spacing w:after="0"/>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563C1"/>
            </w:tcBorders>
            <w:gridSpan w:val="14"/>
          </w:tcPr>
          <w:p>
            <w:pPr>
              <w:spacing w:after="0"/>
              <w:rPr>
                <w:rFonts w:ascii="Arial" w:cs="Arial" w:eastAsia="Arial" w:hAnsi="Arial"/>
                <w:sz w:val="18"/>
                <w:szCs w:val="18"/>
                <w:color w:val="0563C1"/>
                <w:w w:val="92"/>
              </w:rPr>
            </w:pPr>
            <w:hyperlink w:anchor="page43">
              <w:r>
                <w:rPr>
                  <w:rFonts w:ascii="Arial" w:cs="Arial" w:eastAsia="Arial" w:hAnsi="Arial"/>
                  <w:sz w:val="18"/>
                  <w:szCs w:val="18"/>
                  <w:color w:val="0563C1"/>
                  <w:w w:val="92"/>
                </w:rPr>
                <w:t>Quantitative and Qualitative Disclosures About Market Risk</w:t>
              </w:r>
            </w:hyperlink>
          </w:p>
        </w:tc>
        <w:tc>
          <w:tcPr>
            <w:tcW w:w="4940" w:type="dxa"/>
            <w:vAlign w:val="bottom"/>
            <w:gridSpan w:val="6"/>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0" w:type="dxa"/>
            <w:vAlign w:val="bottom"/>
          </w:tcPr>
          <w:p>
            <w:pPr>
              <w:spacing w:after="0"/>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Item 4.</w:t>
            </w:r>
          </w:p>
        </w:tc>
        <w:tc>
          <w:tcPr>
            <w:tcW w:w="9300" w:type="dxa"/>
            <w:vAlign w:val="bottom"/>
            <w:gridSpan w:val="20"/>
          </w:tcPr>
          <w:p>
            <w:pPr>
              <w:spacing w:after="0"/>
              <w:rPr>
                <w:rFonts w:ascii="Arial" w:cs="Arial" w:eastAsia="Arial" w:hAnsi="Arial"/>
                <w:sz w:val="18"/>
                <w:szCs w:val="18"/>
                <w:color w:val="0563C1"/>
              </w:rPr>
            </w:pPr>
            <w:hyperlink w:anchor="page43">
              <w:r>
                <w:rPr>
                  <w:rFonts w:ascii="Arial" w:cs="Arial" w:eastAsia="Arial" w:hAnsi="Arial"/>
                  <w:sz w:val="18"/>
                  <w:szCs w:val="18"/>
                  <w:color w:val="0563C1"/>
                </w:rPr>
                <w:t>Controls and Procedures</w:t>
              </w:r>
            </w:hyperlink>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vMerge w:val="continue"/>
          </w:tcPr>
          <w:p>
            <w:pPr>
              <w:spacing w:after="0"/>
              <w:rPr>
                <w:sz w:val="24"/>
                <w:szCs w:val="24"/>
                <w:color w:val="auto"/>
              </w:rPr>
            </w:pPr>
          </w:p>
        </w:tc>
        <w:tc>
          <w:tcPr>
            <w:tcW w:w="1880" w:type="dxa"/>
            <w:vAlign w:val="bottom"/>
            <w:tcBorders>
              <w:bottom w:val="single" w:sz="8" w:color="0563C1"/>
            </w:tcBorders>
            <w:gridSpan w:val="7"/>
          </w:tcPr>
          <w:p>
            <w:pPr>
              <w:spacing w:after="0"/>
              <w:rPr>
                <w:rFonts w:ascii="Arial" w:cs="Arial" w:eastAsia="Arial" w:hAnsi="Arial"/>
                <w:sz w:val="18"/>
                <w:szCs w:val="18"/>
                <w:color w:val="0563C1"/>
                <w:w w:val="95"/>
              </w:rPr>
            </w:pPr>
            <w:hyperlink w:anchor="page44">
              <w:r>
                <w:rPr>
                  <w:rFonts w:ascii="Arial" w:cs="Arial" w:eastAsia="Arial" w:hAnsi="Arial"/>
                  <w:sz w:val="18"/>
                  <w:szCs w:val="18"/>
                  <w:color w:val="0563C1"/>
                  <w:w w:val="95"/>
                </w:rPr>
                <w:t>OTHER INFORMATION</w:t>
              </w:r>
            </w:hyperlink>
          </w:p>
        </w:tc>
        <w:tc>
          <w:tcPr>
            <w:tcW w:w="7420" w:type="dxa"/>
            <w:vAlign w:val="bottom"/>
            <w:gridSpan w:val="13"/>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0" w:type="dxa"/>
            <w:vAlign w:val="bottom"/>
          </w:tcPr>
          <w:p>
            <w:pPr>
              <w:spacing w:after="0"/>
              <w:rPr>
                <w:sz w:val="1"/>
                <w:szCs w:val="1"/>
                <w:color w:val="auto"/>
              </w:rPr>
            </w:pPr>
          </w:p>
        </w:tc>
      </w:tr>
      <w:tr>
        <w:trPr>
          <w:trHeight w:val="466"/>
        </w:trPr>
        <w:tc>
          <w:tcPr>
            <w:tcW w:w="1160" w:type="dxa"/>
            <w:vAlign w:val="bottom"/>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20"/>
          </w:tcPr>
          <w:p>
            <w:pPr>
              <w:spacing w:after="0"/>
              <w:rPr>
                <w:rFonts w:ascii="Arial" w:cs="Arial" w:eastAsia="Arial" w:hAnsi="Arial"/>
                <w:sz w:val="18"/>
                <w:szCs w:val="18"/>
                <w:color w:val="0563C1"/>
              </w:rPr>
            </w:pPr>
            <w:hyperlink w:anchor="page44">
              <w:r>
                <w:rPr>
                  <w:rFonts w:ascii="Arial" w:cs="Arial" w:eastAsia="Arial" w:hAnsi="Arial"/>
                  <w:sz w:val="18"/>
                  <w:szCs w:val="18"/>
                  <w:color w:val="0563C1"/>
                </w:rPr>
                <w:t>Legal Proceedings</w:t>
              </w:r>
            </w:hyperlink>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0" w:type="dxa"/>
            <w:vAlign w:val="bottom"/>
          </w:tcPr>
          <w:p>
            <w:pPr>
              <w:spacing w:after="0"/>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563C1"/>
            </w:tcBorders>
            <w:gridSpan w:val="5"/>
          </w:tcPr>
          <w:p>
            <w:pPr>
              <w:spacing w:after="0"/>
              <w:rPr>
                <w:rFonts w:ascii="Arial" w:cs="Arial" w:eastAsia="Arial" w:hAnsi="Arial"/>
                <w:sz w:val="18"/>
                <w:szCs w:val="18"/>
                <w:color w:val="0563C1"/>
              </w:rPr>
            </w:pPr>
            <w:hyperlink w:anchor="page44">
              <w:r>
                <w:rPr>
                  <w:rFonts w:ascii="Arial" w:cs="Arial" w:eastAsia="Arial" w:hAnsi="Arial"/>
                  <w:sz w:val="18"/>
                  <w:szCs w:val="18"/>
                  <w:color w:val="0563C1"/>
                </w:rPr>
                <w:t>Risk Factors</w:t>
              </w:r>
            </w:hyperlink>
          </w:p>
        </w:tc>
        <w:tc>
          <w:tcPr>
            <w:tcW w:w="7980" w:type="dxa"/>
            <w:vAlign w:val="bottom"/>
            <w:gridSpan w:val="15"/>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Item 2.</w:t>
            </w:r>
          </w:p>
        </w:tc>
        <w:tc>
          <w:tcPr>
            <w:tcW w:w="9300" w:type="dxa"/>
            <w:vAlign w:val="bottom"/>
            <w:gridSpan w:val="20"/>
          </w:tcPr>
          <w:p>
            <w:pPr>
              <w:spacing w:after="0"/>
              <w:rPr>
                <w:rFonts w:ascii="Arial" w:cs="Arial" w:eastAsia="Arial" w:hAnsi="Arial"/>
                <w:sz w:val="18"/>
                <w:szCs w:val="18"/>
                <w:color w:val="0563C1"/>
              </w:rPr>
            </w:pPr>
            <w:hyperlink w:anchor="page108">
              <w:r>
                <w:rPr>
                  <w:rFonts w:ascii="Arial" w:cs="Arial" w:eastAsia="Arial" w:hAnsi="Arial"/>
                  <w:sz w:val="18"/>
                  <w:szCs w:val="18"/>
                  <w:color w:val="0563C1"/>
                </w:rPr>
                <w:t>Unregistered Sales of Equity Securities and Use of Proceeds</w:t>
              </w:r>
            </w:hyperlink>
          </w:p>
        </w:tc>
        <w:tc>
          <w:tcPr>
            <w:tcW w:w="780" w:type="dxa"/>
            <w:vAlign w:val="bottom"/>
          </w:tcPr>
          <w:p>
            <w:pPr>
              <w:jc w:val="center"/>
              <w:spacing w:after="0"/>
              <w:rPr>
                <w:sz w:val="20"/>
                <w:szCs w:val="20"/>
                <w:color w:val="auto"/>
              </w:rPr>
            </w:pPr>
            <w:r>
              <w:rPr>
                <w:rFonts w:ascii="Arial" w:cs="Arial" w:eastAsia="Arial" w:hAnsi="Arial"/>
                <w:sz w:val="16"/>
                <w:szCs w:val="16"/>
                <w:color w:val="auto"/>
                <w:w w:val="97"/>
              </w:rPr>
              <w:t>108</w:t>
            </w:r>
          </w:p>
        </w:tc>
        <w:tc>
          <w:tcPr>
            <w:tcW w:w="0" w:type="dxa"/>
            <w:vAlign w:val="bottom"/>
          </w:tcPr>
          <w:p>
            <w:pPr>
              <w:spacing w:after="0"/>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563C1"/>
              <w:bottom w:val="single" w:sz="8" w:color="0563C1"/>
            </w:tcBorders>
            <w:gridSpan w:val="9"/>
          </w:tcPr>
          <w:p>
            <w:pPr>
              <w:spacing w:after="0"/>
              <w:rPr>
                <w:rFonts w:ascii="Arial" w:cs="Arial" w:eastAsia="Arial" w:hAnsi="Arial"/>
                <w:sz w:val="18"/>
                <w:szCs w:val="18"/>
                <w:color w:val="0563C1"/>
                <w:w w:val="90"/>
              </w:rPr>
            </w:pPr>
            <w:hyperlink w:anchor="page108">
              <w:r>
                <w:rPr>
                  <w:rFonts w:ascii="Arial" w:cs="Arial" w:eastAsia="Arial" w:hAnsi="Arial"/>
                  <w:sz w:val="18"/>
                  <w:szCs w:val="18"/>
                  <w:color w:val="0563C1"/>
                  <w:w w:val="90"/>
                </w:rPr>
                <w:t>Defaults Upon Senior Securities</w:t>
              </w:r>
            </w:hyperlink>
          </w:p>
        </w:tc>
        <w:tc>
          <w:tcPr>
            <w:tcW w:w="2020" w:type="dxa"/>
            <w:vAlign w:val="bottom"/>
            <w:tcBorders>
              <w:top w:val="single" w:sz="8" w:color="0563C1"/>
            </w:tcBorders>
            <w:gridSpan w:val="4"/>
          </w:tcPr>
          <w:p>
            <w:pPr>
              <w:spacing w:after="0"/>
              <w:rPr>
                <w:sz w:val="19"/>
                <w:szCs w:val="19"/>
                <w:color w:val="auto"/>
              </w:rPr>
            </w:pPr>
          </w:p>
        </w:tc>
        <w:tc>
          <w:tcPr>
            <w:tcW w:w="4960" w:type="dxa"/>
            <w:vAlign w:val="bottom"/>
            <w:gridSpan w:val="7"/>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7"/>
              </w:rPr>
              <w:t>108</w:t>
            </w:r>
          </w:p>
        </w:tc>
        <w:tc>
          <w:tcPr>
            <w:tcW w:w="0" w:type="dxa"/>
            <w:vAlign w:val="bottom"/>
          </w:tcPr>
          <w:p>
            <w:pPr>
              <w:spacing w:after="0"/>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Item 4.</w:t>
            </w:r>
          </w:p>
        </w:tc>
        <w:tc>
          <w:tcPr>
            <w:tcW w:w="9300" w:type="dxa"/>
            <w:vAlign w:val="bottom"/>
            <w:gridSpan w:val="20"/>
          </w:tcPr>
          <w:p>
            <w:pPr>
              <w:spacing w:after="0"/>
              <w:rPr>
                <w:rFonts w:ascii="Arial" w:cs="Arial" w:eastAsia="Arial" w:hAnsi="Arial"/>
                <w:sz w:val="18"/>
                <w:szCs w:val="18"/>
                <w:color w:val="0563C1"/>
              </w:rPr>
            </w:pPr>
            <w:hyperlink w:anchor="page108">
              <w:r>
                <w:rPr>
                  <w:rFonts w:ascii="Arial" w:cs="Arial" w:eastAsia="Arial" w:hAnsi="Arial"/>
                  <w:sz w:val="18"/>
                  <w:szCs w:val="18"/>
                  <w:color w:val="0563C1"/>
                </w:rPr>
                <w:t>Mine Safety Disclosures</w:t>
              </w:r>
            </w:hyperlink>
          </w:p>
        </w:tc>
        <w:tc>
          <w:tcPr>
            <w:tcW w:w="780" w:type="dxa"/>
            <w:vAlign w:val="bottom"/>
          </w:tcPr>
          <w:p>
            <w:pPr>
              <w:jc w:val="center"/>
              <w:spacing w:after="0"/>
              <w:rPr>
                <w:sz w:val="20"/>
                <w:szCs w:val="20"/>
                <w:color w:val="auto"/>
              </w:rPr>
            </w:pPr>
            <w:r>
              <w:rPr>
                <w:rFonts w:ascii="Arial" w:cs="Arial" w:eastAsia="Arial" w:hAnsi="Arial"/>
                <w:sz w:val="16"/>
                <w:szCs w:val="16"/>
                <w:color w:val="auto"/>
                <w:w w:val="97"/>
              </w:rPr>
              <w:t>108</w:t>
            </w:r>
          </w:p>
        </w:tc>
        <w:tc>
          <w:tcPr>
            <w:tcW w:w="0" w:type="dxa"/>
            <w:vAlign w:val="bottom"/>
          </w:tcPr>
          <w:p>
            <w:pPr>
              <w:spacing w:after="0"/>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563C1"/>
            </w:tcBorders>
            <w:gridSpan w:val="6"/>
          </w:tcPr>
          <w:p>
            <w:pPr>
              <w:spacing w:after="0"/>
              <w:rPr>
                <w:rFonts w:ascii="Arial" w:cs="Arial" w:eastAsia="Arial" w:hAnsi="Arial"/>
                <w:sz w:val="18"/>
                <w:szCs w:val="18"/>
                <w:color w:val="0563C1"/>
              </w:rPr>
            </w:pPr>
            <w:hyperlink w:anchor="page108">
              <w:r>
                <w:rPr>
                  <w:rFonts w:ascii="Arial" w:cs="Arial" w:eastAsia="Arial" w:hAnsi="Arial"/>
                  <w:sz w:val="18"/>
                  <w:szCs w:val="18"/>
                  <w:color w:val="0563C1"/>
                </w:rPr>
                <w:t>Other Information</w:t>
              </w:r>
            </w:hyperlink>
          </w:p>
        </w:tc>
        <w:tc>
          <w:tcPr>
            <w:tcW w:w="7540" w:type="dxa"/>
            <w:vAlign w:val="bottom"/>
            <w:gridSpan w:val="14"/>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7"/>
              </w:rPr>
              <w:t>108</w:t>
            </w:r>
          </w:p>
        </w:tc>
        <w:tc>
          <w:tcPr>
            <w:tcW w:w="0" w:type="dxa"/>
            <w:vAlign w:val="bottom"/>
          </w:tcPr>
          <w:p>
            <w:pPr>
              <w:spacing w:after="0"/>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563C1"/>
              <w:bottom w:val="single" w:sz="8" w:color="0563C1"/>
            </w:tcBorders>
          </w:tcPr>
          <w:p>
            <w:pPr>
              <w:spacing w:after="0"/>
              <w:rPr>
                <w:rFonts w:ascii="Arial" w:cs="Arial" w:eastAsia="Arial" w:hAnsi="Arial"/>
                <w:sz w:val="18"/>
                <w:szCs w:val="18"/>
                <w:color w:val="0563C1"/>
                <w:w w:val="91"/>
              </w:rPr>
            </w:pPr>
            <w:hyperlink w:anchor="page109">
              <w:r>
                <w:rPr>
                  <w:rFonts w:ascii="Arial" w:cs="Arial" w:eastAsia="Arial" w:hAnsi="Arial"/>
                  <w:sz w:val="18"/>
                  <w:szCs w:val="18"/>
                  <w:color w:val="0563C1"/>
                  <w:w w:val="91"/>
                </w:rPr>
                <w:t>Exhibits</w:t>
              </w:r>
            </w:hyperlink>
          </w:p>
        </w:tc>
        <w:tc>
          <w:tcPr>
            <w:tcW w:w="700" w:type="dxa"/>
            <w:vAlign w:val="bottom"/>
            <w:tcBorders>
              <w:top w:val="single" w:sz="8" w:color="0563C1"/>
            </w:tcBorders>
            <w:gridSpan w:val="3"/>
          </w:tcPr>
          <w:p>
            <w:pPr>
              <w:spacing w:after="0"/>
              <w:rPr>
                <w:sz w:val="19"/>
                <w:szCs w:val="19"/>
                <w:color w:val="auto"/>
              </w:rPr>
            </w:pPr>
          </w:p>
        </w:tc>
        <w:tc>
          <w:tcPr>
            <w:tcW w:w="8000" w:type="dxa"/>
            <w:vAlign w:val="bottom"/>
            <w:gridSpan w:val="16"/>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7"/>
              </w:rPr>
              <w:t>109</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760" w:type="dxa"/>
            <w:vAlign w:val="bottom"/>
            <w:tcBorders>
              <w:bottom w:val="single" w:sz="8" w:color="0563C1"/>
            </w:tcBorders>
            <w:gridSpan w:val="2"/>
          </w:tcPr>
          <w:p>
            <w:pPr>
              <w:spacing w:after="0"/>
              <w:rPr>
                <w:rFonts w:ascii="Arial" w:cs="Arial" w:eastAsia="Arial" w:hAnsi="Arial"/>
                <w:sz w:val="18"/>
                <w:szCs w:val="18"/>
                <w:color w:val="0563C1"/>
                <w:w w:val="85"/>
              </w:rPr>
            </w:pPr>
            <w:hyperlink w:anchor="page111">
              <w:r>
                <w:rPr>
                  <w:rFonts w:ascii="Arial" w:cs="Arial" w:eastAsia="Arial" w:hAnsi="Arial"/>
                  <w:sz w:val="18"/>
                  <w:szCs w:val="18"/>
                  <w:color w:val="0563C1"/>
                  <w:w w:val="85"/>
                </w:rPr>
                <w:t>Signatures</w:t>
              </w:r>
            </w:hyperlink>
          </w:p>
        </w:tc>
        <w:tc>
          <w:tcPr>
            <w:tcW w:w="8540" w:type="dxa"/>
            <w:vAlign w:val="bottom"/>
            <w:gridSpan w:val="18"/>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2"/>
              </w:rPr>
              <w:t>111</w:t>
            </w:r>
          </w:p>
        </w:tc>
        <w:tc>
          <w:tcPr>
            <w:tcW w:w="0" w:type="dxa"/>
            <w:vAlign w:val="bottom"/>
          </w:tcPr>
          <w:p>
            <w:pPr>
              <w:spacing w:after="0"/>
              <w:rPr>
                <w:sz w:val="1"/>
                <w:szCs w:val="1"/>
                <w:color w:val="auto"/>
              </w:rPr>
            </w:pPr>
          </w:p>
        </w:tc>
      </w:tr>
      <w:tr>
        <w:trPr>
          <w:trHeight w:val="723"/>
        </w:trPr>
        <w:tc>
          <w:tcPr>
            <w:tcW w:w="1160" w:type="dxa"/>
            <w:vAlign w:val="bottom"/>
          </w:tcPr>
          <w:p>
            <w:pPr>
              <w:spacing w:after="0"/>
              <w:rPr>
                <w:sz w:val="24"/>
                <w:szCs w:val="24"/>
                <w:color w:val="auto"/>
              </w:rPr>
            </w:pPr>
          </w:p>
        </w:tc>
        <w:tc>
          <w:tcPr>
            <w:tcW w:w="4620" w:type="dxa"/>
            <w:vAlign w:val="bottom"/>
            <w:gridSpan w:val="15"/>
          </w:tcPr>
          <w:p>
            <w:pPr>
              <w:ind w:left="44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35" w:lineRule="exact"/>
        <w:rPr>
          <w:sz w:val="20"/>
          <w:szCs w:val="20"/>
          <w:color w:val="auto"/>
        </w:rPr>
      </w:pPr>
    </w:p>
    <w:p>
      <w:pPr>
        <w:spacing w:after="0" w:line="293" w:lineRule="auto"/>
        <w:rPr>
          <w:sz w:val="20"/>
          <w:szCs w:val="20"/>
          <w:color w:val="auto"/>
        </w:rPr>
      </w:pPr>
      <w:r>
        <w:rPr>
          <w:rFonts w:ascii="Arial" w:cs="Arial" w:eastAsia="Arial" w:hAnsi="Arial"/>
          <w:sz w:val="18"/>
          <w:szCs w:val="18"/>
          <w:i w:val="1"/>
          <w:iCs w:val="1"/>
          <w:color w:val="auto"/>
        </w:rPr>
        <w:t>Unless the context otherwise requires, references in this Quarterly Report on Form 10-Q to the “Company,” “Sight Sciences,” “we,” “us” and “our” refer to Sight Sciences, Inc.</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spacing w:after="0" w:line="8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total addressable market, future revenue, expenses, capital requirements, and our needs for additional financing;</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and compete in new markets;</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our customers’ and suppliers’ businesses and the general economy;</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our infrastructure;</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and grow our business by expanding our sales to existing customers or introducing our products to new customers;</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claims of infringement;</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effects of extensive government regulation;</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sufficient reimbursement for our products;</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abilities to protect and scale our intellectual property portfolio;</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financing in future offerings;</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30" w:lineRule="exact"/>
        <w:rPr>
          <w:rFonts w:ascii="Arial" w:cs="Arial" w:eastAsia="Arial" w:hAnsi="Arial"/>
          <w:sz w:val="18"/>
          <w:szCs w:val="18"/>
          <w:color w:val="auto"/>
        </w:rPr>
      </w:pPr>
    </w:p>
    <w:p>
      <w:pPr>
        <w:ind w:left="340" w:right="140" w:hanging="332"/>
        <w:spacing w:after="0" w:line="29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regarding the time during which we will be an emerging growth company under the Jumpstart Our Business Startups Act (the “JOBS Act”); and</w:t>
      </w:r>
    </w:p>
    <w:p>
      <w:pPr>
        <w:spacing w:after="0" w:line="6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proper and effective internal controls.</w:t>
      </w:r>
    </w:p>
    <w:p>
      <w:pPr>
        <w:spacing w:after="0" w:line="239"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color w:val="auto"/>
        </w:rPr>
        <w:t>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Quarterly Report on Form 10-Q.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or occur, and actual results, events or circumstances could differ materially from those described in the forward-looking statements.</w:t>
      </w:r>
    </w:p>
    <w:p>
      <w:pPr>
        <w:spacing w:after="0" w:line="239"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The forward-looking statements in this Quarterly Report on Form 10-Q are based on information available to us as of the date of this Quarterly Report on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as exhibits to this Quarterly Report on Form 10-Q with the understanding that our actual future results, performance and achievements may be materially different from what we expect. We qualify all of our forward-looking statements by these cautionary statements. 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 SUMMARY</w:t>
      </w:r>
    </w:p>
    <w:p>
      <w:pPr>
        <w:spacing w:after="0" w:line="135" w:lineRule="exact"/>
        <w:rPr>
          <w:sz w:val="20"/>
          <w:szCs w:val="20"/>
          <w:color w:val="auto"/>
        </w:rPr>
      </w:pPr>
    </w:p>
    <w:p>
      <w:pPr>
        <w:jc w:val="both"/>
        <w:ind w:right="140"/>
        <w:spacing w:after="0" w:line="279"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common stock. The principal risks and uncertainties affecting our business include the following:</w:t>
      </w:r>
    </w:p>
    <w:p>
      <w:pPr>
        <w:spacing w:after="0" w:line="75" w:lineRule="exact"/>
        <w:rPr>
          <w:sz w:val="20"/>
          <w:szCs w:val="20"/>
          <w:color w:val="auto"/>
        </w:rPr>
      </w:pPr>
    </w:p>
    <w:p>
      <w:pPr>
        <w:ind w:left="340" w:right="480" w:hanging="332"/>
        <w:spacing w:after="0" w:line="29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inception and expect to incur significant additional losses for the foreseeable future which may make it difficult to evaluate the success of our business to date and to assess the prospects for our future viability;</w:t>
      </w:r>
    </w:p>
    <w:p>
      <w:pPr>
        <w:spacing w:after="0" w:line="61" w:lineRule="exact"/>
        <w:rPr>
          <w:rFonts w:ascii="Arial" w:cs="Arial" w:eastAsia="Arial" w:hAnsi="Arial"/>
          <w:sz w:val="18"/>
          <w:szCs w:val="18"/>
          <w:color w:val="auto"/>
        </w:rPr>
      </w:pPr>
    </w:p>
    <w:p>
      <w:pPr>
        <w:ind w:left="340" w:right="120" w:hanging="332"/>
        <w:spacing w:after="0" w:line="303"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is highly dependent on the success of two current commercial products, and in particular OMNI. The development of TearCare for expanded indications depends upon positive clinical data, and the safety and efficacy of our products are not yet supported by long-term clinical data, which could delay or prevent clearance by regulatory authorities or limit sales if cleared, certified or approved;</w:t>
      </w:r>
    </w:p>
    <w:p>
      <w:pPr>
        <w:spacing w:after="0" w:line="56" w:lineRule="exact"/>
        <w:rPr>
          <w:rFonts w:ascii="Arial" w:cs="Arial" w:eastAsia="Arial" w:hAnsi="Arial"/>
          <w:sz w:val="17"/>
          <w:szCs w:val="17"/>
          <w:color w:val="auto"/>
        </w:rPr>
      </w:pPr>
    </w:p>
    <w:p>
      <w:pPr>
        <w:ind w:left="340" w:right="300" w:hanging="332"/>
        <w:spacing w:after="0" w:line="29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need additional funding in order to finance our planned operations. The inability to raise funds on acceptable terms, if at all, when needed, may force us to delay, reduce or eliminate our product development programs and commercialization efforts;</w:t>
      </w:r>
    </w:p>
    <w:p>
      <w:pPr>
        <w:spacing w:after="0" w:line="61" w:lineRule="exact"/>
        <w:rPr>
          <w:rFonts w:ascii="Arial" w:cs="Arial" w:eastAsia="Arial" w:hAnsi="Arial"/>
          <w:sz w:val="18"/>
          <w:szCs w:val="18"/>
          <w:color w:val="auto"/>
        </w:rPr>
      </w:pPr>
    </w:p>
    <w:p>
      <w:pPr>
        <w:ind w:left="340" w:right="420" w:hanging="332"/>
        <w:spacing w:after="0" w:line="29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has impacted, and likely will continue to impact, our operations and financial results and may materially and adversely affect our business and financial results in the future;</w:t>
      </w:r>
    </w:p>
    <w:p>
      <w:pPr>
        <w:spacing w:after="0" w:line="61" w:lineRule="exact"/>
        <w:rPr>
          <w:rFonts w:ascii="Arial" w:cs="Arial" w:eastAsia="Arial" w:hAnsi="Arial"/>
          <w:sz w:val="18"/>
          <w:szCs w:val="18"/>
          <w:color w:val="auto"/>
        </w:rPr>
      </w:pPr>
    </w:p>
    <w:p>
      <w:pPr>
        <w:ind w:left="340" w:right="600" w:hanging="332"/>
        <w:spacing w:after="0" w:line="359"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subject to extensive and costly government regulation on federal, state and foreign levels and we may not receive, or may be delayed in receiving, the necessary regulatory clearances, certifications or approvals for our future products or modifications to our current products;</w:t>
      </w:r>
    </w:p>
    <w:p>
      <w:pPr>
        <w:spacing w:after="0" w:line="16" w:lineRule="exact"/>
        <w:rPr>
          <w:rFonts w:ascii="Arial" w:cs="Arial" w:eastAsia="Arial" w:hAnsi="Arial"/>
          <w:sz w:val="16"/>
          <w:szCs w:val="16"/>
          <w:color w:val="auto"/>
        </w:rPr>
      </w:pPr>
    </w:p>
    <w:p>
      <w:pPr>
        <w:ind w:left="340" w:right="300" w:hanging="332"/>
        <w:spacing w:after="0" w:line="29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incur significant liability if it is determined that we are not complying with federal, state or foreign regulatory requirements, such as if it is determined that we are promoting off-label uses of our products;</w:t>
      </w:r>
    </w:p>
    <w:p>
      <w:pPr>
        <w:spacing w:after="0" w:line="6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public health insurance coverage and reimbursement rates may affect the adoption of our products and our future revenue;</w:t>
      </w:r>
    </w:p>
    <w:p>
      <w:pPr>
        <w:spacing w:after="0" w:line="130" w:lineRule="exact"/>
        <w:rPr>
          <w:rFonts w:ascii="Arial" w:cs="Arial" w:eastAsia="Arial" w:hAnsi="Arial"/>
          <w:sz w:val="18"/>
          <w:szCs w:val="18"/>
          <w:color w:val="auto"/>
        </w:rPr>
      </w:pPr>
    </w:p>
    <w:p>
      <w:pPr>
        <w:ind w:left="340" w:right="980" w:hanging="332"/>
        <w:spacing w:after="0" w:line="324"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Developments by competitors may render our products or technologies obsolete or noncompetitive and the development of new products, technologies, procedures, medications or other therapies could replace or reduce the importance of our products;</w:t>
      </w:r>
    </w:p>
    <w:p>
      <w:pPr>
        <w:spacing w:after="0" w:line="39" w:lineRule="exact"/>
        <w:rPr>
          <w:rFonts w:ascii="Arial" w:cs="Arial" w:eastAsia="Arial" w:hAnsi="Arial"/>
          <w:sz w:val="17"/>
          <w:szCs w:val="17"/>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 parties for the manufacture and supply of OMNI and TearCare;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 w:name="page5"/>
    <w:bookmarkEnd w:id="4"/>
    <w:p>
      <w:pPr>
        <w:ind w:left="332" w:right="520" w:hanging="332"/>
        <w:spacing w:after="0" w:line="324" w:lineRule="auto"/>
        <w:tabs>
          <w:tab w:leader="none" w:pos="332"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depend on a limited number of single source suppliers for some of the components, accessories, and materials used in the manufacture and assembly of OMNI and TearCare and any shortfall in the supply chain may cause our business to materially suffer;</w:t>
      </w:r>
    </w:p>
    <w:p>
      <w:pPr>
        <w:spacing w:after="0" w:line="39" w:lineRule="exact"/>
        <w:rPr>
          <w:rFonts w:ascii="Arial" w:cs="Arial" w:eastAsia="Arial" w:hAnsi="Arial"/>
          <w:sz w:val="17"/>
          <w:szCs w:val="17"/>
          <w:color w:val="auto"/>
        </w:rPr>
      </w:pPr>
    </w:p>
    <w:p>
      <w:pPr>
        <w:ind w:left="332" w:hanging="332"/>
        <w:spacing w:after="0" w:line="275"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protect, maintain, enforce and adequately protect our intellectual property rights with respect to our technology and current and future products, or if the scope of the patent protection obtained is not sufficiently broad, our competitors could develop and commercialize technology and products similar or identical to ours, and our ability to successfully develop and commercialize our technology and current and future products may be adversely affected; and</w:t>
      </w:r>
    </w:p>
    <w:p>
      <w:pPr>
        <w:spacing w:after="0" w:line="77" w:lineRule="exact"/>
        <w:rPr>
          <w:rFonts w:ascii="Arial" w:cs="Arial" w:eastAsia="Arial" w:hAnsi="Arial"/>
          <w:sz w:val="18"/>
          <w:szCs w:val="18"/>
          <w:color w:val="auto"/>
        </w:rPr>
      </w:pPr>
    </w:p>
    <w:p>
      <w:pPr>
        <w:ind w:left="332" w:right="40" w:hanging="332"/>
        <w:spacing w:after="0" w:line="293"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lose key management or scientific personnel, cannot recruit qualified employees, directors, officers or other significant personnel or experience increases in our compensation costs, our business may materially suffer.</w:t>
      </w:r>
    </w:p>
    <w:p>
      <w:pPr>
        <w:spacing w:after="0" w:line="183"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476" w:right="4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SIGHT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September 30,</w:t>
            </w:r>
          </w:p>
        </w:tc>
        <w:tc>
          <w:tcPr>
            <w:tcW w:w="200" w:type="dxa"/>
            <w:vAlign w:val="bottom"/>
          </w:tcPr>
          <w:p>
            <w:pPr>
              <w:spacing w:after="0"/>
              <w:rPr>
                <w:sz w:val="16"/>
                <w:szCs w:val="16"/>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209"/>
        </w:trPr>
        <w:tc>
          <w:tcPr>
            <w:tcW w:w="7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56"/>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9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271,475</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61,511</w:t>
            </w:r>
          </w:p>
        </w:tc>
        <w:tc>
          <w:tcPr>
            <w:tcW w:w="100" w:type="dxa"/>
            <w:vAlign w:val="bottom"/>
            <w:shd w:val="clear" w:color="auto" w:fill="CFF0FC"/>
          </w:tcPr>
          <w:p>
            <w:pPr>
              <w:spacing w:after="0"/>
              <w:rPr>
                <w:sz w:val="22"/>
                <w:szCs w:val="22"/>
                <w:color w:val="auto"/>
              </w:rPr>
            </w:pPr>
          </w:p>
        </w:tc>
      </w:tr>
      <w:tr>
        <w:trPr>
          <w:trHeight w:val="250"/>
        </w:trPr>
        <w:tc>
          <w:tcPr>
            <w:tcW w:w="796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8,920</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5,363</w:t>
            </w:r>
          </w:p>
        </w:tc>
        <w:tc>
          <w:tcPr>
            <w:tcW w:w="100" w:type="dxa"/>
            <w:vAlign w:val="bottom"/>
          </w:tcPr>
          <w:p>
            <w:pPr>
              <w:spacing w:after="0"/>
              <w:rPr>
                <w:sz w:val="21"/>
                <w:szCs w:val="21"/>
                <w:color w:val="auto"/>
              </w:rPr>
            </w:pPr>
          </w:p>
        </w:tc>
      </w:tr>
      <w:tr>
        <w:trPr>
          <w:trHeight w:val="263"/>
        </w:trPr>
        <w:tc>
          <w:tcPr>
            <w:tcW w:w="7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Inventory, net</w:t>
            </w: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2,948</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2,598</w:t>
            </w:r>
          </w:p>
        </w:tc>
        <w:tc>
          <w:tcPr>
            <w:tcW w:w="100" w:type="dxa"/>
            <w:vAlign w:val="bottom"/>
            <w:shd w:val="clear" w:color="auto" w:fill="CFF0FC"/>
          </w:tcPr>
          <w:p>
            <w:pPr>
              <w:spacing w:after="0"/>
              <w:rPr>
                <w:sz w:val="22"/>
                <w:szCs w:val="22"/>
                <w:color w:val="auto"/>
              </w:rPr>
            </w:pPr>
          </w:p>
        </w:tc>
      </w:tr>
      <w:tr>
        <w:trPr>
          <w:trHeight w:val="250"/>
        </w:trPr>
        <w:tc>
          <w:tcPr>
            <w:tcW w:w="796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1"/>
                <w:szCs w:val="21"/>
                <w:color w:val="auto"/>
              </w:rPr>
            </w:pPr>
          </w:p>
        </w:tc>
      </w:tr>
      <w:tr>
        <w:trPr>
          <w:trHeight w:val="257"/>
        </w:trPr>
        <w:tc>
          <w:tcPr>
            <w:tcW w:w="7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287,836</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70,633</w:t>
            </w:r>
          </w:p>
        </w:tc>
        <w:tc>
          <w:tcPr>
            <w:tcW w:w="100" w:type="dxa"/>
            <w:vAlign w:val="bottom"/>
            <w:shd w:val="clear" w:color="auto" w:fill="CFF0FC"/>
          </w:tcPr>
          <w:p>
            <w:pPr>
              <w:spacing w:after="0"/>
              <w:rPr>
                <w:sz w:val="22"/>
                <w:szCs w:val="22"/>
                <w:color w:val="auto"/>
              </w:rPr>
            </w:pPr>
          </w:p>
        </w:tc>
      </w:tr>
      <w:tr>
        <w:trPr>
          <w:trHeight w:val="250"/>
        </w:trPr>
        <w:tc>
          <w:tcPr>
            <w:tcW w:w="79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1,420</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1"/>
                <w:szCs w:val="21"/>
                <w:color w:val="auto"/>
              </w:rPr>
            </w:pPr>
          </w:p>
        </w:tc>
      </w:tr>
      <w:tr>
        <w:trPr>
          <w:trHeight w:val="263"/>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1,612</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FF0FC"/>
          </w:tcPr>
          <w:p>
            <w:pPr>
              <w:spacing w:after="0"/>
              <w:rPr>
                <w:sz w:val="22"/>
                <w:szCs w:val="22"/>
                <w:color w:val="auto"/>
              </w:rPr>
            </w:pPr>
          </w:p>
        </w:tc>
      </w:tr>
      <w:tr>
        <w:trPr>
          <w:trHeight w:val="250"/>
        </w:trPr>
        <w:tc>
          <w:tcPr>
            <w:tcW w:w="79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r>
      <w:tr>
        <w:trPr>
          <w:trHeight w:val="290"/>
        </w:trPr>
        <w:tc>
          <w:tcPr>
            <w:tcW w:w="79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291,050</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72,806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9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1,839</w:t>
            </w:r>
          </w:p>
        </w:tc>
        <w:tc>
          <w:tcPr>
            <w:tcW w:w="2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21"/>
                <w:szCs w:val="21"/>
                <w:color w:val="auto"/>
              </w:rPr>
            </w:pPr>
          </w:p>
        </w:tc>
      </w:tr>
      <w:tr>
        <w:trPr>
          <w:trHeight w:val="263"/>
        </w:trPr>
        <w:tc>
          <w:tcPr>
            <w:tcW w:w="7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4,639</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4,070</w:t>
            </w:r>
          </w:p>
        </w:tc>
        <w:tc>
          <w:tcPr>
            <w:tcW w:w="100" w:type="dxa"/>
            <w:vAlign w:val="bottom"/>
            <w:shd w:val="clear" w:color="auto" w:fill="CFF0FC"/>
          </w:tcPr>
          <w:p>
            <w:pPr>
              <w:spacing w:after="0"/>
              <w:rPr>
                <w:sz w:val="22"/>
                <w:szCs w:val="22"/>
                <w:color w:val="auto"/>
              </w:rPr>
            </w:pPr>
          </w:p>
        </w:tc>
      </w:tr>
      <w:tr>
        <w:trPr>
          <w:trHeight w:val="250"/>
        </w:trPr>
        <w:tc>
          <w:tcPr>
            <w:tcW w:w="7960" w:type="dxa"/>
            <w:vAlign w:val="bottom"/>
          </w:tcPr>
          <w:p>
            <w:pPr>
              <w:ind w:left="200"/>
              <w:spacing w:after="0"/>
              <w:rPr>
                <w:sz w:val="20"/>
                <w:szCs w:val="20"/>
                <w:color w:val="auto"/>
              </w:rPr>
            </w:pPr>
            <w:r>
              <w:rPr>
                <w:rFonts w:ascii="Arial" w:cs="Arial" w:eastAsia="Arial" w:hAnsi="Arial"/>
                <w:sz w:val="18"/>
                <w:szCs w:val="18"/>
                <w:color w:val="auto"/>
              </w:rPr>
              <w:t>Accrued and other current liabilities</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3,837</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w:t>
            </w:r>
          </w:p>
        </w:tc>
        <w:tc>
          <w:tcPr>
            <w:tcW w:w="100" w:type="dxa"/>
            <w:vAlign w:val="bottom"/>
          </w:tcPr>
          <w:p>
            <w:pPr>
              <w:spacing w:after="0"/>
              <w:rPr>
                <w:sz w:val="21"/>
                <w:szCs w:val="21"/>
                <w:color w:val="auto"/>
              </w:rPr>
            </w:pPr>
          </w:p>
        </w:tc>
      </w:tr>
      <w:tr>
        <w:trPr>
          <w:trHeight w:val="257"/>
        </w:trPr>
        <w:tc>
          <w:tcPr>
            <w:tcW w:w="7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10,315</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9,314</w:t>
            </w:r>
          </w:p>
        </w:tc>
        <w:tc>
          <w:tcPr>
            <w:tcW w:w="100" w:type="dxa"/>
            <w:vAlign w:val="bottom"/>
            <w:shd w:val="clear" w:color="auto" w:fill="CFF0FC"/>
          </w:tcPr>
          <w:p>
            <w:pPr>
              <w:spacing w:after="0"/>
              <w:rPr>
                <w:sz w:val="22"/>
                <w:szCs w:val="22"/>
                <w:color w:val="auto"/>
              </w:rPr>
            </w:pPr>
          </w:p>
        </w:tc>
      </w:tr>
      <w:tr>
        <w:trPr>
          <w:trHeight w:val="250"/>
        </w:trPr>
        <w:tc>
          <w:tcPr>
            <w:tcW w:w="79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32,486</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31,955</w:t>
            </w:r>
          </w:p>
        </w:tc>
        <w:tc>
          <w:tcPr>
            <w:tcW w:w="100" w:type="dxa"/>
            <w:vAlign w:val="bottom"/>
          </w:tcPr>
          <w:p>
            <w:pPr>
              <w:spacing w:after="0"/>
              <w:rPr>
                <w:sz w:val="21"/>
                <w:szCs w:val="21"/>
                <w:color w:val="auto"/>
              </w:rPr>
            </w:pPr>
          </w:p>
        </w:tc>
      </w:tr>
      <w:tr>
        <w:trPr>
          <w:trHeight w:val="257"/>
        </w:trPr>
        <w:tc>
          <w:tcPr>
            <w:tcW w:w="7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2,273</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96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45,074</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44,324</w:t>
            </w:r>
          </w:p>
        </w:tc>
        <w:tc>
          <w:tcPr>
            <w:tcW w:w="100" w:type="dxa"/>
            <w:vAlign w:val="bottom"/>
          </w:tcPr>
          <w:p>
            <w:pPr>
              <w:spacing w:after="0"/>
              <w:rPr>
                <w:sz w:val="21"/>
                <w:szCs w:val="21"/>
                <w:color w:val="auto"/>
              </w:rPr>
            </w:pPr>
          </w:p>
        </w:tc>
      </w:tr>
      <w:tr>
        <w:trPr>
          <w:trHeight w:val="257"/>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6)</w:t>
            </w: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96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796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3"/>
              </w:rPr>
              <w:t>Convertible preferred stock, $0.001 par value; 10,000,000 shares authorized as of September 30, 2021,</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7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 shares issued and outstanding as of September 30, 2021; 14,241,390 shares authorized as of</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96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6"/>
              </w:rPr>
              <w:t>December 31, 2020, 12,767,202 shares issued and outstanding as of December 31, 2020; aggregate</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liquidation preference of $118.6 million as of December 31, 2020</w:t>
            </w:r>
          </w:p>
        </w:tc>
        <w:tc>
          <w:tcPr>
            <w:tcW w:w="20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117,331</w:t>
            </w:r>
          </w:p>
        </w:tc>
        <w:tc>
          <w:tcPr>
            <w:tcW w:w="100" w:type="dxa"/>
            <w:vAlign w:val="bottom"/>
            <w:shd w:val="clear" w:color="auto" w:fill="CFF0FC"/>
          </w:tcPr>
          <w:p>
            <w:pPr>
              <w:spacing w:after="0"/>
              <w:rPr>
                <w:sz w:val="21"/>
                <w:szCs w:val="21"/>
                <w:color w:val="auto"/>
              </w:rPr>
            </w:pPr>
          </w:p>
        </w:tc>
      </w:tr>
      <w:tr>
        <w:trPr>
          <w:trHeight w:val="250"/>
        </w:trPr>
        <w:tc>
          <w:tcPr>
            <w:tcW w:w="796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796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7"/>
              </w:rPr>
              <w:t>Common stock par value of $0.001 per share; 200,000,000 and 21,831,000 shares authorized as of</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796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2"/>
              </w:rPr>
              <w:t>September 30, 2021 and December 31, 2020, respectively; 47,292,022 and 9,509,182 shares issued and</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outstanding as of September 30, 2021 and December 31, 2020, respectively</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1"/>
                <w:szCs w:val="21"/>
                <w:color w:val="auto"/>
              </w:rPr>
            </w:pPr>
          </w:p>
        </w:tc>
      </w:tr>
      <w:tr>
        <w:trPr>
          <w:trHeight w:val="250"/>
        </w:trPr>
        <w:tc>
          <w:tcPr>
            <w:tcW w:w="7960" w:type="dxa"/>
            <w:vAlign w:val="bottom"/>
          </w:tcPr>
          <w:p>
            <w:pPr>
              <w:ind w:left="200"/>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382,992</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1"/>
                <w:szCs w:val="21"/>
                <w:color w:val="auto"/>
              </w:rPr>
            </w:pPr>
          </w:p>
        </w:tc>
      </w:tr>
      <w:tr>
        <w:trPr>
          <w:trHeight w:val="257"/>
        </w:trPr>
        <w:tc>
          <w:tcPr>
            <w:tcW w:w="7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(137,065 )</w:t>
            </w:r>
          </w:p>
        </w:tc>
        <w:tc>
          <w:tcPr>
            <w:tcW w:w="20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(90,041 )</w:t>
            </w:r>
          </w:p>
        </w:tc>
      </w:tr>
      <w:tr>
        <w:trPr>
          <w:trHeight w:val="20"/>
        </w:trPr>
        <w:tc>
          <w:tcPr>
            <w:tcW w:w="79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960" w:type="dxa"/>
            <w:vAlign w:val="bottom"/>
          </w:tcPr>
          <w:p>
            <w:pPr>
              <w:ind w:left="380"/>
              <w:spacing w:after="0"/>
              <w:rPr>
                <w:sz w:val="20"/>
                <w:szCs w:val="20"/>
                <w:color w:val="auto"/>
              </w:rPr>
            </w:pPr>
            <w:r>
              <w:rPr>
                <w:rFonts w:ascii="Arial" w:cs="Arial" w:eastAsia="Arial" w:hAnsi="Arial"/>
                <w:sz w:val="18"/>
                <w:szCs w:val="18"/>
                <w:color w:val="auto"/>
              </w:rPr>
              <w:t>Total stockholders’ equity (deficit)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245,976</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(88,849 )</w:t>
            </w:r>
          </w:p>
        </w:tc>
      </w:tr>
      <w:tr>
        <w:trPr>
          <w:trHeight w:val="290"/>
        </w:trPr>
        <w:tc>
          <w:tcPr>
            <w:tcW w:w="79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291,050</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72,806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-3754120</wp:posOffset>
            </wp:positionV>
            <wp:extent cx="1803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-3736975</wp:posOffset>
            </wp:positionV>
            <wp:extent cx="1803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-3754120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-3736975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-2413635</wp:posOffset>
            </wp:positionV>
            <wp:extent cx="1803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-2413635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-365125</wp:posOffset>
            </wp:positionV>
            <wp:extent cx="1803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1803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803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SIGHT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13,101</w:t>
            </w:r>
          </w:p>
        </w:tc>
        <w:tc>
          <w:tcPr>
            <w:tcW w:w="26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8,651</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34,271</w:t>
            </w:r>
          </w:p>
        </w:tc>
        <w:tc>
          <w:tcPr>
            <w:tcW w:w="240" w:type="dxa"/>
            <w:vAlign w:val="bottom"/>
            <w:shd w:val="clear" w:color="auto" w:fill="CFF0FC"/>
          </w:tcPr>
          <w:p>
            <w:pPr>
              <w:spacing w:after="0"/>
              <w:rPr>
                <w:sz w:val="22"/>
                <w:szCs w:val="22"/>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2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6,668</w:t>
            </w:r>
          </w:p>
        </w:tc>
        <w:tc>
          <w:tcPr>
            <w:tcW w:w="2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11,039</w:t>
            </w:r>
          </w:p>
        </w:tc>
        <w:tc>
          <w:tcPr>
            <w:tcW w:w="2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6,031</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27,603</w:t>
            </w:r>
          </w:p>
        </w:tc>
        <w:tc>
          <w:tcPr>
            <w:tcW w:w="24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4,279</w:t>
            </w:r>
          </w:p>
        </w:tc>
        <w:tc>
          <w:tcPr>
            <w:tcW w:w="2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11,265</w:t>
            </w:r>
          </w:p>
        </w:tc>
        <w:tc>
          <w:tcPr>
            <w:tcW w:w="24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20,790</w:t>
            </w:r>
          </w:p>
        </w:tc>
        <w:tc>
          <w:tcPr>
            <w:tcW w:w="2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11,228</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53,100</w:t>
            </w:r>
          </w:p>
        </w:tc>
        <w:tc>
          <w:tcPr>
            <w:tcW w:w="2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25,069</w:t>
            </w:r>
          </w:p>
        </w:tc>
        <w:tc>
          <w:tcPr>
            <w:tcW w:w="2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13,386</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64,365</w:t>
            </w:r>
          </w:p>
        </w:tc>
        <w:tc>
          <w:tcPr>
            <w:tcW w:w="2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35,571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(14,030 )</w:t>
            </w:r>
          </w:p>
        </w:tc>
        <w:tc>
          <w:tcPr>
            <w:tcW w:w="4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(7,355 )</w:t>
            </w:r>
          </w:p>
        </w:tc>
        <w:tc>
          <w:tcPr>
            <w:tcW w:w="2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(36,762 )</w:t>
            </w:r>
          </w:p>
        </w:tc>
        <w:tc>
          <w:tcPr>
            <w:tcW w:w="48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(23,755 )</w:t>
            </w:r>
          </w:p>
        </w:tc>
        <w:tc>
          <w:tcPr>
            <w:tcW w:w="0" w:type="dxa"/>
            <w:vAlign w:val="bottom"/>
          </w:tcPr>
          <w:p>
            <w:pPr>
              <w:spacing w:after="0"/>
              <w:rPr>
                <w:sz w:val="1"/>
                <w:szCs w:val="1"/>
                <w:color w:val="auto"/>
              </w:rPr>
            </w:pPr>
          </w:p>
        </w:tc>
      </w:tr>
      <w:tr>
        <w:trPr>
          <w:trHeight w:val="263"/>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(1,122 )</w:t>
            </w:r>
          </w:p>
        </w:tc>
        <w:tc>
          <w:tcPr>
            <w:tcW w:w="4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(538 )</w:t>
            </w:r>
          </w:p>
        </w:tc>
        <w:tc>
          <w:tcPr>
            <w:tcW w:w="2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(3,288 )</w:t>
            </w:r>
          </w:p>
        </w:tc>
        <w:tc>
          <w:tcPr>
            <w:tcW w:w="48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(1,639 )</w:t>
            </w:r>
          </w:p>
        </w:tc>
        <w:tc>
          <w:tcPr>
            <w:tcW w:w="0" w:type="dxa"/>
            <w:vAlign w:val="bottom"/>
          </w:tcPr>
          <w:p>
            <w:pPr>
              <w:spacing w:after="0"/>
              <w:rPr>
                <w:sz w:val="1"/>
                <w:szCs w:val="1"/>
                <w:color w:val="auto"/>
              </w:rPr>
            </w:pPr>
          </w:p>
        </w:tc>
      </w:tr>
      <w:tr>
        <w:trPr>
          <w:trHeight w:val="257"/>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(2,001 )</w:t>
            </w:r>
          </w:p>
        </w:tc>
        <w:tc>
          <w:tcPr>
            <w:tcW w:w="40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(197 )</w:t>
            </w:r>
          </w:p>
        </w:tc>
        <w:tc>
          <w:tcPr>
            <w:tcW w:w="28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(6,884 )</w:t>
            </w:r>
          </w:p>
        </w:tc>
        <w:tc>
          <w:tcPr>
            <w:tcW w:w="48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(17,153 )</w:t>
            </w:r>
          </w:p>
        </w:tc>
        <w:tc>
          <w:tcPr>
            <w:tcW w:w="4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(8,089 )</w:t>
            </w:r>
          </w:p>
        </w:tc>
        <w:tc>
          <w:tcPr>
            <w:tcW w:w="2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(46,934 )</w:t>
            </w:r>
          </w:p>
        </w:tc>
        <w:tc>
          <w:tcPr>
            <w:tcW w:w="48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(25,543 )</w:t>
            </w:r>
          </w:p>
        </w:tc>
        <w:tc>
          <w:tcPr>
            <w:tcW w:w="0" w:type="dxa"/>
            <w:vAlign w:val="bottom"/>
          </w:tcPr>
          <w:p>
            <w:pPr>
              <w:spacing w:after="0"/>
              <w:rPr>
                <w:sz w:val="1"/>
                <w:szCs w:val="1"/>
                <w:color w:val="auto"/>
              </w:rPr>
            </w:pPr>
          </w:p>
        </w:tc>
      </w:tr>
      <w:tr>
        <w:trPr>
          <w:trHeight w:val="257"/>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4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2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(17,169 )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(8,097 )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(47,024 )</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(25,588 )</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attributable to common stockholders, basic and</w:t>
            </w:r>
          </w:p>
        </w:tc>
        <w:tc>
          <w:tcPr>
            <w:tcW w:w="28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(0.43 )</w:t>
            </w:r>
          </w:p>
        </w:tc>
        <w:tc>
          <w:tcPr>
            <w:tcW w:w="400" w:type="dxa"/>
            <w:vAlign w:val="bottom"/>
            <w:vMerge w:val="restart"/>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(0.85 )</w:t>
            </w:r>
          </w:p>
        </w:tc>
        <w:tc>
          <w:tcPr>
            <w:tcW w:w="28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(2.38 )</w:t>
            </w:r>
          </w:p>
        </w:tc>
        <w:tc>
          <w:tcPr>
            <w:tcW w:w="480" w:type="dxa"/>
            <w:vAlign w:val="bottom"/>
            <w:vMerge w:val="restart"/>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(2.70 )</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vMerge w:val="continue"/>
            <w:shd w:val="clear" w:color="auto" w:fill="CFF0FC"/>
          </w:tcPr>
          <w:p>
            <w:pPr>
              <w:spacing w:after="0"/>
              <w:rPr>
                <w:sz w:val="20"/>
                <w:szCs w:val="20"/>
                <w:color w:val="auto"/>
              </w:rPr>
            </w:pPr>
          </w:p>
        </w:tc>
        <w:tc>
          <w:tcPr>
            <w:tcW w:w="1260" w:type="dxa"/>
            <w:vAlign w:val="bottom"/>
            <w:gridSpan w:val="2"/>
            <w:vMerge w:val="continue"/>
            <w:shd w:val="clear" w:color="auto" w:fill="CFF0FC"/>
          </w:tcPr>
          <w:p>
            <w:pPr>
              <w:spacing w:after="0"/>
              <w:rPr>
                <w:sz w:val="20"/>
                <w:szCs w:val="20"/>
                <w:color w:val="auto"/>
              </w:rPr>
            </w:pPr>
          </w:p>
        </w:tc>
        <w:tc>
          <w:tcPr>
            <w:tcW w:w="400" w:type="dxa"/>
            <w:vAlign w:val="bottom"/>
            <w:vMerge w:val="continue"/>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280" w:type="dxa"/>
            <w:vAlign w:val="bottom"/>
            <w:vMerge w:val="continue"/>
            <w:shd w:val="clear" w:color="auto" w:fill="CFF0FC"/>
          </w:tcPr>
          <w:p>
            <w:pPr>
              <w:spacing w:after="0"/>
              <w:rPr>
                <w:sz w:val="20"/>
                <w:szCs w:val="20"/>
                <w:color w:val="auto"/>
              </w:rPr>
            </w:pPr>
          </w:p>
        </w:tc>
        <w:tc>
          <w:tcPr>
            <w:tcW w:w="1220" w:type="dxa"/>
            <w:vAlign w:val="bottom"/>
            <w:gridSpan w:val="2"/>
            <w:vMerge w:val="continue"/>
            <w:shd w:val="clear" w:color="auto" w:fill="CFF0FC"/>
          </w:tcPr>
          <w:p>
            <w:pPr>
              <w:spacing w:after="0"/>
              <w:rPr>
                <w:sz w:val="20"/>
                <w:szCs w:val="20"/>
                <w:color w:val="auto"/>
              </w:rPr>
            </w:pPr>
          </w:p>
        </w:tc>
        <w:tc>
          <w:tcPr>
            <w:tcW w:w="480" w:type="dxa"/>
            <w:vAlign w:val="bottom"/>
            <w:vMerge w:val="continue"/>
            <w:shd w:val="clear" w:color="auto" w:fill="CFF0FC"/>
          </w:tcPr>
          <w:p>
            <w:pPr>
              <w:spacing w:after="0"/>
              <w:rPr>
                <w:sz w:val="20"/>
                <w:szCs w:val="20"/>
                <w:color w:val="auto"/>
              </w:rPr>
            </w:pPr>
          </w:p>
        </w:tc>
        <w:tc>
          <w:tcPr>
            <w:tcW w:w="8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Weighted-average shares outstanding, basic and diluted</w:t>
            </w:r>
          </w:p>
        </w:tc>
        <w:tc>
          <w:tcPr>
            <w:tcW w:w="2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39,849,769</w:t>
            </w:r>
          </w:p>
        </w:tc>
        <w:tc>
          <w:tcPr>
            <w:tcW w:w="260" w:type="dxa"/>
            <w:vAlign w:val="bottom"/>
            <w:tcBorders>
              <w:top w:val="single" w:sz="8" w:color="CFF0FC"/>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9,493,548</w:t>
            </w:r>
          </w:p>
        </w:tc>
        <w:tc>
          <w:tcPr>
            <w:tcW w:w="24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19,772,145</w:t>
            </w:r>
          </w:p>
        </w:tc>
        <w:tc>
          <w:tcPr>
            <w:tcW w:w="240" w:type="dxa"/>
            <w:vAlign w:val="bottom"/>
            <w:tcBorders>
              <w:top w:val="single" w:sz="8" w:color="CFF0FC"/>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9,467,039</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-1668145</wp:posOffset>
            </wp:positionV>
            <wp:extent cx="16256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-1668145</wp:posOffset>
            </wp:positionV>
            <wp:extent cx="14605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-1668145</wp:posOffset>
            </wp:positionV>
            <wp:extent cx="14605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-1668145</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-1007745</wp:posOffset>
            </wp:positionV>
            <wp:extent cx="16256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-1007745</wp:posOffset>
            </wp:positionV>
            <wp:extent cx="14605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-1007745</wp:posOffset>
            </wp:positionV>
            <wp:extent cx="14605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-1007745</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-673735</wp:posOffset>
            </wp:positionV>
            <wp:extent cx="16256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-673735</wp:posOffset>
            </wp:positionV>
            <wp:extent cx="14605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-673735</wp:posOffset>
            </wp:positionV>
            <wp:extent cx="14605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-673735</wp:posOffset>
            </wp:positionV>
            <wp:extent cx="685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-193675</wp:posOffset>
            </wp:positionV>
            <wp:extent cx="16256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-193675</wp:posOffset>
            </wp:positionV>
            <wp:extent cx="14605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-193675</wp:posOffset>
            </wp:positionV>
            <wp:extent cx="14605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SIGHT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 Equity (Deficit)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20" w:type="dxa"/>
            <w:vAlign w:val="bottom"/>
          </w:tcPr>
          <w:p>
            <w:pPr>
              <w:spacing w:after="0"/>
              <w:rPr>
                <w:sz w:val="15"/>
                <w:szCs w:val="15"/>
                <w:color w:val="auto"/>
              </w:rPr>
            </w:pPr>
          </w:p>
        </w:tc>
        <w:tc>
          <w:tcPr>
            <w:tcW w:w="2320" w:type="dxa"/>
            <w:vAlign w:val="bottom"/>
            <w:gridSpan w:val="5"/>
          </w:tcPr>
          <w:p>
            <w:pPr>
              <w:ind w:left="280"/>
              <w:spacing w:after="0"/>
              <w:rPr>
                <w:sz w:val="20"/>
                <w:szCs w:val="20"/>
                <w:color w:val="auto"/>
              </w:rPr>
            </w:pPr>
            <w:r>
              <w:rPr>
                <w:rFonts w:ascii="Arial" w:cs="Arial" w:eastAsia="Arial" w:hAnsi="Arial"/>
                <w:sz w:val="14"/>
                <w:szCs w:val="14"/>
                <w:b w:val="1"/>
                <w:bCs w:val="1"/>
                <w:color w:val="auto"/>
              </w:rPr>
              <w:t>Redeemable Convertible</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8"/>
        </w:trPr>
        <w:tc>
          <w:tcPr>
            <w:tcW w:w="3620" w:type="dxa"/>
            <w:vAlign w:val="bottom"/>
          </w:tcPr>
          <w:p>
            <w:pPr>
              <w:spacing w:after="0"/>
              <w:rPr>
                <w:sz w:val="17"/>
                <w:szCs w:val="17"/>
                <w:color w:val="auto"/>
              </w:rPr>
            </w:pPr>
          </w:p>
        </w:tc>
        <w:tc>
          <w:tcPr>
            <w:tcW w:w="208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Preferred Stock</w:t>
            </w:r>
          </w:p>
        </w:tc>
        <w:tc>
          <w:tcPr>
            <w:tcW w:w="240" w:type="dxa"/>
            <w:vAlign w:val="bottom"/>
          </w:tcPr>
          <w:p>
            <w:pPr>
              <w:spacing w:after="0"/>
              <w:rPr>
                <w:sz w:val="17"/>
                <w:szCs w:val="17"/>
                <w:color w:val="auto"/>
              </w:rPr>
            </w:pPr>
          </w:p>
        </w:tc>
        <w:tc>
          <w:tcPr>
            <w:tcW w:w="1960" w:type="dxa"/>
            <w:vAlign w:val="bottom"/>
            <w:tcBorders>
              <w:bottom w:val="single" w:sz="8" w:color="auto"/>
            </w:tcBorders>
            <w:gridSpan w:val="5"/>
          </w:tcPr>
          <w:p>
            <w:pPr>
              <w:jc w:val="right"/>
              <w:ind w:right="43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Paid-In</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9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9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12,767,202</w:t>
            </w:r>
          </w:p>
        </w:tc>
        <w:tc>
          <w:tcPr>
            <w:tcW w:w="24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117,331</w:t>
            </w:r>
          </w:p>
        </w:tc>
        <w:tc>
          <w:tcPr>
            <w:tcW w:w="240" w:type="dxa"/>
            <w:vAlign w:val="bottom"/>
            <w:tcBorders>
              <w:right w:val="single" w:sz="8" w:color="CFF0FC"/>
            </w:tcBorders>
            <w:shd w:val="clear" w:color="auto" w:fill="CFF0FC"/>
          </w:tcPr>
          <w:p>
            <w:pPr>
              <w:spacing w:after="0"/>
              <w:rPr>
                <w:sz w:val="22"/>
                <w:szCs w:val="22"/>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9,509,182</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left w:val="single" w:sz="8" w:color="CFF0FC"/>
              <w:right w:val="single" w:sz="8" w:color="CFF0FC"/>
            </w:tcBorders>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240" w:type="dxa"/>
            <w:vAlign w:val="bottom"/>
            <w:tcBorders>
              <w:left w:val="single" w:sz="8" w:color="CFF0FC"/>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(90,041 )</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(88,849 )</w:t>
            </w:r>
          </w:p>
        </w:tc>
        <w:tc>
          <w:tcPr>
            <w:tcW w:w="0" w:type="dxa"/>
            <w:vAlign w:val="bottom"/>
          </w:tcPr>
          <w:p>
            <w:pPr>
              <w:spacing w:after="0"/>
              <w:rPr>
                <w:sz w:val="1"/>
                <w:szCs w:val="1"/>
                <w:color w:val="auto"/>
              </w:rPr>
            </w:pPr>
          </w:p>
        </w:tc>
      </w:tr>
      <w:tr>
        <w:trPr>
          <w:trHeight w:val="250"/>
        </w:trPr>
        <w:tc>
          <w:tcPr>
            <w:tcW w:w="362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16,862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0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240" w:type="dxa"/>
            <w:vAlign w:val="bottom"/>
            <w:tcBorders>
              <w:left w:val="single" w:sz="8" w:color="CFF0FC"/>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2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(12,240 )</w:t>
            </w:r>
          </w:p>
        </w:tc>
        <w:tc>
          <w:tcPr>
            <w:tcW w:w="1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(12,240 )</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12,767,202</w:t>
            </w:r>
          </w:p>
        </w:tc>
        <w:tc>
          <w:tcPr>
            <w:tcW w:w="24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117,331</w:t>
            </w:r>
          </w:p>
        </w:tc>
        <w:tc>
          <w:tcPr>
            <w:tcW w:w="240" w:type="dxa"/>
            <w:vAlign w:val="bottom"/>
            <w:tcBorders>
              <w:right w:val="single" w:sz="8" w:color="CFF0FC"/>
            </w:tcBorders>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9,526,044</w:t>
            </w:r>
          </w:p>
        </w:tc>
        <w:tc>
          <w:tcPr>
            <w:tcW w:w="22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w:t>
            </w:r>
          </w:p>
        </w:tc>
        <w:tc>
          <w:tcPr>
            <w:tcW w:w="240" w:type="dxa"/>
            <w:vAlign w:val="bottom"/>
            <w:tcBorders>
              <w:left w:val="single" w:sz="8" w:color="CFF0FC"/>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2"/>
              </w:rPr>
              <w:t>(102,281 )</w:t>
            </w:r>
          </w:p>
        </w:tc>
        <w:tc>
          <w:tcPr>
            <w:tcW w:w="1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(100,801 )</w:t>
            </w:r>
          </w:p>
        </w:tc>
        <w:tc>
          <w:tcPr>
            <w:tcW w:w="0" w:type="dxa"/>
            <w:vAlign w:val="bottom"/>
          </w:tcPr>
          <w:p>
            <w:pPr>
              <w:spacing w:after="0"/>
              <w:rPr>
                <w:sz w:val="1"/>
                <w:szCs w:val="1"/>
                <w:color w:val="auto"/>
              </w:rPr>
            </w:pPr>
          </w:p>
        </w:tc>
      </w:tr>
      <w:tr>
        <w:trPr>
          <w:trHeight w:val="250"/>
        </w:trPr>
        <w:tc>
          <w:tcPr>
            <w:tcW w:w="3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Exercise of stock options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rPr>
                <w:sz w:val="21"/>
                <w:szCs w:val="21"/>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205,988</w:t>
            </w:r>
          </w:p>
        </w:tc>
        <w:tc>
          <w:tcPr>
            <w:tcW w:w="22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8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0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240" w:type="dxa"/>
            <w:vAlign w:val="bottom"/>
            <w:tcBorders>
              <w:left w:val="single" w:sz="8" w:color="CFF0FC"/>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2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(17,615 )</w:t>
            </w:r>
          </w:p>
        </w:tc>
        <w:tc>
          <w:tcPr>
            <w:tcW w:w="1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(17,615 )</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12,767,202</w:t>
            </w:r>
          </w:p>
        </w:tc>
        <w:tc>
          <w:tcPr>
            <w:tcW w:w="24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117,331</w:t>
            </w:r>
          </w:p>
        </w:tc>
        <w:tc>
          <w:tcPr>
            <w:tcW w:w="240" w:type="dxa"/>
            <w:vAlign w:val="bottom"/>
            <w:tcBorders>
              <w:right w:val="single" w:sz="8" w:color="CFF0FC"/>
            </w:tcBorders>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9,732,032</w:t>
            </w:r>
          </w:p>
        </w:tc>
        <w:tc>
          <w:tcPr>
            <w:tcW w:w="22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2,598</w:t>
            </w:r>
          </w:p>
        </w:tc>
        <w:tc>
          <w:tcPr>
            <w:tcW w:w="240" w:type="dxa"/>
            <w:vAlign w:val="bottom"/>
            <w:tcBorders>
              <w:left w:val="single" w:sz="8" w:color="CFF0FC"/>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2"/>
              </w:rPr>
              <w:t>(119,896 )</w:t>
            </w:r>
          </w:p>
        </w:tc>
        <w:tc>
          <w:tcPr>
            <w:tcW w:w="1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(117,289 )</w:t>
            </w:r>
          </w:p>
        </w:tc>
        <w:tc>
          <w:tcPr>
            <w:tcW w:w="0" w:type="dxa"/>
            <w:vAlign w:val="bottom"/>
          </w:tcPr>
          <w:p>
            <w:pPr>
              <w:spacing w:after="0"/>
              <w:rPr>
                <w:sz w:val="1"/>
                <w:szCs w:val="1"/>
                <w:color w:val="auto"/>
              </w:rPr>
            </w:pPr>
          </w:p>
        </w:tc>
      </w:tr>
      <w:tr>
        <w:trPr>
          <w:trHeight w:val="242"/>
        </w:trPr>
        <w:tc>
          <w:tcPr>
            <w:tcW w:w="3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Conversion of redeemable convertible</w:t>
            </w:r>
          </w:p>
        </w:tc>
        <w:tc>
          <w:tcPr>
            <w:tcW w:w="92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preferred stock to common stock upon initial</w:t>
            </w:r>
          </w:p>
        </w:tc>
        <w:tc>
          <w:tcPr>
            <w:tcW w:w="920" w:type="dxa"/>
            <w:vAlign w:val="bottom"/>
          </w:tcPr>
          <w:p>
            <w:pPr>
              <w:jc w:val="right"/>
              <w:spacing w:after="0"/>
              <w:rPr>
                <w:sz w:val="20"/>
                <w:szCs w:val="20"/>
                <w:color w:val="auto"/>
              </w:rPr>
            </w:pPr>
            <w:r>
              <w:rPr>
                <w:rFonts w:ascii="Arial" w:cs="Arial" w:eastAsia="Arial" w:hAnsi="Arial"/>
                <w:sz w:val="18"/>
                <w:szCs w:val="18"/>
                <w:color w:val="auto"/>
              </w:rPr>
              <w:t>(12,767,20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public offering</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(117,331 )</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25,534,404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117,304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117,331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Issuance of common stock in connection with</w:t>
            </w:r>
          </w:p>
        </w:tc>
        <w:tc>
          <w:tcPr>
            <w:tcW w:w="920" w:type="dxa"/>
            <w:vAlign w:val="bottom"/>
            <w:tcBorders>
              <w:right w:val="single" w:sz="8" w:color="CFF0FC"/>
            </w:tcBorders>
            <w:shd w:val="clear" w:color="auto" w:fill="CFF0FC"/>
          </w:tcPr>
          <w:p>
            <w:pPr>
              <w:spacing w:after="0"/>
              <w:rPr>
                <w:sz w:val="21"/>
                <w:szCs w:val="21"/>
                <w:color w:val="auto"/>
              </w:rPr>
            </w:pPr>
          </w:p>
        </w:tc>
        <w:tc>
          <w:tcPr>
            <w:tcW w:w="24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spacing w:after="0"/>
              <w:rPr>
                <w:sz w:val="21"/>
                <w:szCs w:val="21"/>
                <w:color w:val="auto"/>
              </w:rPr>
            </w:pPr>
          </w:p>
        </w:tc>
        <w:tc>
          <w:tcPr>
            <w:tcW w:w="240" w:type="dxa"/>
            <w:vAlign w:val="bottom"/>
            <w:tcBorders>
              <w:right w:val="single" w:sz="8" w:color="CFF0FC"/>
            </w:tcBorders>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tcBorders>
              <w:left w:val="single" w:sz="8" w:color="CFF0FC"/>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tcBorders>
              <w:left w:val="single" w:sz="8" w:color="CFF0FC"/>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initial public offering, net of underwriting</w:t>
            </w:r>
          </w:p>
        </w:tc>
        <w:tc>
          <w:tcPr>
            <w:tcW w:w="920" w:type="dxa"/>
            <w:vAlign w:val="bottom"/>
            <w:tcBorders>
              <w:right w:val="single" w:sz="8" w:color="CFF0FC"/>
            </w:tcBorders>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CFF0FC"/>
            </w:tcBorders>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tcBorders>
              <w:left w:val="single" w:sz="8" w:color="CFF0FC"/>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7"/>
              </w:rPr>
              <w:t>discounts and commissions and other offering</w:t>
            </w:r>
          </w:p>
        </w:tc>
        <w:tc>
          <w:tcPr>
            <w:tcW w:w="920" w:type="dxa"/>
            <w:vAlign w:val="bottom"/>
            <w:tcBorders>
              <w:right w:val="single" w:sz="8" w:color="CFF0FC"/>
            </w:tcBorders>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CFF0FC"/>
            </w:tcBorders>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tcBorders>
              <w:left w:val="single" w:sz="8" w:color="CFF0FC"/>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 of $23.8 million</w:t>
            </w:r>
          </w:p>
        </w:tc>
        <w:tc>
          <w:tcPr>
            <w:tcW w:w="11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0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11,500,000</w:t>
            </w:r>
          </w:p>
        </w:tc>
        <w:tc>
          <w:tcPr>
            <w:tcW w:w="22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252,162</w:t>
            </w:r>
          </w:p>
        </w:tc>
        <w:tc>
          <w:tcPr>
            <w:tcW w:w="240" w:type="dxa"/>
            <w:vAlign w:val="bottom"/>
            <w:tcBorders>
              <w:left w:val="single" w:sz="8" w:color="CFF0FC"/>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252,174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20" w:type="dxa"/>
            <w:vAlign w:val="bottom"/>
          </w:tcPr>
          <w:p>
            <w:pPr>
              <w:ind w:left="20"/>
              <w:spacing w:after="0"/>
              <w:rPr>
                <w:sz w:val="20"/>
                <w:szCs w:val="20"/>
                <w:color w:val="auto"/>
              </w:rPr>
            </w:pPr>
            <w:r>
              <w:rPr>
                <w:rFonts w:ascii="Arial" w:cs="Arial" w:eastAsia="Arial" w:hAnsi="Arial"/>
                <w:sz w:val="18"/>
                <w:szCs w:val="18"/>
                <w:color w:val="auto"/>
              </w:rPr>
              <w:t>Conversion of redeemable convertible</w:t>
            </w: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preferred stock warrants to common stock</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warrants upon initial public offering</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8,973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8,973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common stock warrants</w:t>
            </w:r>
          </w:p>
        </w:tc>
        <w:tc>
          <w:tcPr>
            <w:tcW w:w="11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0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483,554</w:t>
            </w:r>
          </w:p>
        </w:tc>
        <w:tc>
          <w:tcPr>
            <w:tcW w:w="22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left w:val="single" w:sz="8" w:color="CFF0FC"/>
              <w:right w:val="single" w:sz="8" w:color="CFF0FC"/>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FF0FC"/>
          </w:tcPr>
          <w:p>
            <w:pPr>
              <w:spacing w:after="0"/>
              <w:rPr>
                <w:sz w:val="22"/>
                <w:szCs w:val="22"/>
                <w:color w:val="auto"/>
              </w:rPr>
            </w:pPr>
          </w:p>
        </w:tc>
        <w:tc>
          <w:tcPr>
            <w:tcW w:w="9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62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42,032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0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w:t>
            </w:r>
          </w:p>
        </w:tc>
        <w:tc>
          <w:tcPr>
            <w:tcW w:w="240" w:type="dxa"/>
            <w:vAlign w:val="bottom"/>
            <w:tcBorders>
              <w:left w:val="single" w:sz="8" w:color="CFF0FC"/>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2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(17,169 )</w:t>
            </w:r>
          </w:p>
        </w:tc>
        <w:tc>
          <w:tcPr>
            <w:tcW w:w="1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(17,169 )</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FF0FC"/>
            </w:tcBorders>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FF0FC"/>
            </w:tcBorders>
            <w:shd w:val="clear" w:color="auto" w:fill="CFF0FC"/>
          </w:tcPr>
          <w:p>
            <w:pPr>
              <w:spacing w:after="0"/>
              <w:rPr>
                <w:sz w:val="23"/>
                <w:szCs w:val="23"/>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47,292,022</w:t>
            </w:r>
          </w:p>
        </w:tc>
        <w:tc>
          <w:tcPr>
            <w:tcW w:w="220" w:type="dxa"/>
            <w:vAlign w:val="bottom"/>
            <w:tcBorders>
              <w:right w:val="single" w:sz="8" w:color="CFF0FC"/>
            </w:tcBorders>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40" w:type="dxa"/>
            <w:vAlign w:val="bottom"/>
            <w:tcBorders>
              <w:left w:val="single" w:sz="8" w:color="CFF0FC"/>
              <w:right w:val="single" w:sz="8" w:color="CFF0FC"/>
            </w:tcBorders>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382,992</w:t>
            </w:r>
          </w:p>
        </w:tc>
        <w:tc>
          <w:tcPr>
            <w:tcW w:w="240" w:type="dxa"/>
            <w:vAlign w:val="bottom"/>
            <w:tcBorders>
              <w:left w:val="single" w:sz="8" w:color="CFF0FC"/>
              <w:right w:val="single" w:sz="8" w:color="CFF0FC"/>
            </w:tcBorders>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9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2"/>
              </w:rPr>
              <w:t>(137,065 )</w:t>
            </w:r>
          </w:p>
        </w:tc>
        <w:tc>
          <w:tcPr>
            <w:tcW w:w="140" w:type="dxa"/>
            <w:vAlign w:val="bottom"/>
            <w:shd w:val="clear" w:color="auto" w:fill="CFF0FC"/>
          </w:tcPr>
          <w:p>
            <w:pPr>
              <w:spacing w:after="0"/>
              <w:rPr>
                <w:sz w:val="23"/>
                <w:szCs w:val="2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245,976</w:t>
            </w:r>
          </w:p>
        </w:tc>
        <w:tc>
          <w:tcPr>
            <w:tcW w:w="8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3620" w:type="dxa"/>
            <w:vAlign w:val="bottom"/>
          </w:tcPr>
          <w:p>
            <w:pPr>
              <w:spacing w:after="0"/>
              <w:rPr>
                <w:sz w:val="24"/>
                <w:szCs w:val="24"/>
                <w:color w:val="auto"/>
              </w:rPr>
            </w:pPr>
          </w:p>
        </w:tc>
        <w:tc>
          <w:tcPr>
            <w:tcW w:w="232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Redeemable Convertible</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2320" w:type="dxa"/>
            <w:vAlign w:val="bottom"/>
            <w:gridSpan w:val="5"/>
            <w:vMerge w:val="continue"/>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8"/>
        </w:trPr>
        <w:tc>
          <w:tcPr>
            <w:tcW w:w="3620" w:type="dxa"/>
            <w:vAlign w:val="bottom"/>
          </w:tcPr>
          <w:p>
            <w:pPr>
              <w:spacing w:after="0"/>
              <w:rPr>
                <w:sz w:val="17"/>
                <w:szCs w:val="17"/>
                <w:color w:val="auto"/>
              </w:rPr>
            </w:pPr>
          </w:p>
        </w:tc>
        <w:tc>
          <w:tcPr>
            <w:tcW w:w="208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Preferred Stock</w:t>
            </w:r>
          </w:p>
        </w:tc>
        <w:tc>
          <w:tcPr>
            <w:tcW w:w="240" w:type="dxa"/>
            <w:vAlign w:val="bottom"/>
          </w:tcPr>
          <w:p>
            <w:pPr>
              <w:spacing w:after="0"/>
              <w:rPr>
                <w:sz w:val="17"/>
                <w:szCs w:val="17"/>
                <w:color w:val="auto"/>
              </w:rPr>
            </w:pPr>
          </w:p>
        </w:tc>
        <w:tc>
          <w:tcPr>
            <w:tcW w:w="1960" w:type="dxa"/>
            <w:vAlign w:val="bottom"/>
            <w:tcBorders>
              <w:bottom w:val="single" w:sz="8" w:color="auto"/>
            </w:tcBorders>
            <w:gridSpan w:val="5"/>
          </w:tcPr>
          <w:p>
            <w:pPr>
              <w:jc w:val="right"/>
              <w:ind w:right="43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Paid-In</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 Equity</w:t>
            </w: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5"/>
              </w:rPr>
              <w:t>(Deficit)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9,804,640</w:t>
            </w:r>
          </w:p>
        </w:tc>
        <w:tc>
          <w:tcPr>
            <w:tcW w:w="24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64,256</w:t>
            </w:r>
          </w:p>
        </w:tc>
        <w:tc>
          <w:tcPr>
            <w:tcW w:w="240" w:type="dxa"/>
            <w:vAlign w:val="bottom"/>
            <w:tcBorders>
              <w:right w:val="single" w:sz="8" w:color="CFF0FC"/>
            </w:tcBorders>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9,319,466</w:t>
            </w:r>
          </w:p>
        </w:tc>
        <w:tc>
          <w:tcPr>
            <w:tcW w:w="80" w:type="dxa"/>
            <w:vAlign w:val="bottom"/>
            <w:shd w:val="clear" w:color="auto" w:fill="CFF0FC"/>
          </w:tcPr>
          <w:p>
            <w:pPr>
              <w:spacing w:after="0"/>
              <w:rPr>
                <w:sz w:val="22"/>
                <w:szCs w:val="22"/>
                <w:color w:val="auto"/>
              </w:rPr>
            </w:pP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left w:val="single" w:sz="8" w:color="CFF0FC"/>
              <w:right w:val="single" w:sz="8" w:color="CFF0FC"/>
            </w:tcBorders>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240" w:type="dxa"/>
            <w:vAlign w:val="bottom"/>
            <w:tcBorders>
              <w:left w:val="single" w:sz="8" w:color="CFF0FC"/>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(55,348 )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(54,683 )</w:t>
            </w:r>
          </w:p>
        </w:tc>
        <w:tc>
          <w:tcPr>
            <w:tcW w:w="0" w:type="dxa"/>
            <w:vAlign w:val="bottom"/>
          </w:tcPr>
          <w:p>
            <w:pPr>
              <w:spacing w:after="0"/>
              <w:rPr>
                <w:sz w:val="1"/>
                <w:szCs w:val="1"/>
                <w:color w:val="auto"/>
              </w:rPr>
            </w:pPr>
          </w:p>
        </w:tc>
      </w:tr>
      <w:tr>
        <w:trPr>
          <w:trHeight w:val="242"/>
        </w:trPr>
        <w:tc>
          <w:tcPr>
            <w:tcW w:w="3620" w:type="dxa"/>
            <w:vAlign w:val="bottom"/>
          </w:tcPr>
          <w:p>
            <w:pPr>
              <w:ind w:left="20"/>
              <w:spacing w:after="0"/>
              <w:rPr>
                <w:sz w:val="20"/>
                <w:szCs w:val="20"/>
                <w:color w:val="auto"/>
              </w:rPr>
            </w:pPr>
            <w:r>
              <w:rPr>
                <w:rFonts w:ascii="Arial" w:cs="Arial" w:eastAsia="Arial" w:hAnsi="Arial"/>
                <w:sz w:val="18"/>
                <w:szCs w:val="18"/>
                <w:color w:val="auto"/>
              </w:rPr>
              <w:t>Issuance of Series E convertible preferred</w:t>
            </w: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stock, net of issuance costs of $94</w:t>
            </w:r>
          </w:p>
        </w:tc>
        <w:tc>
          <w:tcPr>
            <w:tcW w:w="920" w:type="dxa"/>
            <w:vAlign w:val="bottom"/>
          </w:tcPr>
          <w:p>
            <w:pPr>
              <w:jc w:val="right"/>
              <w:spacing w:after="0"/>
              <w:rPr>
                <w:sz w:val="20"/>
                <w:szCs w:val="20"/>
                <w:color w:val="auto"/>
              </w:rPr>
            </w:pPr>
            <w:r>
              <w:rPr>
                <w:rFonts w:ascii="Arial" w:cs="Arial" w:eastAsia="Arial" w:hAnsi="Arial"/>
                <w:sz w:val="18"/>
                <w:szCs w:val="18"/>
                <w:color w:val="auto"/>
              </w:rPr>
              <w:t>1,899,847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30,055</w:t>
            </w:r>
          </w:p>
        </w:tc>
        <w:tc>
          <w:tcPr>
            <w:tcW w:w="24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stock options</w:t>
            </w:r>
          </w:p>
        </w:tc>
        <w:tc>
          <w:tcPr>
            <w:tcW w:w="11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02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FF0FC"/>
          </w:tcPr>
          <w:p>
            <w:pPr>
              <w:spacing w:after="0"/>
              <w:rPr>
                <w:sz w:val="22"/>
                <w:szCs w:val="22"/>
                <w:color w:val="auto"/>
              </w:rPr>
            </w:pPr>
          </w:p>
        </w:tc>
        <w:tc>
          <w:tcPr>
            <w:tcW w:w="22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left w:val="single" w:sz="8" w:color="CFF0FC"/>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689"/>
        </w:trPr>
        <w:tc>
          <w:tcPr>
            <w:tcW w:w="3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-4908550</wp:posOffset>
            </wp:positionV>
            <wp:extent cx="15430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-4908550</wp:posOffset>
            </wp:positionV>
            <wp:extent cx="15430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-4908550</wp:posOffset>
            </wp:positionV>
            <wp:extent cx="14541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-4908550</wp:posOffset>
            </wp:positionV>
            <wp:extent cx="12890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-4908550</wp:posOffset>
            </wp:positionV>
            <wp:extent cx="13716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-4908550</wp:posOffset>
            </wp:positionV>
            <wp:extent cx="13716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-4908550</wp:posOffset>
            </wp:positionV>
            <wp:extent cx="5143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-4239895</wp:posOffset>
            </wp:positionV>
            <wp:extent cx="15430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-4239895</wp:posOffset>
            </wp:positionV>
            <wp:extent cx="15430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-4239895</wp:posOffset>
            </wp:positionV>
            <wp:extent cx="14541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-4239895</wp:posOffset>
            </wp:positionV>
            <wp:extent cx="12890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-4239895</wp:posOffset>
            </wp:positionV>
            <wp:extent cx="13716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-4239895</wp:posOffset>
            </wp:positionV>
            <wp:extent cx="13716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-4239895</wp:posOffset>
            </wp:positionV>
            <wp:extent cx="5143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-1902460</wp:posOffset>
            </wp:positionV>
            <wp:extent cx="1543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-1885315</wp:posOffset>
            </wp:positionV>
            <wp:extent cx="1543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-1902460</wp:posOffset>
            </wp:positionV>
            <wp:extent cx="1543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-1885315</wp:posOffset>
            </wp:positionV>
            <wp:extent cx="1543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-1902460</wp:posOffset>
            </wp:positionV>
            <wp:extent cx="1454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-1885315</wp:posOffset>
            </wp:positionV>
            <wp:extent cx="1454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-1902460</wp:posOffset>
            </wp:positionV>
            <wp:extent cx="1289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-1885315</wp:posOffset>
            </wp:positionV>
            <wp:extent cx="1289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-1902460</wp:posOffset>
            </wp:positionV>
            <wp:extent cx="137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-1885315</wp:posOffset>
            </wp:positionV>
            <wp:extent cx="137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-1902460</wp:posOffset>
            </wp:positionV>
            <wp:extent cx="137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-1885315</wp:posOffset>
            </wp:positionV>
            <wp:extent cx="137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-1902460</wp:posOffset>
            </wp:positionV>
            <wp:extent cx="514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-1885315</wp:posOffset>
            </wp:positionV>
            <wp:extent cx="514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20"/>
                <w:szCs w:val="20"/>
                <w:color w:val="auto"/>
              </w:rPr>
            </w:pPr>
          </w:p>
        </w:tc>
      </w:tr>
      <w:tr>
        <w:trPr>
          <w:trHeight w:val="257"/>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and comprehensive loss</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(9,175 )</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(9,175 )</w:t>
            </w:r>
          </w:p>
        </w:tc>
      </w:tr>
      <w:tr>
        <w:trPr>
          <w:trHeight w:val="242"/>
        </w:trPr>
        <w:tc>
          <w:tcPr>
            <w:tcW w:w="36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11,704,48</w:t>
            </w:r>
          </w:p>
        </w:tc>
        <w:tc>
          <w:tcPr>
            <w:tcW w:w="220" w:type="dxa"/>
            <w:vAlign w:val="bottom"/>
            <w:tcBorders>
              <w:top w:val="single" w:sz="8" w:color="CFF0FC"/>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r>
      <w:tr>
        <w:trPr>
          <w:trHeight w:val="237"/>
        </w:trPr>
        <w:tc>
          <w:tcPr>
            <w:tcW w:w="3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94,311</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9,320,966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718</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(64,523 )</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(63,796 )</w:t>
            </w:r>
          </w:p>
        </w:tc>
      </w:tr>
      <w:tr>
        <w:trPr>
          <w:trHeight w:val="242"/>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Series E convertible preferred</w:t>
            </w:r>
          </w:p>
        </w:tc>
        <w:tc>
          <w:tcPr>
            <w:tcW w:w="9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4"/>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(12 )</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362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20,520</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r>
      <w:tr>
        <w:trPr>
          <w:trHeight w:val="263"/>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FF0FC"/>
          </w:tcPr>
          <w:p>
            <w:pPr>
              <w:spacing w:after="0"/>
              <w:rPr>
                <w:sz w:val="22"/>
                <w:szCs w:val="22"/>
                <w:color w:val="auto"/>
              </w:rPr>
            </w:pPr>
          </w:p>
        </w:tc>
      </w:tr>
      <w:tr>
        <w:trPr>
          <w:trHeight w:val="250"/>
        </w:trPr>
        <w:tc>
          <w:tcPr>
            <w:tcW w:w="362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(8,316 )</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(8,316 )</w:t>
            </w:r>
          </w:p>
        </w:tc>
      </w:tr>
      <w:tr>
        <w:trPr>
          <w:trHeight w:val="242"/>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11,704,48</w:t>
            </w:r>
          </w:p>
        </w:tc>
        <w:tc>
          <w:tcPr>
            <w:tcW w:w="220" w:type="dxa"/>
            <w:vAlign w:val="bottom"/>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7"/>
        </w:trPr>
        <w:tc>
          <w:tcPr>
            <w:tcW w:w="36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94,299</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9,341,486</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12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(72,839 )</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(72,040 )</w:t>
            </w:r>
          </w:p>
        </w:tc>
      </w:tr>
      <w:tr>
        <w:trPr>
          <w:trHeight w:val="242"/>
        </w:trPr>
        <w:tc>
          <w:tcPr>
            <w:tcW w:w="3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Redeemable convertible preferred stock</w:t>
            </w:r>
          </w:p>
        </w:tc>
        <w:tc>
          <w:tcPr>
            <w:tcW w:w="90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issuance cost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(55 )</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stock options</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34,346</w:t>
            </w: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22"/>
                <w:szCs w:val="22"/>
                <w:color w:val="auto"/>
              </w:rPr>
            </w:pPr>
          </w:p>
        </w:tc>
      </w:tr>
      <w:tr>
        <w:trPr>
          <w:trHeight w:val="250"/>
        </w:trPr>
        <w:tc>
          <w:tcPr>
            <w:tcW w:w="36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21"/>
                <w:szCs w:val="21"/>
                <w:color w:val="auto"/>
              </w:rPr>
            </w:pPr>
          </w:p>
        </w:tc>
      </w:tr>
      <w:tr>
        <w:trPr>
          <w:trHeight w:val="257"/>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and comprehensive loss</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(8,097 )</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(8,097 )</w:t>
            </w:r>
          </w:p>
        </w:tc>
      </w:tr>
      <w:tr>
        <w:trPr>
          <w:trHeight w:val="242"/>
        </w:trPr>
        <w:tc>
          <w:tcPr>
            <w:tcW w:w="36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11,704,48</w:t>
            </w:r>
          </w:p>
        </w:tc>
        <w:tc>
          <w:tcPr>
            <w:tcW w:w="220" w:type="dxa"/>
            <w:vAlign w:val="bottom"/>
            <w:tcBorders>
              <w:top w:val="single" w:sz="8" w:color="CFF0FC"/>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r>
      <w:tr>
        <w:trPr>
          <w:trHeight w:val="237"/>
        </w:trPr>
        <w:tc>
          <w:tcPr>
            <w:tcW w:w="3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94,244</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9,375,832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967</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(80,936 )</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(79,960 )</w:t>
            </w:r>
          </w:p>
        </w:tc>
      </w:tr>
      <w:tr>
        <w:trPr>
          <w:trHeight w:val="20"/>
        </w:trPr>
        <w:tc>
          <w:tcPr>
            <w:tcW w:w="3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-2585085</wp:posOffset>
            </wp:positionV>
            <wp:extent cx="14541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-2585085</wp:posOffset>
            </wp:positionV>
            <wp:extent cx="15430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-2585085</wp:posOffset>
            </wp:positionV>
            <wp:extent cx="14541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-2585085</wp:posOffset>
            </wp:positionV>
            <wp:extent cx="13716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-2585085</wp:posOffset>
            </wp:positionV>
            <wp:extent cx="12890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-2585085</wp:posOffset>
            </wp:positionV>
            <wp:extent cx="13716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-2585085</wp:posOffset>
            </wp:positionV>
            <wp:extent cx="5143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-1144905</wp:posOffset>
            </wp:positionV>
            <wp:extent cx="14541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-1144905</wp:posOffset>
            </wp:positionV>
            <wp:extent cx="15430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-1144905</wp:posOffset>
            </wp:positionV>
            <wp:extent cx="14541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-1144905</wp:posOffset>
            </wp:positionV>
            <wp:extent cx="13716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-1144905</wp:posOffset>
            </wp:positionV>
            <wp:extent cx="12890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-1144905</wp:posOffset>
            </wp:positionV>
            <wp:extent cx="13716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-1144905</wp:posOffset>
            </wp:positionV>
            <wp:extent cx="5143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-339090</wp:posOffset>
            </wp:positionV>
            <wp:extent cx="14541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-339090</wp:posOffset>
            </wp:positionV>
            <wp:extent cx="15430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-339090</wp:posOffset>
            </wp:positionV>
            <wp:extent cx="14541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-339090</wp:posOffset>
            </wp:positionV>
            <wp:extent cx="13716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-339090</wp:posOffset>
            </wp:positionV>
            <wp:extent cx="12890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-339090</wp:posOffset>
            </wp:positionV>
            <wp:extent cx="13716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-339090</wp:posOffset>
            </wp:positionV>
            <wp:extent cx="5143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SIGHT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Nine Months Ended</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2"/>
        </w:trPr>
        <w:tc>
          <w:tcPr>
            <w:tcW w:w="71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7140" w:type="dxa"/>
            <w:vAlign w:val="bottom"/>
          </w:tcPr>
          <w:p>
            <w:pPr>
              <w:spacing w:after="0"/>
              <w:rPr>
                <w:sz w:val="18"/>
                <w:szCs w:val="18"/>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56"/>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60" w:type="dxa"/>
            <w:vAlign w:val="bottom"/>
          </w:tcPr>
          <w:p>
            <w:pPr>
              <w:jc w:val="right"/>
              <w:ind w:right="976"/>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(47,024 )</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(25,588 )</w:t>
            </w:r>
          </w:p>
        </w:tc>
      </w:tr>
      <w:tr>
        <w:trPr>
          <w:trHeight w:val="263"/>
        </w:trPr>
        <w:tc>
          <w:tcPr>
            <w:tcW w:w="7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6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14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457</w:t>
            </w: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r>
      <w:tr>
        <w:trPr>
          <w:trHeight w:val="263"/>
        </w:trPr>
        <w:tc>
          <w:tcPr>
            <w:tcW w:w="7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Accretion of debt discount and amortization of debt issuance costs</w:t>
            </w:r>
          </w:p>
        </w:tc>
        <w:tc>
          <w:tcPr>
            <w:tcW w:w="116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32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FF0FC"/>
          </w:tcPr>
          <w:p>
            <w:pPr>
              <w:spacing w:after="0"/>
              <w:rPr>
                <w:sz w:val="22"/>
                <w:szCs w:val="22"/>
                <w:color w:val="auto"/>
              </w:rPr>
            </w:pPr>
          </w:p>
        </w:tc>
      </w:tr>
      <w:tr>
        <w:trPr>
          <w:trHeight w:val="250"/>
        </w:trPr>
        <w:tc>
          <w:tcPr>
            <w:tcW w:w="714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3,107</w:t>
            </w: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r>
      <w:tr>
        <w:trPr>
          <w:trHeight w:val="263"/>
        </w:trPr>
        <w:tc>
          <w:tcPr>
            <w:tcW w:w="7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for doubtful accounts receivable</w:t>
            </w:r>
          </w:p>
        </w:tc>
        <w:tc>
          <w:tcPr>
            <w:tcW w:w="116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32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FF0FC"/>
          </w:tcPr>
          <w:p>
            <w:pPr>
              <w:spacing w:after="0"/>
              <w:rPr>
                <w:sz w:val="22"/>
                <w:szCs w:val="22"/>
                <w:color w:val="auto"/>
              </w:rPr>
            </w:pPr>
          </w:p>
        </w:tc>
      </w:tr>
      <w:tr>
        <w:trPr>
          <w:trHeight w:val="250"/>
        </w:trPr>
        <w:tc>
          <w:tcPr>
            <w:tcW w:w="7140" w:type="dxa"/>
            <w:vAlign w:val="bottom"/>
          </w:tcPr>
          <w:p>
            <w:pPr>
              <w:ind w:left="200"/>
              <w:spacing w:after="0"/>
              <w:rPr>
                <w:sz w:val="20"/>
                <w:szCs w:val="20"/>
                <w:color w:val="auto"/>
              </w:rPr>
            </w:pPr>
            <w:r>
              <w:rPr>
                <w:rFonts w:ascii="Arial" w:cs="Arial" w:eastAsia="Arial" w:hAnsi="Arial"/>
                <w:sz w:val="18"/>
                <w:szCs w:val="18"/>
                <w:color w:val="auto"/>
              </w:rPr>
              <w:t>Provision for excess and obsolete inventories</w:t>
            </w:r>
          </w:p>
        </w:tc>
        <w:tc>
          <w:tcPr>
            <w:tcW w:w="1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297</w:t>
            </w: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1"/>
                <w:szCs w:val="21"/>
                <w:color w:val="auto"/>
              </w:rPr>
            </w:pPr>
          </w:p>
        </w:tc>
      </w:tr>
      <w:tr>
        <w:trPr>
          <w:trHeight w:val="263"/>
        </w:trPr>
        <w:tc>
          <w:tcPr>
            <w:tcW w:w="7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right-of-use asset</w:t>
            </w:r>
          </w:p>
        </w:tc>
        <w:tc>
          <w:tcPr>
            <w:tcW w:w="116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32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FF0FC"/>
          </w:tcPr>
          <w:p>
            <w:pPr>
              <w:spacing w:after="0"/>
              <w:rPr>
                <w:sz w:val="22"/>
                <w:szCs w:val="22"/>
                <w:color w:val="auto"/>
              </w:rPr>
            </w:pPr>
          </w:p>
        </w:tc>
      </w:tr>
      <w:tr>
        <w:trPr>
          <w:trHeight w:val="250"/>
        </w:trPr>
        <w:tc>
          <w:tcPr>
            <w:tcW w:w="7140" w:type="dxa"/>
            <w:vAlign w:val="bottom"/>
          </w:tcPr>
          <w:p>
            <w:pPr>
              <w:ind w:left="200"/>
              <w:spacing w:after="0"/>
              <w:rPr>
                <w:sz w:val="20"/>
                <w:szCs w:val="20"/>
                <w:color w:val="auto"/>
              </w:rPr>
            </w:pPr>
            <w:r>
              <w:rPr>
                <w:rFonts w:ascii="Arial" w:cs="Arial" w:eastAsia="Arial" w:hAnsi="Arial"/>
                <w:sz w:val="18"/>
                <w:szCs w:val="18"/>
                <w:color w:val="auto"/>
              </w:rPr>
              <w:t>Change in fair value of redeemable convertible preferred stock warrant</w:t>
            </w:r>
          </w:p>
        </w:tc>
        <w:tc>
          <w:tcPr>
            <w:tcW w:w="1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6,861</w:t>
            </w: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r>
      <w:tr>
        <w:trPr>
          <w:trHeight w:val="263"/>
        </w:trPr>
        <w:tc>
          <w:tcPr>
            <w:tcW w:w="7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disposal of property and equipment</w:t>
            </w:r>
          </w:p>
        </w:tc>
        <w:tc>
          <w:tcPr>
            <w:tcW w:w="116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FF0FC"/>
          </w:tcPr>
          <w:p>
            <w:pPr>
              <w:spacing w:after="0"/>
              <w:rPr>
                <w:sz w:val="22"/>
                <w:szCs w:val="22"/>
                <w:color w:val="auto"/>
              </w:rPr>
            </w:pPr>
          </w:p>
        </w:tc>
      </w:tr>
      <w:tr>
        <w:trPr>
          <w:trHeight w:val="250"/>
        </w:trPr>
        <w:tc>
          <w:tcPr>
            <w:tcW w:w="7140" w:type="dxa"/>
            <w:vAlign w:val="bottom"/>
          </w:tcPr>
          <w:p>
            <w:pPr>
              <w:ind w:left="200"/>
              <w:spacing w:after="0"/>
              <w:rPr>
                <w:sz w:val="20"/>
                <w:szCs w:val="20"/>
                <w:color w:val="auto"/>
              </w:rPr>
            </w:pPr>
            <w:r>
              <w:rPr>
                <w:rFonts w:ascii="Arial" w:cs="Arial" w:eastAsia="Arial" w:hAnsi="Arial"/>
                <w:sz w:val="18"/>
                <w:szCs w:val="18"/>
                <w:color w:val="auto"/>
              </w:rPr>
              <w:t>Proceeds from Paycheck Protection Program loan</w:t>
            </w:r>
          </w:p>
        </w:tc>
        <w:tc>
          <w:tcPr>
            <w:tcW w:w="116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(2,246 )</w:t>
            </w:r>
          </w:p>
        </w:tc>
      </w:tr>
      <w:tr>
        <w:trPr>
          <w:trHeight w:val="263"/>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16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14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11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(3,707 )</w:t>
            </w:r>
          </w:p>
        </w:tc>
        <w:tc>
          <w:tcPr>
            <w:tcW w:w="60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(1,170 )</w:t>
            </w:r>
          </w:p>
        </w:tc>
      </w:tr>
      <w:tr>
        <w:trPr>
          <w:trHeight w:val="263"/>
        </w:trPr>
        <w:tc>
          <w:tcPr>
            <w:tcW w:w="7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Inventory</w:t>
            </w:r>
          </w:p>
        </w:tc>
        <w:tc>
          <w:tcPr>
            <w:tcW w:w="116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(648 )</w:t>
            </w:r>
          </w:p>
        </w:tc>
        <w:tc>
          <w:tcPr>
            <w:tcW w:w="60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(1,106 )</w:t>
            </w:r>
          </w:p>
        </w:tc>
      </w:tr>
      <w:tr>
        <w:trPr>
          <w:trHeight w:val="250"/>
        </w:trPr>
        <w:tc>
          <w:tcPr>
            <w:tcW w:w="71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1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(3,331 )</w:t>
            </w:r>
          </w:p>
        </w:tc>
        <w:tc>
          <w:tcPr>
            <w:tcW w:w="60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(421 )</w:t>
            </w:r>
          </w:p>
        </w:tc>
      </w:tr>
      <w:tr>
        <w:trPr>
          <w:trHeight w:val="263"/>
        </w:trPr>
        <w:tc>
          <w:tcPr>
            <w:tcW w:w="7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noncurrent assets</w:t>
            </w:r>
          </w:p>
        </w:tc>
        <w:tc>
          <w:tcPr>
            <w:tcW w:w="116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32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FF0FC"/>
          </w:tcPr>
          <w:p>
            <w:pPr>
              <w:spacing w:after="0"/>
              <w:rPr>
                <w:sz w:val="22"/>
                <w:szCs w:val="22"/>
                <w:color w:val="auto"/>
              </w:rPr>
            </w:pPr>
          </w:p>
        </w:tc>
      </w:tr>
      <w:tr>
        <w:trPr>
          <w:trHeight w:val="250"/>
        </w:trPr>
        <w:tc>
          <w:tcPr>
            <w:tcW w:w="71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1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(319 )</w:t>
            </w:r>
          </w:p>
        </w:tc>
        <w:tc>
          <w:tcPr>
            <w:tcW w:w="60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(104 )</w:t>
            </w:r>
          </w:p>
        </w:tc>
      </w:tr>
      <w:tr>
        <w:trPr>
          <w:trHeight w:val="263"/>
        </w:trPr>
        <w:tc>
          <w:tcPr>
            <w:tcW w:w="7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compensation</w:t>
            </w:r>
          </w:p>
        </w:tc>
        <w:tc>
          <w:tcPr>
            <w:tcW w:w="116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32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FF0FC"/>
          </w:tcPr>
          <w:p>
            <w:pPr>
              <w:spacing w:after="0"/>
              <w:rPr>
                <w:sz w:val="22"/>
                <w:szCs w:val="22"/>
                <w:color w:val="auto"/>
              </w:rPr>
            </w:pPr>
          </w:p>
        </w:tc>
      </w:tr>
      <w:tr>
        <w:trPr>
          <w:trHeight w:val="250"/>
        </w:trPr>
        <w:tc>
          <w:tcPr>
            <w:tcW w:w="7140" w:type="dxa"/>
            <w:vAlign w:val="bottom"/>
          </w:tcPr>
          <w:p>
            <w:pPr>
              <w:ind w:left="200"/>
              <w:spacing w:after="0"/>
              <w:rPr>
                <w:sz w:val="20"/>
                <w:szCs w:val="20"/>
                <w:color w:val="auto"/>
              </w:rPr>
            </w:pPr>
            <w:r>
              <w:rPr>
                <w:rFonts w:ascii="Arial" w:cs="Arial" w:eastAsia="Arial" w:hAnsi="Arial"/>
                <w:sz w:val="18"/>
                <w:szCs w:val="18"/>
                <w:color w:val="auto"/>
              </w:rPr>
              <w:t>Accrued and other current liabilities</w:t>
            </w:r>
          </w:p>
        </w:tc>
        <w:tc>
          <w:tcPr>
            <w:tcW w:w="1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21"/>
                <w:szCs w:val="21"/>
                <w:color w:val="auto"/>
              </w:rPr>
            </w:pPr>
          </w:p>
        </w:tc>
      </w:tr>
      <w:tr>
        <w:trPr>
          <w:trHeight w:val="257"/>
        </w:trPr>
        <w:tc>
          <w:tcPr>
            <w:tcW w:w="71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noncurrent liabilities</w:t>
            </w:r>
          </w:p>
        </w:tc>
        <w:tc>
          <w:tcPr>
            <w:tcW w:w="116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32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140" w:type="dxa"/>
            <w:vAlign w:val="bottom"/>
          </w:tcPr>
          <w:p>
            <w:pPr>
              <w:ind w:left="200"/>
              <w:spacing w:after="0"/>
              <w:rPr>
                <w:sz w:val="20"/>
                <w:szCs w:val="20"/>
                <w:color w:val="auto"/>
              </w:rPr>
            </w:pPr>
            <w:r>
              <w:rPr>
                <w:rFonts w:ascii="Arial" w:cs="Arial" w:eastAsia="Arial" w:hAnsi="Arial"/>
                <w:sz w:val="18"/>
                <w:szCs w:val="18"/>
                <w:b w:val="1"/>
                <w:bCs w:val="1"/>
                <w:color w:val="auto"/>
              </w:rPr>
              <w:t>Net cash used in operating activities</w:t>
            </w:r>
          </w:p>
        </w:tc>
        <w:tc>
          <w:tcPr>
            <w:tcW w:w="11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(41,818 )</w:t>
            </w:r>
          </w:p>
        </w:tc>
        <w:tc>
          <w:tcPr>
            <w:tcW w:w="60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(23,624 )</w:t>
            </w:r>
          </w:p>
        </w:tc>
      </w:tr>
      <w:tr>
        <w:trPr>
          <w:trHeight w:val="257"/>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tcBorders>
              <w:top w:val="single" w:sz="8" w:color="auto"/>
            </w:tcBorders>
            <w:shd w:val="clear" w:color="auto" w:fill="CFF0FC"/>
          </w:tcPr>
          <w:p>
            <w:pPr>
              <w:spacing w:after="0"/>
              <w:rPr>
                <w:sz w:val="22"/>
                <w:szCs w:val="22"/>
                <w:color w:val="auto"/>
              </w:rPr>
            </w:pPr>
          </w:p>
        </w:tc>
        <w:tc>
          <w:tcPr>
            <w:tcW w:w="680" w:type="dxa"/>
            <w:vAlign w:val="bottom"/>
            <w:tcBorders>
              <w:top w:val="single" w:sz="8" w:color="auto"/>
            </w:tcBorders>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600" w:type="dxa"/>
            <w:vAlign w:val="bottom"/>
            <w:tcBorders>
              <w:top w:val="single" w:sz="8" w:color="auto"/>
            </w:tcBorders>
            <w:shd w:val="clear" w:color="auto" w:fill="CFF0FC"/>
          </w:tcPr>
          <w:p>
            <w:pPr>
              <w:spacing w:after="0"/>
              <w:rPr>
                <w:sz w:val="22"/>
                <w:szCs w:val="22"/>
                <w:color w:val="auto"/>
              </w:rPr>
            </w:pPr>
          </w:p>
        </w:tc>
        <w:tc>
          <w:tcPr>
            <w:tcW w:w="124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11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(656 )</w:t>
            </w:r>
          </w:p>
        </w:tc>
        <w:tc>
          <w:tcPr>
            <w:tcW w:w="60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(651 )</w:t>
            </w:r>
          </w:p>
        </w:tc>
      </w:tr>
      <w:tr>
        <w:trPr>
          <w:trHeight w:val="20"/>
        </w:trPr>
        <w:tc>
          <w:tcPr>
            <w:tcW w:w="71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14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11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(656 )</w:t>
            </w:r>
          </w:p>
        </w:tc>
        <w:tc>
          <w:tcPr>
            <w:tcW w:w="6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(651 )</w:t>
            </w:r>
          </w:p>
        </w:tc>
      </w:tr>
      <w:tr>
        <w:trPr>
          <w:trHeight w:val="250"/>
        </w:trPr>
        <w:tc>
          <w:tcPr>
            <w:tcW w:w="71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320" w:type="dxa"/>
            <w:vAlign w:val="bottom"/>
            <w:tcBorders>
              <w:top w:val="single" w:sz="8" w:color="CFF0FC"/>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49"/>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common stock upon initial public offering, net of underwriting</w:t>
            </w:r>
          </w:p>
        </w:tc>
        <w:tc>
          <w:tcPr>
            <w:tcW w:w="11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discounts and commissions</w:t>
            </w:r>
          </w:p>
        </w:tc>
        <w:tc>
          <w:tcPr>
            <w:tcW w:w="1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256,680</w:t>
            </w:r>
          </w:p>
        </w:tc>
        <w:tc>
          <w:tcPr>
            <w:tcW w:w="3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Payment of other offering costs related to the initial public offering</w:t>
            </w:r>
          </w:p>
        </w:tc>
        <w:tc>
          <w:tcPr>
            <w:tcW w:w="11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(4,506 )</w:t>
            </w:r>
          </w:p>
        </w:tc>
        <w:tc>
          <w:tcPr>
            <w:tcW w:w="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Debt issuance costs - third party</w:t>
            </w:r>
          </w:p>
        </w:tc>
        <w:tc>
          <w:tcPr>
            <w:tcW w:w="116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(126 )</w:t>
            </w: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Proceeds from the issuance of redeemable convertible preferred stock</w:t>
            </w:r>
          </w:p>
        </w:tc>
        <w:tc>
          <w:tcPr>
            <w:tcW w:w="116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30,150</w:t>
            </w:r>
          </w:p>
        </w:tc>
        <w:tc>
          <w:tcPr>
            <w:tcW w:w="100" w:type="dxa"/>
            <w:vAlign w:val="bottom"/>
          </w:tcPr>
          <w:p>
            <w:pPr>
              <w:spacing w:after="0"/>
              <w:rPr>
                <w:sz w:val="21"/>
                <w:szCs w:val="21"/>
                <w:color w:val="auto"/>
              </w:rPr>
            </w:pPr>
          </w:p>
        </w:tc>
      </w:tr>
      <w:tr>
        <w:trPr>
          <w:trHeight w:val="263"/>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Redeemable convertible preferred stock issuance cost</w:t>
            </w:r>
          </w:p>
        </w:tc>
        <w:tc>
          <w:tcPr>
            <w:tcW w:w="116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(161 )</w:t>
            </w: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Proceeds from exercise of common stock options</w:t>
            </w:r>
          </w:p>
        </w:tc>
        <w:tc>
          <w:tcPr>
            <w:tcW w:w="1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3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r>
      <w:tr>
        <w:trPr>
          <w:trHeight w:val="250"/>
        </w:trPr>
        <w:tc>
          <w:tcPr>
            <w:tcW w:w="71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Net cash provided by financing activities</w:t>
            </w:r>
          </w:p>
        </w:tc>
        <w:tc>
          <w:tcPr>
            <w:tcW w:w="11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252,438</w:t>
            </w:r>
          </w:p>
        </w:tc>
        <w:tc>
          <w:tcPr>
            <w:tcW w:w="3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29,882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1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209,964</w:t>
            </w: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5,607</w:t>
            </w:r>
          </w:p>
        </w:tc>
        <w:tc>
          <w:tcPr>
            <w:tcW w:w="100" w:type="dxa"/>
            <w:vAlign w:val="bottom"/>
          </w:tcPr>
          <w:p>
            <w:pPr>
              <w:spacing w:after="0"/>
              <w:rPr>
                <w:sz w:val="21"/>
                <w:szCs w:val="21"/>
                <w:color w:val="auto"/>
              </w:rPr>
            </w:pPr>
          </w:p>
        </w:tc>
      </w:tr>
      <w:tr>
        <w:trPr>
          <w:trHeight w:val="257"/>
        </w:trPr>
        <w:tc>
          <w:tcPr>
            <w:tcW w:w="7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16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61,511</w:t>
            </w:r>
          </w:p>
        </w:tc>
        <w:tc>
          <w:tcPr>
            <w:tcW w:w="32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21,237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160" w:type="dxa"/>
            <w:vAlign w:val="bottom"/>
            <w:tcBorders>
              <w:bottom w:val="single" w:sz="8" w:color="auto"/>
            </w:tcBorders>
          </w:tcPr>
          <w:p>
            <w:pPr>
              <w:jc w:val="right"/>
              <w:ind w:right="97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271,475</w:t>
            </w:r>
          </w:p>
        </w:tc>
        <w:tc>
          <w:tcPr>
            <w:tcW w:w="320" w:type="dxa"/>
            <w:vAlign w:val="bottom"/>
          </w:tcPr>
          <w:p>
            <w:pPr>
              <w:spacing w:after="0"/>
              <w:rPr>
                <w:sz w:val="21"/>
                <w:szCs w:val="21"/>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26,844</w:t>
            </w:r>
          </w:p>
        </w:tc>
        <w:tc>
          <w:tcPr>
            <w:tcW w:w="100" w:type="dxa"/>
            <w:vAlign w:val="bottom"/>
          </w:tcPr>
          <w:p>
            <w:pPr>
              <w:spacing w:after="0"/>
              <w:rPr>
                <w:sz w:val="21"/>
                <w:szCs w:val="21"/>
                <w:color w:val="auto"/>
              </w:rPr>
            </w:pPr>
          </w:p>
        </w:tc>
      </w:tr>
      <w:tr>
        <w:trPr>
          <w:trHeight w:val="20"/>
        </w:trPr>
        <w:tc>
          <w:tcPr>
            <w:tcW w:w="7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-2670810</wp:posOffset>
            </wp:positionV>
            <wp:extent cx="19748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-2670810</wp:posOffset>
            </wp:positionV>
            <wp:extent cx="6858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-1993900</wp:posOffset>
            </wp:positionV>
            <wp:extent cx="19748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-1993900</wp:posOffset>
            </wp:positionV>
            <wp:extent cx="6858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-527685</wp:posOffset>
            </wp:positionV>
            <wp:extent cx="19748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-527685</wp:posOffset>
            </wp:positionV>
            <wp:extent cx="6858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-193675</wp:posOffset>
            </wp:positionV>
            <wp:extent cx="19748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2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paid for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2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Supplemental noncash disclosure</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Acquisition of property and equipment included in 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62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Stock issued on conversion of convertible preferred stock</w:t>
      </w:r>
    </w:p>
    <w:p>
      <w:pPr>
        <w:spacing w:after="0" w:line="50" w:lineRule="exact"/>
        <w:rPr>
          <w:sz w:val="20"/>
          <w:szCs w:val="20"/>
          <w:color w:val="auto"/>
        </w:rPr>
      </w:pPr>
    </w:p>
    <w:p>
      <w:pPr>
        <w:ind w:left="20" w:right="680"/>
        <w:spacing w:after="0" w:line="293" w:lineRule="auto"/>
        <w:rPr>
          <w:sz w:val="20"/>
          <w:szCs w:val="20"/>
          <w:color w:val="auto"/>
        </w:rPr>
      </w:pPr>
      <w:r>
        <w:rPr>
          <w:rFonts w:ascii="Arial" w:cs="Arial" w:eastAsia="Arial" w:hAnsi="Arial"/>
          <w:sz w:val="18"/>
          <w:szCs w:val="18"/>
          <w:color w:val="auto"/>
        </w:rPr>
        <w:t>Common stock warrants issued on conversion of preferred stock warrants and the reclassification of the warrant liability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2,331</w:t>
            </w:r>
          </w:p>
        </w:tc>
        <w:tc>
          <w:tcPr>
            <w:tcW w:w="98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513"/>
        </w:trPr>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83</w:t>
            </w:r>
          </w:p>
        </w:tc>
        <w:tc>
          <w:tcPr>
            <w:tcW w:w="98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56"/>
        </w:trPr>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117,331</w:t>
            </w:r>
          </w:p>
        </w:tc>
        <w:tc>
          <w:tcPr>
            <w:tcW w:w="98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8,973</w:t>
            </w:r>
          </w:p>
        </w:tc>
        <w:tc>
          <w:tcPr>
            <w:tcW w:w="980" w:type="dxa"/>
            <w:vAlign w:val="bottom"/>
            <w:vMerge w:val="restart"/>
          </w:tcPr>
          <w:p>
            <w:pPr>
              <w:jc w:val="right"/>
              <w:ind w:right="63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ectPr>
          <w:pgSz w:w="11900" w:h="16838" w:orient="portrait"/>
          <w:cols w:equalWidth="0" w:num="2">
            <w:col w:w="6580" w:space="560"/>
            <w:col w:w="4100"/>
          </w:cols>
          <w:pgMar w:left="320" w:top="364" w:right="339" w:bottom="1440" w:gutter="0" w:footer="0" w:header="0"/>
          <w:type w:val="continuous"/>
        </w:sect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9019"/>
          </w:cols>
          <w:pgMar w:left="1440" w:top="638"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SIGHT 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 Company and Nature of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158" w:lineRule="exact"/>
        <w:rPr>
          <w:sz w:val="20"/>
          <w:szCs w:val="20"/>
          <w:color w:val="auto"/>
        </w:rPr>
      </w:pPr>
    </w:p>
    <w:p>
      <w:pPr>
        <w:ind w:right="20" w:firstLine="509"/>
        <w:spacing w:after="0" w:line="270" w:lineRule="auto"/>
        <w:rPr>
          <w:sz w:val="20"/>
          <w:szCs w:val="20"/>
          <w:color w:val="auto"/>
        </w:rPr>
      </w:pPr>
      <w:r>
        <w:rPr>
          <w:rFonts w:ascii="Arial" w:cs="Arial" w:eastAsia="Arial" w:hAnsi="Arial"/>
          <w:sz w:val="18"/>
          <w:szCs w:val="18"/>
          <w:color w:val="auto"/>
        </w:rPr>
        <w:t>Sight Sciences, Inc. (the “Company”) was incorporated in the State of Delaware in 2010. The Company is located and headquartered in Menlo Park, California and has its principal commercial offices in Southlake, Texas. The Company is an ophthalmic medical device company focused on the development and commercialization of surgical and nonsurgical technologies for the treatment of prevalent eye diseases. The Company’s surgical glaucoma product portfolio features the OMNI® Surgical System, a device that facilitates the performance of both trabeculotomy and canaloplasty with a single device and single corneal incision. The Company’s nonsurgical dry eye product portfolio consists of the TearCare® System ("TearCare") for ophthalmologists and optometrists. TearCare is a wearable eyelid technology that delivers highly targeted and adjustable heat to the meibomian glands of the eyelids.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31"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On July 7, 2021 the Company effected a 2-for-1 stock split of its issued and outstanding shares of common stock and a proportional adjustment to the existing conversion ratios for each series of the Company’s redeemable convertible preferred stock. Accordingly, all share and per share amounts for all periods presented in the accompanying condensed consolidated financial statements and notes thereto have been adjusted retroactively, where applicable, to reflect this stock split and adjustment of the redeemable convertible preferred stock conversion ratios.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31" w:lineRule="exact"/>
        <w:rPr>
          <w:sz w:val="20"/>
          <w:szCs w:val="20"/>
          <w:color w:val="auto"/>
        </w:rPr>
      </w:pPr>
    </w:p>
    <w:p>
      <w:pPr>
        <w:ind w:right="120" w:firstLine="509"/>
        <w:spacing w:after="0" w:line="272" w:lineRule="auto"/>
        <w:rPr>
          <w:sz w:val="20"/>
          <w:szCs w:val="20"/>
          <w:color w:val="auto"/>
        </w:rPr>
      </w:pPr>
      <w:r>
        <w:rPr>
          <w:rFonts w:ascii="Arial" w:cs="Arial" w:eastAsia="Arial" w:hAnsi="Arial"/>
          <w:sz w:val="18"/>
          <w:szCs w:val="18"/>
          <w:color w:val="auto"/>
        </w:rPr>
        <w:t>On July 19, 2021, the Company closed its initial public offering (“IPO”) of its common stock in which the Company issued and sold 10,000,000 shares of its common stock, and sold an additional 1,500,000 shares of common stock upon the full exercise of the underwriters’ option to purchase additional shares of the Company's common stock. These sales occurred at the initial public offering price of $24.00 per share. The Company received net proceeds of approximately $252.2 million from the IPO, after deducting underwriting discounts and commissions of $19.3 million and offering costs of $4.5 million, of which $0.4 million were incurred as of December 31, 2020.</w:t>
      </w:r>
    </w:p>
    <w:p>
      <w:pPr>
        <w:spacing w:after="0" w:line="191" w:lineRule="exact"/>
        <w:rPr>
          <w:sz w:val="20"/>
          <w:szCs w:val="20"/>
          <w:color w:val="auto"/>
        </w:rPr>
      </w:pPr>
    </w:p>
    <w:p>
      <w:pPr>
        <w:ind w:right="40" w:firstLine="509"/>
        <w:spacing w:after="0" w:line="329" w:lineRule="auto"/>
        <w:rPr>
          <w:sz w:val="20"/>
          <w:szCs w:val="20"/>
          <w:color w:val="auto"/>
        </w:rPr>
      </w:pPr>
      <w:r>
        <w:rPr>
          <w:rFonts w:ascii="Arial" w:cs="Arial" w:eastAsia="Arial" w:hAnsi="Arial"/>
          <w:sz w:val="16"/>
          <w:szCs w:val="16"/>
          <w:color w:val="auto"/>
        </w:rPr>
        <w:t>Immediately prior to the closing of the IPO, all then-outstanding shares of redeemable convertible preferred stock were converted into 25,534,404 shares of common stock. Further, all outstanding redeemable convertible preferred stock warrants were converted into warrants to purchase 659,028 shares of common stock, which resulted in the reclassification of the convertible preferred stock warrant liability to additional paid-in capital.</w:t>
      </w:r>
    </w:p>
    <w:p>
      <w:pPr>
        <w:spacing w:after="0" w:line="148"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In connection with the Company’s IPO, in July 2021, the Company’s certificate of incorporation was amended and restated to provide for 200,000,000 authorized shares of common stock with a par value of $0.001 per share and 10,000,000 authorized shares of preferred stock with a par value of $0.001 per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Significant Risks and Uncertainties</w:t>
      </w:r>
    </w:p>
    <w:p>
      <w:pPr>
        <w:spacing w:after="0" w:line="131"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Since inception, the Company has incurred losses and negative cash flows from operations. As of September 30, 2021, the Company had an accumulated deficit of $137.1 million and recorded a net loss of $47.0 million for the nine months then ended and expects to incur future additional losses. If the Company’s revenue levels from its products are not sufficient or if the Company is unable to secure additional funding when desired, the Company may need to delay the development of its products and scale back its business and operations.</w:t>
      </w:r>
    </w:p>
    <w:p>
      <w:pPr>
        <w:spacing w:after="0" w:line="185" w:lineRule="exact"/>
        <w:rPr>
          <w:sz w:val="20"/>
          <w:szCs w:val="20"/>
          <w:color w:val="auto"/>
        </w:rPr>
      </w:pPr>
    </w:p>
    <w:p>
      <w:pPr>
        <w:ind w:right="160" w:firstLine="509"/>
        <w:spacing w:after="0" w:line="329" w:lineRule="auto"/>
        <w:rPr>
          <w:sz w:val="20"/>
          <w:szCs w:val="20"/>
          <w:color w:val="auto"/>
        </w:rPr>
      </w:pPr>
      <w:r>
        <w:rPr>
          <w:rFonts w:ascii="Arial" w:cs="Arial" w:eastAsia="Arial" w:hAnsi="Arial"/>
          <w:sz w:val="16"/>
          <w:szCs w:val="16"/>
          <w:color w:val="auto"/>
        </w:rPr>
        <w:t>The Company believes that its existing sources of liquidity will satisfy its working capital and capital requirements for at least 12 months from the issuance of its financial statements. Failure to generate sufficient revenues, achieve planned gross margins, or control operating costs will require the Company to raise additional capital through equity or debt financing. Such additional financing may not be available on acceptable terms, or at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2" w:name="page13"/>
    <w:bookmarkEnd w:id="12"/>
    <w:p>
      <w:pPr>
        <w:ind w:right="500"/>
        <w:spacing w:after="0" w:line="359" w:lineRule="auto"/>
        <w:rPr>
          <w:sz w:val="20"/>
          <w:szCs w:val="20"/>
          <w:color w:val="auto"/>
        </w:rPr>
      </w:pPr>
      <w:r>
        <w:rPr>
          <w:rFonts w:ascii="Arial" w:cs="Arial" w:eastAsia="Arial" w:hAnsi="Arial"/>
          <w:sz w:val="16"/>
          <w:szCs w:val="16"/>
          <w:color w:val="auto"/>
        </w:rPr>
        <w:t>all, and could require the Company to modify, delay, or abandon some of its planned future expansion or expenditures or reduce some of its ongoing operating costs, which could harm its business, operating results, financial condition, and ability to achieve its intended business objectives.</w:t>
      </w:r>
    </w:p>
    <w:p>
      <w:pPr>
        <w:spacing w:after="0" w:line="125"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On March 11, 2020, the World Health Organization declared the coronavirus disease 2019 (“COVID-19”) outbreak a global pandemic recommending containment measures worldwide. On March 16, 2020 the Company implemented alternative work arrangements for its employees and limited its employees’ travel activities to protect its employees and to comply with the provisions described within the local shelter in place order. Certain U.S. federal, state and local governmental authorities issued other orders and directives, including restrictions on elective procedures and therapies, aimed at minimizing the spread of COVID-19. As such, the COVID-19 pandemic impacted and is expected to continue to impact demand for the Company’s products, which are used in procedures and therapies that are considered elective. Although some of the governmental restrictions have since been lifted or scaled back, recent and future surges of COVID-19, including recent surges in the delta variant of COVID-19, may result in restrictions being re-implemented in response to efforts to reduce the spread of COVID-19.</w:t>
      </w:r>
    </w:p>
    <w:p>
      <w:pPr>
        <w:spacing w:after="0" w:line="182"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The ultimate impact of the COVID-19 pandemic on the Company’s operations is unknown and will depend on future developments which are highly uncertain and cannot be predicted with confidence, including the duration and severity of the COVID-19 outbreak (including prevalence and effect of the delta variant and other potential COVID-19 variants), the status of health and safety actions taken to contain its spread and any additional preventative and protective actions that governments or the Company may direct, any resurgence of COVID-19 that may occur and how quickly and to what extent economic and operating conditions normalize within the markets in which the Company operates. The COVID-19 pandemic could disrupt the operations of the Company’s third-party manufacturers and other suppliers. Although the Company has not experienced material disruptions in its supply chain to date, it cannot predict how long the pandemic and measures intended to contain the spread of COVID-19 will continue and what effect COVID-19 and the associated containment measures will have on our suppliers and vendors, in particular for any of the Company’s suppliers and vendors that may not qualify as essential businesses and suffer more significant disruptions to their business operations. The Company is working closely with its manufacturing partners and suppliers to help ensure the Company is able to source key components and maintain appropriate inventory levels to meet customer demand.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31"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The accompanying condensed consolidated financial statements are unaudited and have been prepared in accordance with generally accepted accounting principles in the United States of America (“GAAP”) applicable to interim periods. The condensed consolidated financial statements, in the opinion of management, include all normal and recurring adjustments necessary to present fairly the Company’s financial position and results of operations for the reported periods. These condensed consolidated financial statements have been prepared on a basis substantially consistent with, and should be read in conjunction with the audited financial statements for the year ended December 31, 2020 and notes thereto included in the prospectus, dated July 14, 2021, filed with the Securities and Exchange Commission ("SEC") in accordance with Rule 424(b) of the Securities Act on July 15, 2021 (the "Prospectus") in connection with our IPO that forms a part of the Company's Registration Statements on Form S-1 (File No. 333-257320), as filed with the SEC pursuant to Rule 424(b)(4) promulgated under the Securities Act. Certain information and note disclosures normally included in the audited financial statements prepared in accordance with GAAP have been condensed or omitted from this report. The results of operations for any interim period are not necessarily indicative of the results for the year ending December 31, 2021, or for any future period.</w:t>
      </w:r>
    </w:p>
    <w:p>
      <w:pPr>
        <w:spacing w:after="0" w:line="165" w:lineRule="exact"/>
        <w:rPr>
          <w:sz w:val="20"/>
          <w:szCs w:val="20"/>
          <w:color w:val="auto"/>
        </w:rPr>
      </w:pPr>
    </w:p>
    <w:p>
      <w:pPr>
        <w:ind w:right="480" w:firstLine="509"/>
        <w:spacing w:after="0" w:line="293" w:lineRule="auto"/>
        <w:rPr>
          <w:sz w:val="20"/>
          <w:szCs w:val="20"/>
          <w:color w:val="auto"/>
        </w:rPr>
      </w:pPr>
      <w:r>
        <w:rPr>
          <w:rFonts w:ascii="Arial" w:cs="Arial" w:eastAsia="Arial" w:hAnsi="Arial"/>
          <w:sz w:val="18"/>
          <w:szCs w:val="18"/>
          <w:color w:val="auto"/>
        </w:rPr>
        <w:t>The accompanying condensed consolidated financial statements reflect the operations of the Company and its wholly-owned subsidiaries. All intercompany accounts and transactions have been eliminated.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31" w:lineRule="exact"/>
        <w:rPr>
          <w:sz w:val="20"/>
          <w:szCs w:val="20"/>
          <w:color w:val="auto"/>
        </w:rPr>
      </w:pPr>
    </w:p>
    <w:p>
      <w:pPr>
        <w:jc w:val="both"/>
        <w:ind w:right="80" w:firstLine="509"/>
        <w:spacing w:after="0" w:line="27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 during the reporting period.</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3" w:name="page14"/>
    <w:bookmarkEnd w:id="13"/>
    <w:p>
      <w:pPr>
        <w:spacing w:after="0" w:line="271" w:lineRule="auto"/>
        <w:rPr>
          <w:sz w:val="20"/>
          <w:szCs w:val="20"/>
          <w:color w:val="auto"/>
        </w:rPr>
      </w:pPr>
      <w:r>
        <w:rPr>
          <w:rFonts w:ascii="Arial" w:cs="Arial" w:eastAsia="Arial" w:hAnsi="Arial"/>
          <w:sz w:val="18"/>
          <w:szCs w:val="18"/>
          <w:color w:val="auto"/>
        </w:rPr>
        <w:t>The most significant estimates related to inventory excess and obsolescence, the selection of useful lives of property and equipment, determination of the fair value of stock option grants, the fair value of the redeemable convertible preferred stock warrants, and provisions for income taxes and contingencies.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financial statements. Actual results could differ from these estimates and such differences could be material to the Company’s financial position and results of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Fair Value of Financial Instruments</w:t>
      </w:r>
    </w:p>
    <w:p>
      <w:pPr>
        <w:spacing w:after="0" w:line="131"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The Company’s financial instruments consist of cash and cash equivalents, accounts receivable, accounts payable, accrued liabilities, redeemable convertible preferred stock, short-term and long-term debt and redeemable convertible preferred stock warrant liability. The Company states accounts receivable, accounts payable, and accrued and other current liabilities at their carrying value, which approximates fair value due to the short time to the expected receipt or payment. The carrying amount of the Company’s debt approximates its fair value as the effective interest rate approximates market rates currently available to the Company. The redeemable convertible preferred stock warrant liability associated with the Company’s redeemable convertible preferred stock was carried at fair value based on unobservable market inputs. The carrying value of the warrants continued to be adjusted until the completion of the IPO, which occurred in July 2021. At that time, the preferred stock warrant liability was adjusted to fair value and reclassified to additional paid-in capital (see Note 3).</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Deferred Offering Costs</w:t>
      </w:r>
    </w:p>
    <w:p>
      <w:pPr>
        <w:spacing w:after="0" w:line="131" w:lineRule="exact"/>
        <w:rPr>
          <w:sz w:val="20"/>
          <w:szCs w:val="20"/>
          <w:color w:val="auto"/>
        </w:rPr>
      </w:pPr>
    </w:p>
    <w:p>
      <w:pPr>
        <w:jc w:val="both"/>
        <w:ind w:right="200" w:firstLine="509"/>
        <w:spacing w:after="0" w:line="329" w:lineRule="auto"/>
        <w:rPr>
          <w:sz w:val="20"/>
          <w:szCs w:val="20"/>
          <w:color w:val="auto"/>
        </w:rPr>
      </w:pPr>
      <w:r>
        <w:rPr>
          <w:rFonts w:ascii="Arial" w:cs="Arial" w:eastAsia="Arial" w:hAnsi="Arial"/>
          <w:sz w:val="16"/>
          <w:szCs w:val="16"/>
          <w:color w:val="auto"/>
        </w:rPr>
        <w:t>Deferred offering costs, consisting of legal, accounting and other fees and costs relating to the Company’s IPO, were deferred until completion of the IPO. As of December 31, 2020, deferred offering costs of $0.4 million were capitalized and are included in “Other noncurrent assets”. In July 2021, upon closing of the IPO, total deferred costs of $4.5 million were offset against the Company's IPO proceeds in additional paid in capital.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Accounting for Payroll Protection Program</w:t>
      </w:r>
    </w:p>
    <w:p>
      <w:pPr>
        <w:spacing w:after="0" w:line="131"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In March 2020, Congress established the Paycheck Protection Program (“PPP”) to provide relief to small businesses during COVID-19 as part of the Coronavirus Aid, Relief, and Economic Security (“CARES”) Act. The legislation authorized the U.S. Treasury to use the Small Business Association’s (“SBA’s”) small business lending program to fund forgivable loans that qualifying businesses could spend to cover payroll, mortgage interest, rent, and utilities during the “Covered Period” defined as the 8-week period starting on the date the PPP loan proceeds are received. Upon meeting certain criteria as specified in the PPP program, the loans are eligible for partial or total forgiveness. In May 2020, the Company applied for and received a PPP loan for the amount $2.2 million from SBA. The PPP loan was forgiven in June 2021.</w:t>
      </w:r>
    </w:p>
    <w:p>
      <w:pPr>
        <w:spacing w:after="0" w:line="176"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 xml:space="preserve">GAAP does not contain authoritative accounting standards for forgivable loans provided by governmental entities to a for-profit entity. Absent authoritative accounting standards, interpretative guidance issued and commonly applied by financial statement preparers allows for the selection of accounting policies amongst acceptable alternatives. The Company determined it most appropriate to account for the PPP loan proceeds as an in-substance government grant by analogy to International Accounting Standards 20 (“IAS 20”) </w:t>
      </w:r>
      <w:r>
        <w:rPr>
          <w:rFonts w:ascii="Arial" w:cs="Arial" w:eastAsia="Arial" w:hAnsi="Arial"/>
          <w:sz w:val="16"/>
          <w:szCs w:val="16"/>
          <w:i w:val="1"/>
          <w:iCs w:val="1"/>
          <w:color w:val="auto"/>
        </w:rPr>
        <w:t>Accounting for Government Grants and Disclosure of Government</w:t>
      </w:r>
      <w:r>
        <w:rPr>
          <w:rFonts w:ascii="Arial" w:cs="Arial" w:eastAsia="Arial" w:hAnsi="Arial"/>
          <w:sz w:val="16"/>
          <w:szCs w:val="16"/>
          <w:color w:val="auto"/>
        </w:rPr>
        <w:t xml:space="preserve"> </w:t>
      </w:r>
      <w:r>
        <w:rPr>
          <w:rFonts w:ascii="Arial" w:cs="Arial" w:eastAsia="Arial" w:hAnsi="Arial"/>
          <w:sz w:val="16"/>
          <w:szCs w:val="16"/>
          <w:i w:val="1"/>
          <w:iCs w:val="1"/>
          <w:color w:val="auto"/>
        </w:rPr>
        <w:t>Assistance</w:t>
      </w:r>
      <w:r>
        <w:rPr>
          <w:rFonts w:ascii="Arial" w:cs="Arial" w:eastAsia="Arial" w:hAnsi="Arial"/>
          <w:sz w:val="16"/>
          <w:szCs w:val="16"/>
          <w:color w:val="auto"/>
        </w:rPr>
        <w:t>. Under this guidance, a forgivable loan from government is treated as a government grant when there is reasonable assurance that the entity will</w:t>
      </w:r>
      <w:r>
        <w:rPr>
          <w:rFonts w:ascii="Arial" w:cs="Arial" w:eastAsia="Arial" w:hAnsi="Arial"/>
          <w:sz w:val="16"/>
          <w:szCs w:val="16"/>
          <w:i w:val="1"/>
          <w:iCs w:val="1"/>
          <w:color w:val="auto"/>
        </w:rPr>
        <w:t xml:space="preserve"> </w:t>
      </w:r>
      <w:r>
        <w:rPr>
          <w:rFonts w:ascii="Arial" w:cs="Arial" w:eastAsia="Arial" w:hAnsi="Arial"/>
          <w:sz w:val="16"/>
          <w:szCs w:val="16"/>
          <w:color w:val="auto"/>
        </w:rPr>
        <w:t>meet the terms for forgiveness of the loan. While IAS 20 does not define “reasonable assurance”, this concept in practice is analogous to “probable” as defined in Financial Accounting Standards Board (“FASB”) ASC 450-20-20 under GAAP, which is the definition the Company applied to its expectations of PPP loan forgiveness. Under IAS 20, government grants are recognized in earnings on a systematic basis over the periods in which the Company recognizes costs for which the grant is intended to compensate (i.e. qualified expenses). Further, IAS 20 permits for the recognition in earnings either separately under a general heading such as other income, or as a reduction of the related expenses.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231F20"/>
        </w:rPr>
        <w:t>New Accounting Pronouncements Not Yet Adopted</w:t>
      </w:r>
    </w:p>
    <w:p>
      <w:pPr>
        <w:spacing w:after="0" w:line="131"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amends the impairment model by requiring entities to use a forward-looking approach based on expected losses to estimate credit losses</w:t>
      </w:r>
      <w:r>
        <w:rPr>
          <w:rFonts w:ascii="Arial" w:cs="Arial" w:eastAsia="Arial" w:hAnsi="Arial"/>
          <w:sz w:val="18"/>
          <w:szCs w:val="18"/>
          <w:i w:val="1"/>
          <w:iCs w:val="1"/>
          <w:color w:val="auto"/>
        </w:rPr>
        <w:t xml:space="preserve"> </w:t>
      </w:r>
      <w:r>
        <w:rPr>
          <w:rFonts w:ascii="Arial" w:cs="Arial" w:eastAsia="Arial" w:hAnsi="Arial"/>
          <w:sz w:val="18"/>
          <w:szCs w:val="18"/>
          <w:color w:val="auto"/>
        </w:rPr>
        <w:t>on certain types of financial instruments, including trade receivables and available-for-sale debt securities. The guidance is effective for the Company beginning in the first quarter of 2023. The Company is evaluating the impact of adopting this guidance and does not expect to have a material impact on the Company’s financial statements and related disclosures.</w:t>
      </w:r>
    </w:p>
    <w:p>
      <w:pPr>
        <w:spacing w:after="0" w:line="191"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that simplifies the accounting for income taxes by eliminating certain exceptions related to the approach for intra-period tax allocation and modified the methodology for calculating income taxes in an interim period. It also clarifies and simplifies other aspects of the accounting for income taxes. The guidance is effective for the Company for fiscal years beginning after December 15, 2021, and interim periods within fiscal years beginning after December 15, 2022 with early adoption permitted. The Company is evaluating the effect of this new guidance and does not expect it to have material impact on the Company’s financial statements.</w:t>
      </w:r>
    </w:p>
    <w:p>
      <w:pPr>
        <w:spacing w:after="0" w:line="191" w:lineRule="exact"/>
        <w:rPr>
          <w:sz w:val="20"/>
          <w:szCs w:val="20"/>
          <w:color w:val="auto"/>
        </w:rPr>
      </w:pPr>
    </w:p>
    <w:p>
      <w:pPr>
        <w:ind w:right="300" w:firstLine="509"/>
        <w:spacing w:after="0" w:line="309"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The new guidance provides optional expedients and exceptions for applying generally accepted accounting principles to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modifications and hedging relationships, subject to meeting certain criteria, that reference LIBOR or another reference rate expected to be discontinued. The guidance also establishes (1) a general contract modification principle that entities can apply in other areas that may be affected by reference rate reform and (2) certain elective hedge accounting expedients. The amendment is effective for all entities through December 31, 2022. LIBOR is used to calculate the interest on borrowings under the Company’s term loan and revolving line of credit with MidCap Financial Services. The Company is evaluating the effect of this new guidance and does not expect it to have material impact on the Company’s financial statements.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35"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83" w:lineRule="exact"/>
        <w:rPr>
          <w:sz w:val="20"/>
          <w:szCs w:val="20"/>
          <w:color w:val="auto"/>
        </w:rPr>
      </w:pPr>
    </w:p>
    <w:p>
      <w:pPr>
        <w:ind w:right="260" w:firstLine="509"/>
        <w:spacing w:after="0" w:line="293" w:lineRule="auto"/>
        <w:rPr>
          <w:sz w:val="20"/>
          <w:szCs w:val="20"/>
          <w:color w:val="auto"/>
        </w:rPr>
      </w:pPr>
      <w:r>
        <w:rPr>
          <w:rFonts w:ascii="Arial" w:cs="Arial" w:eastAsia="Arial" w:hAnsi="Arial"/>
          <w:sz w:val="18"/>
          <w:szCs w:val="18"/>
          <w:color w:val="auto"/>
        </w:rPr>
        <w:t>Level 1—Inputs are quoted prices (unadjusted) in active markets for identical assets or liabilities that the Company has the ability to access at the measurement date.</w:t>
      </w:r>
    </w:p>
    <w:p>
      <w:pPr>
        <w:spacing w:after="0" w:line="62" w:lineRule="exact"/>
        <w:rPr>
          <w:sz w:val="20"/>
          <w:szCs w:val="20"/>
          <w:color w:val="auto"/>
        </w:rPr>
      </w:pPr>
    </w:p>
    <w:p>
      <w:pPr>
        <w:ind w:right="140" w:firstLine="509"/>
        <w:spacing w:after="0" w:line="279" w:lineRule="auto"/>
        <w:rPr>
          <w:sz w:val="20"/>
          <w:szCs w:val="20"/>
          <w:color w:val="auto"/>
        </w:rPr>
      </w:pPr>
      <w:r>
        <w:rPr>
          <w:rFonts w:ascii="Arial" w:cs="Arial" w:eastAsia="Arial" w:hAnsi="Arial"/>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75" w:lineRule="exact"/>
        <w:rPr>
          <w:sz w:val="20"/>
          <w:szCs w:val="20"/>
          <w:color w:val="auto"/>
        </w:rPr>
      </w:pPr>
    </w:p>
    <w:p>
      <w:pPr>
        <w:ind w:right="180" w:firstLine="509"/>
        <w:spacing w:after="0" w:line="293" w:lineRule="auto"/>
        <w:rPr>
          <w:sz w:val="20"/>
          <w:szCs w:val="20"/>
          <w:color w:val="auto"/>
        </w:rPr>
      </w:pPr>
      <w:r>
        <w:rPr>
          <w:rFonts w:ascii="Arial" w:cs="Arial" w:eastAsia="Arial" w:hAnsi="Arial"/>
          <w:sz w:val="18"/>
          <w:szCs w:val="18"/>
          <w:color w:val="auto"/>
        </w:rPr>
        <w:t>Level 3—Inputs are unobservable inputs for the asset or liability. The level in the fair value hierarchy within which a fair value measurement in its entirety is based on the lowest-level input that is significant to the fair value measurement in its entirety.</w:t>
      </w:r>
    </w:p>
    <w:p>
      <w:pPr>
        <w:spacing w:after="0" w:line="170" w:lineRule="exact"/>
        <w:rPr>
          <w:sz w:val="20"/>
          <w:szCs w:val="20"/>
          <w:color w:val="auto"/>
        </w:rPr>
      </w:pPr>
    </w:p>
    <w:p>
      <w:pPr>
        <w:ind w:right="340" w:firstLine="509"/>
        <w:spacing w:after="0" w:line="293" w:lineRule="auto"/>
        <w:rPr>
          <w:sz w:val="20"/>
          <w:szCs w:val="20"/>
          <w:color w:val="auto"/>
        </w:rPr>
      </w:pPr>
      <w:r>
        <w:rPr>
          <w:rFonts w:ascii="Arial" w:cs="Arial" w:eastAsia="Arial" w:hAnsi="Arial"/>
          <w:sz w:val="18"/>
          <w:szCs w:val="18"/>
          <w:color w:val="auto"/>
        </w:rPr>
        <w:t>The financial statements as of September 30, 2021 and December 31, 2020, do not include any nonrecurring fair value measurements relating to assets or liabilities.</w:t>
      </w:r>
    </w:p>
    <w:p>
      <w:pPr>
        <w:spacing w:after="0" w:line="170" w:lineRule="exact"/>
        <w:rPr>
          <w:sz w:val="20"/>
          <w:szCs w:val="20"/>
          <w:color w:val="auto"/>
        </w:rPr>
      </w:pPr>
    </w:p>
    <w:p>
      <w:pPr>
        <w:ind w:right="100" w:firstLine="509"/>
        <w:spacing w:after="0" w:line="293" w:lineRule="auto"/>
        <w:rPr>
          <w:sz w:val="20"/>
          <w:szCs w:val="20"/>
          <w:color w:val="auto"/>
        </w:rPr>
      </w:pPr>
      <w:r>
        <w:rPr>
          <w:rFonts w:ascii="Arial" w:cs="Arial" w:eastAsia="Arial" w:hAnsi="Arial"/>
          <w:sz w:val="18"/>
          <w:szCs w:val="18"/>
          <w:color w:val="auto"/>
        </w:rPr>
        <w:t>The following table sets forth the fair value measurements of liabilities that are measured at fair value on a recurring basis as of December 31, 2020 (in thousands). As of September 30, 2021, there were no liabilities that are measured at fair value on a recurring basis.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tbl>
      <w:tblPr>
        <w:tblLayout w:type="fixed"/>
        <w:tblInd w:w="8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4"/>
                <w:szCs w:val="14"/>
                <w:b w:val="1"/>
                <w:bCs w:val="1"/>
                <w:color w:val="auto"/>
              </w:rPr>
              <w:t>As of December 31, 2020</w:t>
            </w: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360" w:type="dxa"/>
            <w:vAlign w:val="bottom"/>
          </w:tcPr>
          <w:p>
            <w:pPr>
              <w:spacing w:after="0"/>
              <w:rPr>
                <w:sz w:val="20"/>
                <w:szCs w:val="20"/>
                <w:color w:val="auto"/>
              </w:rPr>
            </w:pPr>
            <w:r>
              <w:rPr>
                <w:rFonts w:ascii="Arial" w:cs="Arial" w:eastAsia="Arial" w:hAnsi="Arial"/>
                <w:sz w:val="18"/>
                <w:szCs w:val="18"/>
                <w:color w:val="auto"/>
              </w:rPr>
              <w:t>Redeemable convertible preferred stock warrants</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ind w:left="960"/>
              <w:spacing w:after="0"/>
              <w:rPr>
                <w:sz w:val="20"/>
                <w:szCs w:val="20"/>
                <w:color w:val="auto"/>
              </w:rPr>
            </w:pPr>
            <w:r>
              <w:rPr>
                <w:rFonts w:ascii="Arial" w:cs="Arial" w:eastAsia="Arial" w:hAnsi="Arial"/>
                <w:sz w:val="18"/>
                <w:szCs w:val="18"/>
                <w:color w:val="auto"/>
                <w:w w:val="99"/>
              </w:rPr>
              <w:t>—</w:t>
            </w:r>
          </w:p>
        </w:tc>
        <w:tc>
          <w:tcPr>
            <w:tcW w:w="280" w:type="dxa"/>
            <w:vAlign w:val="bottom"/>
            <w:vMerge w:val="restart"/>
          </w:tcPr>
          <w:p>
            <w:pPr>
              <w:spacing w:after="0"/>
              <w:rPr>
                <w:sz w:val="21"/>
                <w:szCs w:val="21"/>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ind w:left="960"/>
              <w:spacing w:after="0"/>
              <w:rPr>
                <w:sz w:val="20"/>
                <w:szCs w:val="20"/>
                <w:color w:val="auto"/>
              </w:rPr>
            </w:pPr>
            <w:r>
              <w:rPr>
                <w:rFonts w:ascii="Arial" w:cs="Arial" w:eastAsia="Arial" w:hAnsi="Arial"/>
                <w:sz w:val="18"/>
                <w:szCs w:val="18"/>
                <w:color w:val="auto"/>
                <w:w w:val="99"/>
              </w:rPr>
              <w:t>—</w:t>
            </w:r>
          </w:p>
        </w:tc>
        <w:tc>
          <w:tcPr>
            <w:tcW w:w="280" w:type="dxa"/>
            <w:vAlign w:val="bottom"/>
            <w:vMerge w:val="restart"/>
          </w:tcPr>
          <w:p>
            <w:pPr>
              <w:spacing w:after="0"/>
              <w:rPr>
                <w:sz w:val="21"/>
                <w:szCs w:val="21"/>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2,112</w:t>
            </w:r>
          </w:p>
        </w:tc>
        <w:tc>
          <w:tcPr>
            <w:tcW w:w="240" w:type="dxa"/>
            <w:vAlign w:val="bottom"/>
            <w:vMerge w:val="restart"/>
          </w:tcPr>
          <w:p>
            <w:pPr>
              <w:spacing w:after="0"/>
              <w:rPr>
                <w:sz w:val="21"/>
                <w:szCs w:val="21"/>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2,112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360" w:type="dxa"/>
            <w:vAlign w:val="bottom"/>
          </w:tcPr>
          <w:p>
            <w:pPr>
              <w:spacing w:after="0"/>
              <w:rPr>
                <w:sz w:val="20"/>
                <w:szCs w:val="20"/>
                <w:color w:val="auto"/>
              </w:rPr>
            </w:pPr>
            <w:r>
              <w:rPr>
                <w:rFonts w:ascii="Arial" w:cs="Arial" w:eastAsia="Arial" w:hAnsi="Arial"/>
                <w:sz w:val="18"/>
                <w:szCs w:val="18"/>
                <w:color w:val="auto"/>
              </w:rPr>
              <w:t>liabilities</w:t>
            </w:r>
          </w:p>
        </w:tc>
        <w:tc>
          <w:tcPr>
            <w:tcW w:w="3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3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liabilities measured at fair value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-25400</wp:posOffset>
            </wp:positionV>
            <wp:extent cx="1714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-8255</wp:posOffset>
            </wp:positionV>
            <wp:extent cx="1714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-25400</wp:posOffset>
            </wp:positionV>
            <wp:extent cx="1714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-8255</wp:posOffset>
            </wp:positionV>
            <wp:extent cx="1714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1543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543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-25400</wp:posOffset>
            </wp:positionV>
            <wp:extent cx="596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-8255</wp:posOffset>
            </wp:positionV>
            <wp:extent cx="596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17"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The Company measures the redeemable convertible preferred stock warrants using Level 3 unobservable inputs within the Black-Scholes option-pricing model. The key assumptions include the fair value of redeemable convertible preferred stock, volatility, the risk-free interest rate, expected term (remaining contractual term of the warrants) and dividend yield. The Company has limited historical volatility information available, and the expected volatility was based on actual volatility for comparable public companies projected over the expected terms of the warrants. The Company did not apply a forfeiture rate to the warrants as there is not enough historical information available to estimate such a rate. The risk-free interest rate was based on the U.S. Treasury yield curve at the time of the grant over the expected term of the warrants. Refer to Note 9 for the assumptions used.</w:t>
      </w:r>
    </w:p>
    <w:p>
      <w:pPr>
        <w:spacing w:after="0" w:line="163"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The Company measures the fair value of outstanding debt for disclosure purposes on a recurring basis. As of September 30, 2021 and December 31, 2020, total debt of $32.5 million and $31.9 million is reported at amortized cost, respectively. This outstanding debt is classified as Level 2 as it is not actively traded. The amortized cost of the outstanding debt approximates the fair value.</w:t>
      </w:r>
    </w:p>
    <w:p>
      <w:pPr>
        <w:spacing w:after="0" w:line="183" w:lineRule="exact"/>
        <w:rPr>
          <w:sz w:val="20"/>
          <w:szCs w:val="20"/>
          <w:color w:val="auto"/>
        </w:rPr>
      </w:pPr>
    </w:p>
    <w:p>
      <w:pPr>
        <w:ind w:right="40" w:firstLine="509"/>
        <w:spacing w:after="0" w:line="359" w:lineRule="auto"/>
        <w:rPr>
          <w:sz w:val="20"/>
          <w:szCs w:val="20"/>
          <w:color w:val="auto"/>
        </w:rPr>
      </w:pPr>
      <w:r>
        <w:rPr>
          <w:rFonts w:ascii="Arial" w:cs="Arial" w:eastAsia="Arial" w:hAnsi="Arial"/>
          <w:sz w:val="16"/>
          <w:szCs w:val="16"/>
          <w:color w:val="auto"/>
        </w:rPr>
        <w:t>The Company determines the fair value of the redeemable convertible preferred stock warrants quarterly, with subsequent gains and losses from remeasurement of Level 3 financial liabilities recorded through other income (expense), net in condensed statements of operations and comprehensive loss.</w:t>
      </w:r>
    </w:p>
    <w:p>
      <w:pPr>
        <w:spacing w:after="0" w:line="125"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A summary of the changes in the fair value of the Company’s Level 3 financial instruments for the three and nine months ended September 30, 2021 and 2020, is as follows (in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Redeemable convertible</w:t>
            </w:r>
          </w:p>
        </w:tc>
      </w:tr>
      <w:tr>
        <w:trPr>
          <w:trHeight w:val="175"/>
        </w:trPr>
        <w:tc>
          <w:tcPr>
            <w:tcW w:w="9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preferred stock warrants</w:t>
            </w:r>
          </w:p>
        </w:tc>
      </w:tr>
      <w:tr>
        <w:trPr>
          <w:trHeight w:val="192"/>
        </w:trPr>
        <w:tc>
          <w:tcPr>
            <w:tcW w:w="9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liabilities</w:t>
            </w:r>
          </w:p>
        </w:tc>
      </w:tr>
      <w:tr>
        <w:trPr>
          <w:trHeight w:val="256"/>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 December 31, 2020</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100" w:type="dxa"/>
            <w:vAlign w:val="bottom"/>
            <w:shd w:val="clear" w:color="auto" w:fill="CFF0FC"/>
          </w:tcPr>
          <w:p>
            <w:pPr>
              <w:spacing w:after="0"/>
              <w:rPr>
                <w:sz w:val="22"/>
                <w:szCs w:val="22"/>
                <w:color w:val="auto"/>
              </w:rPr>
            </w:pPr>
          </w:p>
        </w:tc>
      </w:tr>
      <w:tr>
        <w:trPr>
          <w:trHeight w:val="250"/>
        </w:trPr>
        <w:tc>
          <w:tcPr>
            <w:tcW w:w="918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160" w:type="dxa"/>
            <w:vAlign w:val="bottom"/>
          </w:tcPr>
          <w:p>
            <w:pPr>
              <w:spacing w:after="0"/>
              <w:rPr>
                <w:sz w:val="21"/>
                <w:szCs w:val="21"/>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(555 )</w:t>
            </w:r>
          </w:p>
        </w:tc>
      </w:tr>
      <w:tr>
        <w:trPr>
          <w:trHeight w:val="257"/>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 March 31, 2021</w:t>
            </w:r>
          </w:p>
        </w:tc>
        <w:tc>
          <w:tcPr>
            <w:tcW w:w="160" w:type="dxa"/>
            <w:vAlign w:val="bottom"/>
            <w:tcBorders>
              <w:top w:val="single" w:sz="8" w:color="auto"/>
            </w:tcBorders>
            <w:shd w:val="clear" w:color="auto" w:fill="CFF0FC"/>
          </w:tcPr>
          <w:p>
            <w:pPr>
              <w:spacing w:after="0"/>
              <w:rPr>
                <w:sz w:val="22"/>
                <w:szCs w:val="22"/>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1,557</w:t>
            </w:r>
          </w:p>
        </w:tc>
        <w:tc>
          <w:tcPr>
            <w:tcW w:w="100" w:type="dxa"/>
            <w:vAlign w:val="bottom"/>
            <w:shd w:val="clear" w:color="auto" w:fill="CFF0FC"/>
          </w:tcPr>
          <w:p>
            <w:pPr>
              <w:spacing w:after="0"/>
              <w:rPr>
                <w:sz w:val="22"/>
                <w:szCs w:val="22"/>
                <w:color w:val="auto"/>
              </w:rPr>
            </w:pPr>
          </w:p>
        </w:tc>
      </w:tr>
      <w:tr>
        <w:trPr>
          <w:trHeight w:val="250"/>
        </w:trPr>
        <w:tc>
          <w:tcPr>
            <w:tcW w:w="918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1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5,427</w:t>
            </w:r>
          </w:p>
        </w:tc>
        <w:tc>
          <w:tcPr>
            <w:tcW w:w="100" w:type="dxa"/>
            <w:vAlign w:val="bottom"/>
          </w:tcPr>
          <w:p>
            <w:pPr>
              <w:spacing w:after="0"/>
              <w:rPr>
                <w:sz w:val="21"/>
                <w:szCs w:val="21"/>
                <w:color w:val="auto"/>
              </w:rPr>
            </w:pPr>
          </w:p>
        </w:tc>
      </w:tr>
      <w:tr>
        <w:trPr>
          <w:trHeight w:val="256"/>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 June 30, 2021</w:t>
            </w:r>
          </w:p>
        </w:tc>
        <w:tc>
          <w:tcPr>
            <w:tcW w:w="160" w:type="dxa"/>
            <w:vAlign w:val="bottom"/>
            <w:shd w:val="clear" w:color="auto" w:fill="CFF0FC"/>
          </w:tcPr>
          <w:p>
            <w:pPr>
              <w:spacing w:after="0"/>
              <w:rPr>
                <w:sz w:val="22"/>
                <w:szCs w:val="22"/>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6,984</w:t>
            </w:r>
          </w:p>
        </w:tc>
        <w:tc>
          <w:tcPr>
            <w:tcW w:w="100" w:type="dxa"/>
            <w:vAlign w:val="bottom"/>
            <w:shd w:val="clear" w:color="auto" w:fill="CFF0FC"/>
          </w:tcPr>
          <w:p>
            <w:pPr>
              <w:spacing w:after="0"/>
              <w:rPr>
                <w:sz w:val="22"/>
                <w:szCs w:val="22"/>
                <w:color w:val="auto"/>
              </w:rPr>
            </w:pPr>
          </w:p>
        </w:tc>
      </w:tr>
      <w:tr>
        <w:trPr>
          <w:trHeight w:val="250"/>
        </w:trPr>
        <w:tc>
          <w:tcPr>
            <w:tcW w:w="918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21"/>
                <w:szCs w:val="21"/>
                <w:color w:val="auto"/>
              </w:rPr>
            </w:pPr>
          </w:p>
        </w:tc>
      </w:tr>
      <w:tr>
        <w:trPr>
          <w:trHeight w:val="257"/>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Conversion of preferred stock warrants to common stock warrants upon the closing of the IPO</w:t>
            </w:r>
          </w:p>
        </w:tc>
        <w:tc>
          <w:tcPr>
            <w:tcW w:w="160" w:type="dxa"/>
            <w:vAlign w:val="bottom"/>
            <w:shd w:val="clear" w:color="auto" w:fill="CFF0FC"/>
          </w:tcPr>
          <w:p>
            <w:pPr>
              <w:spacing w:after="0"/>
              <w:rPr>
                <w:sz w:val="22"/>
                <w:szCs w:val="22"/>
                <w:color w:val="auto"/>
              </w:rPr>
            </w:pPr>
          </w:p>
        </w:tc>
        <w:tc>
          <w:tcPr>
            <w:tcW w:w="1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(8,973 )</w:t>
            </w:r>
          </w:p>
        </w:tc>
      </w:tr>
      <w:tr>
        <w:trPr>
          <w:trHeight w:val="250"/>
        </w:trPr>
        <w:tc>
          <w:tcPr>
            <w:tcW w:w="91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 September 30, 2021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21"/>
                <w:szCs w:val="21"/>
                <w:color w:val="auto"/>
              </w:rPr>
            </w:pPr>
          </w:p>
        </w:tc>
      </w:tr>
      <w:tr>
        <w:trPr>
          <w:trHeight w:val="20"/>
        </w:trPr>
        <w:tc>
          <w:tcPr>
            <w:tcW w:w="9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04"/>
        </w:trPr>
        <w:tc>
          <w:tcPr>
            <w:tcW w:w="9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Redeemable convertible</w:t>
            </w:r>
          </w:p>
        </w:tc>
      </w:tr>
      <w:tr>
        <w:trPr>
          <w:trHeight w:val="175"/>
        </w:trPr>
        <w:tc>
          <w:tcPr>
            <w:tcW w:w="9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preferred stock warrants</w:t>
            </w:r>
          </w:p>
        </w:tc>
      </w:tr>
      <w:tr>
        <w:trPr>
          <w:trHeight w:val="192"/>
        </w:trPr>
        <w:tc>
          <w:tcPr>
            <w:tcW w:w="9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liabilities</w:t>
            </w:r>
          </w:p>
        </w:tc>
      </w:tr>
      <w:tr>
        <w:trPr>
          <w:trHeight w:val="256"/>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 December 31, 2019</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FF0FC"/>
          </w:tcPr>
          <w:p>
            <w:pPr>
              <w:spacing w:after="0"/>
              <w:rPr>
                <w:sz w:val="22"/>
                <w:szCs w:val="22"/>
                <w:color w:val="auto"/>
              </w:rPr>
            </w:pPr>
          </w:p>
        </w:tc>
      </w:tr>
      <w:tr>
        <w:trPr>
          <w:trHeight w:val="250"/>
        </w:trPr>
        <w:tc>
          <w:tcPr>
            <w:tcW w:w="918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160" w:type="dxa"/>
            <w:vAlign w:val="bottom"/>
          </w:tcPr>
          <w:p>
            <w:pPr>
              <w:spacing w:after="0"/>
              <w:rPr>
                <w:sz w:val="21"/>
                <w:szCs w:val="21"/>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(92 )</w:t>
            </w:r>
          </w:p>
        </w:tc>
      </w:tr>
      <w:tr>
        <w:trPr>
          <w:trHeight w:val="256"/>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 March 31, 2020</w:t>
            </w:r>
          </w:p>
        </w:tc>
        <w:tc>
          <w:tcPr>
            <w:tcW w:w="160" w:type="dxa"/>
            <w:vAlign w:val="bottom"/>
            <w:tcBorders>
              <w:top w:val="single" w:sz="8" w:color="auto"/>
            </w:tcBorders>
            <w:shd w:val="clear" w:color="auto" w:fill="CFF0FC"/>
          </w:tcPr>
          <w:p>
            <w:pPr>
              <w:spacing w:after="0"/>
              <w:rPr>
                <w:sz w:val="22"/>
                <w:szCs w:val="22"/>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22"/>
                <w:szCs w:val="22"/>
                <w:color w:val="auto"/>
              </w:rPr>
            </w:pPr>
          </w:p>
        </w:tc>
      </w:tr>
      <w:tr>
        <w:trPr>
          <w:trHeight w:val="250"/>
        </w:trPr>
        <w:tc>
          <w:tcPr>
            <w:tcW w:w="918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1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r>
      <w:tr>
        <w:trPr>
          <w:trHeight w:val="257"/>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 June 30, 2020</w:t>
            </w:r>
          </w:p>
        </w:tc>
        <w:tc>
          <w:tcPr>
            <w:tcW w:w="160" w:type="dxa"/>
            <w:vAlign w:val="bottom"/>
            <w:shd w:val="clear" w:color="auto" w:fill="CFF0FC"/>
          </w:tcPr>
          <w:p>
            <w:pPr>
              <w:spacing w:after="0"/>
              <w:rPr>
                <w:sz w:val="22"/>
                <w:szCs w:val="22"/>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FF0FC"/>
          </w:tcPr>
          <w:p>
            <w:pPr>
              <w:spacing w:after="0"/>
              <w:rPr>
                <w:sz w:val="22"/>
                <w:szCs w:val="22"/>
                <w:color w:val="auto"/>
              </w:rPr>
            </w:pPr>
          </w:p>
        </w:tc>
      </w:tr>
      <w:tr>
        <w:trPr>
          <w:trHeight w:val="250"/>
        </w:trPr>
        <w:tc>
          <w:tcPr>
            <w:tcW w:w="918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1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r>
      <w:tr>
        <w:trPr>
          <w:trHeight w:val="290"/>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 September 30, 2020</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783"/>
        </w:trPr>
        <w:tc>
          <w:tcPr>
            <w:tcW w:w="9180" w:type="dxa"/>
            <w:vAlign w:val="bottom"/>
          </w:tcPr>
          <w:p>
            <w:pPr>
              <w:ind w:left="554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9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-2550795</wp:posOffset>
            </wp:positionV>
            <wp:extent cx="6858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Property and Equipment, Net</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 of the following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9"/>
              </w:rPr>
              <w:t>As of September 30,</w:t>
            </w:r>
          </w:p>
        </w:tc>
        <w:tc>
          <w:tcPr>
            <w:tcW w:w="200" w:type="dxa"/>
            <w:vAlign w:val="bottom"/>
          </w:tcPr>
          <w:p>
            <w:pPr>
              <w:spacing w:after="0"/>
              <w:rPr>
                <w:sz w:val="16"/>
                <w:szCs w:val="16"/>
                <w:color w:val="auto"/>
              </w:rPr>
            </w:pPr>
          </w:p>
        </w:tc>
        <w:tc>
          <w:tcPr>
            <w:tcW w:w="17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As of December 31,</w:t>
            </w:r>
          </w:p>
        </w:tc>
      </w:tr>
      <w:tr>
        <w:trPr>
          <w:trHeight w:val="209"/>
        </w:trPr>
        <w:tc>
          <w:tcPr>
            <w:tcW w:w="7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56"/>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Tools and equipment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FF0FC"/>
          </w:tcPr>
          <w:p>
            <w:pPr>
              <w:spacing w:after="0"/>
              <w:rPr>
                <w:sz w:val="22"/>
                <w:szCs w:val="22"/>
                <w:color w:val="auto"/>
              </w:rPr>
            </w:pP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r>
      <w:tr>
        <w:trPr>
          <w:trHeight w:val="263"/>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220" w:type="dxa"/>
            <w:vAlign w:val="bottom"/>
            <w:shd w:val="clear" w:color="auto" w:fill="CFF0FC"/>
          </w:tcPr>
          <w:p>
            <w:pPr>
              <w:spacing w:after="0"/>
              <w:rPr>
                <w:sz w:val="22"/>
                <w:szCs w:val="22"/>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22"/>
                <w:szCs w:val="22"/>
                <w:color w:val="auto"/>
              </w:rPr>
            </w:pP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r>
      <w:tr>
        <w:trPr>
          <w:trHeight w:val="257"/>
        </w:trPr>
        <w:tc>
          <w:tcPr>
            <w:tcW w:w="7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Construction in process</w:t>
            </w:r>
          </w:p>
        </w:tc>
        <w:tc>
          <w:tcPr>
            <w:tcW w:w="220" w:type="dxa"/>
            <w:vAlign w:val="bottom"/>
            <w:tcBorders>
              <w:bottom w:val="single" w:sz="8" w:color="auto"/>
            </w:tcBorders>
            <w:shd w:val="clear" w:color="auto" w:fill="CFF0FC"/>
          </w:tcPr>
          <w:p>
            <w:pPr>
              <w:spacing w:after="0"/>
              <w:rPr>
                <w:sz w:val="22"/>
                <w:szCs w:val="2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2,504</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r>
      <w:tr>
        <w:trPr>
          <w:trHeight w:val="257"/>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shd w:val="clear" w:color="auto" w:fill="CFF0FC"/>
          </w:tcPr>
          <w:p>
            <w:pPr>
              <w:spacing w:after="0"/>
              <w:rPr>
                <w:sz w:val="22"/>
                <w:szCs w:val="22"/>
                <w:color w:val="auto"/>
              </w:rPr>
            </w:pPr>
          </w:p>
        </w:tc>
        <w:tc>
          <w:tcPr>
            <w:tcW w:w="1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(1,084 )</w:t>
            </w:r>
          </w:p>
        </w:tc>
        <w:tc>
          <w:tcPr>
            <w:tcW w:w="200" w:type="dxa"/>
            <w:vAlign w:val="bottom"/>
            <w:shd w:val="clear" w:color="auto" w:fill="CFF0FC"/>
          </w:tcPr>
          <w:p>
            <w:pPr>
              <w:spacing w:after="0"/>
              <w:rPr>
                <w:sz w:val="22"/>
                <w:szCs w:val="22"/>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(743 )</w:t>
            </w:r>
          </w:p>
        </w:tc>
      </w:tr>
      <w:tr>
        <w:trPr>
          <w:trHeight w:val="250"/>
        </w:trPr>
        <w:tc>
          <w:tcPr>
            <w:tcW w:w="714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28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Borders>
              <w:top w:val="single" w:sz="8" w:color="CFF0FC"/>
            </w:tcBorders>
          </w:tcPr>
          <w:p>
            <w:pPr>
              <w:spacing w:after="0"/>
              <w:rPr>
                <w:sz w:val="21"/>
                <w:szCs w:val="21"/>
                <w:color w:val="auto"/>
              </w:rPr>
            </w:pPr>
          </w:p>
        </w:tc>
      </w:tr>
      <w:tr>
        <w:trPr>
          <w:trHeight w:val="20"/>
        </w:trPr>
        <w:tc>
          <w:tcPr>
            <w:tcW w:w="7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-527685</wp:posOffset>
            </wp:positionV>
            <wp:extent cx="17970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-527685</wp:posOffset>
            </wp:positionV>
            <wp:extent cx="6858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-193675</wp:posOffset>
            </wp:positionV>
            <wp:extent cx="17970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17" w:lineRule="exact"/>
        <w:rPr>
          <w:sz w:val="20"/>
          <w:szCs w:val="20"/>
          <w:color w:val="auto"/>
        </w:rPr>
      </w:pPr>
    </w:p>
    <w:p>
      <w:pPr>
        <w:ind w:right="600" w:firstLine="509"/>
        <w:spacing w:after="0" w:line="293" w:lineRule="auto"/>
        <w:rPr>
          <w:sz w:val="20"/>
          <w:szCs w:val="20"/>
          <w:color w:val="auto"/>
        </w:rPr>
      </w:pPr>
      <w:r>
        <w:rPr>
          <w:rFonts w:ascii="Arial" w:cs="Arial" w:eastAsia="Arial" w:hAnsi="Arial"/>
          <w:sz w:val="18"/>
          <w:szCs w:val="18"/>
          <w:color w:val="auto"/>
        </w:rPr>
        <w:t>Depreciation expense was $0.2 million and $0.5 million for the three and nine months ended September 30, 2021, respectively. Depreciation expense was $0.1 million and $0.4 million for the three and nine months ended September 30, 2020,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Accrued and Other Current Liabilities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center"/>
              <w:ind w:right="95"/>
              <w:spacing w:after="0"/>
              <w:rPr>
                <w:sz w:val="20"/>
                <w:szCs w:val="20"/>
                <w:color w:val="auto"/>
              </w:rPr>
            </w:pPr>
            <w:r>
              <w:rPr>
                <w:rFonts w:ascii="Arial" w:cs="Arial" w:eastAsia="Arial" w:hAnsi="Arial"/>
                <w:sz w:val="14"/>
                <w:szCs w:val="14"/>
                <w:b w:val="1"/>
                <w:bCs w:val="1"/>
                <w:color w:val="auto"/>
                <w:w w:val="90"/>
              </w:rPr>
              <w:t>As of September 30,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jc w:val="center"/>
              <w:ind w:right="175"/>
              <w:spacing w:after="0"/>
              <w:rPr>
                <w:sz w:val="20"/>
                <w:szCs w:val="20"/>
                <w:color w:val="auto"/>
              </w:rPr>
            </w:pPr>
            <w:r>
              <w:rPr>
                <w:rFonts w:ascii="Arial" w:cs="Arial" w:eastAsia="Arial" w:hAnsi="Arial"/>
                <w:sz w:val="14"/>
                <w:szCs w:val="14"/>
                <w:b w:val="1"/>
                <w:bCs w:val="1"/>
                <w:color w:val="auto"/>
                <w:w w:val="90"/>
              </w:rPr>
              <w:t>As of December 31,</w:t>
            </w:r>
          </w:p>
        </w:tc>
        <w:tc>
          <w:tcPr>
            <w:tcW w:w="100" w:type="dxa"/>
            <w:vAlign w:val="bottom"/>
          </w:tcPr>
          <w:p>
            <w:pPr>
              <w:spacing w:after="0"/>
              <w:rPr>
                <w:sz w:val="16"/>
                <w:szCs w:val="16"/>
                <w:color w:val="auto"/>
              </w:rPr>
            </w:pPr>
          </w:p>
        </w:tc>
      </w:tr>
      <w:tr>
        <w:trPr>
          <w:trHeight w:val="209"/>
        </w:trPr>
        <w:tc>
          <w:tcPr>
            <w:tcW w:w="7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2021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8"/>
                <w:szCs w:val="18"/>
                <w:color w:val="auto"/>
              </w:rPr>
            </w:pPr>
          </w:p>
        </w:tc>
      </w:tr>
      <w:tr>
        <w:trPr>
          <w:trHeight w:val="256"/>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2,569</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1,971</w:t>
            </w:r>
          </w:p>
        </w:tc>
        <w:tc>
          <w:tcPr>
            <w:tcW w:w="100" w:type="dxa"/>
            <w:vAlign w:val="bottom"/>
            <w:shd w:val="clear" w:color="auto" w:fill="CFF0FC"/>
          </w:tcPr>
          <w:p>
            <w:pPr>
              <w:spacing w:after="0"/>
              <w:rPr>
                <w:sz w:val="22"/>
                <w:szCs w:val="22"/>
                <w:color w:val="auto"/>
              </w:rPr>
            </w:pP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Current portion of lease liabilities</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486</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r>
      <w:tr>
        <w:trPr>
          <w:trHeight w:val="263"/>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 term interest payable</w:t>
            </w:r>
          </w:p>
        </w:tc>
        <w:tc>
          <w:tcPr>
            <w:tcW w:w="20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FF0FC"/>
          </w:tcPr>
          <w:p>
            <w:pPr>
              <w:spacing w:after="0"/>
              <w:rPr>
                <w:sz w:val="22"/>
                <w:szCs w:val="22"/>
                <w:color w:val="auto"/>
              </w:rPr>
            </w:pP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r>
      <w:tr>
        <w:trPr>
          <w:trHeight w:val="290"/>
        </w:trPr>
        <w:tc>
          <w:tcPr>
            <w:tcW w:w="7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accrued and other current liabilities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3,837</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3,086</w:t>
            </w:r>
          </w:p>
        </w:tc>
        <w:tc>
          <w:tcPr>
            <w:tcW w:w="100" w:type="dxa"/>
            <w:vAlign w:val="bottom"/>
            <w:shd w:val="clear" w:color="auto" w:fill="CFF0FC"/>
          </w:tcPr>
          <w:p>
            <w:pPr>
              <w:spacing w:after="0"/>
              <w:rPr>
                <w:sz w:val="24"/>
                <w:szCs w:val="24"/>
                <w:color w:val="auto"/>
              </w:rPr>
            </w:pPr>
          </w:p>
        </w:tc>
      </w:tr>
      <w:tr>
        <w:trPr>
          <w:trHeight w:val="581"/>
        </w:trPr>
        <w:tc>
          <w:tcPr>
            <w:tcW w:w="714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i w:val="1"/>
                <w:iCs w:val="1"/>
                <w:color w:val="231F20"/>
              </w:rPr>
              <w:t>Other Noncurrent Liabilities</w:t>
            </w:r>
          </w:p>
        </w:tc>
        <w:tc>
          <w:tcPr>
            <w:tcW w:w="2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38"/>
        </w:trPr>
        <w:tc>
          <w:tcPr>
            <w:tcW w:w="7140" w:type="dxa"/>
            <w:vAlign w:val="bottom"/>
          </w:tcPr>
          <w:p>
            <w:pPr>
              <w:ind w:left="520"/>
              <w:spacing w:after="0"/>
              <w:rPr>
                <w:sz w:val="20"/>
                <w:szCs w:val="20"/>
                <w:color w:val="auto"/>
              </w:rPr>
            </w:pPr>
            <w:r>
              <w:rPr>
                <w:rFonts w:ascii="Arial" w:cs="Arial" w:eastAsia="Arial" w:hAnsi="Arial"/>
                <w:sz w:val="18"/>
                <w:szCs w:val="18"/>
                <w:color w:val="auto"/>
              </w:rPr>
              <w:t>Other noncurrent liabilities consist of the following (in thousands):</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8"/>
        </w:trPr>
        <w:tc>
          <w:tcPr>
            <w:tcW w:w="7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jc w:val="center"/>
              <w:ind w:right="95"/>
              <w:spacing w:after="0"/>
              <w:rPr>
                <w:sz w:val="20"/>
                <w:szCs w:val="20"/>
                <w:color w:val="auto"/>
              </w:rPr>
            </w:pPr>
            <w:r>
              <w:rPr>
                <w:rFonts w:ascii="Arial" w:cs="Arial" w:eastAsia="Arial" w:hAnsi="Arial"/>
                <w:sz w:val="14"/>
                <w:szCs w:val="14"/>
                <w:b w:val="1"/>
                <w:bCs w:val="1"/>
                <w:color w:val="auto"/>
                <w:w w:val="90"/>
              </w:rPr>
              <w:t>As of September 30,</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jc w:val="center"/>
              <w:ind w:right="175"/>
              <w:spacing w:after="0"/>
              <w:rPr>
                <w:sz w:val="20"/>
                <w:szCs w:val="20"/>
                <w:color w:val="auto"/>
              </w:rPr>
            </w:pPr>
            <w:r>
              <w:rPr>
                <w:rFonts w:ascii="Arial" w:cs="Arial" w:eastAsia="Arial" w:hAnsi="Arial"/>
                <w:sz w:val="14"/>
                <w:szCs w:val="14"/>
                <w:b w:val="1"/>
                <w:bCs w:val="1"/>
                <w:color w:val="auto"/>
                <w:w w:val="90"/>
              </w:rPr>
              <w:t>As of December 31,</w:t>
            </w:r>
          </w:p>
        </w:tc>
        <w:tc>
          <w:tcPr>
            <w:tcW w:w="100" w:type="dxa"/>
            <w:vAlign w:val="bottom"/>
          </w:tcPr>
          <w:p>
            <w:pPr>
              <w:spacing w:after="0"/>
              <w:rPr>
                <w:sz w:val="24"/>
                <w:szCs w:val="24"/>
                <w:color w:val="auto"/>
              </w:rPr>
            </w:pPr>
          </w:p>
        </w:tc>
      </w:tr>
      <w:tr>
        <w:trPr>
          <w:trHeight w:val="208"/>
        </w:trPr>
        <w:tc>
          <w:tcPr>
            <w:tcW w:w="7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2021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8"/>
                <w:szCs w:val="18"/>
                <w:color w:val="auto"/>
              </w:rPr>
            </w:pPr>
          </w:p>
        </w:tc>
      </w:tr>
      <w:tr>
        <w:trPr>
          <w:trHeight w:val="256"/>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Redeemable preferred stock warrants liabilities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100" w:type="dxa"/>
            <w:vAlign w:val="bottom"/>
            <w:shd w:val="clear" w:color="auto" w:fill="CFF0FC"/>
          </w:tcPr>
          <w:p>
            <w:pPr>
              <w:spacing w:after="0"/>
              <w:rPr>
                <w:sz w:val="22"/>
                <w:szCs w:val="22"/>
                <w:color w:val="auto"/>
              </w:rPr>
            </w:pP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Long term interest payable</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750</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r>
      <w:tr>
        <w:trPr>
          <w:trHeight w:val="263"/>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portion of lease liabilities</w:t>
            </w:r>
          </w:p>
        </w:tc>
        <w:tc>
          <w:tcPr>
            <w:tcW w:w="20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22"/>
                <w:szCs w:val="22"/>
                <w:color w:val="auto"/>
              </w:rPr>
            </w:pP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r>
      <w:tr>
        <w:trPr>
          <w:trHeight w:val="290"/>
        </w:trPr>
        <w:tc>
          <w:tcPr>
            <w:tcW w:w="71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other noncurrent liabilities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2,273</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-1945640</wp:posOffset>
            </wp:positionV>
            <wp:extent cx="1714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-1928495</wp:posOffset>
            </wp:positionV>
            <wp:extent cx="17145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-1945640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-1928495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1714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1714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135" w:lineRule="exact"/>
        <w:rPr>
          <w:sz w:val="20"/>
          <w:szCs w:val="20"/>
          <w:color w:val="auto"/>
        </w:rPr>
      </w:pPr>
    </w:p>
    <w:p>
      <w:pPr>
        <w:ind w:right="100" w:firstLine="509"/>
        <w:spacing w:after="0" w:line="290" w:lineRule="auto"/>
        <w:rPr>
          <w:sz w:val="20"/>
          <w:szCs w:val="20"/>
          <w:color w:val="auto"/>
        </w:rPr>
      </w:pPr>
      <w:r>
        <w:rPr>
          <w:rFonts w:ascii="Arial" w:cs="Arial" w:eastAsia="Arial" w:hAnsi="Arial"/>
          <w:sz w:val="17"/>
          <w:szCs w:val="17"/>
          <w:color w:val="auto"/>
        </w:rPr>
        <w:t>In January 2019, the Company entered into credit and security agreements with MidCap Financial Services, or the Lender, which provided a maximum of $25.0 million credit facility consisting of a $20.0 million senior secured term loan (the "2019 Term Loan") and a $5.0 million 2019 revolving loan (the "2019 Revolver" and collectively with the 2019 Term Loan, the “2019 MidCap Credit Facility”). In November 2020, the Company entered into amended and restated credit and security agreements with the same institution, which replaced the 2019 MidCap Credit Facility, and provided for a maximum of $40.0 million credit facility consisting of a $35.0 million senior secured term loan (the "2020 Term Loan") and a $5.0 million revolving loan (the "2020 Revolver and collectively with the 2020 Term Loan, the “2020 MidCap Credit Facility”).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2019 Term Loan</w:t>
      </w:r>
    </w:p>
    <w:p>
      <w:pPr>
        <w:spacing w:after="0" w:line="131" w:lineRule="exact"/>
        <w:rPr>
          <w:sz w:val="20"/>
          <w:szCs w:val="20"/>
          <w:color w:val="auto"/>
        </w:rPr>
      </w:pPr>
    </w:p>
    <w:p>
      <w:pPr>
        <w:ind w:right="40" w:firstLine="509"/>
        <w:spacing w:after="0" w:line="288" w:lineRule="auto"/>
        <w:rPr>
          <w:sz w:val="20"/>
          <w:szCs w:val="20"/>
          <w:color w:val="auto"/>
        </w:rPr>
      </w:pPr>
      <w:r>
        <w:rPr>
          <w:rFonts w:ascii="Arial" w:cs="Arial" w:eastAsia="Arial" w:hAnsi="Arial"/>
          <w:sz w:val="17"/>
          <w:szCs w:val="17"/>
          <w:color w:val="auto"/>
        </w:rPr>
        <w:t>The 2019 Term Loan had a four-year term and had a stated floating interest rate which equates to reserve- adjusted LIBOR + 6.75%. The 2019 Term Loan was split into three tranches as follows: (i) the Tranche One Loans provided for $12.0 million in term loans, (ii) the Tranche Two Loans provided for up to $2.0 million in term loans, and (iii) the Tranche Three Loans provided for up to $6.0 million in term loans. The Company borrowed $14.0 million under the Tranche One Loans and Tranche Two Loans. While the conditions necessary to draw the Tranche Three Loans had been met as of December 31, 2019, the Company did not elect to draw the Tranche Three Loans. The 2019 Term Loan originally required 18 monthly interest-only payments, which began on January 31, 2019, followed by 30 equal monthly installments of principal, plus interest. The interest-only period was extended by an additional six months upon achievement of the Tranche Three Milestone.</w:t>
      </w:r>
    </w:p>
    <w:p>
      <w:pPr>
        <w:spacing w:after="0" w:line="181" w:lineRule="exact"/>
        <w:rPr>
          <w:sz w:val="20"/>
          <w:szCs w:val="20"/>
          <w:color w:val="auto"/>
        </w:rPr>
      </w:pPr>
    </w:p>
    <w:p>
      <w:pPr>
        <w:jc w:val="both"/>
        <w:ind w:right="100" w:firstLine="509"/>
        <w:spacing w:after="0" w:line="279" w:lineRule="auto"/>
        <w:rPr>
          <w:sz w:val="20"/>
          <w:szCs w:val="20"/>
          <w:color w:val="auto"/>
        </w:rPr>
      </w:pPr>
      <w:r>
        <w:rPr>
          <w:rFonts w:ascii="Arial" w:cs="Arial" w:eastAsia="Arial" w:hAnsi="Arial"/>
          <w:sz w:val="18"/>
          <w:szCs w:val="18"/>
          <w:color w:val="auto"/>
        </w:rPr>
        <w:t>The 2019 Term Loan had an effective interest rate of 14.52% per year. The 2019 Term Loan interest expense for the three months ended September 30, 2021 and 2020 was $0.0 and $0.5 million, respectively. The 2019 Term Loan interest expense for the nine months ended September 30, 2021 and 2020 was $0.0 and $1.6 million, respectively.</w:t>
      </w:r>
    </w:p>
    <w:p>
      <w:pPr>
        <w:spacing w:after="0" w:line="183"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In conjunction with the funding of Tranche One Loans and Tranche Two Loans under the 2019 Term Loan, the Company issued a 10-year warrant to the Lender to purchase 29,514 shares of the Company’s Series C redeemable convertible preferred stock (the “2019 Initial Warrant”) at an exercise price of $9.49 per share (the “Exercise Price”). Further, depending on the funding of the Tranche Three Loans, the Company was obligated to issue an additional Warrant to the Lender to purchase up to 12,649 shares of Series C redeemable convertible preferred stock at the Exercise Price (the “2019 Additional Warrant” and together with “2019 Initial Warrant” the “2019 Warrants”) (see Note 9). The conditions precedent to issuance of the 2019 Additional Warrant were never satisfied, so the warrant was not issued, and the Company's prospective obligation to issue the 2019 Additional Warrant expired upon modification of the 2019 Term Loan. In August 2021, the Lender effected a net exercise in full of the 2019 Initial Warrant and the Company issued the Lender 51,846 shares of common stock.</w:t>
      </w:r>
    </w:p>
    <w:p>
      <w:pPr>
        <w:spacing w:after="0" w:line="196" w:lineRule="exact"/>
        <w:rPr>
          <w:sz w:val="20"/>
          <w:szCs w:val="20"/>
          <w:color w:val="auto"/>
        </w:rPr>
      </w:pPr>
    </w:p>
    <w:p>
      <w:pPr>
        <w:ind w:right="300" w:firstLine="509"/>
        <w:spacing w:after="0" w:line="329" w:lineRule="auto"/>
        <w:rPr>
          <w:sz w:val="20"/>
          <w:szCs w:val="20"/>
          <w:color w:val="auto"/>
        </w:rPr>
      </w:pPr>
      <w:r>
        <w:rPr>
          <w:rFonts w:ascii="Arial" w:cs="Arial" w:eastAsia="Arial" w:hAnsi="Arial"/>
          <w:sz w:val="16"/>
          <w:szCs w:val="16"/>
          <w:color w:val="auto"/>
        </w:rPr>
        <w:t>The estimated fair value of the 2019 Warrants of $0.2 million upon draw down was based on the Black- Scholes option-pricing model and probability of future draw downs. The 2019 Warrants were recorded at the fair value as a debt discount and as a warrant liability. The debt discount was being accreted using the effective interest method as interest expense over the contractual period of four years for the 2019 Term Loan.</w:t>
      </w:r>
    </w:p>
    <w:p>
      <w:pPr>
        <w:spacing w:after="0" w:line="148"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The Company incurred $1.5 million of issuance costs in conjunction with the 2019 Term Loan. The issuance costs were netted against the borrowed funds in the condensed consolidated balance sheet and were accreted using the effective interest method as interest expense over the contractual period of four years for the 2019 Term Loan.</w:t>
      </w:r>
    </w:p>
    <w:p>
      <w:pPr>
        <w:spacing w:after="0" w:line="183" w:lineRule="exact"/>
        <w:rPr>
          <w:sz w:val="20"/>
          <w:szCs w:val="20"/>
          <w:color w:val="auto"/>
        </w:rPr>
      </w:pPr>
    </w:p>
    <w:p>
      <w:pPr>
        <w:ind w:right="80" w:firstLine="509"/>
        <w:spacing w:after="0" w:line="272" w:lineRule="auto"/>
        <w:rPr>
          <w:sz w:val="20"/>
          <w:szCs w:val="20"/>
          <w:color w:val="auto"/>
        </w:rPr>
      </w:pPr>
      <w:r>
        <w:rPr>
          <w:rFonts w:ascii="Arial" w:cs="Arial" w:eastAsia="Arial" w:hAnsi="Arial"/>
          <w:sz w:val="18"/>
          <w:szCs w:val="18"/>
          <w:color w:val="auto"/>
        </w:rPr>
        <w:t>The Company could voluntarily prepay the 2019 Term Loan borrowings in full, with a prepayment premium beginning at 3% in the first year from tranche funding, to 2% in the second year from tranche funding, to 1% in the third year from tranche funding thereafter. In addition, a final payment fee of 5% of the amounts borrowed was payable at the end of the term or when the borrowings were repaid in full. A long-term liability was being accreted using the effective interest method for the final payment fee over the term of the loan agreement. The borrowings were collateralized by a security interest in substantially all of the Company’s assets.</w:t>
      </w:r>
    </w:p>
    <w:p>
      <w:pPr>
        <w:spacing w:after="0" w:line="191" w:lineRule="exact"/>
        <w:rPr>
          <w:sz w:val="20"/>
          <w:szCs w:val="20"/>
          <w:color w:val="auto"/>
        </w:rPr>
      </w:pPr>
    </w:p>
    <w:p>
      <w:pPr>
        <w:ind w:right="40" w:firstLine="509"/>
        <w:spacing w:after="0" w:line="269" w:lineRule="auto"/>
        <w:rPr>
          <w:sz w:val="20"/>
          <w:szCs w:val="20"/>
          <w:color w:val="auto"/>
        </w:rPr>
      </w:pPr>
      <w:r>
        <w:rPr>
          <w:rFonts w:ascii="Arial" w:cs="Arial" w:eastAsia="Arial" w:hAnsi="Arial"/>
          <w:sz w:val="18"/>
          <w:szCs w:val="18"/>
          <w:color w:val="auto"/>
        </w:rPr>
        <w:t>The Company was subject to financial covenants related to minimum trailing revenue targets that began on January 1, 2019, and were tested on a monthly basis. Upon funding of only the Tranche One Loans, the Company had to achieve minimum net revenue of $7 million over a trailing 12-month period increasing to a maximum net revenue covenant of $35 million for the trailing 12-month period ending December 31, 2022, and thereafter. Upon funding of both the Tranche One Loans and Tranche Two Loans, the Company had to achieve minimum net revenue of $7 million over a trailing 12-month period increasing to a maximum net revenue covenant of $37.3 million for the 12-month period ending December 31, 2022, and thereafter. If Tranche Three Loans had been funded regardless of whether Tranche Two Loans had been funded, the Company would have been required to achieve minimum net revenue of $15 million over a trailing 12-month period increasing to a maximum net revenue covenant of $46.7 million for the 12-month period ending December 31, 2022, and thereafter.</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November 23, 2020, the 2019 Term Loan was replaced with 2020 Term Loan (see below).</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2019 Revolver</w:t>
      </w:r>
    </w:p>
    <w:p>
      <w:pPr>
        <w:spacing w:after="0" w:line="131"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The 2019 Revolver had a four-year term and has a stated floating interest rate which equates to reserve- adjusted LIBOR plus 4.25%. An unused line fee of 0.5% was payable monthly based on the average unused balance and a collateral management fee of 0.5% was payable monthly based on the outstanding balance of the 2019 Revolver. The Company could request to increase the 2019 Revolver commitment amount to $10.0 million under the term of the agreement. On November 23, 2020, the 2019 Revolver was replaced with the 2020 Revolver (see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Term Loan</w:t>
      </w:r>
    </w:p>
    <w:p>
      <w:pPr>
        <w:spacing w:after="0" w:line="131"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The 2020 Term Loan has a five-year term and has a stated floating interest rate which equates to reserve- adjusted LIBOR + 7.00%. The 2020 Term Loan is split into three tranches as follows: (i) the Tranche One Loans provide for $12.0 million in term loans which are deemed to have been converted from Tranche One Loans that were drawn and outstanding under the 2019 Term Loan immediately prior to entering into 2020 MidCap Credit Facility, (ii) the Tranche Two Loans provided for up to $2.0 million in term loans which are deemed to have been converted from Tranche Two Loans that were drawn and outstanding under the 2019 Term Loan immediately prior to entering into 2020 MidCap Credit Facility, and (iii) the Tranche Three Loans provided for up to $21.0 million in new term loans. The Company borrowed $21.0 million under the Tranche Three Loans in November 2020.</w:t>
      </w:r>
    </w:p>
    <w:p>
      <w:pPr>
        <w:spacing w:after="0" w:line="163" w:lineRule="exact"/>
        <w:rPr>
          <w:sz w:val="20"/>
          <w:szCs w:val="20"/>
          <w:color w:val="auto"/>
        </w:rPr>
      </w:pPr>
    </w:p>
    <w:p>
      <w:pPr>
        <w:ind w:right="40" w:firstLine="509"/>
        <w:spacing w:after="0" w:line="288" w:lineRule="auto"/>
        <w:rPr>
          <w:sz w:val="20"/>
          <w:szCs w:val="20"/>
          <w:color w:val="auto"/>
        </w:rPr>
      </w:pPr>
      <w:r>
        <w:rPr>
          <w:rFonts w:ascii="Arial" w:cs="Arial" w:eastAsia="Arial" w:hAnsi="Arial"/>
          <w:sz w:val="17"/>
          <w:szCs w:val="17"/>
          <w:color w:val="auto"/>
        </w:rPr>
        <w:t>The 2020 Term Loan requires 24 monthly interest-only payments, which began on December 1, 2020, followed by 36 equal monthly installments of principal, plus interest. The interest-only period can be extended by an additional 12 months provided that the Company is in compliance with the minimum trailing revenue targets (as described below), and has unrestricted cash and cash equivalents of at least 12 times of the amortization monthly cash burn amount, measured as defined in the 2020 Term Loan agreement (“First IO Extension”). If the First IO Extension conditions are satisfied, the interest-only period can be further extended by an additional 12 months, provided that the Company is in compliance with the minimum trailing revenue targets (as described below), has unrestricted cash and cash equivalents of at least 12 times of the amortization monthly cash burn amount, and has consummated an IPO in which the Company has received cash proceeds of at least $60.0 million.</w:t>
      </w:r>
    </w:p>
    <w:p>
      <w:pPr>
        <w:spacing w:after="0" w:line="181" w:lineRule="exact"/>
        <w:rPr>
          <w:sz w:val="20"/>
          <w:szCs w:val="20"/>
          <w:color w:val="auto"/>
        </w:rPr>
      </w:pPr>
    </w:p>
    <w:p>
      <w:pPr>
        <w:jc w:val="both"/>
        <w:ind w:right="100" w:firstLine="509"/>
        <w:spacing w:after="0" w:line="279" w:lineRule="auto"/>
        <w:rPr>
          <w:sz w:val="20"/>
          <w:szCs w:val="20"/>
          <w:color w:val="auto"/>
        </w:rPr>
      </w:pPr>
      <w:r>
        <w:rPr>
          <w:rFonts w:ascii="Arial" w:cs="Arial" w:eastAsia="Arial" w:hAnsi="Arial"/>
          <w:sz w:val="18"/>
          <w:szCs w:val="18"/>
          <w:color w:val="auto"/>
        </w:rPr>
        <w:t>The 2020 Term Loan has an effective interest rate of 13.59% per year. The 2020 Term Loan interest expense for the three months ended September 30, 2021 and 2020 was $1.1 million and $0.0, respectively. The 2020 Term Loan interest expense for the nine months ended September 30, 2021 and 2020 was $3.3 million and $0.0, respectively.</w:t>
      </w:r>
    </w:p>
    <w:p>
      <w:pPr>
        <w:spacing w:after="0" w:line="183" w:lineRule="exact"/>
        <w:rPr>
          <w:sz w:val="20"/>
          <w:szCs w:val="20"/>
          <w:color w:val="auto"/>
        </w:rPr>
      </w:pPr>
    </w:p>
    <w:p>
      <w:pPr>
        <w:ind w:right="40" w:firstLine="509"/>
        <w:spacing w:after="0" w:line="306" w:lineRule="auto"/>
        <w:rPr>
          <w:sz w:val="20"/>
          <w:szCs w:val="20"/>
          <w:color w:val="auto"/>
        </w:rPr>
      </w:pPr>
      <w:r>
        <w:rPr>
          <w:rFonts w:ascii="Arial" w:cs="Arial" w:eastAsia="Arial" w:hAnsi="Arial"/>
          <w:sz w:val="16"/>
          <w:szCs w:val="16"/>
          <w:color w:val="auto"/>
        </w:rPr>
        <w:t>In conjunction with entry into the 2020 MidCap Credit Facility, the Company issued a 10-year warrant to the Lender to purchase 300,000 shares of the Company’s Series F redeemable convertible preferred stock (the “2020 Warrant”) at an exercise price of $21.88 per share (see Note 9). The estimated fair value at issuance of the 2020 Warrant of $1.8 million was based on the Option-Pricing Method with Discounts for Lack of Marketability for each class of security. In addition, the Company incurred $0.5 million of issuance costs paid to the Lender in conjunction with the 2020 Term Loan which represents a debt discount. The Company concluded that the 2020 Term Loan represented a modification of the 2019 Term Loan and accounted for the 2020 Term Loan as debt modification. The 2020 Warrant was recorded at the fair value as a debt discount and as a warrant liability. At each balance sheet date, the 2020 Warrant was remeasured to fair value with any changes in fair value recognized as other income or expense in the statements of operations. The debt discount is being amortized using the effective interest method as interest expense over the contractual period of five years for the 2020 Term Loan. In August 2021, the Lender effected a net exercise in full of the 2020 Warrant and the Company issued the Lender 431,708 shares of common stock.</w:t>
      </w:r>
    </w:p>
    <w:p>
      <w:pPr>
        <w:spacing w:after="0" w:line="170"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The Company can voluntarily prepay the borrowings in full, with a prepayment premium beginning at 3% in the first year from entering into the 2020 MidCap Credit facility and declining to 2% in the second year to 1% in the third year thereafter. In addition, a final payment fee of 6% of the amounts borrowed is payable at the end of the term or when the borrowings are repaid in full. A long-term liability is being accreted using the effective interest method for the final payment fee over the term of the loan agreement. The borrowings are collateralized by a security interest in substantially all of the Company’s assets.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ind w:right="80" w:firstLine="509"/>
        <w:spacing w:after="0" w:line="279" w:lineRule="auto"/>
        <w:rPr>
          <w:sz w:val="20"/>
          <w:szCs w:val="20"/>
          <w:color w:val="auto"/>
        </w:rPr>
      </w:pPr>
      <w:r>
        <w:rPr>
          <w:rFonts w:ascii="Arial" w:cs="Arial" w:eastAsia="Arial" w:hAnsi="Arial"/>
          <w:sz w:val="18"/>
          <w:szCs w:val="18"/>
          <w:color w:val="auto"/>
        </w:rPr>
        <w:t>The Company accrued $0.8 million and $0.5 million as of September 30, 2021 and December 31, 2020, respectively, related to accretion of final payment due at maturity per the agreement using the effective interest rate method. The final payment accrual is recorded in Other noncurrent liabilities on the balance sheets.</w:t>
      </w:r>
    </w:p>
    <w:p>
      <w:pPr>
        <w:spacing w:after="0" w:line="183" w:lineRule="exact"/>
        <w:rPr>
          <w:sz w:val="20"/>
          <w:szCs w:val="20"/>
          <w:color w:val="auto"/>
        </w:rPr>
      </w:pPr>
    </w:p>
    <w:p>
      <w:pPr>
        <w:ind w:right="160" w:firstLine="509"/>
        <w:spacing w:after="0" w:line="275" w:lineRule="auto"/>
        <w:rPr>
          <w:sz w:val="20"/>
          <w:szCs w:val="20"/>
          <w:color w:val="auto"/>
        </w:rPr>
      </w:pPr>
      <w:r>
        <w:rPr>
          <w:rFonts w:ascii="Arial" w:cs="Arial" w:eastAsia="Arial" w:hAnsi="Arial"/>
          <w:sz w:val="18"/>
          <w:szCs w:val="18"/>
          <w:color w:val="auto"/>
        </w:rPr>
        <w:t>The Company is subject to financial covenants related to minimum trailing revenue targets that began on September 30, 2020 and are tested on a monthly basis. The Company has to achieve minimum net revenue of $20.0 million over a trailing 12-month period increasing to a maximum net revenue covenant of $84.8 million for the trailing 12-month period ending October 31, 2025. As of September 30, 2021, the Company was in compliance with the applicable financial covenant.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Revolver</w:t>
      </w:r>
    </w:p>
    <w:p>
      <w:pPr>
        <w:spacing w:after="0" w:line="131" w:lineRule="exact"/>
        <w:rPr>
          <w:sz w:val="20"/>
          <w:szCs w:val="20"/>
          <w:color w:val="auto"/>
        </w:rPr>
      </w:pPr>
    </w:p>
    <w:p>
      <w:pPr>
        <w:ind w:right="20" w:firstLine="509"/>
        <w:spacing w:after="0" w:line="296" w:lineRule="auto"/>
        <w:rPr>
          <w:sz w:val="20"/>
          <w:szCs w:val="20"/>
          <w:color w:val="auto"/>
        </w:rPr>
      </w:pPr>
      <w:r>
        <w:rPr>
          <w:rFonts w:ascii="Arial" w:cs="Arial" w:eastAsia="Arial" w:hAnsi="Arial"/>
          <w:sz w:val="17"/>
          <w:szCs w:val="17"/>
          <w:color w:val="auto"/>
        </w:rPr>
        <w:t>The 2020 Revolver has a four-year term and has a stated floating interest rate which equates to reserve- adjusted LIBOR plus 4.50%. An unused line fee of 0.5% is payable monthly based on the average unused balance and a collateral management fee of 0.5% is payable monthly based on the outstanding balance of the 2020 Revolver. The Company can request to increase the 2020 Revolver commitment amount to $15.0 million under the term of the agreement. As of September 30, 2021, $5.0 million was available to be drawn under the 2020 Revolver.</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2020 Revolver has not been drawn upon as of September 30, 2021.</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and short-term debt was as follows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As of September 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w w:val="98"/>
              </w:rPr>
              <w:t>As of December 31,</w:t>
            </w:r>
          </w:p>
        </w:tc>
      </w:tr>
      <w:tr>
        <w:trPr>
          <w:trHeight w:val="208"/>
        </w:trPr>
        <w:tc>
          <w:tcPr>
            <w:tcW w:w="7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50"/>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Term Loan</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20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FF0FC"/>
          </w:tcPr>
          <w:p>
            <w:pPr>
              <w:spacing w:after="0"/>
              <w:rPr>
                <w:sz w:val="21"/>
                <w:szCs w:val="21"/>
                <w:color w:val="auto"/>
              </w:rPr>
            </w:pPr>
          </w:p>
        </w:tc>
      </w:tr>
      <w:tr>
        <w:trPr>
          <w:trHeight w:val="250"/>
        </w:trPr>
        <w:tc>
          <w:tcPr>
            <w:tcW w:w="72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principal payments due</w:t>
            </w:r>
          </w:p>
        </w:tc>
        <w:tc>
          <w:tcPr>
            <w:tcW w:w="18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20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top w:val="single" w:sz="8" w:color="CFF0FC"/>
            </w:tcBorders>
          </w:tcPr>
          <w:p>
            <w:pPr>
              <w:spacing w:after="0"/>
              <w:rPr>
                <w:sz w:val="21"/>
                <w:szCs w:val="21"/>
                <w:color w:val="auto"/>
              </w:rPr>
            </w:pPr>
          </w:p>
        </w:tc>
      </w:tr>
      <w:tr>
        <w:trPr>
          <w:trHeight w:val="256"/>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debt discount related to warrant liability and issuance costs</w:t>
            </w:r>
          </w:p>
        </w:tc>
        <w:tc>
          <w:tcPr>
            <w:tcW w:w="180" w:type="dxa"/>
            <w:vAlign w:val="bottom"/>
            <w:shd w:val="clear" w:color="auto" w:fill="CFF0FC"/>
          </w:tcPr>
          <w:p>
            <w:pPr>
              <w:spacing w:after="0"/>
              <w:rPr>
                <w:sz w:val="22"/>
                <w:szCs w:val="22"/>
                <w:color w:val="auto"/>
              </w:rPr>
            </w:pP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(2,514 )</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(3,045 )</w:t>
            </w: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color w:val="auto"/>
              </w:rPr>
              <w:t>Total amounts outstanding</w:t>
            </w: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31,955</w:t>
            </w:r>
          </w:p>
        </w:tc>
        <w:tc>
          <w:tcPr>
            <w:tcW w:w="100" w:type="dxa"/>
            <w:vAlign w:val="bottom"/>
          </w:tcPr>
          <w:p>
            <w:pPr>
              <w:spacing w:after="0"/>
              <w:rPr>
                <w:sz w:val="21"/>
                <w:szCs w:val="21"/>
                <w:color w:val="auto"/>
              </w:rPr>
            </w:pPr>
          </w:p>
        </w:tc>
      </w:tr>
      <w:tr>
        <w:trPr>
          <w:trHeight w:val="250"/>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Current portion</w:t>
            </w:r>
          </w:p>
        </w:tc>
        <w:tc>
          <w:tcPr>
            <w:tcW w:w="18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color w:val="auto"/>
              </w:rPr>
              <w:t>Total accrued and other current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31,955</w:t>
            </w:r>
          </w:p>
        </w:tc>
        <w:tc>
          <w:tcPr>
            <w:tcW w:w="100" w:type="dxa"/>
            <w:vAlign w:val="bottom"/>
          </w:tcPr>
          <w:p>
            <w:pPr>
              <w:spacing w:after="0"/>
              <w:rPr>
                <w:sz w:val="21"/>
                <w:szCs w:val="21"/>
                <w:color w:val="auto"/>
              </w:rPr>
            </w:pPr>
          </w:p>
        </w:tc>
      </w:tr>
      <w:tr>
        <w:trPr>
          <w:trHeight w:val="20"/>
        </w:trPr>
        <w:tc>
          <w:tcPr>
            <w:tcW w:w="724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4"/>
        </w:trPr>
        <w:tc>
          <w:tcPr>
            <w:tcW w:w="9180" w:type="dxa"/>
            <w:vAlign w:val="bottom"/>
            <w:gridSpan w:val="4"/>
          </w:tcPr>
          <w:p>
            <w:pPr>
              <w:ind w:left="520"/>
              <w:spacing w:after="0"/>
              <w:rPr>
                <w:sz w:val="20"/>
                <w:szCs w:val="20"/>
                <w:color w:val="auto"/>
              </w:rPr>
            </w:pPr>
            <w:r>
              <w:rPr>
                <w:rFonts w:ascii="Arial" w:cs="Arial" w:eastAsia="Arial" w:hAnsi="Arial"/>
                <w:sz w:val="18"/>
                <w:szCs w:val="18"/>
                <w:color w:val="auto"/>
                <w:w w:val="97"/>
              </w:rPr>
              <w:t>The repayment schedule relating to the Company’s debt as of September 30, 2021, is as follows (in thousands):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34"/>
        </w:trPr>
        <w:tc>
          <w:tcPr>
            <w:tcW w:w="7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4"/>
                <w:szCs w:val="24"/>
                <w:color w:val="auto"/>
              </w:rPr>
            </w:pPr>
          </w:p>
        </w:tc>
      </w:tr>
      <w:tr>
        <w:trPr>
          <w:trHeight w:val="256"/>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 (remainder)</w:t>
            </w:r>
          </w:p>
        </w:tc>
        <w:tc>
          <w:tcPr>
            <w:tcW w:w="180" w:type="dxa"/>
            <w:vAlign w:val="bottom"/>
            <w:shd w:val="clear" w:color="auto" w:fill="CFF0FC"/>
          </w:tcPr>
          <w:p>
            <w:pPr>
              <w:spacing w:after="0"/>
              <w:rPr>
                <w:sz w:val="22"/>
                <w:szCs w:val="22"/>
                <w:color w:val="auto"/>
              </w:rPr>
            </w:pPr>
          </w:p>
        </w:tc>
        <w:tc>
          <w:tcPr>
            <w:tcW w:w="15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7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(1,944 )</w:t>
            </w:r>
          </w:p>
        </w:tc>
      </w:tr>
      <w:tr>
        <w:trPr>
          <w:trHeight w:val="263"/>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spacing w:after="0"/>
              <w:rPr>
                <w:sz w:val="22"/>
                <w:szCs w:val="22"/>
                <w:color w:val="auto"/>
              </w:rPr>
            </w:pPr>
          </w:p>
        </w:tc>
        <w:tc>
          <w:tcPr>
            <w:tcW w:w="15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(11,667 )</w:t>
            </w: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(11,667 )</w:t>
            </w:r>
          </w:p>
        </w:tc>
      </w:tr>
      <w:tr>
        <w:trPr>
          <w:trHeight w:val="257"/>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FF0FC"/>
          </w:tcPr>
          <w:p>
            <w:pPr>
              <w:spacing w:after="0"/>
              <w:rPr>
                <w:sz w:val="22"/>
                <w:szCs w:val="22"/>
                <w:color w:val="auto"/>
              </w:rPr>
            </w:pPr>
          </w:p>
        </w:tc>
        <w:tc>
          <w:tcPr>
            <w:tcW w:w="15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(9,722 )</w:t>
            </w:r>
          </w:p>
        </w:tc>
      </w:tr>
      <w:tr>
        <w:trPr>
          <w:trHeight w:val="242"/>
        </w:trPr>
        <w:tc>
          <w:tcPr>
            <w:tcW w:w="72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repayments</w:t>
            </w:r>
          </w:p>
        </w:tc>
        <w:tc>
          <w:tcPr>
            <w:tcW w:w="180" w:type="dxa"/>
            <w:vAlign w:val="bottom"/>
            <w:tcBorders>
              <w:top w:val="single" w:sz="8" w:color="CFF0FC"/>
            </w:tcBorders>
          </w:tcPr>
          <w:p>
            <w:pPr>
              <w:spacing w:after="0"/>
              <w:rPr>
                <w:sz w:val="21"/>
                <w:szCs w:val="21"/>
                <w:color w:val="auto"/>
              </w:rPr>
            </w:pPr>
          </w:p>
        </w:tc>
        <w:tc>
          <w:tcPr>
            <w:tcW w:w="1560" w:type="dxa"/>
            <w:vAlign w:val="bottom"/>
            <w:tcBorders>
              <w:top w:val="single" w:sz="8" w:color="CFF0FC"/>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0"/>
                <w:szCs w:val="20"/>
                <w:color w:val="auto"/>
              </w:rPr>
            </w:pPr>
          </w:p>
        </w:tc>
      </w:tr>
      <w:tr>
        <w:trPr>
          <w:trHeight w:val="20"/>
        </w:trPr>
        <w:tc>
          <w:tcPr>
            <w:tcW w:w="7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-2739390</wp:posOffset>
            </wp:positionV>
            <wp:extent cx="18859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-2739390</wp:posOffset>
            </wp:positionV>
            <wp:extent cx="6858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-2062480</wp:posOffset>
            </wp:positionV>
            <wp:extent cx="18859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-2062480</wp:posOffset>
            </wp:positionV>
            <wp:extent cx="6858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-339090</wp:posOffset>
            </wp:positionV>
            <wp:extent cx="685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Obligations</w:t>
      </w:r>
    </w:p>
    <w:p>
      <w:pPr>
        <w:spacing w:after="0" w:line="131" w:lineRule="exact"/>
        <w:rPr>
          <w:sz w:val="20"/>
          <w:szCs w:val="20"/>
          <w:color w:val="auto"/>
        </w:rPr>
      </w:pPr>
    </w:p>
    <w:p>
      <w:pPr>
        <w:ind w:right="280" w:firstLine="509"/>
        <w:spacing w:after="0" w:line="324" w:lineRule="auto"/>
        <w:rPr>
          <w:sz w:val="20"/>
          <w:szCs w:val="20"/>
          <w:color w:val="auto"/>
        </w:rPr>
      </w:pPr>
      <w:r>
        <w:rPr>
          <w:rFonts w:ascii="Arial" w:cs="Arial" w:eastAsia="Arial" w:hAnsi="Arial"/>
          <w:sz w:val="17"/>
          <w:szCs w:val="17"/>
          <w:color w:val="auto"/>
        </w:rPr>
        <w:t>The Company’s leases mainly include facility leases and storage leases. In September 2019, the Company entered into a noncancelable operating lease for approximately 10,823 square feet of primary office space, which expired on July 31, 2021, without the option to extend.</w:t>
      </w:r>
    </w:p>
    <w:p>
      <w:pPr>
        <w:spacing w:after="0" w:line="39" w:lineRule="exact"/>
        <w:rPr>
          <w:sz w:val="20"/>
          <w:szCs w:val="20"/>
          <w:color w:val="auto"/>
        </w:rPr>
      </w:pPr>
    </w:p>
    <w:p>
      <w:pPr>
        <w:ind w:right="120" w:firstLine="509"/>
        <w:spacing w:after="0" w:line="275" w:lineRule="auto"/>
        <w:rPr>
          <w:sz w:val="20"/>
          <w:szCs w:val="20"/>
          <w:color w:val="auto"/>
        </w:rPr>
      </w:pPr>
      <w:r>
        <w:rPr>
          <w:rFonts w:ascii="Arial" w:cs="Arial" w:eastAsia="Arial" w:hAnsi="Arial"/>
          <w:sz w:val="18"/>
          <w:szCs w:val="18"/>
          <w:color w:val="auto"/>
        </w:rPr>
        <w:t>On February 5, 2021, the Company entered into a lease to renew the corporate headquarters in Menlo Park, California. The lease commenced on August 1, 2021 and is for a term of 37 months from the commencement date. The Company recorded an aggregate right-of-use ("ROU") asset and lease liability of $1.5 million. The ROU asset and corresponding lease liability were estimated using a weighted-average incremental borrowing rate of 13.59%. Total base rent is approximately $1.6 million under the lease agreement.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ind w:right="40" w:firstLine="509"/>
        <w:spacing w:after="0" w:line="279" w:lineRule="auto"/>
        <w:rPr>
          <w:sz w:val="20"/>
          <w:szCs w:val="20"/>
          <w:color w:val="auto"/>
        </w:rPr>
      </w:pPr>
      <w:r>
        <w:rPr>
          <w:rFonts w:ascii="Arial" w:cs="Arial" w:eastAsia="Arial" w:hAnsi="Arial"/>
          <w:sz w:val="18"/>
          <w:szCs w:val="18"/>
          <w:color w:val="auto"/>
        </w:rPr>
        <w:t>The Company recognizes rent expense on a straight-line basis over the noncancelable lease term. The Company’s rent expense was $0.2 million and $0.2 million for the three months ended September 30, 2021 and 2020, respectively. The Company’s rent expense was $0.5 million for the nine months ended September 30, 2021 and 2020.</w:t>
      </w:r>
    </w:p>
    <w:p>
      <w:pPr>
        <w:spacing w:after="0" w:line="183" w:lineRule="exact"/>
        <w:rPr>
          <w:sz w:val="20"/>
          <w:szCs w:val="20"/>
          <w:color w:val="auto"/>
        </w:rPr>
      </w:pPr>
    </w:p>
    <w:p>
      <w:pPr>
        <w:ind w:right="40" w:firstLine="509"/>
        <w:spacing w:after="0" w:line="272" w:lineRule="auto"/>
        <w:rPr>
          <w:sz w:val="20"/>
          <w:szCs w:val="20"/>
          <w:color w:val="auto"/>
        </w:rPr>
      </w:pPr>
      <w:r>
        <w:rPr>
          <w:rFonts w:ascii="Arial" w:cs="Arial" w:eastAsia="Arial" w:hAnsi="Arial"/>
          <w:sz w:val="18"/>
          <w:szCs w:val="18"/>
          <w:color w:val="auto"/>
        </w:rPr>
        <w:t>In determining the present value of lease payments, the Company uses its incremental borrowing rate based on the information available at the lease commencement date if the rate implicit in the lease is not readily determinable. At the date of adoption of Topic 842, the Company determined the amounts of lease liability using a discount rate of 16.4%, which represents the Company’s incremental borrowing rate, which was based on the Company’s current borrowing rate adjusted for various factors including level of collateralization and term. As of September 30, 2021, the remaining lease term for the lease was 2.9 years.</w:t>
      </w:r>
    </w:p>
    <w:p>
      <w:pPr>
        <w:spacing w:after="0" w:line="191" w:lineRule="exact"/>
        <w:rPr>
          <w:sz w:val="20"/>
          <w:szCs w:val="20"/>
          <w:color w:val="auto"/>
        </w:rPr>
      </w:pPr>
    </w:p>
    <w:p>
      <w:pPr>
        <w:ind w:right="400" w:firstLine="509"/>
        <w:spacing w:after="0" w:line="293" w:lineRule="auto"/>
        <w:rPr>
          <w:sz w:val="20"/>
          <w:szCs w:val="20"/>
          <w:color w:val="auto"/>
        </w:rPr>
      </w:pPr>
      <w:r>
        <w:rPr>
          <w:rFonts w:ascii="Arial" w:cs="Arial" w:eastAsia="Arial" w:hAnsi="Arial"/>
          <w:sz w:val="18"/>
          <w:szCs w:val="18"/>
          <w:color w:val="auto"/>
        </w:rPr>
        <w:t>Operating lease expense and supplemental cash flow information related to operating leases for the three and nine months ended September 30, 2020 and 2021 were as follows (in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2300" w:type="dxa"/>
            <w:vAlign w:val="bottom"/>
            <w:gridSpan w:val="4"/>
          </w:tcPr>
          <w:p>
            <w:pPr>
              <w:jc w:val="center"/>
              <w:ind w:left="262"/>
              <w:spacing w:after="0"/>
              <w:rPr>
                <w:sz w:val="20"/>
                <w:szCs w:val="20"/>
                <w:color w:val="auto"/>
              </w:rPr>
            </w:pPr>
            <w:r>
              <w:rPr>
                <w:rFonts w:ascii="Arial" w:cs="Arial" w:eastAsia="Arial" w:hAnsi="Arial"/>
                <w:sz w:val="14"/>
                <w:szCs w:val="14"/>
                <w:b w:val="1"/>
                <w:bCs w:val="1"/>
                <w:color w:val="auto"/>
                <w:w w:val="95"/>
              </w:rPr>
              <w:t>Three Months Ended</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4"/>
          </w:tcPr>
          <w:p>
            <w:pPr>
              <w:jc w:val="center"/>
              <w:ind w:right="235"/>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5"/>
                <w:szCs w:val="15"/>
                <w:color w:val="auto"/>
              </w:rPr>
            </w:pPr>
          </w:p>
        </w:tc>
      </w:tr>
      <w:tr>
        <w:trPr>
          <w:trHeight w:val="192"/>
        </w:trPr>
        <w:tc>
          <w:tcPr>
            <w:tcW w:w="56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308"/>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562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expense</w:t>
            </w:r>
          </w:p>
        </w:tc>
        <w:tc>
          <w:tcPr>
            <w:tcW w:w="760" w:type="dxa"/>
            <w:vAlign w:val="bottom"/>
            <w:shd w:val="clear" w:color="auto" w:fill="CFF0FC"/>
          </w:tcPr>
          <w:p>
            <w:pPr>
              <w:jc w:val="right"/>
              <w:ind w:right="58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100" w:type="dxa"/>
            <w:vAlign w:val="bottom"/>
            <w:gridSpan w:val="2"/>
            <w:shd w:val="clear" w:color="auto" w:fill="CFF0FC"/>
          </w:tcPr>
          <w:p>
            <w:pPr>
              <w:jc w:val="right"/>
              <w:ind w:right="66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FF0FC"/>
          </w:tcPr>
          <w:p>
            <w:pPr>
              <w:spacing w:after="0"/>
              <w:rPr>
                <w:sz w:val="22"/>
                <w:szCs w:val="22"/>
                <w:color w:val="auto"/>
              </w:rPr>
            </w:pP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Cash paid for operating leases</w:t>
            </w:r>
          </w:p>
        </w:tc>
        <w:tc>
          <w:tcPr>
            <w:tcW w:w="7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484</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r>
      <w:tr>
        <w:trPr>
          <w:trHeight w:val="249"/>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New operating lease assets obtained in exchange for</w:t>
            </w:r>
          </w:p>
        </w:tc>
        <w:tc>
          <w:tcPr>
            <w:tcW w:w="7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56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operating lease liabilities</w:t>
            </w:r>
          </w:p>
        </w:tc>
        <w:tc>
          <w:tcPr>
            <w:tcW w:w="7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1,514</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bl>
    <w:p>
      <w:pPr>
        <w:spacing w:after="0" w:line="337" w:lineRule="exact"/>
        <w:rPr>
          <w:sz w:val="20"/>
          <w:szCs w:val="20"/>
          <w:color w:val="auto"/>
        </w:rPr>
      </w:pPr>
    </w:p>
    <w:p>
      <w:pPr>
        <w:ind w:right="80" w:firstLine="509"/>
        <w:spacing w:after="0" w:line="293" w:lineRule="auto"/>
        <w:rPr>
          <w:sz w:val="20"/>
          <w:szCs w:val="20"/>
          <w:color w:val="auto"/>
        </w:rPr>
      </w:pPr>
      <w:r>
        <w:rPr>
          <w:rFonts w:ascii="Arial" w:cs="Arial" w:eastAsia="Arial" w:hAnsi="Arial"/>
          <w:sz w:val="18"/>
          <w:szCs w:val="18"/>
          <w:color w:val="auto"/>
        </w:rPr>
        <w:t>During the three and nine months ended September 30, 2021 and 2020, the Company’s costs related to short-term lease arrangements and non-lease variable payments were immaterial.</w:t>
      </w:r>
    </w:p>
    <w:p>
      <w:pPr>
        <w:spacing w:after="0" w:line="170" w:lineRule="exact"/>
        <w:rPr>
          <w:sz w:val="20"/>
          <w:szCs w:val="20"/>
          <w:color w:val="auto"/>
        </w:rPr>
      </w:pPr>
    </w:p>
    <w:p>
      <w:pPr>
        <w:ind w:right="420" w:firstLine="509"/>
        <w:spacing w:after="0" w:line="293" w:lineRule="auto"/>
        <w:rPr>
          <w:sz w:val="20"/>
          <w:szCs w:val="20"/>
          <w:color w:val="auto"/>
        </w:rPr>
      </w:pPr>
      <w:r>
        <w:rPr>
          <w:rFonts w:ascii="Arial" w:cs="Arial" w:eastAsia="Arial" w:hAnsi="Arial"/>
          <w:sz w:val="18"/>
          <w:szCs w:val="18"/>
          <w:color w:val="auto"/>
        </w:rPr>
        <w:t>Aggregate future minimum lease payments at September 30, 2021 and December 31, 2020, under these noncancelable operating leases were as follows (in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As of September 30,</w:t>
            </w:r>
          </w:p>
        </w:tc>
        <w:tc>
          <w:tcPr>
            <w:tcW w:w="220" w:type="dxa"/>
            <w:vAlign w:val="bottom"/>
          </w:tcPr>
          <w:p>
            <w:pPr>
              <w:spacing w:after="0"/>
              <w:rPr>
                <w:sz w:val="16"/>
                <w:szCs w:val="16"/>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As of December 31,</w:t>
            </w:r>
          </w:p>
        </w:tc>
      </w:tr>
      <w:tr>
        <w:trPr>
          <w:trHeight w:val="208"/>
        </w:trPr>
        <w:tc>
          <w:tcPr>
            <w:tcW w:w="7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56"/>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FF0FC"/>
          </w:tcPr>
          <w:p>
            <w:pPr>
              <w:spacing w:after="0"/>
              <w:rPr>
                <w:sz w:val="22"/>
                <w:szCs w:val="22"/>
                <w:color w:val="auto"/>
              </w:rPr>
            </w:pP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691</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r>
      <w:tr>
        <w:trPr>
          <w:trHeight w:val="263"/>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22"/>
                <w:szCs w:val="22"/>
                <w:color w:val="auto"/>
              </w:rPr>
            </w:pP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r>
      <w:tr>
        <w:trPr>
          <w:trHeight w:val="257"/>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FF0FC"/>
          </w:tcPr>
          <w:p>
            <w:pPr>
              <w:spacing w:after="0"/>
              <w:rPr>
                <w:sz w:val="22"/>
                <w:szCs w:val="22"/>
                <w:color w:val="auto"/>
              </w:rPr>
            </w:pP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21"/>
                <w:szCs w:val="21"/>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(364 )</w:t>
            </w:r>
          </w:p>
        </w:tc>
        <w:tc>
          <w:tcPr>
            <w:tcW w:w="220" w:type="dxa"/>
            <w:vAlign w:val="bottom"/>
          </w:tcPr>
          <w:p>
            <w:pPr>
              <w:spacing w:after="0"/>
              <w:rPr>
                <w:sz w:val="21"/>
                <w:szCs w:val="21"/>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(74 )</w:t>
            </w:r>
          </w:p>
        </w:tc>
      </w:tr>
      <w:tr>
        <w:trPr>
          <w:trHeight w:val="256"/>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Present value of future minimum lease payments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w:t>
            </w:r>
          </w:p>
        </w:tc>
        <w:tc>
          <w:tcPr>
            <w:tcW w:w="300" w:type="dxa"/>
            <w:vAlign w:val="bottom"/>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FF0FC"/>
          </w:tcPr>
          <w:p>
            <w:pPr>
              <w:spacing w:after="0"/>
              <w:rPr>
                <w:sz w:val="22"/>
                <w:szCs w:val="22"/>
                <w:color w:val="auto"/>
              </w:rPr>
            </w:pP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color w:val="auto"/>
              </w:rPr>
              <w:t>Less: current portion of operating lease liability</w:t>
            </w:r>
          </w:p>
        </w:tc>
        <w:tc>
          <w:tcPr>
            <w:tcW w:w="180" w:type="dxa"/>
            <w:vAlign w:val="bottom"/>
          </w:tcPr>
          <w:p>
            <w:pPr>
              <w:spacing w:after="0"/>
              <w:rPr>
                <w:sz w:val="21"/>
                <w:szCs w:val="21"/>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(486 )</w:t>
            </w:r>
          </w:p>
        </w:tc>
        <w:tc>
          <w:tcPr>
            <w:tcW w:w="220" w:type="dxa"/>
            <w:vAlign w:val="bottom"/>
          </w:tcPr>
          <w:p>
            <w:pPr>
              <w:spacing w:after="0"/>
              <w:rPr>
                <w:sz w:val="21"/>
                <w:szCs w:val="21"/>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(395 )</w:t>
            </w:r>
          </w:p>
        </w:tc>
      </w:tr>
      <w:tr>
        <w:trPr>
          <w:trHeight w:val="290"/>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liabilities - noncurrent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-24765</wp:posOffset>
            </wp:positionV>
            <wp:extent cx="1885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1885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Legal Proceedings</w:t>
      </w:r>
    </w:p>
    <w:p>
      <w:pPr>
        <w:spacing w:after="0" w:line="131" w:lineRule="exact"/>
        <w:rPr>
          <w:sz w:val="20"/>
          <w:szCs w:val="20"/>
          <w:color w:val="auto"/>
        </w:rPr>
      </w:pPr>
    </w:p>
    <w:p>
      <w:pPr>
        <w:ind w:right="100" w:firstLine="509"/>
        <w:spacing w:after="0" w:line="272" w:lineRule="auto"/>
        <w:rPr>
          <w:sz w:val="20"/>
          <w:szCs w:val="20"/>
          <w:color w:val="auto"/>
        </w:rPr>
      </w:pPr>
      <w:r>
        <w:rPr>
          <w:rFonts w:ascii="Arial" w:cs="Arial" w:eastAsia="Arial" w:hAnsi="Arial"/>
          <w:sz w:val="18"/>
          <w:szCs w:val="18"/>
          <w:color w:val="auto"/>
        </w:rPr>
        <w:t>On September 16, 2021, the Company filed suit in the U.S. District Court for the District of Delaware (C.A. No. 1:21-cv-01317) alleging that Ivantis, Inc. directly or indirectly infringes U.S. Patent Nos. 8,287,482, 9,370,443, 9,486,361, and 10,314,742 by making, using, selling, and offering for sale the Hydrus® Microstent. The Company’s Complaint seeks money damages and injunctive relief. Ivantis has not yet responded to the Complaint, and no trial date has been set. The Company is presently unable to predict the outcome of this lawsuit or to reasonably estimate the potential financial impact of the lawsuit on the Company, if any.</w:t>
      </w:r>
    </w:p>
    <w:p>
      <w:pPr>
        <w:spacing w:after="0" w:line="83"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The Company is subject to claims and assessments from time to time in the ordinary course of business. Accruals for litigation and contingencies are reflected in the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ind w:right="200"/>
        <w:spacing w:after="0" w:line="292" w:lineRule="auto"/>
        <w:rPr>
          <w:sz w:val="20"/>
          <w:szCs w:val="20"/>
          <w:color w:val="auto"/>
        </w:rPr>
      </w:pPr>
      <w:r>
        <w:rPr>
          <w:rFonts w:ascii="Arial" w:cs="Arial" w:eastAsia="Arial" w:hAnsi="Arial"/>
          <w:sz w:val="17"/>
          <w:szCs w:val="17"/>
          <w:color w:val="auto"/>
        </w:rPr>
        <w:t>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 As of September 30, 2021 and December 31, 2020, the Company was not involved in any material legal proceedings except as described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Indemnification</w:t>
      </w:r>
    </w:p>
    <w:p>
      <w:pPr>
        <w:spacing w:after="0" w:line="131" w:lineRule="exact"/>
        <w:rPr>
          <w:sz w:val="20"/>
          <w:szCs w:val="20"/>
          <w:color w:val="auto"/>
        </w:rPr>
      </w:pPr>
    </w:p>
    <w:p>
      <w:pPr>
        <w:ind w:right="100" w:firstLine="509"/>
        <w:spacing w:after="0" w:line="319"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156" w:lineRule="exact"/>
        <w:rPr>
          <w:sz w:val="20"/>
          <w:szCs w:val="20"/>
          <w:color w:val="auto"/>
        </w:rPr>
      </w:pPr>
    </w:p>
    <w:p>
      <w:pPr>
        <w:ind w:right="40" w:firstLine="509"/>
        <w:spacing w:after="0" w:line="288" w:lineRule="auto"/>
        <w:rPr>
          <w:sz w:val="20"/>
          <w:szCs w:val="20"/>
          <w:color w:val="auto"/>
        </w:rPr>
      </w:pPr>
      <w:r>
        <w:rPr>
          <w:rFonts w:ascii="Arial" w:cs="Arial" w:eastAsia="Arial" w:hAnsi="Arial"/>
          <w:sz w:val="17"/>
          <w:szCs w:val="17"/>
          <w:color w:val="auto"/>
        </w:rPr>
        <w:t>The Company indemnifies each of its directors and officers for certain events or occurrences, subject to certain limits, while the director is or was serving at the Company’s request in such capacity, as permitted under Delaware law and in accordance with its certificate of incorporation and bylaws. The term of the indemnification period lasts as long as a director may be subject to any proceeding arising out of acts or omissions of such director in such capacity. The maximum amount of potential future indemnification is unlimited; however, the Company currently holds director liability insurance. This insurance allows the transfer of risk associated with the Company’s exposure and may enable it to recover a portion of any future amounts paid. The Company believes that the fair value of these indemnification obligations is minimal. Accordingly, the Company has not recognized any liabilities relating to these obligations as of September 30, 2021 and December 31, 2020.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Redeemable Convertible Preferred Stock</w:t>
      </w:r>
    </w:p>
    <w:p>
      <w:pPr>
        <w:spacing w:after="0" w:line="135"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The Company has the following redeemable convertible preferred stock issued and outstanding at December 31, 2020 (in thousands, except share and per share data):</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Shares Authorized</w:t>
            </w:r>
          </w:p>
        </w:tc>
        <w:tc>
          <w:tcPr>
            <w:tcW w:w="280" w:type="dxa"/>
            <w:vAlign w:val="bottom"/>
          </w:tcPr>
          <w:p>
            <w:pPr>
              <w:spacing w:after="0"/>
              <w:rPr>
                <w:sz w:val="16"/>
                <w:szCs w:val="16"/>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Shares Issued and Outstanding</w:t>
            </w:r>
          </w:p>
        </w:tc>
        <w:tc>
          <w:tcPr>
            <w:tcW w:w="280" w:type="dxa"/>
            <w:vAlign w:val="bottom"/>
          </w:tcPr>
          <w:p>
            <w:pPr>
              <w:spacing w:after="0"/>
              <w:rPr>
                <w:sz w:val="16"/>
                <w:szCs w:val="16"/>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Original Issuance Price</w:t>
            </w:r>
          </w:p>
        </w:tc>
        <w:tc>
          <w:tcPr>
            <w:tcW w:w="300" w:type="dxa"/>
            <w:vAlign w:val="bottom"/>
          </w:tcPr>
          <w:p>
            <w:pPr>
              <w:spacing w:after="0"/>
              <w:rPr>
                <w:sz w:val="16"/>
                <w:szCs w:val="16"/>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Liquidation Amount</w:t>
            </w:r>
          </w:p>
        </w:tc>
        <w:tc>
          <w:tcPr>
            <w:tcW w:w="280" w:type="dxa"/>
            <w:vAlign w:val="bottom"/>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Issuance Costs</w:t>
            </w:r>
          </w:p>
        </w:tc>
        <w:tc>
          <w:tcPr>
            <w:tcW w:w="260" w:type="dxa"/>
            <w:vAlign w:val="bottom"/>
          </w:tcPr>
          <w:p>
            <w:pPr>
              <w:spacing w:after="0"/>
              <w:rPr>
                <w:sz w:val="16"/>
                <w:szCs w:val="16"/>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7"/>
              </w:rPr>
              <w:t>Carrying Value</w:t>
            </w:r>
          </w:p>
        </w:tc>
        <w:tc>
          <w:tcPr>
            <w:tcW w:w="100" w:type="dxa"/>
            <w:vAlign w:val="bottom"/>
          </w:tcPr>
          <w:p>
            <w:pPr>
              <w:spacing w:after="0"/>
              <w:rPr>
                <w:sz w:val="16"/>
                <w:szCs w:val="16"/>
                <w:color w:val="auto"/>
              </w:rPr>
            </w:pPr>
          </w:p>
        </w:tc>
      </w:tr>
      <w:tr>
        <w:trPr>
          <w:trHeight w:val="256"/>
        </w:trPr>
        <w:tc>
          <w:tcPr>
            <w:tcW w:w="1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Series A</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3,804,344</w:t>
            </w:r>
          </w:p>
        </w:tc>
        <w:tc>
          <w:tcPr>
            <w:tcW w:w="2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3,804,344</w:t>
            </w:r>
          </w:p>
        </w:tc>
        <w:tc>
          <w:tcPr>
            <w:tcW w:w="900" w:type="dxa"/>
            <w:vAlign w:val="bottom"/>
            <w:gridSpan w:val="2"/>
            <w:shd w:val="clear" w:color="auto" w:fill="CFF0FC"/>
          </w:tcPr>
          <w:p>
            <w:pPr>
              <w:jc w:val="right"/>
              <w:ind w:right="42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70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5,250</w:t>
            </w:r>
          </w:p>
        </w:tc>
        <w:tc>
          <w:tcPr>
            <w:tcW w:w="62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5,241</w:t>
            </w:r>
          </w:p>
        </w:tc>
        <w:tc>
          <w:tcPr>
            <w:tcW w:w="100" w:type="dxa"/>
            <w:vAlign w:val="bottom"/>
            <w:shd w:val="clear" w:color="auto" w:fill="CFF0FC"/>
          </w:tcPr>
          <w:p>
            <w:pPr>
              <w:spacing w:after="0"/>
              <w:rPr>
                <w:sz w:val="22"/>
                <w:szCs w:val="22"/>
                <w:color w:val="auto"/>
              </w:rPr>
            </w:pPr>
          </w:p>
        </w:tc>
      </w:tr>
      <w:tr>
        <w:trPr>
          <w:trHeight w:val="250"/>
        </w:trPr>
        <w:tc>
          <w:tcPr>
            <w:tcW w:w="1700" w:type="dxa"/>
            <w:vAlign w:val="bottom"/>
          </w:tcPr>
          <w:p>
            <w:pPr>
              <w:ind w:left="20"/>
              <w:spacing w:after="0"/>
              <w:rPr>
                <w:sz w:val="20"/>
                <w:szCs w:val="20"/>
                <w:color w:val="auto"/>
              </w:rPr>
            </w:pPr>
            <w:r>
              <w:rPr>
                <w:rFonts w:ascii="Arial" w:cs="Arial" w:eastAsia="Arial" w:hAnsi="Arial"/>
                <w:sz w:val="18"/>
                <w:szCs w:val="18"/>
                <w:color w:val="auto"/>
              </w:rPr>
              <w:t>Series B</w:t>
            </w:r>
          </w:p>
        </w:tc>
        <w:tc>
          <w:tcPr>
            <w:tcW w:w="1240" w:type="dxa"/>
            <w:vAlign w:val="bottom"/>
          </w:tcPr>
          <w:p>
            <w:pPr>
              <w:jc w:val="right"/>
              <w:spacing w:after="0"/>
              <w:rPr>
                <w:sz w:val="20"/>
                <w:szCs w:val="20"/>
                <w:color w:val="auto"/>
              </w:rPr>
            </w:pPr>
            <w:r>
              <w:rPr>
                <w:rFonts w:ascii="Arial" w:cs="Arial" w:eastAsia="Arial" w:hAnsi="Arial"/>
                <w:sz w:val="18"/>
                <w:szCs w:val="18"/>
                <w:color w:val="auto"/>
              </w:rPr>
              <w:t>1,209,621</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1,209,621</w:t>
            </w:r>
          </w:p>
        </w:tc>
        <w:tc>
          <w:tcPr>
            <w:tcW w:w="90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5.79</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7,000</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6,894</w:t>
            </w:r>
          </w:p>
        </w:tc>
        <w:tc>
          <w:tcPr>
            <w:tcW w:w="100" w:type="dxa"/>
            <w:vAlign w:val="bottom"/>
          </w:tcPr>
          <w:p>
            <w:pPr>
              <w:spacing w:after="0"/>
              <w:rPr>
                <w:sz w:val="21"/>
                <w:szCs w:val="21"/>
                <w:color w:val="auto"/>
              </w:rPr>
            </w:pPr>
          </w:p>
        </w:tc>
      </w:tr>
      <w:tr>
        <w:trPr>
          <w:trHeight w:val="263"/>
        </w:trPr>
        <w:tc>
          <w:tcPr>
            <w:tcW w:w="1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Series C</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2,372,371</w:t>
            </w:r>
          </w:p>
        </w:tc>
        <w:tc>
          <w:tcPr>
            <w:tcW w:w="2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2,342,857</w:t>
            </w:r>
          </w:p>
        </w:tc>
        <w:tc>
          <w:tcPr>
            <w:tcW w:w="900" w:type="dxa"/>
            <w:vAlign w:val="bottom"/>
            <w:gridSpan w:val="2"/>
            <w:shd w:val="clear" w:color="auto" w:fill="CFF0FC"/>
          </w:tcPr>
          <w:p>
            <w:pPr>
              <w:jc w:val="right"/>
              <w:ind w:right="42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3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22,226</w:t>
            </w: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22,018</w:t>
            </w:r>
          </w:p>
        </w:tc>
        <w:tc>
          <w:tcPr>
            <w:tcW w:w="100" w:type="dxa"/>
            <w:vAlign w:val="bottom"/>
            <w:shd w:val="clear" w:color="auto" w:fill="CFF0FC"/>
          </w:tcPr>
          <w:p>
            <w:pPr>
              <w:spacing w:after="0"/>
              <w:rPr>
                <w:sz w:val="22"/>
                <w:szCs w:val="22"/>
                <w:color w:val="auto"/>
              </w:rPr>
            </w:pPr>
          </w:p>
        </w:tc>
      </w:tr>
      <w:tr>
        <w:trPr>
          <w:trHeight w:val="250"/>
        </w:trPr>
        <w:tc>
          <w:tcPr>
            <w:tcW w:w="1700" w:type="dxa"/>
            <w:vAlign w:val="bottom"/>
          </w:tcPr>
          <w:p>
            <w:pPr>
              <w:ind w:left="20"/>
              <w:spacing w:after="0"/>
              <w:rPr>
                <w:sz w:val="20"/>
                <w:szCs w:val="20"/>
                <w:color w:val="auto"/>
              </w:rPr>
            </w:pPr>
            <w:r>
              <w:rPr>
                <w:rFonts w:ascii="Arial" w:cs="Arial" w:eastAsia="Arial" w:hAnsi="Arial"/>
                <w:sz w:val="18"/>
                <w:szCs w:val="18"/>
                <w:color w:val="auto"/>
              </w:rPr>
              <w:t>Series D</w:t>
            </w:r>
          </w:p>
        </w:tc>
        <w:tc>
          <w:tcPr>
            <w:tcW w:w="1240" w:type="dxa"/>
            <w:vAlign w:val="bottom"/>
          </w:tcPr>
          <w:p>
            <w:pPr>
              <w:jc w:val="right"/>
              <w:spacing w:after="0"/>
              <w:rPr>
                <w:sz w:val="20"/>
                <w:szCs w:val="20"/>
                <w:color w:val="auto"/>
              </w:rPr>
            </w:pPr>
            <w:r>
              <w:rPr>
                <w:rFonts w:ascii="Arial" w:cs="Arial" w:eastAsia="Arial" w:hAnsi="Arial"/>
                <w:sz w:val="18"/>
                <w:szCs w:val="18"/>
                <w:color w:val="auto"/>
              </w:rPr>
              <w:t>2,507,720</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2,447,818</w:t>
            </w:r>
          </w:p>
        </w:tc>
        <w:tc>
          <w:tcPr>
            <w:tcW w:w="90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12.56</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30,750</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647</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30,103</w:t>
            </w:r>
          </w:p>
        </w:tc>
        <w:tc>
          <w:tcPr>
            <w:tcW w:w="100" w:type="dxa"/>
            <w:vAlign w:val="bottom"/>
          </w:tcPr>
          <w:p>
            <w:pPr>
              <w:spacing w:after="0"/>
              <w:rPr>
                <w:sz w:val="21"/>
                <w:szCs w:val="21"/>
                <w:color w:val="auto"/>
              </w:rPr>
            </w:pPr>
          </w:p>
        </w:tc>
      </w:tr>
      <w:tr>
        <w:trPr>
          <w:trHeight w:val="263"/>
        </w:trPr>
        <w:tc>
          <w:tcPr>
            <w:tcW w:w="1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Series E</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1,921,902</w:t>
            </w:r>
          </w:p>
        </w:tc>
        <w:tc>
          <w:tcPr>
            <w:tcW w:w="2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1,899,847</w:t>
            </w:r>
          </w:p>
        </w:tc>
        <w:tc>
          <w:tcPr>
            <w:tcW w:w="900" w:type="dxa"/>
            <w:vAlign w:val="bottom"/>
            <w:gridSpan w:val="2"/>
            <w:shd w:val="clear" w:color="auto" w:fill="CFF0FC"/>
          </w:tcPr>
          <w:p>
            <w:pPr>
              <w:jc w:val="right"/>
              <w:ind w:right="42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3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30,150</w:t>
            </w: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30,044</w:t>
            </w:r>
          </w:p>
        </w:tc>
        <w:tc>
          <w:tcPr>
            <w:tcW w:w="100" w:type="dxa"/>
            <w:vAlign w:val="bottom"/>
            <w:shd w:val="clear" w:color="auto" w:fill="CFF0FC"/>
          </w:tcPr>
          <w:p>
            <w:pPr>
              <w:spacing w:after="0"/>
              <w:rPr>
                <w:sz w:val="22"/>
                <w:szCs w:val="22"/>
                <w:color w:val="auto"/>
              </w:rPr>
            </w:pPr>
          </w:p>
        </w:tc>
      </w:tr>
      <w:tr>
        <w:trPr>
          <w:trHeight w:val="257"/>
        </w:trPr>
        <w:tc>
          <w:tcPr>
            <w:tcW w:w="1700" w:type="dxa"/>
            <w:vAlign w:val="bottom"/>
          </w:tcPr>
          <w:p>
            <w:pPr>
              <w:ind w:left="20"/>
              <w:spacing w:after="0"/>
              <w:rPr>
                <w:sz w:val="20"/>
                <w:szCs w:val="20"/>
                <w:color w:val="auto"/>
              </w:rPr>
            </w:pPr>
            <w:r>
              <w:rPr>
                <w:rFonts w:ascii="Arial" w:cs="Arial" w:eastAsia="Arial" w:hAnsi="Arial"/>
                <w:sz w:val="18"/>
                <w:szCs w:val="18"/>
                <w:color w:val="auto"/>
              </w:rPr>
              <w:t>Series F</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2,425,432</w:t>
            </w:r>
          </w:p>
        </w:tc>
        <w:tc>
          <w:tcPr>
            <w:tcW w:w="280" w:type="dxa"/>
            <w:vAlign w:val="bottom"/>
          </w:tcPr>
          <w:p>
            <w:pPr>
              <w:spacing w:after="0"/>
              <w:rPr>
                <w:sz w:val="22"/>
                <w:szCs w:val="22"/>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1,062,715</w:t>
            </w:r>
          </w:p>
        </w:tc>
        <w:tc>
          <w:tcPr>
            <w:tcW w:w="90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21.88</w:t>
            </w:r>
          </w:p>
        </w:tc>
        <w:tc>
          <w:tcPr>
            <w:tcW w:w="3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23,250</w:t>
            </w:r>
          </w:p>
        </w:tc>
        <w:tc>
          <w:tcPr>
            <w:tcW w:w="2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23,031</w:t>
            </w:r>
          </w:p>
        </w:tc>
        <w:tc>
          <w:tcPr>
            <w:tcW w:w="100" w:type="dxa"/>
            <w:vAlign w:val="bottom"/>
          </w:tcPr>
          <w:p>
            <w:pPr>
              <w:spacing w:after="0"/>
              <w:rPr>
                <w:sz w:val="22"/>
                <w:szCs w:val="22"/>
                <w:color w:val="auto"/>
              </w:rPr>
            </w:pPr>
          </w:p>
        </w:tc>
      </w:tr>
      <w:tr>
        <w:trPr>
          <w:trHeight w:val="243"/>
        </w:trPr>
        <w:tc>
          <w:tcPr>
            <w:tcW w:w="17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14,241,390</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12,767,202</w:t>
            </w: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118,626</w:t>
            </w:r>
          </w:p>
        </w:tc>
        <w:tc>
          <w:tcPr>
            <w:tcW w:w="62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1,295</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117,331</w:t>
            </w:r>
          </w:p>
        </w:tc>
        <w:tc>
          <w:tcPr>
            <w:tcW w:w="100" w:type="dxa"/>
            <w:vAlign w:val="bottom"/>
          </w:tcPr>
          <w:p>
            <w:pPr>
              <w:spacing w:after="0"/>
              <w:rPr>
                <w:sz w:val="21"/>
                <w:szCs w:val="21"/>
                <w:color w:val="auto"/>
              </w:rPr>
            </w:pPr>
          </w:p>
        </w:tc>
      </w:tr>
      <w:tr>
        <w:trPr>
          <w:trHeight w:val="20"/>
        </w:trPr>
        <w:tc>
          <w:tcPr>
            <w:tcW w:w="17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20" w:firstLine="509"/>
        <w:spacing w:after="0" w:line="279" w:lineRule="auto"/>
        <w:rPr>
          <w:sz w:val="20"/>
          <w:szCs w:val="20"/>
          <w:color w:val="auto"/>
        </w:rPr>
      </w:pPr>
      <w:r>
        <w:rPr>
          <w:rFonts w:ascii="Arial" w:cs="Arial" w:eastAsia="Arial" w:hAnsi="Arial"/>
          <w:sz w:val="18"/>
          <w:szCs w:val="18"/>
          <w:color w:val="auto"/>
        </w:rPr>
        <w:t>Immediately prior to the closing of the IPO, all then-outstanding shares of redeemable convertible preferred stock were converted into 25,534,404 shares of common stock, resulting in the reclassification of the related redeemable convertible preferred stock of $117.3 million to common stock and APIC. There was no redeemable convertible preferred stock outstanding as of September 30, 2021.</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8. Common Stock Warrants</w:t>
      </w:r>
    </w:p>
    <w:p>
      <w:pPr>
        <w:spacing w:after="0" w:line="135" w:lineRule="exact"/>
        <w:rPr>
          <w:sz w:val="20"/>
          <w:szCs w:val="20"/>
          <w:color w:val="auto"/>
        </w:rPr>
      </w:pPr>
    </w:p>
    <w:p>
      <w:pPr>
        <w:ind w:right="80" w:firstLine="509"/>
        <w:spacing w:after="0" w:line="303" w:lineRule="auto"/>
        <w:rPr>
          <w:sz w:val="20"/>
          <w:szCs w:val="20"/>
          <w:color w:val="auto"/>
        </w:rPr>
      </w:pPr>
      <w:r>
        <w:rPr>
          <w:rFonts w:ascii="Arial" w:cs="Arial" w:eastAsia="Arial" w:hAnsi="Arial"/>
          <w:sz w:val="17"/>
          <w:szCs w:val="17"/>
          <w:color w:val="auto"/>
        </w:rPr>
        <w:t>In connection with the issuance of the Company’s Series A redeemable convertible preferred stock issuances in September 2011, the Company issued a warrant to purchase 129,310 shares of common stock to an investor who purchased Series A redeemable convertible preferred stock at an exercise price of $0.05 per share. The common stock warrant was exercised in December 2020 and is no longer outstanding.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231F20"/>
        </w:rPr>
        <w:t>Note 9. Redeemable Convertible Preferred Stock Warrants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Warrants</w:t>
      </w:r>
    </w:p>
    <w:p>
      <w:pPr>
        <w:spacing w:after="0" w:line="131" w:lineRule="exact"/>
        <w:rPr>
          <w:sz w:val="20"/>
          <w:szCs w:val="20"/>
          <w:color w:val="auto"/>
        </w:rPr>
      </w:pPr>
    </w:p>
    <w:p>
      <w:pPr>
        <w:ind w:right="80" w:firstLine="509"/>
        <w:spacing w:after="0" w:line="272" w:lineRule="auto"/>
        <w:rPr>
          <w:sz w:val="20"/>
          <w:szCs w:val="20"/>
          <w:color w:val="auto"/>
        </w:rPr>
      </w:pPr>
      <w:r>
        <w:rPr>
          <w:rFonts w:ascii="Arial" w:cs="Arial" w:eastAsia="Arial" w:hAnsi="Arial"/>
          <w:sz w:val="18"/>
          <w:szCs w:val="18"/>
          <w:color w:val="auto"/>
        </w:rPr>
        <w:t>In conjunction with the funding of Tranche 1 and Tranche 2 under the 2019 Term Loan, the Company issued the 2019 Initial Warrant to purchase 29,514 shares of its Series C redeemable convertible preferred stock (see Note 5). The 2019 Initial Warrant was immediately exercisable, at an exercise price per share of $9.49, and expires 10 years from its date of issuance. Further, depending on the funding of the 2019 Term Loan Tranche 3, the Company was obligated to issue the 2019 Additional Warrant to the Lender to purchase up to 12,649 shares of Series C redeemable convertible preferred stock at the respective exercise price.</w:t>
      </w:r>
    </w:p>
    <w:p>
      <w:pPr>
        <w:spacing w:after="0" w:line="191" w:lineRule="exact"/>
        <w:rPr>
          <w:sz w:val="20"/>
          <w:szCs w:val="20"/>
          <w:color w:val="auto"/>
        </w:rPr>
      </w:pPr>
    </w:p>
    <w:p>
      <w:pPr>
        <w:jc w:val="both"/>
        <w:ind w:right="140" w:firstLine="509"/>
        <w:spacing w:after="0" w:line="279" w:lineRule="auto"/>
        <w:rPr>
          <w:sz w:val="20"/>
          <w:szCs w:val="20"/>
          <w:color w:val="auto"/>
        </w:rPr>
      </w:pPr>
      <w:r>
        <w:rPr>
          <w:rFonts w:ascii="Arial" w:cs="Arial" w:eastAsia="Arial" w:hAnsi="Arial"/>
          <w:sz w:val="18"/>
          <w:szCs w:val="18"/>
          <w:color w:val="auto"/>
        </w:rPr>
        <w:t>The estimated fair value of the 2019 Warrants on the date of issuance was $0.2 million. As of the issuance date, the fair value of the 2019 Warrants was calculated using the Black-Scholes option-pricing model and was based on a term of 10 years, a risk-free interest rate of 2.99%, expected volatility of 50.95%, and 0% expected dividend yield.</w:t>
      </w:r>
    </w:p>
    <w:p>
      <w:pPr>
        <w:spacing w:after="0" w:line="183" w:lineRule="exact"/>
        <w:rPr>
          <w:sz w:val="20"/>
          <w:szCs w:val="20"/>
          <w:color w:val="auto"/>
        </w:rPr>
      </w:pPr>
    </w:p>
    <w:p>
      <w:pPr>
        <w:jc w:val="both"/>
        <w:ind w:right="120" w:firstLine="509"/>
        <w:spacing w:after="0" w:line="319" w:lineRule="auto"/>
        <w:rPr>
          <w:sz w:val="20"/>
          <w:szCs w:val="20"/>
          <w:color w:val="auto"/>
        </w:rPr>
      </w:pPr>
      <w:r>
        <w:rPr>
          <w:rFonts w:ascii="Arial" w:cs="Arial" w:eastAsia="Arial" w:hAnsi="Arial"/>
          <w:sz w:val="16"/>
          <w:szCs w:val="16"/>
          <w:color w:val="auto"/>
        </w:rPr>
        <w:t>At initial recognition, the 2019 Warrants were recorded at their estimated fair values and were subject to remeasurement at each balance sheet date, with changes in fair value recognized as a component of net income. On the completion of the IPO, the outstanding 2019 Initial Warrant was converted to 59,028 shares of common stock, which resulted in the re-classification of the convertible preferred stock warrant liability to additional paid-in capital. In August 2021, the 2019 Initial Warrant was net exercised and the Company issued 51,846 shares of common stock to Lender.</w:t>
      </w:r>
    </w:p>
    <w:p>
      <w:pPr>
        <w:spacing w:after="0" w:line="156" w:lineRule="exact"/>
        <w:rPr>
          <w:sz w:val="20"/>
          <w:szCs w:val="20"/>
          <w:color w:val="auto"/>
        </w:rPr>
      </w:pPr>
    </w:p>
    <w:p>
      <w:pPr>
        <w:ind w:right="100" w:firstLine="509"/>
        <w:spacing w:after="0" w:line="293" w:lineRule="auto"/>
        <w:rPr>
          <w:sz w:val="20"/>
          <w:szCs w:val="20"/>
          <w:color w:val="auto"/>
        </w:rPr>
      </w:pPr>
      <w:r>
        <w:rPr>
          <w:rFonts w:ascii="Arial" w:cs="Arial" w:eastAsia="Arial" w:hAnsi="Arial"/>
          <w:sz w:val="18"/>
          <w:szCs w:val="18"/>
          <w:color w:val="auto"/>
        </w:rPr>
        <w:t>As of December 31, 2020, the estimated fair value of the 2019 Warrants was $0.3 million. The fair value of the 2019 Warrants was calculated using the Black-Scholes option-pricing model with the following assumptions: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2380" w:type="dxa"/>
            <w:vAlign w:val="bottom"/>
          </w:tcPr>
          <w:p>
            <w:pPr>
              <w:ind w:left="960"/>
              <w:spacing w:after="0"/>
              <w:rPr>
                <w:sz w:val="20"/>
                <w:szCs w:val="20"/>
                <w:color w:val="auto"/>
              </w:rPr>
            </w:pPr>
            <w:r>
              <w:rPr>
                <w:rFonts w:ascii="Arial" w:cs="Arial" w:eastAsia="Arial" w:hAnsi="Arial"/>
                <w:sz w:val="14"/>
                <w:szCs w:val="14"/>
                <w:b w:val="1"/>
                <w:bCs w:val="1"/>
                <w:color w:val="auto"/>
              </w:rPr>
              <w:t>July 19,</w:t>
            </w:r>
          </w:p>
        </w:tc>
        <w:tc>
          <w:tcPr>
            <w:tcW w:w="220" w:type="dxa"/>
            <w:vAlign w:val="bottom"/>
          </w:tcPr>
          <w:p>
            <w:pPr>
              <w:spacing w:after="0"/>
              <w:rPr>
                <w:sz w:val="16"/>
                <w:szCs w:val="16"/>
                <w:color w:val="auto"/>
              </w:rPr>
            </w:pPr>
          </w:p>
        </w:tc>
        <w:tc>
          <w:tcPr>
            <w:tcW w:w="2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209"/>
        </w:trPr>
        <w:tc>
          <w:tcPr>
            <w:tcW w:w="6220" w:type="dxa"/>
            <w:vAlign w:val="bottom"/>
          </w:tcPr>
          <w:p>
            <w:pPr>
              <w:spacing w:after="0"/>
              <w:rPr>
                <w:sz w:val="18"/>
                <w:szCs w:val="18"/>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2021 (1)</w:t>
            </w:r>
          </w:p>
        </w:tc>
        <w:tc>
          <w:tcPr>
            <w:tcW w:w="220" w:type="dxa"/>
            <w:vAlign w:val="bottom"/>
          </w:tcPr>
          <w:p>
            <w:pPr>
              <w:spacing w:after="0"/>
              <w:rPr>
                <w:sz w:val="18"/>
                <w:szCs w:val="18"/>
                <w:color w:val="auto"/>
              </w:rPr>
            </w:pPr>
          </w:p>
        </w:tc>
        <w:tc>
          <w:tcPr>
            <w:tcW w:w="2420" w:type="dxa"/>
            <w:vAlign w:val="bottom"/>
            <w:tcBorders>
              <w:bottom w:val="single" w:sz="8" w:color="auto"/>
            </w:tcBorders>
            <w:gridSpan w:val="2"/>
          </w:tcPr>
          <w:p>
            <w:pPr>
              <w:jc w:val="right"/>
              <w:ind w:right="970"/>
              <w:spacing w:after="0"/>
              <w:rPr>
                <w:sz w:val="20"/>
                <w:szCs w:val="20"/>
                <w:color w:val="auto"/>
              </w:rPr>
            </w:pPr>
            <w:r>
              <w:rPr>
                <w:rFonts w:ascii="Arial" w:cs="Arial" w:eastAsia="Arial" w:hAnsi="Arial"/>
                <w:sz w:val="14"/>
                <w:szCs w:val="14"/>
                <w:b w:val="1"/>
                <w:bCs w:val="1"/>
                <w:color w:val="auto"/>
              </w:rPr>
              <w:t>2020</w:t>
            </w:r>
          </w:p>
        </w:tc>
      </w:tr>
      <w:tr>
        <w:trPr>
          <w:trHeight w:val="256"/>
        </w:trPr>
        <w:tc>
          <w:tcPr>
            <w:tcW w:w="6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2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0.04</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8.5</w:t>
            </w:r>
          </w:p>
        </w:tc>
      </w:tr>
      <w:tr>
        <w:trPr>
          <w:trHeight w:val="250"/>
        </w:trPr>
        <w:tc>
          <w:tcPr>
            <w:tcW w:w="62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37.90%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42.18%</w:t>
            </w:r>
          </w:p>
        </w:tc>
        <w:tc>
          <w:tcPr>
            <w:tcW w:w="1280" w:type="dxa"/>
            <w:vAlign w:val="bottom"/>
          </w:tcPr>
          <w:p>
            <w:pPr>
              <w:ind w:left="20"/>
              <w:spacing w:after="0"/>
              <w:rPr>
                <w:sz w:val="20"/>
                <w:szCs w:val="20"/>
                <w:color w:val="auto"/>
              </w:rPr>
            </w:pPr>
            <w:r>
              <w:rPr>
                <w:rFonts w:ascii="Arial" w:cs="Arial" w:eastAsia="Arial" w:hAnsi="Arial"/>
                <w:sz w:val="18"/>
                <w:szCs w:val="18"/>
                <w:color w:val="auto"/>
              </w:rPr>
              <w:t>– 42.63%</w:t>
            </w:r>
          </w:p>
        </w:tc>
      </w:tr>
      <w:tr>
        <w:trPr>
          <w:trHeight w:val="263"/>
        </w:trPr>
        <w:tc>
          <w:tcPr>
            <w:tcW w:w="6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2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0.05%</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2.49%</w:t>
            </w: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(1) Date the Company's registration statement (Form S-1) was declared effective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Warrant</w:t>
      </w:r>
    </w:p>
    <w:p>
      <w:pPr>
        <w:spacing w:after="0" w:line="131" w:lineRule="exact"/>
        <w:rPr>
          <w:sz w:val="20"/>
          <w:szCs w:val="20"/>
          <w:color w:val="auto"/>
        </w:rPr>
      </w:pPr>
    </w:p>
    <w:p>
      <w:pPr>
        <w:jc w:val="both"/>
        <w:ind w:right="180" w:firstLine="509"/>
        <w:spacing w:after="0" w:line="279" w:lineRule="auto"/>
        <w:rPr>
          <w:sz w:val="20"/>
          <w:szCs w:val="20"/>
          <w:color w:val="auto"/>
        </w:rPr>
      </w:pPr>
      <w:r>
        <w:rPr>
          <w:rFonts w:ascii="Arial" w:cs="Arial" w:eastAsia="Arial" w:hAnsi="Arial"/>
          <w:sz w:val="18"/>
          <w:szCs w:val="18"/>
          <w:color w:val="auto"/>
        </w:rPr>
        <w:t>In conjunction with entering into the 2020 Term Loan agreement, the Company issued the 2020 Warrant to purchase 300,000 shares of its Series F redeemable convertible preferred stock (see Note 5). The 2020 Warrant was immediately exercisable at an exercise price per share of $21.88, and expires 10 years from its date of issuance.</w:t>
      </w:r>
    </w:p>
    <w:p>
      <w:pPr>
        <w:spacing w:after="0" w:line="183" w:lineRule="exact"/>
        <w:rPr>
          <w:sz w:val="20"/>
          <w:szCs w:val="20"/>
          <w:color w:val="auto"/>
        </w:rPr>
      </w:pPr>
    </w:p>
    <w:p>
      <w:pPr>
        <w:ind w:right="280" w:firstLine="509"/>
        <w:spacing w:after="0" w:line="293" w:lineRule="auto"/>
        <w:rPr>
          <w:sz w:val="20"/>
          <w:szCs w:val="20"/>
          <w:color w:val="auto"/>
        </w:rPr>
      </w:pPr>
      <w:r>
        <w:rPr>
          <w:rFonts w:ascii="Arial" w:cs="Arial" w:eastAsia="Arial" w:hAnsi="Arial"/>
          <w:sz w:val="18"/>
          <w:szCs w:val="18"/>
          <w:color w:val="auto"/>
        </w:rPr>
        <w:t>The estimated fair value of the 2020 Warrant on the date of issuance was $1.8 million. As of the issuance date, the fair value of the 2020 Warrant was calculated using a Multi-scenario Method with Discounts for Lack of Marketability for each class of security.</w:t>
      </w:r>
    </w:p>
    <w:p>
      <w:pPr>
        <w:spacing w:after="0" w:line="170" w:lineRule="exact"/>
        <w:rPr>
          <w:sz w:val="20"/>
          <w:szCs w:val="20"/>
          <w:color w:val="auto"/>
        </w:rPr>
      </w:pPr>
    </w:p>
    <w:p>
      <w:pPr>
        <w:ind w:right="120" w:firstLine="509"/>
        <w:spacing w:after="0" w:line="272" w:lineRule="auto"/>
        <w:rPr>
          <w:sz w:val="20"/>
          <w:szCs w:val="20"/>
          <w:color w:val="auto"/>
        </w:rPr>
      </w:pPr>
      <w:r>
        <w:rPr>
          <w:rFonts w:ascii="Arial" w:cs="Arial" w:eastAsia="Arial" w:hAnsi="Arial"/>
          <w:sz w:val="18"/>
          <w:szCs w:val="18"/>
          <w:color w:val="auto"/>
        </w:rPr>
        <w:t>At initial recognition, the 2020 Warrant was recorded at its estimated fair values and was subject to remeasurement at each balance sheet date, with changes in fair value recognized as a component of net income. On the completion of the IPO, the outstanding 2020 Warrant was converted to purchase 600,000 shares of common stock, which resulted in the re-classification of the convertible preferred stock warrant liability to additional paid-in capital. In August 2021, the 2020 Warrant was net exercised and the Company issued 431,708 shares of common stock. As of December 31, 2020, the estimated fair values of the 2020 Warrant was $6.0 million.</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the redeemable convertible preferred stock warrants was determined using the following assumption: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1680" w:type="dxa"/>
            <w:vAlign w:val="bottom"/>
          </w:tcPr>
          <w:p>
            <w:pPr>
              <w:ind w:left="600"/>
              <w:spacing w:after="0"/>
              <w:rPr>
                <w:sz w:val="20"/>
                <w:szCs w:val="20"/>
                <w:color w:val="auto"/>
              </w:rPr>
            </w:pPr>
            <w:r>
              <w:rPr>
                <w:rFonts w:ascii="Arial" w:cs="Arial" w:eastAsia="Arial" w:hAnsi="Arial"/>
                <w:sz w:val="14"/>
                <w:szCs w:val="14"/>
                <w:b w:val="1"/>
                <w:bCs w:val="1"/>
                <w:color w:val="auto"/>
              </w:rPr>
              <w:t>July 19,</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4"/>
                <w:szCs w:val="14"/>
                <w:b w:val="1"/>
                <w:bCs w:val="1"/>
                <w:color w:val="auto"/>
              </w:rPr>
              <w:t>December 31,</w:t>
            </w:r>
          </w:p>
        </w:tc>
      </w:tr>
      <w:tr>
        <w:trPr>
          <w:trHeight w:val="208"/>
        </w:trPr>
        <w:tc>
          <w:tcPr>
            <w:tcW w:w="77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5"/>
              </w:rPr>
              <w:t>2021 (1)</w:t>
            </w:r>
          </w:p>
        </w:tc>
        <w:tc>
          <w:tcPr>
            <w:tcW w:w="1840" w:type="dxa"/>
            <w:vAlign w:val="bottom"/>
            <w:gridSpan w:val="2"/>
          </w:tcPr>
          <w:p>
            <w:pPr>
              <w:jc w:val="center"/>
              <w:ind w:left="96"/>
              <w:spacing w:after="0"/>
              <w:rPr>
                <w:sz w:val="20"/>
                <w:szCs w:val="20"/>
                <w:color w:val="auto"/>
              </w:rPr>
            </w:pPr>
            <w:r>
              <w:rPr>
                <w:rFonts w:ascii="Arial" w:cs="Arial" w:eastAsia="Arial" w:hAnsi="Arial"/>
                <w:sz w:val="14"/>
                <w:szCs w:val="14"/>
                <w:b w:val="1"/>
                <w:bCs w:val="1"/>
                <w:color w:val="auto"/>
                <w:w w:val="96"/>
              </w:rPr>
              <w:t>2020</w:t>
            </w:r>
          </w:p>
        </w:tc>
      </w:tr>
      <w:tr>
        <w:trPr>
          <w:trHeight w:val="25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Term (in years)</w:t>
            </w: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0.04</w:t>
            </w:r>
          </w:p>
        </w:tc>
        <w:tc>
          <w:tcPr>
            <w:tcW w:w="180" w:type="dxa"/>
            <w:vAlign w:val="bottom"/>
            <w:shd w:val="clear" w:color="auto" w:fill="CFF0FC"/>
          </w:tcPr>
          <w:p>
            <w:pPr>
              <w:spacing w:after="0"/>
              <w:rPr>
                <w:sz w:val="22"/>
                <w:szCs w:val="22"/>
                <w:color w:val="auto"/>
              </w:rPr>
            </w:pPr>
          </w:p>
        </w:tc>
        <w:tc>
          <w:tcPr>
            <w:tcW w:w="16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0.58 – 2.58</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37.90%</w:t>
            </w:r>
          </w:p>
        </w:tc>
        <w:tc>
          <w:tcPr>
            <w:tcW w:w="1840" w:type="dxa"/>
            <w:vAlign w:val="bottom"/>
            <w:gridSpan w:val="2"/>
          </w:tcPr>
          <w:p>
            <w:pPr>
              <w:jc w:val="center"/>
              <w:ind w:left="96"/>
              <w:spacing w:after="0"/>
              <w:rPr>
                <w:sz w:val="20"/>
                <w:szCs w:val="20"/>
                <w:color w:val="auto"/>
              </w:rPr>
            </w:pPr>
            <w:r>
              <w:rPr>
                <w:rFonts w:ascii="Arial" w:cs="Arial" w:eastAsia="Arial" w:hAnsi="Arial"/>
                <w:sz w:val="18"/>
                <w:szCs w:val="18"/>
                <w:color w:val="auto"/>
                <w:w w:val="89"/>
              </w:rPr>
              <w:t>55.9% - 65.6%</w:t>
            </w: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0.05%</w:t>
            </w:r>
          </w:p>
        </w:tc>
        <w:tc>
          <w:tcPr>
            <w:tcW w:w="1840" w:type="dxa"/>
            <w:vAlign w:val="bottom"/>
            <w:gridSpan w:val="2"/>
            <w:shd w:val="clear" w:color="auto" w:fill="CFF0FC"/>
          </w:tcPr>
          <w:p>
            <w:pPr>
              <w:jc w:val="center"/>
              <w:ind w:left="96"/>
              <w:spacing w:after="0"/>
              <w:rPr>
                <w:sz w:val="20"/>
                <w:szCs w:val="20"/>
                <w:color w:val="auto"/>
              </w:rPr>
            </w:pPr>
            <w:r>
              <w:rPr>
                <w:rFonts w:ascii="Arial" w:cs="Arial" w:eastAsia="Arial" w:hAnsi="Arial"/>
                <w:sz w:val="18"/>
                <w:szCs w:val="18"/>
                <w:color w:val="auto"/>
                <w:w w:val="89"/>
              </w:rPr>
              <w:t>0.08% - 0.18%</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(1) Date the Company's registration statement (Form S-1) was declared effective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10. Common Stock</w:t>
      </w:r>
    </w:p>
    <w:p>
      <w:pPr>
        <w:spacing w:after="0" w:line="135" w:lineRule="exact"/>
        <w:rPr>
          <w:sz w:val="20"/>
          <w:szCs w:val="20"/>
          <w:color w:val="auto"/>
        </w:rPr>
      </w:pPr>
    </w:p>
    <w:p>
      <w:pPr>
        <w:ind w:right="40" w:firstLine="509"/>
        <w:spacing w:after="0" w:line="319" w:lineRule="auto"/>
        <w:rPr>
          <w:sz w:val="20"/>
          <w:szCs w:val="20"/>
          <w:color w:val="auto"/>
        </w:rPr>
      </w:pPr>
      <w:r>
        <w:rPr>
          <w:rFonts w:ascii="Arial" w:cs="Arial" w:eastAsia="Arial" w:hAnsi="Arial"/>
          <w:sz w:val="16"/>
          <w:szCs w:val="16"/>
          <w:color w:val="auto"/>
        </w:rPr>
        <w:t>In connection with the Company’s IPO in July 2021, the Company’s certificate of incorporation was amended and restated to provide for 200,000,000 authorized shares of common stock with a par value of $0.001 per share and 10,000,000 authorized shares of preferred stock with a par value of $0.001 per share. The holders of common stock were also entitled to receive dividends whenever funds are legally available, when and if declared by the board of directors. As of September 30, 2021, no dividends have been declared to date. Each share of common stock is entitled to one vote.</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September 30, 2021 and December 31, 2020, the Company had reserved common stock for future issuances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1620" w:type="dxa"/>
            <w:vAlign w:val="bottom"/>
          </w:tcPr>
          <w:p>
            <w:pPr>
              <w:jc w:val="right"/>
              <w:ind w:right="273"/>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1600" w:type="dxa"/>
            <w:vAlign w:val="bottom"/>
          </w:tcPr>
          <w:p>
            <w:pPr>
              <w:jc w:val="right"/>
              <w:ind w:right="302"/>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r>
      <w:tr>
        <w:trPr>
          <w:trHeight w:val="208"/>
        </w:trPr>
        <w:tc>
          <w:tcPr>
            <w:tcW w:w="7640" w:type="dxa"/>
            <w:vAlign w:val="bottom"/>
          </w:tcPr>
          <w:p>
            <w:pPr>
              <w:spacing w:after="0"/>
              <w:rPr>
                <w:sz w:val="18"/>
                <w:szCs w:val="18"/>
                <w:color w:val="auto"/>
              </w:rPr>
            </w:pPr>
          </w:p>
        </w:tc>
        <w:tc>
          <w:tcPr>
            <w:tcW w:w="16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8"/>
                <w:szCs w:val="18"/>
                <w:color w:val="auto"/>
              </w:rPr>
            </w:pPr>
          </w:p>
        </w:tc>
        <w:tc>
          <w:tcPr>
            <w:tcW w:w="160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5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Conversion of Series A redeemable convertible preferred stock</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7,608,688</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Conversion of Series B redeemable convertible preferred stock</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2,419,242</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Conversion of Series C redeemable convertible preferred stock and warrants</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4,744,742</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Conversion of Series D redeemable convertible preferred stock</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4,895,636</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Conversion of Series E redeemable convertible preferred stock</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3,799,694</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Conversion of Series F redeemable convertible preferred stock and warrants</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2,725,430</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options under stock plan</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5,252,969</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3,137,776</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Issuance of options and restricted stock units under stock plan</w:t>
            </w:r>
          </w:p>
        </w:tc>
        <w:tc>
          <w:tcPr>
            <w:tcW w:w="1620" w:type="dxa"/>
            <w:vAlign w:val="bottom"/>
          </w:tcPr>
          <w:p>
            <w:pPr>
              <w:jc w:val="right"/>
              <w:spacing w:after="0"/>
              <w:rPr>
                <w:sz w:val="20"/>
                <w:szCs w:val="20"/>
                <w:color w:val="auto"/>
              </w:rPr>
            </w:pPr>
            <w:r>
              <w:rPr>
                <w:rFonts w:ascii="Arial" w:cs="Arial" w:eastAsia="Arial" w:hAnsi="Arial"/>
                <w:sz w:val="18"/>
                <w:szCs w:val="18"/>
                <w:color w:val="auto"/>
              </w:rPr>
              <w:t>5,331,595</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451,670</w:t>
            </w:r>
          </w:p>
        </w:tc>
        <w:tc>
          <w:tcPr>
            <w:tcW w:w="100" w:type="dxa"/>
            <w:vAlign w:val="bottom"/>
          </w:tcPr>
          <w:p>
            <w:pPr>
              <w:spacing w:after="0"/>
              <w:rPr>
                <w:sz w:val="21"/>
                <w:szCs w:val="21"/>
                <w:color w:val="auto"/>
              </w:rPr>
            </w:pPr>
          </w:p>
        </w:tc>
      </w:tr>
      <w:tr>
        <w:trPr>
          <w:trHeight w:val="25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Issuance of common stock under employee stock purchase plan</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850,000</w:t>
            </w:r>
          </w:p>
        </w:tc>
        <w:tc>
          <w:tcPr>
            <w:tcW w:w="280" w:type="dxa"/>
            <w:vAlign w:val="bottom"/>
            <w:tcBorders>
              <w:bottom w:val="single" w:sz="8" w:color="CFF0FC"/>
            </w:tcBorders>
            <w:shd w:val="clear" w:color="auto" w:fill="CFF0FC"/>
          </w:tcPr>
          <w:p>
            <w:pPr>
              <w:spacing w:after="0"/>
              <w:rPr>
                <w:sz w:val="22"/>
                <w:szCs w:val="22"/>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11,434,564</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29,782,878</w:t>
            </w:r>
          </w:p>
        </w:tc>
        <w:tc>
          <w:tcPr>
            <w:tcW w:w="100" w:type="dxa"/>
            <w:vAlign w:val="bottom"/>
          </w:tcPr>
          <w:p>
            <w:pPr>
              <w:spacing w:after="0"/>
              <w:rPr>
                <w:sz w:val="21"/>
                <w:szCs w:val="21"/>
                <w:color w:val="auto"/>
              </w:rPr>
            </w:pPr>
          </w:p>
        </w:tc>
      </w:tr>
      <w:tr>
        <w:trPr>
          <w:trHeight w:val="20"/>
        </w:trPr>
        <w:tc>
          <w:tcPr>
            <w:tcW w:w="76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-193675</wp:posOffset>
            </wp:positionV>
            <wp:extent cx="17145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11. Equity Incentive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2011 Stock Option Plan and 2021 Equity Incentive Plan</w:t>
      </w:r>
    </w:p>
    <w:p>
      <w:pPr>
        <w:spacing w:after="0" w:line="131" w:lineRule="exact"/>
        <w:rPr>
          <w:sz w:val="20"/>
          <w:szCs w:val="20"/>
          <w:color w:val="auto"/>
        </w:rPr>
      </w:pPr>
    </w:p>
    <w:p>
      <w:pPr>
        <w:ind w:right="400" w:firstLine="509"/>
        <w:spacing w:after="0" w:line="293" w:lineRule="auto"/>
        <w:rPr>
          <w:sz w:val="20"/>
          <w:szCs w:val="20"/>
          <w:color w:val="auto"/>
        </w:rPr>
      </w:pPr>
      <w:r>
        <w:rPr>
          <w:rFonts w:ascii="Arial" w:cs="Arial" w:eastAsia="Arial" w:hAnsi="Arial"/>
          <w:sz w:val="18"/>
          <w:szCs w:val="18"/>
          <w:color w:val="auto"/>
        </w:rPr>
        <w:t>In 2011, the Company established its 2011 stock option plan (the “2011 Plan”) that provided for the granting of stock options to employees and nonemployees of the Company.</w:t>
      </w:r>
    </w:p>
    <w:p>
      <w:pPr>
        <w:spacing w:after="0" w:line="62" w:lineRule="exact"/>
        <w:rPr>
          <w:sz w:val="20"/>
          <w:szCs w:val="20"/>
          <w:color w:val="auto"/>
        </w:rPr>
      </w:pPr>
    </w:p>
    <w:p>
      <w:pPr>
        <w:ind w:firstLine="509"/>
        <w:spacing w:after="0" w:line="299" w:lineRule="auto"/>
        <w:rPr>
          <w:sz w:val="20"/>
          <w:szCs w:val="20"/>
          <w:color w:val="auto"/>
        </w:rPr>
      </w:pPr>
      <w:r>
        <w:rPr>
          <w:rFonts w:ascii="Arial" w:cs="Arial" w:eastAsia="Arial" w:hAnsi="Arial"/>
          <w:sz w:val="16"/>
          <w:szCs w:val="16"/>
          <w:color w:val="auto"/>
        </w:rPr>
        <w:t>In July 2021, the Company’s Board of Directors and stockholders adopted and approved the 2021 Equity Incentive Plan, (the “2021 Plan”). The Company’s 2011 Stock Plan was terminated in connection with the IPO and no further grants will be made under the 2011 Plan from the date that the 2021 Plan became effective. Under the 2011 Plan, the Company had the ability to issue incentive stock options ("ISOs"), nonqualified stock options ("NSOs"), stock appreciation rights, dividend equivalent rights, restricted stock awards, and restricted stock unit awards. Options under the 2011 Plan could be granted for periods of up to 10 years. For incentive stock options granted to a grantee who, at the time the option is granted, owns stock representing more than</w:t>
      </w:r>
    </w:p>
    <w:p>
      <w:pPr>
        <w:spacing w:after="0" w:line="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10% of the voting power of all classes of stock of the Company or any parent or subsidiary of the Company, the term of the incentive stock option may be granted for periods of up to five years. The ISOs and NSOs will be granted at a price per share not less than the fair value at the date of grant. The exercise price of an ISO granted to a 10% stockholder shall not be less than 110% of the estimated fair value of the shares on the date of grant, as determined by the board of directors. Options granted to new hires generally vest over a four-year period, with 25% vesting at the end of one year and the remaining vesting monthly thereafter; options granted as merit awards generally vest monthly over a four-year period. The Company reserved 5,200,000 shares of common stock for future issuance under the 2021 Plan.</w:t>
      </w:r>
    </w:p>
    <w:p>
      <w:pPr>
        <w:spacing w:after="0" w:line="82" w:lineRule="exact"/>
        <w:rPr>
          <w:sz w:val="20"/>
          <w:szCs w:val="20"/>
          <w:color w:val="auto"/>
        </w:rPr>
      </w:pPr>
    </w:p>
    <w:p>
      <w:pPr>
        <w:ind w:right="520" w:firstLine="509"/>
        <w:spacing w:after="0" w:line="293" w:lineRule="auto"/>
        <w:rPr>
          <w:sz w:val="20"/>
          <w:szCs w:val="20"/>
          <w:color w:val="auto"/>
        </w:rPr>
      </w:pPr>
      <w:r>
        <w:rPr>
          <w:rFonts w:ascii="Arial" w:cs="Arial" w:eastAsia="Arial" w:hAnsi="Arial"/>
          <w:sz w:val="18"/>
          <w:szCs w:val="18"/>
          <w:color w:val="auto"/>
        </w:rPr>
        <w:t>At September 30, 2021 and December 31, 2020, there were 5,331,595 shares and 451,670 shares, respectively, of common stock available for issuance under the 2021 Plan and 2011 Plan,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Activity under the 2011 Plan and 2021 Plan is set forth below:</w:t>
      </w:r>
    </w:p>
    <w:p>
      <w:pPr>
        <w:spacing w:after="0" w:line="365"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3020" w:type="dxa"/>
            <w:vAlign w:val="bottom"/>
          </w:tcPr>
          <w:p>
            <w:pPr>
              <w:spacing w:after="0"/>
              <w:rPr>
                <w:sz w:val="15"/>
                <w:szCs w:val="15"/>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Shares</w:t>
            </w: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Average Intrinsic</w:t>
            </w:r>
          </w:p>
        </w:tc>
        <w:tc>
          <w:tcPr>
            <w:tcW w:w="80" w:type="dxa"/>
            <w:vAlign w:val="bottom"/>
          </w:tcPr>
          <w:p>
            <w:pPr>
              <w:spacing w:after="0"/>
              <w:rPr>
                <w:sz w:val="15"/>
                <w:szCs w:val="15"/>
                <w:color w:val="auto"/>
              </w:rPr>
            </w:pPr>
          </w:p>
        </w:tc>
      </w:tr>
      <w:tr>
        <w:trPr>
          <w:trHeight w:val="175"/>
        </w:trPr>
        <w:tc>
          <w:tcPr>
            <w:tcW w:w="3020" w:type="dxa"/>
            <w:vAlign w:val="bottom"/>
          </w:tcPr>
          <w:p>
            <w:pPr>
              <w:spacing w:after="0"/>
              <w:rPr>
                <w:sz w:val="15"/>
                <w:szCs w:val="15"/>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Available for</w:t>
            </w:r>
          </w:p>
        </w:tc>
        <w:tc>
          <w:tcPr>
            <w:tcW w:w="15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Number of</w:t>
            </w:r>
          </w:p>
        </w:tc>
        <w:tc>
          <w:tcPr>
            <w:tcW w:w="13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5"/>
              </w:rPr>
              <w:t>Weighted-Average</w:t>
            </w:r>
          </w:p>
        </w:tc>
        <w:tc>
          <w:tcPr>
            <w:tcW w:w="2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98"/>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5"/>
                <w:szCs w:val="15"/>
                <w:color w:val="auto"/>
              </w:rPr>
            </w:pPr>
          </w:p>
        </w:tc>
      </w:tr>
      <w:tr>
        <w:trPr>
          <w:trHeight w:val="192"/>
        </w:trPr>
        <w:tc>
          <w:tcPr>
            <w:tcW w:w="302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Grant</w:t>
            </w:r>
          </w:p>
        </w:tc>
        <w:tc>
          <w:tcPr>
            <w:tcW w:w="280" w:type="dxa"/>
            <w:vAlign w:val="bottom"/>
          </w:tcPr>
          <w:p>
            <w:pPr>
              <w:spacing w:after="0"/>
              <w:rPr>
                <w:sz w:val="16"/>
                <w:szCs w:val="16"/>
                <w:color w:val="auto"/>
              </w:rPr>
            </w:pPr>
          </w:p>
        </w:tc>
        <w:tc>
          <w:tcPr>
            <w:tcW w:w="13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Exercise Price</w:t>
            </w:r>
          </w:p>
        </w:tc>
        <w:tc>
          <w:tcPr>
            <w:tcW w:w="22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Term (in years)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6"/>
                <w:szCs w:val="16"/>
                <w:color w:val="auto"/>
              </w:rPr>
            </w:pPr>
          </w:p>
        </w:tc>
      </w:tr>
      <w:tr>
        <w:trPr>
          <w:trHeight w:val="256"/>
        </w:trPr>
        <w:tc>
          <w:tcPr>
            <w:tcW w:w="3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Balances as of December 31, 2020</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451,670</w:t>
            </w:r>
          </w:p>
        </w:tc>
        <w:tc>
          <w:tcPr>
            <w:tcW w:w="28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3,137,776</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0.94</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18,656</w:t>
            </w:r>
          </w:p>
        </w:tc>
        <w:tc>
          <w:tcPr>
            <w:tcW w:w="80" w:type="dxa"/>
            <w:vAlign w:val="bottom"/>
            <w:shd w:val="clear" w:color="auto" w:fill="CFF0FC"/>
          </w:tcPr>
          <w:p>
            <w:pPr>
              <w:spacing w:after="0"/>
              <w:rPr>
                <w:sz w:val="22"/>
                <w:szCs w:val="22"/>
                <w:color w:val="auto"/>
              </w:rPr>
            </w:pPr>
          </w:p>
        </w:tc>
      </w:tr>
      <w:tr>
        <w:trPr>
          <w:trHeight w:val="250"/>
        </w:trPr>
        <w:tc>
          <w:tcPr>
            <w:tcW w:w="3020" w:type="dxa"/>
            <w:vAlign w:val="bottom"/>
          </w:tcPr>
          <w:p>
            <w:pPr>
              <w:ind w:left="180"/>
              <w:spacing w:after="0"/>
              <w:rPr>
                <w:sz w:val="20"/>
                <w:szCs w:val="20"/>
                <w:color w:val="auto"/>
              </w:rPr>
            </w:pPr>
            <w:r>
              <w:rPr>
                <w:rFonts w:ascii="Arial" w:cs="Arial" w:eastAsia="Arial" w:hAnsi="Arial"/>
                <w:sz w:val="18"/>
                <w:szCs w:val="18"/>
                <w:color w:val="auto"/>
              </w:rPr>
              <w:t>Additional shares reserved</w:t>
            </w:r>
          </w:p>
        </w:tc>
        <w:tc>
          <w:tcPr>
            <w:tcW w:w="1400" w:type="dxa"/>
            <w:vAlign w:val="bottom"/>
          </w:tcPr>
          <w:p>
            <w:pPr>
              <w:jc w:val="right"/>
              <w:spacing w:after="0"/>
              <w:rPr>
                <w:sz w:val="20"/>
                <w:szCs w:val="20"/>
                <w:color w:val="auto"/>
              </w:rPr>
            </w:pPr>
            <w:r>
              <w:rPr>
                <w:rFonts w:ascii="Arial" w:cs="Arial" w:eastAsia="Arial" w:hAnsi="Arial"/>
                <w:sz w:val="18"/>
                <w:szCs w:val="18"/>
                <w:color w:val="auto"/>
              </w:rPr>
              <w:t>7,260,000</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30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Grants</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(2,487,203 )</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2,487,203</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w:t>
            </w:r>
          </w:p>
        </w:tc>
        <w:tc>
          <w:tcPr>
            <w:tcW w:w="220" w:type="dxa"/>
            <w:vAlign w:val="bottom"/>
            <w:shd w:val="clear" w:color="auto" w:fill="CFF0FC"/>
          </w:tcPr>
          <w:p>
            <w:pPr>
              <w:spacing w:after="0"/>
              <w:rPr>
                <w:sz w:val="22"/>
                <w:szCs w:val="22"/>
                <w:color w:val="auto"/>
              </w:rPr>
            </w:pPr>
          </w:p>
        </w:tc>
        <w:tc>
          <w:tcPr>
            <w:tcW w:w="15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3020" w:type="dxa"/>
            <w:vAlign w:val="bottom"/>
          </w:tcPr>
          <w:p>
            <w:pPr>
              <w:ind w:left="180"/>
              <w:spacing w:after="0"/>
              <w:rPr>
                <w:sz w:val="20"/>
                <w:szCs w:val="20"/>
                <w:color w:val="auto"/>
              </w:rPr>
            </w:pPr>
            <w:r>
              <w:rPr>
                <w:rFonts w:ascii="Arial" w:cs="Arial" w:eastAsia="Arial" w:hAnsi="Arial"/>
                <w:sz w:val="18"/>
                <w:szCs w:val="18"/>
                <w:color w:val="auto"/>
              </w:rPr>
              <w:t>Forfeited/cancelled</w:t>
            </w:r>
          </w:p>
        </w:tc>
        <w:tc>
          <w:tcPr>
            <w:tcW w:w="1400" w:type="dxa"/>
            <w:vAlign w:val="bottom"/>
          </w:tcPr>
          <w:p>
            <w:pPr>
              <w:jc w:val="right"/>
              <w:spacing w:after="0"/>
              <w:rPr>
                <w:sz w:val="20"/>
                <w:szCs w:val="20"/>
                <w:color w:val="auto"/>
              </w:rPr>
            </w:pPr>
            <w:r>
              <w:rPr>
                <w:rFonts w:ascii="Arial" w:cs="Arial" w:eastAsia="Arial" w:hAnsi="Arial"/>
                <w:sz w:val="18"/>
                <w:szCs w:val="18"/>
                <w:color w:val="auto"/>
              </w:rPr>
              <w:t>107,128</w:t>
            </w:r>
          </w:p>
        </w:tc>
        <w:tc>
          <w:tcPr>
            <w:tcW w:w="28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(107,128 )</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30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Exercised/released</w:t>
            </w:r>
          </w:p>
        </w:tc>
        <w:tc>
          <w:tcPr>
            <w:tcW w:w="14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(264,882 )</w:t>
            </w:r>
          </w:p>
        </w:tc>
        <w:tc>
          <w:tcPr>
            <w:tcW w:w="16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FF0FC"/>
          </w:tcPr>
          <w:p>
            <w:pPr>
              <w:spacing w:after="0"/>
              <w:rPr>
                <w:sz w:val="22"/>
                <w:szCs w:val="22"/>
                <w:color w:val="auto"/>
              </w:rPr>
            </w:pPr>
          </w:p>
        </w:tc>
        <w:tc>
          <w:tcPr>
            <w:tcW w:w="15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302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Balances as of September 30, 2021</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5,331,595</w:t>
            </w:r>
          </w:p>
        </w:tc>
        <w:tc>
          <w:tcPr>
            <w:tcW w:w="280" w:type="dxa"/>
            <w:vAlign w:val="bottom"/>
            <w:tcBorders>
              <w:top w:val="single" w:sz="8" w:color="CFF0FC"/>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5,252,969</w:t>
            </w:r>
          </w:p>
        </w:tc>
        <w:tc>
          <w:tcPr>
            <w:tcW w:w="260" w:type="dxa"/>
            <w:vAlign w:val="bottom"/>
            <w:tcBorders>
              <w:top w:val="single" w:sz="8" w:color="CFF0FC"/>
            </w:tcBorders>
          </w:tcPr>
          <w:p>
            <w:pPr>
              <w:spacing w:after="0"/>
              <w:rPr>
                <w:sz w:val="21"/>
                <w:szCs w:val="21"/>
                <w:color w:val="auto"/>
              </w:rPr>
            </w:pPr>
          </w:p>
        </w:tc>
        <w:tc>
          <w:tcPr>
            <w:tcW w:w="1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5.72</w:t>
            </w:r>
          </w:p>
        </w:tc>
        <w:tc>
          <w:tcPr>
            <w:tcW w:w="176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7.6</w:t>
            </w:r>
          </w:p>
        </w:tc>
        <w:tc>
          <w:tcPr>
            <w:tcW w:w="36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89,340</w:t>
            </w:r>
          </w:p>
        </w:tc>
        <w:tc>
          <w:tcPr>
            <w:tcW w:w="80" w:type="dxa"/>
            <w:vAlign w:val="bottom"/>
            <w:tcBorders>
              <w:top w:val="single" w:sz="8" w:color="CFF0FC"/>
            </w:tcBorders>
          </w:tcPr>
          <w:p>
            <w:pPr>
              <w:spacing w:after="0"/>
              <w:rPr>
                <w:sz w:val="21"/>
                <w:szCs w:val="21"/>
                <w:color w:val="auto"/>
              </w:rPr>
            </w:pPr>
          </w:p>
        </w:tc>
      </w:tr>
      <w:tr>
        <w:trPr>
          <w:trHeight w:val="20"/>
        </w:trPr>
        <w:tc>
          <w:tcPr>
            <w:tcW w:w="30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w w:val="92"/>
              </w:rPr>
              <w:t>Vested and exercisable as of September</w:t>
            </w: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4"/>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30, 2021</w:t>
            </w: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2,054,954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43,650</w:t>
            </w:r>
          </w:p>
        </w:tc>
        <w:tc>
          <w:tcPr>
            <w:tcW w:w="80" w:type="dxa"/>
            <w:vAlign w:val="bottom"/>
            <w:shd w:val="clear" w:color="auto" w:fill="CFF0FC"/>
          </w:tcPr>
          <w:p>
            <w:pPr>
              <w:spacing w:after="0"/>
              <w:rPr>
                <w:sz w:val="21"/>
                <w:szCs w:val="21"/>
                <w:color w:val="auto"/>
              </w:rPr>
            </w:pPr>
          </w:p>
        </w:tc>
      </w:tr>
      <w:tr>
        <w:trPr>
          <w:trHeight w:val="242"/>
        </w:trPr>
        <w:tc>
          <w:tcPr>
            <w:tcW w:w="3020" w:type="dxa"/>
            <w:vAlign w:val="bottom"/>
          </w:tcPr>
          <w:p>
            <w:pPr>
              <w:spacing w:after="0"/>
              <w:rPr>
                <w:sz w:val="20"/>
                <w:szCs w:val="20"/>
                <w:color w:val="auto"/>
              </w:rPr>
            </w:pPr>
            <w:r>
              <w:rPr>
                <w:rFonts w:ascii="Arial" w:cs="Arial" w:eastAsia="Arial" w:hAnsi="Arial"/>
                <w:sz w:val="18"/>
                <w:szCs w:val="18"/>
                <w:color w:val="auto"/>
              </w:rPr>
              <w:t>Vested and expected to vest as of</w:t>
            </w: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September 30, 2021</w:t>
            </w: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5,222,969</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5.75</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88,662</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-802005</wp:posOffset>
            </wp:positionV>
            <wp:extent cx="17145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-802005</wp:posOffset>
            </wp:positionV>
            <wp:extent cx="17145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330" w:lineRule="exact"/>
        <w:rPr>
          <w:sz w:val="20"/>
          <w:szCs w:val="20"/>
          <w:color w:val="auto"/>
        </w:rPr>
      </w:pPr>
    </w:p>
    <w:p>
      <w:pPr>
        <w:ind w:right="80" w:firstLine="509"/>
        <w:spacing w:after="0" w:line="272" w:lineRule="auto"/>
        <w:rPr>
          <w:sz w:val="20"/>
          <w:szCs w:val="20"/>
          <w:color w:val="auto"/>
        </w:rPr>
      </w:pPr>
      <w:r>
        <w:rPr>
          <w:rFonts w:ascii="Arial" w:cs="Arial" w:eastAsia="Arial" w:hAnsi="Arial"/>
          <w:sz w:val="18"/>
          <w:szCs w:val="18"/>
          <w:color w:val="auto"/>
        </w:rPr>
        <w:t>The weighted-average grant-date fair values of options granted during the nine months ended September 30, 2021 and 2020 was $10.56 and $2.31 per share, respectively. The aggregate intrinsic value of options exercised were $4.2 million during the nine months ended September 30, 2021. The aggregate intrinsic value was calculated as the difference between the exercise prices of the underlying options and the estimated fair value of the common stock on the date of exercise. As of September 30, 2021, the unrecognized stock-based compensation of unvested options was $25.1 million, which is expected to be recognized over a weighted-average period of 3.5 years.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fair value</w:t>
      </w:r>
    </w:p>
    <w:p>
      <w:pPr>
        <w:spacing w:after="0" w:line="239" w:lineRule="exact"/>
        <w:rPr>
          <w:sz w:val="20"/>
          <w:szCs w:val="20"/>
          <w:color w:val="auto"/>
        </w:rPr>
      </w:pPr>
    </w:p>
    <w:p>
      <w:pPr>
        <w:jc w:val="both"/>
        <w:ind w:right="40" w:firstLine="509"/>
        <w:spacing w:after="0" w:line="279" w:lineRule="auto"/>
        <w:rPr>
          <w:sz w:val="20"/>
          <w:szCs w:val="20"/>
          <w:color w:val="auto"/>
        </w:rPr>
      </w:pPr>
      <w:r>
        <w:rPr>
          <w:rFonts w:ascii="Arial" w:cs="Arial" w:eastAsia="Arial" w:hAnsi="Arial"/>
          <w:sz w:val="18"/>
          <w:szCs w:val="18"/>
          <w:color w:val="auto"/>
        </w:rPr>
        <w:t>The Company estimated the fair value of stock options using the Black-Scholes option-pricing model. The fair value of stock options is recognized on a straight-line basis over the requisite service periods of the awards. The fair value of stock options was estimated using the following weighted-average assumptions: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3"/>
          </w:tcPr>
          <w:p>
            <w:pPr>
              <w:jc w:val="center"/>
              <w:ind w:left="77"/>
              <w:spacing w:after="0"/>
              <w:rPr>
                <w:sz w:val="20"/>
                <w:szCs w:val="20"/>
                <w:color w:val="auto"/>
              </w:rPr>
            </w:pPr>
            <w:r>
              <w:rPr>
                <w:rFonts w:ascii="Arial" w:cs="Arial" w:eastAsia="Arial" w:hAnsi="Arial"/>
                <w:sz w:val="14"/>
                <w:szCs w:val="14"/>
                <w:b w:val="1"/>
                <w:bCs w:val="1"/>
                <w:color w:val="auto"/>
                <w:w w:val="93"/>
              </w:rPr>
              <w:t>Three Months Ended</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60" w:type="dxa"/>
            <w:vAlign w:val="bottom"/>
            <w:gridSpan w:val="3"/>
          </w:tcPr>
          <w:p>
            <w:pPr>
              <w:jc w:val="center"/>
              <w:ind w:left="36"/>
              <w:spacing w:after="0"/>
              <w:rPr>
                <w:sz w:val="20"/>
                <w:szCs w:val="20"/>
                <w:color w:val="auto"/>
              </w:rPr>
            </w:pPr>
            <w:r>
              <w:rPr>
                <w:rFonts w:ascii="Arial" w:cs="Arial" w:eastAsia="Arial" w:hAnsi="Arial"/>
                <w:sz w:val="14"/>
                <w:szCs w:val="14"/>
                <w:b w:val="1"/>
                <w:bCs w:val="1"/>
                <w:color w:val="auto"/>
                <w:w w:val="93"/>
              </w:rPr>
              <w:t>Nine Months Ended</w:t>
            </w:r>
          </w:p>
        </w:tc>
        <w:tc>
          <w:tcPr>
            <w:tcW w:w="900" w:type="dxa"/>
            <w:vAlign w:val="bottom"/>
          </w:tcPr>
          <w:p>
            <w:pPr>
              <w:spacing w:after="0"/>
              <w:rPr>
                <w:sz w:val="15"/>
                <w:szCs w:val="15"/>
                <w:color w:val="auto"/>
              </w:rPr>
            </w:pPr>
          </w:p>
        </w:tc>
      </w:tr>
      <w:tr>
        <w:trPr>
          <w:trHeight w:val="192"/>
        </w:trPr>
        <w:tc>
          <w:tcPr>
            <w:tcW w:w="39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97"/>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56"/>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r>
      <w:tr>
        <w:trPr>
          <w:trHeight w:val="196"/>
        </w:trPr>
        <w:tc>
          <w:tcPr>
            <w:tcW w:w="3980" w:type="dxa"/>
            <w:vAlign w:val="bottom"/>
          </w:tcPr>
          <w:p>
            <w:pPr>
              <w:spacing w:after="0"/>
              <w:rPr>
                <w:sz w:val="17"/>
                <w:szCs w:val="17"/>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74"/>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7"/>
                <w:szCs w:val="17"/>
                <w:color w:val="auto"/>
              </w:rPr>
            </w:pPr>
          </w:p>
        </w:tc>
        <w:tc>
          <w:tcPr>
            <w:tcW w:w="1660" w:type="dxa"/>
            <w:vAlign w:val="bottom"/>
            <w:tcBorders>
              <w:bottom w:val="single" w:sz="8" w:color="auto"/>
            </w:tcBorders>
            <w:gridSpan w:val="2"/>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64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4"/>
                <w:szCs w:val="14"/>
                <w:b w:val="1"/>
                <w:bCs w:val="1"/>
                <w:color w:val="auto"/>
              </w:rPr>
              <w:t>2020</w:t>
            </w:r>
          </w:p>
        </w:tc>
      </w:tr>
      <w:tr>
        <w:trPr>
          <w:trHeight w:val="256"/>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6.07</w:t>
            </w:r>
          </w:p>
        </w:tc>
        <w:tc>
          <w:tcPr>
            <w:tcW w:w="22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100" w:type="dxa"/>
            <w:vAlign w:val="bottom"/>
            <w:shd w:val="clear" w:color="auto" w:fill="CFF0FC"/>
          </w:tcPr>
          <w:p>
            <w:pPr>
              <w:jc w:val="center"/>
              <w:ind w:right="474"/>
              <w:spacing w:after="0"/>
              <w:rPr>
                <w:sz w:val="20"/>
                <w:szCs w:val="20"/>
                <w:color w:val="auto"/>
              </w:rPr>
            </w:pPr>
            <w:r>
              <w:rPr>
                <w:rFonts w:ascii="Arial" w:cs="Arial" w:eastAsia="Arial" w:hAnsi="Arial"/>
                <w:sz w:val="18"/>
                <w:szCs w:val="18"/>
                <w:color w:val="auto"/>
                <w:w w:val="85"/>
              </w:rPr>
              <w:t>6.02</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6.08</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 6.09</w:t>
            </w:r>
          </w:p>
        </w:tc>
      </w:tr>
      <w:tr>
        <w:trPr>
          <w:trHeight w:val="277"/>
        </w:trPr>
        <w:tc>
          <w:tcPr>
            <w:tcW w:w="39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760" w:type="dxa"/>
            <w:vAlign w:val="bottom"/>
          </w:tcPr>
          <w:p>
            <w:pPr>
              <w:jc w:val="right"/>
              <w:spacing w:after="0"/>
              <w:rPr>
                <w:sz w:val="20"/>
                <w:szCs w:val="20"/>
                <w:color w:val="auto"/>
              </w:rPr>
            </w:pPr>
            <w:r>
              <w:rPr>
                <w:rFonts w:ascii="Arial" w:cs="Arial" w:eastAsia="Arial" w:hAnsi="Arial"/>
                <w:sz w:val="18"/>
                <w:szCs w:val="18"/>
                <w:color w:val="auto"/>
              </w:rPr>
              <w:t>60.3%</w:t>
            </w: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20"/>
              <w:spacing w:after="0"/>
              <w:rPr>
                <w:sz w:val="20"/>
                <w:szCs w:val="20"/>
                <w:color w:val="auto"/>
              </w:rPr>
            </w:pPr>
            <w:r>
              <w:rPr>
                <w:rFonts w:ascii="Arial" w:cs="Arial" w:eastAsia="Arial" w:hAnsi="Arial"/>
                <w:sz w:val="18"/>
                <w:szCs w:val="18"/>
                <w:color w:val="auto"/>
              </w:rPr>
              <w:t>60.7%</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jc w:val="center"/>
              <w:ind w:right="474"/>
              <w:spacing w:after="0"/>
              <w:rPr>
                <w:sz w:val="20"/>
                <w:szCs w:val="20"/>
                <w:color w:val="auto"/>
              </w:rPr>
            </w:pPr>
            <w:r>
              <w:rPr>
                <w:rFonts w:ascii="Arial" w:cs="Arial" w:eastAsia="Arial" w:hAnsi="Arial"/>
                <w:sz w:val="18"/>
                <w:szCs w:val="18"/>
                <w:color w:val="auto"/>
                <w:w w:val="90"/>
              </w:rPr>
              <w:t>55.6%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56.8%</w:t>
            </w:r>
          </w:p>
        </w:tc>
        <w:tc>
          <w:tcPr>
            <w:tcW w:w="900" w:type="dxa"/>
            <w:vAlign w:val="bottom"/>
          </w:tcPr>
          <w:p>
            <w:pPr>
              <w:ind w:left="20"/>
              <w:spacing w:after="0"/>
              <w:rPr>
                <w:sz w:val="20"/>
                <w:szCs w:val="20"/>
                <w:color w:val="auto"/>
              </w:rPr>
            </w:pPr>
            <w:r>
              <w:rPr>
                <w:rFonts w:ascii="Arial" w:cs="Arial" w:eastAsia="Arial" w:hAnsi="Arial"/>
                <w:sz w:val="18"/>
                <w:szCs w:val="18"/>
                <w:color w:val="auto"/>
              </w:rPr>
              <w:t>– 60.8%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48.3%</w:t>
            </w:r>
          </w:p>
        </w:tc>
        <w:tc>
          <w:tcPr>
            <w:tcW w:w="900" w:type="dxa"/>
            <w:vAlign w:val="bottom"/>
          </w:tcPr>
          <w:p>
            <w:pPr>
              <w:ind w:left="40"/>
              <w:spacing w:after="0"/>
              <w:rPr>
                <w:sz w:val="20"/>
                <w:szCs w:val="20"/>
                <w:color w:val="auto"/>
              </w:rPr>
            </w:pPr>
            <w:r>
              <w:rPr>
                <w:rFonts w:ascii="Arial" w:cs="Arial" w:eastAsia="Arial" w:hAnsi="Arial"/>
                <w:sz w:val="18"/>
                <w:szCs w:val="18"/>
                <w:color w:val="auto"/>
              </w:rPr>
              <w:t>– 55.6%</w:t>
            </w:r>
          </w:p>
        </w:tc>
      </w:tr>
      <w:tr>
        <w:trPr>
          <w:trHeight w:val="263"/>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0.95%</w:t>
            </w:r>
          </w:p>
        </w:tc>
        <w:tc>
          <w:tcPr>
            <w:tcW w:w="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100" w:type="dxa"/>
            <w:vAlign w:val="bottom"/>
            <w:shd w:val="clear" w:color="auto" w:fill="CFF0FC"/>
          </w:tcPr>
          <w:p>
            <w:pPr>
              <w:jc w:val="center"/>
              <w:ind w:right="474"/>
              <w:spacing w:after="0"/>
              <w:rPr>
                <w:sz w:val="20"/>
                <w:szCs w:val="20"/>
                <w:color w:val="auto"/>
              </w:rPr>
            </w:pPr>
            <w:r>
              <w:rPr>
                <w:rFonts w:ascii="Arial" w:cs="Arial" w:eastAsia="Arial" w:hAnsi="Arial"/>
                <w:sz w:val="18"/>
                <w:szCs w:val="18"/>
                <w:color w:val="auto"/>
                <w:w w:val="90"/>
              </w:rPr>
              <w:t>0.34%</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1.16%</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 1.77%</w:t>
            </w:r>
          </w:p>
        </w:tc>
      </w:tr>
      <w:tr>
        <w:trPr>
          <w:trHeight w:val="270"/>
        </w:trPr>
        <w:tc>
          <w:tcPr>
            <w:tcW w:w="39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760" w:type="dxa"/>
            <w:vAlign w:val="bottom"/>
          </w:tcPr>
          <w:p>
            <w:pPr>
              <w:spacing w:after="0"/>
              <w:rPr>
                <w:sz w:val="23"/>
                <w:szCs w:val="23"/>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jc w:val="center"/>
              <w:ind w:right="474"/>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Term</w:t>
      </w:r>
    </w:p>
    <w:p>
      <w:pPr>
        <w:spacing w:after="0" w:line="131"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The expected term is calculated using the simplified method, which is available if there is insufficient historical data about exercise patterns and post vesting employment termination behavior. The simplified method is based on the vesting period and the contractual term for each grant or for each vesting tranche for awards with graded vesting. The midpoint of the vesting date and the maximum contractual expiration date is used as the expected term under this method. For awards with multiple vesting tranches, the time from grant until the midpoints for each of the tranches may be averaged to provide an overall expected term.</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Volatility</w:t>
      </w:r>
    </w:p>
    <w:p>
      <w:pPr>
        <w:spacing w:after="0" w:line="131" w:lineRule="exact"/>
        <w:rPr>
          <w:sz w:val="20"/>
          <w:szCs w:val="20"/>
          <w:color w:val="auto"/>
        </w:rPr>
      </w:pPr>
    </w:p>
    <w:p>
      <w:pPr>
        <w:ind w:right="180" w:firstLine="509"/>
        <w:spacing w:after="0" w:line="279" w:lineRule="auto"/>
        <w:rPr>
          <w:sz w:val="20"/>
          <w:szCs w:val="20"/>
          <w:color w:val="auto"/>
        </w:rPr>
      </w:pPr>
      <w:r>
        <w:rPr>
          <w:rFonts w:ascii="Arial" w:cs="Arial" w:eastAsia="Arial" w:hAnsi="Arial"/>
          <w:sz w:val="18"/>
          <w:szCs w:val="18"/>
          <w:color w:val="auto"/>
        </w:rPr>
        <w:t>The Company used an average historical stock price volatility of a peer group of publicly traded companies to be representative of its expected future stock price volatility, as the Company did not have any trading history for its common stock. For purposes of identifying these peer companies, the Company considered the industry, stage of</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5" w:name="page26"/>
    <w:bookmarkEnd w:id="25"/>
    <w:p>
      <w:pPr>
        <w:ind w:right="360"/>
        <w:spacing w:after="0" w:line="293" w:lineRule="auto"/>
        <w:rPr>
          <w:sz w:val="20"/>
          <w:szCs w:val="20"/>
          <w:color w:val="auto"/>
        </w:rPr>
      </w:pPr>
      <w:r>
        <w:rPr>
          <w:rFonts w:ascii="Arial" w:cs="Arial" w:eastAsia="Arial" w:hAnsi="Arial"/>
          <w:sz w:val="18"/>
          <w:szCs w:val="18"/>
          <w:color w:val="auto"/>
        </w:rPr>
        <w:t>development, size, and financial leverage of potential comparable companies. For each grant, the Company measured historical volatility over a period equivalent to the expected term.</w:t>
      </w: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Risk-Free Interest Rate</w:t>
      </w:r>
    </w:p>
    <w:p>
      <w:pPr>
        <w:spacing w:after="0" w:line="131"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The risk-free interest rate is based on the implied yield currently available on US Treasury zero-coupon issues with remaining terms equivalent to the expected term of a stock award.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Dividend Rate</w:t>
      </w:r>
    </w:p>
    <w:p>
      <w:pPr>
        <w:spacing w:after="0" w:line="131" w:lineRule="exact"/>
        <w:rPr>
          <w:sz w:val="20"/>
          <w:szCs w:val="20"/>
          <w:color w:val="auto"/>
        </w:rPr>
      </w:pPr>
    </w:p>
    <w:p>
      <w:pPr>
        <w:ind w:right="140" w:firstLine="509"/>
        <w:spacing w:after="0" w:line="293" w:lineRule="auto"/>
        <w:rPr>
          <w:sz w:val="20"/>
          <w:szCs w:val="20"/>
          <w:color w:val="auto"/>
        </w:rPr>
      </w:pPr>
      <w:r>
        <w:rPr>
          <w:rFonts w:ascii="Arial" w:cs="Arial" w:eastAsia="Arial" w:hAnsi="Arial"/>
          <w:sz w:val="18"/>
          <w:szCs w:val="18"/>
          <w:color w:val="auto"/>
        </w:rPr>
        <w:t>The Company has not paid, and does not anticipate paying, any dividends in the near future. Accordingly, the Company has estimated the dividend yield to be 0%.</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Restricted Stock Units</w:t>
      </w:r>
    </w:p>
    <w:p>
      <w:pPr>
        <w:spacing w:after="0" w:line="239" w:lineRule="exact"/>
        <w:rPr>
          <w:sz w:val="20"/>
          <w:szCs w:val="20"/>
          <w:color w:val="auto"/>
        </w:rPr>
      </w:pPr>
    </w:p>
    <w:p>
      <w:pPr>
        <w:ind w:right="180" w:firstLine="509"/>
        <w:spacing w:after="0" w:line="319" w:lineRule="auto"/>
        <w:rPr>
          <w:sz w:val="20"/>
          <w:szCs w:val="20"/>
          <w:color w:val="auto"/>
        </w:rPr>
      </w:pPr>
      <w:r>
        <w:rPr>
          <w:rFonts w:ascii="Arial" w:cs="Arial" w:eastAsia="Arial" w:hAnsi="Arial"/>
          <w:sz w:val="16"/>
          <w:szCs w:val="16"/>
          <w:color w:val="auto"/>
        </w:rPr>
        <w:t>RSUs are share awards that entitle the holder to receive freely tradable shares of the Company’s common stock upon vesting. The RSUs cannot be transferred, and the awards are subject to forfeiture if the holder’s employment terminates prior to the release of the vesting restrictions. The RSUs generally vest over a four-year period with straight-line vesting in equal amounts on an annual basis, provided the employee remains continuously employed with the Company. The fair value of the RSUs is equal to the closing price of the Company’s common stock on the grant date.</w:t>
      </w:r>
    </w:p>
    <w:p>
      <w:pPr>
        <w:spacing w:after="0" w:line="156"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In September 2021, the Company granted 23,800 RSUs at a grant-date fair value of $22.70 per share. There were no RSUs granted prior to September 2021. During the three months ended September 30, 2021, the Company recorded stock-based compensation of less than $0.1 million related to the RSUs. As of September 30, 2020, there was $0.5 million of total unrecognized compensation cost related to the RSUs that is expected to be recognized over a weighted-average period of 3.9 years.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 Based Compensation</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stock-based compensation expense by function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40" w:type="dxa"/>
            <w:vAlign w:val="bottom"/>
          </w:tcPr>
          <w:p>
            <w:pPr>
              <w:spacing w:after="0"/>
              <w:rPr>
                <w:sz w:val="15"/>
                <w:szCs w:val="15"/>
                <w:color w:val="auto"/>
              </w:rPr>
            </w:pPr>
          </w:p>
        </w:tc>
        <w:tc>
          <w:tcPr>
            <w:tcW w:w="230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r>
      <w:tr>
        <w:trPr>
          <w:trHeight w:val="192"/>
        </w:trPr>
        <w:tc>
          <w:tcPr>
            <w:tcW w:w="56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564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goods sold</w:t>
            </w: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80" w:type="dxa"/>
            <w:vAlign w:val="bottom"/>
            <w:gridSpan w:val="2"/>
            <w:shd w:val="clear" w:color="auto" w:fill="CFF0FC"/>
          </w:tcPr>
          <w:p>
            <w:pPr>
              <w:jc w:val="right"/>
              <w:ind w:right="64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2"/>
                <w:szCs w:val="22"/>
                <w:color w:val="auto"/>
              </w:rPr>
            </w:pPr>
          </w:p>
        </w:tc>
      </w:tr>
      <w:tr>
        <w:trPr>
          <w:trHeight w:val="250"/>
        </w:trPr>
        <w:tc>
          <w:tcPr>
            <w:tcW w:w="56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7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r>
      <w:tr>
        <w:trPr>
          <w:trHeight w:val="257"/>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tcBorders>
              <w:bottom w:val="single" w:sz="8" w:color="auto"/>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1,708</w:t>
            </w:r>
          </w:p>
        </w:tc>
        <w:tc>
          <w:tcPr>
            <w:tcW w:w="24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2,754</w:t>
            </w:r>
          </w:p>
        </w:tc>
        <w:tc>
          <w:tcPr>
            <w:tcW w:w="2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640" w:type="dxa"/>
            <w:vAlign w:val="bottom"/>
          </w:tcPr>
          <w:p>
            <w:pPr>
              <w:ind w:left="200"/>
              <w:spacing w:after="0"/>
              <w:rPr>
                <w:sz w:val="20"/>
                <w:szCs w:val="20"/>
                <w:color w:val="auto"/>
              </w:rPr>
            </w:pPr>
            <w:r>
              <w:rPr>
                <w:rFonts w:ascii="Arial" w:cs="Arial" w:eastAsia="Arial" w:hAnsi="Arial"/>
                <w:sz w:val="18"/>
                <w:szCs w:val="18"/>
                <w:color w:val="auto"/>
              </w:rPr>
              <w:t>Total stock-based compensation expense</w:t>
            </w:r>
          </w:p>
        </w:tc>
        <w:tc>
          <w:tcPr>
            <w:tcW w:w="780" w:type="dxa"/>
            <w:vAlign w:val="bottom"/>
          </w:tcPr>
          <w:p>
            <w:pPr>
              <w:jc w:val="right"/>
              <w:ind w:right="59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1,899</w:t>
            </w:r>
          </w:p>
        </w:tc>
        <w:tc>
          <w:tcPr>
            <w:tcW w:w="108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165</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3,107</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r>
      <w:tr>
        <w:trPr>
          <w:trHeight w:val="20"/>
        </w:trPr>
        <w:tc>
          <w:tcPr>
            <w:tcW w:w="5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-193675</wp:posOffset>
            </wp:positionV>
            <wp:extent cx="15430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-193675</wp:posOffset>
            </wp:positionV>
            <wp:extent cx="13716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-193675</wp:posOffset>
            </wp:positionV>
            <wp:extent cx="13716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2021 Employee Stock Purchase Plan</w:t>
      </w:r>
    </w:p>
    <w:p>
      <w:pPr>
        <w:spacing w:after="0" w:line="131" w:lineRule="exact"/>
        <w:rPr>
          <w:sz w:val="20"/>
          <w:szCs w:val="20"/>
          <w:color w:val="auto"/>
        </w:rPr>
      </w:pPr>
    </w:p>
    <w:p>
      <w:pPr>
        <w:ind w:right="560" w:firstLine="509"/>
        <w:spacing w:after="0" w:line="293" w:lineRule="auto"/>
        <w:rPr>
          <w:sz w:val="20"/>
          <w:szCs w:val="20"/>
          <w:color w:val="auto"/>
        </w:rPr>
      </w:pPr>
      <w:r>
        <w:rPr>
          <w:rFonts w:ascii="Arial" w:cs="Arial" w:eastAsia="Arial" w:hAnsi="Arial"/>
          <w:sz w:val="18"/>
          <w:szCs w:val="18"/>
          <w:color w:val="auto"/>
        </w:rPr>
        <w:t>In July 2021, the Board of Directors and stockholders also adopted and approved the 2021 Employee Stock Purchase Plan (the “ESPP”). The Company reserved 850,000 shares of common stock for future issuance under the ESPP.</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2021, no shares of common stock have been purchased under the ESPP.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12. Net Loss per Share Attributable to Common Stockholders</w:t>
      </w:r>
    </w:p>
    <w:p>
      <w:pPr>
        <w:spacing w:after="0" w:line="135" w:lineRule="exact"/>
        <w:rPr>
          <w:sz w:val="20"/>
          <w:szCs w:val="20"/>
          <w:color w:val="auto"/>
        </w:rPr>
      </w:pPr>
    </w:p>
    <w:p>
      <w:pPr>
        <w:jc w:val="both"/>
        <w:ind w:right="140" w:firstLine="509"/>
        <w:spacing w:after="0" w:line="303" w:lineRule="auto"/>
        <w:rPr>
          <w:sz w:val="20"/>
          <w:szCs w:val="20"/>
          <w:color w:val="auto"/>
        </w:rPr>
      </w:pPr>
      <w:r>
        <w:rPr>
          <w:rFonts w:ascii="Arial" w:cs="Arial" w:eastAsia="Arial" w:hAnsi="Arial"/>
          <w:sz w:val="17"/>
          <w:szCs w:val="17"/>
          <w:color w:val="auto"/>
        </w:rPr>
        <w:t>Basic net loss per share is computed by dividing the net loss by the weighted-average number of common shares outstanding for the period. As the Company reported a net loss for the three and nine months ended September 30, 2021 and 2020, basic net loss per share is the same as diluted net loss per share as the inclusion of potentially dilutive shares would have been antidilutive if included in the calculation.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6" w:name="page27"/>
    <w:bookmarkEnd w:id="26"/>
    <w:p>
      <w:pPr>
        <w:ind w:right="380" w:firstLine="509"/>
        <w:spacing w:after="0" w:line="293"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34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Pr>
          <w:p>
            <w:pPr>
              <w:ind w:left="20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(17,169 )</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(8,097 )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(47,024 )</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(25,588 )</w:t>
            </w:r>
          </w:p>
        </w:tc>
        <w:tc>
          <w:tcPr>
            <w:tcW w:w="0" w:type="dxa"/>
            <w:vAlign w:val="bottom"/>
          </w:tcPr>
          <w:p>
            <w:pPr>
              <w:spacing w:after="0"/>
              <w:rPr>
                <w:sz w:val="1"/>
                <w:szCs w:val="1"/>
                <w:color w:val="auto"/>
              </w:rPr>
            </w:pPr>
          </w:p>
        </w:tc>
      </w:tr>
      <w:tr>
        <w:trPr>
          <w:trHeight w:val="263"/>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700" w:type="dxa"/>
            <w:vAlign w:val="bottom"/>
          </w:tcPr>
          <w:p>
            <w:pPr>
              <w:ind w:left="200"/>
              <w:spacing w:after="0"/>
              <w:rPr>
                <w:sz w:val="20"/>
                <w:szCs w:val="20"/>
                <w:color w:val="auto"/>
              </w:rPr>
            </w:pPr>
            <w:r>
              <w:rPr>
                <w:rFonts w:ascii="Arial" w:cs="Arial" w:eastAsia="Arial" w:hAnsi="Arial"/>
                <w:sz w:val="18"/>
                <w:szCs w:val="18"/>
                <w:color w:val="auto"/>
              </w:rPr>
              <w:t>Weighted-average shares of common stock</w:t>
            </w:r>
          </w:p>
        </w:tc>
        <w:tc>
          <w:tcPr>
            <w:tcW w:w="340" w:type="dxa"/>
            <w:vAlign w:val="bottom"/>
          </w:tcPr>
          <w:p>
            <w:pPr>
              <w:spacing w:after="0"/>
              <w:rPr>
                <w:sz w:val="21"/>
                <w:szCs w:val="2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39,849,769</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9,493,548</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19,772,145</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9,467,039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outstanding—basic and diluted</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loss per share attributable to common</w:t>
            </w:r>
          </w:p>
        </w:tc>
        <w:tc>
          <w:tcPr>
            <w:tcW w:w="340" w:type="dxa"/>
            <w:vAlign w:val="bottom"/>
            <w:vMerge w:val="restart"/>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(0.43 )</w:t>
            </w:r>
          </w:p>
        </w:tc>
        <w:tc>
          <w:tcPr>
            <w:tcW w:w="520" w:type="dxa"/>
            <w:vAlign w:val="bottom"/>
            <w:vMerge w:val="restart"/>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(0.85 )</w:t>
            </w:r>
          </w:p>
        </w:tc>
        <w:tc>
          <w:tcPr>
            <w:tcW w:w="340" w:type="dxa"/>
            <w:vAlign w:val="bottom"/>
            <w:vMerge w:val="restart"/>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(2.38 )</w:t>
            </w:r>
          </w:p>
        </w:tc>
        <w:tc>
          <w:tcPr>
            <w:tcW w:w="500" w:type="dxa"/>
            <w:vAlign w:val="bottom"/>
            <w:vMerge w:val="restart"/>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(2.70 )</w:t>
            </w: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ind w:left="340"/>
              <w:spacing w:after="0" w:line="203" w:lineRule="exact"/>
              <w:rPr>
                <w:sz w:val="20"/>
                <w:szCs w:val="20"/>
                <w:color w:val="auto"/>
              </w:rPr>
            </w:pPr>
            <w:r>
              <w:rPr>
                <w:rFonts w:ascii="Arial" w:cs="Arial" w:eastAsia="Arial" w:hAnsi="Arial"/>
                <w:sz w:val="18"/>
                <w:szCs w:val="18"/>
                <w:color w:val="auto"/>
              </w:rPr>
              <w:t>stockholders—basic and diluted</w:t>
            </w:r>
          </w:p>
        </w:tc>
        <w:tc>
          <w:tcPr>
            <w:tcW w:w="340" w:type="dxa"/>
            <w:vAlign w:val="bottom"/>
            <w:vMerge w:val="continue"/>
            <w:shd w:val="clear" w:color="auto" w:fill="CFF0FC"/>
          </w:tcPr>
          <w:p>
            <w:pPr>
              <w:spacing w:after="0"/>
              <w:rPr>
                <w:sz w:val="19"/>
                <w:szCs w:val="19"/>
                <w:color w:val="auto"/>
              </w:rPr>
            </w:pPr>
          </w:p>
        </w:tc>
        <w:tc>
          <w:tcPr>
            <w:tcW w:w="1360" w:type="dxa"/>
            <w:vAlign w:val="bottom"/>
            <w:gridSpan w:val="2"/>
            <w:vMerge w:val="continue"/>
            <w:shd w:val="clear" w:color="auto" w:fill="CFF0FC"/>
          </w:tcPr>
          <w:p>
            <w:pPr>
              <w:spacing w:after="0"/>
              <w:rPr>
                <w:sz w:val="19"/>
                <w:szCs w:val="19"/>
                <w:color w:val="auto"/>
              </w:rPr>
            </w:pPr>
          </w:p>
        </w:tc>
        <w:tc>
          <w:tcPr>
            <w:tcW w:w="520" w:type="dxa"/>
            <w:vAlign w:val="bottom"/>
            <w:vMerge w:val="continue"/>
            <w:shd w:val="clear" w:color="auto" w:fill="CFF0FC"/>
          </w:tcPr>
          <w:p>
            <w:pPr>
              <w:spacing w:after="0"/>
              <w:rPr>
                <w:sz w:val="19"/>
                <w:szCs w:val="19"/>
                <w:color w:val="auto"/>
              </w:rPr>
            </w:pPr>
          </w:p>
        </w:tc>
        <w:tc>
          <w:tcPr>
            <w:tcW w:w="1160" w:type="dxa"/>
            <w:vAlign w:val="bottom"/>
            <w:gridSpan w:val="2"/>
            <w:vMerge w:val="continue"/>
            <w:shd w:val="clear" w:color="auto" w:fill="CFF0FC"/>
          </w:tcPr>
          <w:p>
            <w:pPr>
              <w:spacing w:after="0"/>
              <w:rPr>
                <w:sz w:val="19"/>
                <w:szCs w:val="19"/>
                <w:color w:val="auto"/>
              </w:rPr>
            </w:pPr>
          </w:p>
        </w:tc>
        <w:tc>
          <w:tcPr>
            <w:tcW w:w="340" w:type="dxa"/>
            <w:vAlign w:val="bottom"/>
            <w:vMerge w:val="continue"/>
            <w:shd w:val="clear" w:color="auto" w:fill="CFF0FC"/>
          </w:tcPr>
          <w:p>
            <w:pPr>
              <w:spacing w:after="0"/>
              <w:rPr>
                <w:sz w:val="19"/>
                <w:szCs w:val="19"/>
                <w:color w:val="auto"/>
              </w:rPr>
            </w:pPr>
          </w:p>
        </w:tc>
        <w:tc>
          <w:tcPr>
            <w:tcW w:w="1320" w:type="dxa"/>
            <w:vAlign w:val="bottom"/>
            <w:gridSpan w:val="2"/>
            <w:vMerge w:val="continue"/>
            <w:shd w:val="clear" w:color="auto" w:fill="CFF0FC"/>
          </w:tcPr>
          <w:p>
            <w:pPr>
              <w:spacing w:after="0"/>
              <w:rPr>
                <w:sz w:val="19"/>
                <w:szCs w:val="19"/>
                <w:color w:val="auto"/>
              </w:rPr>
            </w:pPr>
          </w:p>
        </w:tc>
        <w:tc>
          <w:tcPr>
            <w:tcW w:w="500" w:type="dxa"/>
            <w:vAlign w:val="bottom"/>
            <w:vMerge w:val="continue"/>
            <w:shd w:val="clear" w:color="auto" w:fill="CFF0FC"/>
          </w:tcPr>
          <w:p>
            <w:pPr>
              <w:spacing w:after="0"/>
              <w:rPr>
                <w:sz w:val="19"/>
                <w:szCs w:val="19"/>
                <w:color w:val="auto"/>
              </w:rPr>
            </w:pPr>
          </w:p>
        </w:tc>
        <w:tc>
          <w:tcPr>
            <w:tcW w:w="10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-25400</wp:posOffset>
            </wp:positionV>
            <wp:extent cx="1714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1714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wp:posOffset>
            </wp:positionV>
            <wp:extent cx="17145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1714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1543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15430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7" w:lineRule="exact"/>
        <w:rPr>
          <w:sz w:val="20"/>
          <w:szCs w:val="20"/>
          <w:color w:val="auto"/>
        </w:rPr>
      </w:pPr>
    </w:p>
    <w:p>
      <w:pPr>
        <w:ind w:right="220" w:firstLine="509"/>
        <w:spacing w:after="0" w:line="293"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 presented because including them would have been antidilutive:</w:t>
      </w:r>
    </w:p>
    <w:p>
      <w:pPr>
        <w:spacing w:after="0" w:line="296"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345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56"/>
        </w:trPr>
        <w:tc>
          <w:tcPr>
            <w:tcW w:w="83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Series A redeemable convertible preferred stock</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3,804,344</w:t>
            </w:r>
          </w:p>
        </w:tc>
        <w:tc>
          <w:tcPr>
            <w:tcW w:w="100" w:type="dxa"/>
            <w:vAlign w:val="bottom"/>
            <w:shd w:val="clear" w:color="auto" w:fill="CFF0FC"/>
          </w:tcPr>
          <w:p>
            <w:pPr>
              <w:spacing w:after="0"/>
              <w:rPr>
                <w:sz w:val="22"/>
                <w:szCs w:val="22"/>
                <w:color w:val="auto"/>
              </w:rPr>
            </w:pPr>
          </w:p>
        </w:tc>
      </w:tr>
      <w:tr>
        <w:trPr>
          <w:trHeight w:val="250"/>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Series B redeemable convertible preferred stock</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1,209,621</w:t>
            </w:r>
          </w:p>
        </w:tc>
        <w:tc>
          <w:tcPr>
            <w:tcW w:w="100" w:type="dxa"/>
            <w:vAlign w:val="bottom"/>
          </w:tcPr>
          <w:p>
            <w:pPr>
              <w:spacing w:after="0"/>
              <w:rPr>
                <w:sz w:val="21"/>
                <w:szCs w:val="21"/>
                <w:color w:val="auto"/>
              </w:rPr>
            </w:pPr>
          </w:p>
        </w:tc>
      </w:tr>
      <w:tr>
        <w:trPr>
          <w:trHeight w:val="263"/>
        </w:trPr>
        <w:tc>
          <w:tcPr>
            <w:tcW w:w="83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Series C redeemable convertible preferred stock</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2,342,857</w:t>
            </w:r>
          </w:p>
        </w:tc>
        <w:tc>
          <w:tcPr>
            <w:tcW w:w="100" w:type="dxa"/>
            <w:vAlign w:val="bottom"/>
            <w:shd w:val="clear" w:color="auto" w:fill="CFF0FC"/>
          </w:tcPr>
          <w:p>
            <w:pPr>
              <w:spacing w:after="0"/>
              <w:rPr>
                <w:sz w:val="22"/>
                <w:szCs w:val="22"/>
                <w:color w:val="auto"/>
              </w:rPr>
            </w:pPr>
          </w:p>
        </w:tc>
      </w:tr>
      <w:tr>
        <w:trPr>
          <w:trHeight w:val="250"/>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Series D redeemable convertible preferred stock</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2,447,818</w:t>
            </w:r>
          </w:p>
        </w:tc>
        <w:tc>
          <w:tcPr>
            <w:tcW w:w="100" w:type="dxa"/>
            <w:vAlign w:val="bottom"/>
          </w:tcPr>
          <w:p>
            <w:pPr>
              <w:spacing w:after="0"/>
              <w:rPr>
                <w:sz w:val="21"/>
                <w:szCs w:val="21"/>
                <w:color w:val="auto"/>
              </w:rPr>
            </w:pPr>
          </w:p>
        </w:tc>
      </w:tr>
      <w:tr>
        <w:trPr>
          <w:trHeight w:val="263"/>
        </w:trPr>
        <w:tc>
          <w:tcPr>
            <w:tcW w:w="83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Series E redeemable convertible preferred stock</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1,899,847</w:t>
            </w:r>
          </w:p>
        </w:tc>
        <w:tc>
          <w:tcPr>
            <w:tcW w:w="100" w:type="dxa"/>
            <w:vAlign w:val="bottom"/>
            <w:shd w:val="clear" w:color="auto" w:fill="CFF0FC"/>
          </w:tcPr>
          <w:p>
            <w:pPr>
              <w:spacing w:after="0"/>
              <w:rPr>
                <w:sz w:val="22"/>
                <w:szCs w:val="22"/>
                <w:color w:val="auto"/>
              </w:rPr>
            </w:pPr>
          </w:p>
        </w:tc>
      </w:tr>
      <w:tr>
        <w:trPr>
          <w:trHeight w:val="250"/>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Redeemable convertible preferred stock warrants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42,163</w:t>
            </w:r>
          </w:p>
        </w:tc>
        <w:tc>
          <w:tcPr>
            <w:tcW w:w="100" w:type="dxa"/>
            <w:vAlign w:val="bottom"/>
          </w:tcPr>
          <w:p>
            <w:pPr>
              <w:spacing w:after="0"/>
              <w:rPr>
                <w:sz w:val="21"/>
                <w:szCs w:val="21"/>
                <w:color w:val="auto"/>
              </w:rPr>
            </w:pPr>
          </w:p>
        </w:tc>
      </w:tr>
      <w:tr>
        <w:trPr>
          <w:trHeight w:val="263"/>
        </w:trPr>
        <w:tc>
          <w:tcPr>
            <w:tcW w:w="83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Options to purchase common stock</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5,229,169</w:t>
            </w:r>
          </w:p>
        </w:tc>
        <w:tc>
          <w:tcPr>
            <w:tcW w:w="2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3,152,862</w:t>
            </w:r>
          </w:p>
        </w:tc>
        <w:tc>
          <w:tcPr>
            <w:tcW w:w="100" w:type="dxa"/>
            <w:vAlign w:val="bottom"/>
            <w:shd w:val="clear" w:color="auto" w:fill="CFF0FC"/>
          </w:tcPr>
          <w:p>
            <w:pPr>
              <w:spacing w:after="0"/>
              <w:rPr>
                <w:sz w:val="22"/>
                <w:szCs w:val="22"/>
                <w:color w:val="auto"/>
              </w:rPr>
            </w:pPr>
          </w:p>
        </w:tc>
      </w:tr>
      <w:tr>
        <w:trPr>
          <w:trHeight w:val="250"/>
        </w:trPr>
        <w:tc>
          <w:tcPr>
            <w:tcW w:w="732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0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23,800</w:t>
            </w:r>
          </w:p>
        </w:tc>
        <w:tc>
          <w:tcPr>
            <w:tcW w:w="280" w:type="dxa"/>
            <w:vAlign w:val="bottom"/>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90"/>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5,252,969</w:t>
            </w:r>
          </w:p>
        </w:tc>
        <w:tc>
          <w:tcPr>
            <w:tcW w:w="280" w:type="dxa"/>
            <w:vAlign w:val="bottom"/>
            <w:tcBorders>
              <w:bottom w:val="single" w:sz="8" w:color="CFF0FC"/>
            </w:tcBorders>
            <w:shd w:val="clear" w:color="auto" w:fill="CFF0FC"/>
          </w:tcPr>
          <w:p>
            <w:pPr>
              <w:spacing w:after="0"/>
              <w:rPr>
                <w:sz w:val="24"/>
                <w:szCs w:val="24"/>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14,899,512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-24765</wp:posOffset>
            </wp:positionV>
            <wp:extent cx="1797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1797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13. Defined Contribution Plan</w:t>
      </w:r>
    </w:p>
    <w:p>
      <w:pPr>
        <w:spacing w:after="0" w:line="135" w:lineRule="exact"/>
        <w:rPr>
          <w:sz w:val="20"/>
          <w:szCs w:val="20"/>
          <w:color w:val="auto"/>
        </w:rPr>
      </w:pPr>
    </w:p>
    <w:p>
      <w:pPr>
        <w:ind w:right="60" w:firstLine="509"/>
        <w:spacing w:after="0" w:line="303" w:lineRule="auto"/>
        <w:rPr>
          <w:sz w:val="20"/>
          <w:szCs w:val="20"/>
          <w:color w:val="auto"/>
        </w:rPr>
      </w:pPr>
      <w:r>
        <w:rPr>
          <w:rFonts w:ascii="Arial" w:cs="Arial" w:eastAsia="Arial" w:hAnsi="Arial"/>
          <w:sz w:val="17"/>
          <w:szCs w:val="17"/>
          <w:color w:val="auto"/>
        </w:rPr>
        <w:t>The Company sponsors a defined contribution plan under Section 401(k) of the IRC of 1986, as amended, covering substantially all of its full-time US employees. Participating employees may contribute up to 100% of their eligible compensation up to the annual Internal Revenue Service’s contribution limit. For the three and nine months ended September 30, 2021 and 2020, the Company did not match employee contributions.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14. Segment Information</w:t>
      </w:r>
    </w:p>
    <w:p>
      <w:pPr>
        <w:spacing w:after="0" w:line="135"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The Company has two reportable operating segments which are determined on the basis of product portfolio: Surgical Glaucoma and Dry Eye. The operating and reportable segments were determined based on how the Company’s Chief Executive Officer, its Chief Operating Decision Maker (“CODM”), views and evaluates the Company’s operations. The CODM allocates resources to and evaluates the financial performance of each operating segment primarily based on gross profit and gross profit margin.</w:t>
      </w:r>
    </w:p>
    <w:p>
      <w:pPr>
        <w:spacing w:after="0" w:line="185"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Surgical Glaucoma segment includes sales of the Company’s OMNI® Surgical System for use in minimally invasive glaucoma procedures. Dry Eye segment includes sales of the Company’s TearCare® System and related components.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ind w:left="520"/>
        <w:spacing w:after="0"/>
        <w:rPr>
          <w:sz w:val="20"/>
          <w:szCs w:val="20"/>
          <w:color w:val="auto"/>
        </w:rPr>
      </w:pPr>
      <w:r>
        <w:rPr>
          <w:rFonts w:ascii="Arial" w:cs="Arial" w:eastAsia="Arial" w:hAnsi="Arial"/>
          <w:sz w:val="18"/>
          <w:szCs w:val="18"/>
          <w:color w:val="auto"/>
        </w:rPr>
        <w:t>The following table summarizes select operating results information for each reportable segment (dollars in thousands):</w:t>
      </w:r>
    </w:p>
    <w:p>
      <w:pPr>
        <w:spacing w:after="0" w:line="365"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4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4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5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96"/>
              </w:rPr>
              <w:t>2020</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4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540" w:type="dxa"/>
            <w:vAlign w:val="bottom"/>
          </w:tcPr>
          <w:p>
            <w:pPr>
              <w:ind w:left="180"/>
              <w:spacing w:after="0"/>
              <w:rPr>
                <w:sz w:val="20"/>
                <w:szCs w:val="20"/>
                <w:color w:val="auto"/>
              </w:rPr>
            </w:pPr>
            <w:r>
              <w:rPr>
                <w:rFonts w:ascii="Arial" w:cs="Arial" w:eastAsia="Arial" w:hAnsi="Arial"/>
                <w:sz w:val="18"/>
                <w:szCs w:val="18"/>
                <w:color w:val="auto"/>
              </w:rPr>
              <w:t>Surgical Glaucoma</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12,446</w:t>
            </w:r>
          </w:p>
        </w:tc>
        <w:tc>
          <w:tcPr>
            <w:tcW w:w="28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7,883</w:t>
            </w:r>
          </w:p>
        </w:tc>
        <w:tc>
          <w:tcPr>
            <w:tcW w:w="3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32,573</w:t>
            </w:r>
          </w:p>
        </w:tc>
        <w:tc>
          <w:tcPr>
            <w:tcW w:w="26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17,282</w:t>
            </w:r>
          </w:p>
        </w:tc>
        <w:tc>
          <w:tcPr>
            <w:tcW w:w="100" w:type="dxa"/>
            <w:vAlign w:val="bottom"/>
          </w:tcPr>
          <w:p>
            <w:pPr>
              <w:spacing w:after="0"/>
              <w:rPr>
                <w:sz w:val="21"/>
                <w:szCs w:val="21"/>
                <w:color w:val="auto"/>
              </w:rPr>
            </w:pPr>
          </w:p>
        </w:tc>
      </w:tr>
      <w:tr>
        <w:trPr>
          <w:trHeight w:val="257"/>
        </w:trPr>
        <w:tc>
          <w:tcPr>
            <w:tcW w:w="45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Dry Eye</w:t>
            </w:r>
          </w:p>
        </w:tc>
        <w:tc>
          <w:tcPr>
            <w:tcW w:w="34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28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3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1,698</w:t>
            </w:r>
          </w:p>
        </w:tc>
        <w:tc>
          <w:tcPr>
            <w:tcW w:w="26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540" w:type="dxa"/>
            <w:vAlign w:val="bottom"/>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13,101</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8,651</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34,271</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18,649</w:t>
            </w:r>
          </w:p>
        </w:tc>
        <w:tc>
          <w:tcPr>
            <w:tcW w:w="100" w:type="dxa"/>
            <w:vAlign w:val="bottom"/>
          </w:tcPr>
          <w:p>
            <w:pPr>
              <w:spacing w:after="0"/>
              <w:rPr>
                <w:sz w:val="21"/>
                <w:szCs w:val="21"/>
                <w:color w:val="auto"/>
              </w:rPr>
            </w:pPr>
          </w:p>
        </w:tc>
      </w:tr>
      <w:tr>
        <w:trPr>
          <w:trHeight w:val="263"/>
        </w:trPr>
        <w:tc>
          <w:tcPr>
            <w:tcW w:w="4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goods sold</w:t>
            </w:r>
          </w:p>
        </w:tc>
        <w:tc>
          <w:tcPr>
            <w:tcW w:w="34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540" w:type="dxa"/>
            <w:vAlign w:val="bottom"/>
          </w:tcPr>
          <w:p>
            <w:pPr>
              <w:ind w:left="180"/>
              <w:spacing w:after="0"/>
              <w:rPr>
                <w:sz w:val="20"/>
                <w:szCs w:val="20"/>
                <w:color w:val="auto"/>
              </w:rPr>
            </w:pPr>
            <w:r>
              <w:rPr>
                <w:rFonts w:ascii="Arial" w:cs="Arial" w:eastAsia="Arial" w:hAnsi="Arial"/>
                <w:sz w:val="18"/>
                <w:szCs w:val="18"/>
                <w:color w:val="auto"/>
              </w:rPr>
              <w:t>Surgical Glaucoma</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1,621</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1,946</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5,252</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4,968</w:t>
            </w:r>
          </w:p>
        </w:tc>
        <w:tc>
          <w:tcPr>
            <w:tcW w:w="100" w:type="dxa"/>
            <w:vAlign w:val="bottom"/>
          </w:tcPr>
          <w:p>
            <w:pPr>
              <w:spacing w:after="0"/>
              <w:rPr>
                <w:sz w:val="21"/>
                <w:szCs w:val="21"/>
                <w:color w:val="auto"/>
              </w:rPr>
            </w:pPr>
          </w:p>
        </w:tc>
      </w:tr>
      <w:tr>
        <w:trPr>
          <w:trHeight w:val="257"/>
        </w:trPr>
        <w:tc>
          <w:tcPr>
            <w:tcW w:w="45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Dry Eye</w:t>
            </w:r>
          </w:p>
        </w:tc>
        <w:tc>
          <w:tcPr>
            <w:tcW w:w="34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28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3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w:t>
            </w:r>
          </w:p>
        </w:tc>
        <w:tc>
          <w:tcPr>
            <w:tcW w:w="26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540" w:type="dxa"/>
            <w:vAlign w:val="bottom"/>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2,062</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2,620</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6,668</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6,833</w:t>
            </w:r>
          </w:p>
        </w:tc>
        <w:tc>
          <w:tcPr>
            <w:tcW w:w="100" w:type="dxa"/>
            <w:vAlign w:val="bottom"/>
          </w:tcPr>
          <w:p>
            <w:pPr>
              <w:spacing w:after="0"/>
              <w:rPr>
                <w:sz w:val="21"/>
                <w:szCs w:val="21"/>
                <w:color w:val="auto"/>
              </w:rPr>
            </w:pPr>
          </w:p>
        </w:tc>
      </w:tr>
      <w:tr>
        <w:trPr>
          <w:trHeight w:val="263"/>
        </w:trPr>
        <w:tc>
          <w:tcPr>
            <w:tcW w:w="4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34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540" w:type="dxa"/>
            <w:vAlign w:val="bottom"/>
          </w:tcPr>
          <w:p>
            <w:pPr>
              <w:ind w:left="180"/>
              <w:spacing w:after="0"/>
              <w:rPr>
                <w:sz w:val="20"/>
                <w:szCs w:val="20"/>
                <w:color w:val="auto"/>
              </w:rPr>
            </w:pPr>
            <w:r>
              <w:rPr>
                <w:rFonts w:ascii="Arial" w:cs="Arial" w:eastAsia="Arial" w:hAnsi="Arial"/>
                <w:sz w:val="18"/>
                <w:szCs w:val="18"/>
                <w:color w:val="auto"/>
              </w:rPr>
              <w:t>Surgical Glaucoma</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10,825</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5,937</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27,321</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12,314</w:t>
            </w:r>
          </w:p>
        </w:tc>
        <w:tc>
          <w:tcPr>
            <w:tcW w:w="100" w:type="dxa"/>
            <w:vAlign w:val="bottom"/>
          </w:tcPr>
          <w:p>
            <w:pPr>
              <w:spacing w:after="0"/>
              <w:rPr>
                <w:sz w:val="21"/>
                <w:szCs w:val="21"/>
                <w:color w:val="auto"/>
              </w:rPr>
            </w:pPr>
          </w:p>
        </w:tc>
      </w:tr>
      <w:tr>
        <w:trPr>
          <w:trHeight w:val="257"/>
        </w:trPr>
        <w:tc>
          <w:tcPr>
            <w:tcW w:w="45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Dry Eye</w:t>
            </w:r>
          </w:p>
        </w:tc>
        <w:tc>
          <w:tcPr>
            <w:tcW w:w="3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8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3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6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(498 )</w:t>
            </w:r>
          </w:p>
        </w:tc>
      </w:tr>
      <w:tr>
        <w:trPr>
          <w:trHeight w:val="250"/>
        </w:trPr>
        <w:tc>
          <w:tcPr>
            <w:tcW w:w="4540" w:type="dxa"/>
            <w:vAlign w:val="bottom"/>
            <w:tcBorders>
              <w:top w:val="single" w:sz="8" w:color="CFF0FC"/>
            </w:tcBorders>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11,039</w:t>
            </w:r>
          </w:p>
        </w:tc>
        <w:tc>
          <w:tcPr>
            <w:tcW w:w="280" w:type="dxa"/>
            <w:vAlign w:val="bottom"/>
            <w:tcBorders>
              <w:top w:val="single" w:sz="8" w:color="CFF0FC"/>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6,031</w:t>
            </w:r>
          </w:p>
        </w:tc>
        <w:tc>
          <w:tcPr>
            <w:tcW w:w="300" w:type="dxa"/>
            <w:vAlign w:val="bottom"/>
            <w:tcBorders>
              <w:top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27,603</w:t>
            </w:r>
          </w:p>
        </w:tc>
        <w:tc>
          <w:tcPr>
            <w:tcW w:w="260" w:type="dxa"/>
            <w:vAlign w:val="bottom"/>
            <w:tcBorders>
              <w:top w:val="single" w:sz="8" w:color="CFF0FC"/>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11,816</w:t>
            </w:r>
          </w:p>
        </w:tc>
        <w:tc>
          <w:tcPr>
            <w:tcW w:w="100" w:type="dxa"/>
            <w:vAlign w:val="bottom"/>
            <w:tcBorders>
              <w:top w:val="single" w:sz="8" w:color="CFF0FC"/>
            </w:tcBorders>
          </w:tcPr>
          <w:p>
            <w:pPr>
              <w:spacing w:after="0"/>
              <w:rPr>
                <w:sz w:val="21"/>
                <w:szCs w:val="21"/>
                <w:color w:val="auto"/>
              </w:rPr>
            </w:pPr>
          </w:p>
        </w:tc>
      </w:tr>
      <w:tr>
        <w:trPr>
          <w:trHeight w:val="257"/>
        </w:trPr>
        <w:tc>
          <w:tcPr>
            <w:tcW w:w="45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expense</w:t>
            </w:r>
          </w:p>
        </w:tc>
        <w:tc>
          <w:tcPr>
            <w:tcW w:w="3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25,069</w:t>
            </w:r>
          </w:p>
        </w:tc>
        <w:tc>
          <w:tcPr>
            <w:tcW w:w="28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13,386</w:t>
            </w:r>
          </w:p>
        </w:tc>
        <w:tc>
          <w:tcPr>
            <w:tcW w:w="3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64,365</w:t>
            </w:r>
          </w:p>
        </w:tc>
        <w:tc>
          <w:tcPr>
            <w:tcW w:w="26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35,571</w:t>
            </w:r>
          </w:p>
        </w:tc>
        <w:tc>
          <w:tcPr>
            <w:tcW w:w="100" w:type="dxa"/>
            <w:vAlign w:val="bottom"/>
            <w:shd w:val="clear" w:color="auto" w:fill="CFF0FC"/>
          </w:tcPr>
          <w:p>
            <w:pPr>
              <w:spacing w:after="0"/>
              <w:rPr>
                <w:sz w:val="22"/>
                <w:szCs w:val="22"/>
                <w:color w:val="auto"/>
              </w:rPr>
            </w:pPr>
          </w:p>
        </w:tc>
      </w:tr>
      <w:tr>
        <w:trPr>
          <w:trHeight w:val="250"/>
        </w:trPr>
        <w:tc>
          <w:tcPr>
            <w:tcW w:w="45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3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(14,030 )</w:t>
            </w:r>
          </w:p>
        </w:tc>
        <w:tc>
          <w:tcPr>
            <w:tcW w:w="5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(7,355 )</w:t>
            </w:r>
          </w:p>
        </w:tc>
        <w:tc>
          <w:tcPr>
            <w:tcW w:w="3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(36,762 )</w:t>
            </w:r>
          </w:p>
        </w:tc>
        <w:tc>
          <w:tcPr>
            <w:tcW w:w="50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(23,755 )</w:t>
            </w:r>
          </w:p>
        </w:tc>
      </w:tr>
      <w:tr>
        <w:trPr>
          <w:trHeight w:val="263"/>
        </w:trPr>
        <w:tc>
          <w:tcPr>
            <w:tcW w:w="45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22"/>
                <w:szCs w:val="22"/>
                <w:color w:val="auto"/>
              </w:rPr>
            </w:pPr>
          </w:p>
        </w:tc>
      </w:tr>
      <w:tr>
        <w:trPr>
          <w:trHeight w:val="250"/>
        </w:trPr>
        <w:tc>
          <w:tcPr>
            <w:tcW w:w="45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(1,122 )</w:t>
            </w:r>
          </w:p>
        </w:tc>
        <w:tc>
          <w:tcPr>
            <w:tcW w:w="5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(538 )</w:t>
            </w:r>
          </w:p>
        </w:tc>
        <w:tc>
          <w:tcPr>
            <w:tcW w:w="3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(3,288 )</w:t>
            </w:r>
          </w:p>
        </w:tc>
        <w:tc>
          <w:tcPr>
            <w:tcW w:w="50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(1,639 )</w:t>
            </w:r>
          </w:p>
        </w:tc>
      </w:tr>
      <w:tr>
        <w:trPr>
          <w:trHeight w:val="256"/>
        </w:trPr>
        <w:tc>
          <w:tcPr>
            <w:tcW w:w="45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(2,001 )</w:t>
            </w:r>
          </w:p>
        </w:tc>
        <w:tc>
          <w:tcPr>
            <w:tcW w:w="5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(197 )</w:t>
            </w:r>
          </w:p>
        </w:tc>
        <w:tc>
          <w:tcPr>
            <w:tcW w:w="3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(6,884 )</w:t>
            </w:r>
          </w:p>
        </w:tc>
        <w:tc>
          <w:tcPr>
            <w:tcW w:w="50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(179 )</w:t>
            </w:r>
          </w:p>
        </w:tc>
      </w:tr>
      <w:tr>
        <w:trPr>
          <w:trHeight w:val="20"/>
        </w:trPr>
        <w:tc>
          <w:tcPr>
            <w:tcW w:w="45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4540" w:type="dxa"/>
            <w:vAlign w:val="bottom"/>
          </w:tcPr>
          <w:p>
            <w:pPr>
              <w:spacing w:after="0"/>
              <w:rPr>
                <w:sz w:val="20"/>
                <w:szCs w:val="20"/>
                <w:color w:val="auto"/>
              </w:rPr>
            </w:pPr>
            <w:r>
              <w:rPr>
                <w:rFonts w:ascii="Arial" w:cs="Arial" w:eastAsia="Arial" w:hAnsi="Arial"/>
                <w:sz w:val="18"/>
                <w:szCs w:val="18"/>
                <w:b w:val="1"/>
                <w:bCs w:val="1"/>
                <w:color w:val="auto"/>
              </w:rPr>
              <w:t>Loss before income tax</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(17,153 )</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(8,089 )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(46,934 )</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(25,543 )</w:t>
            </w:r>
          </w:p>
        </w:tc>
      </w:tr>
      <w:tr>
        <w:trPr>
          <w:trHeight w:val="20"/>
        </w:trPr>
        <w:tc>
          <w:tcPr>
            <w:tcW w:w="4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-2508250</wp:posOffset>
            </wp:positionV>
            <wp:extent cx="17970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-2508250</wp:posOffset>
            </wp:positionV>
            <wp:extent cx="17970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-2508250</wp:posOffset>
            </wp:positionV>
            <wp:extent cx="16319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-2508250</wp:posOffset>
            </wp:positionV>
            <wp:extent cx="6858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-1847850</wp:posOffset>
            </wp:positionV>
            <wp:extent cx="17970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-1847850</wp:posOffset>
            </wp:positionV>
            <wp:extent cx="17970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-1847850</wp:posOffset>
            </wp:positionV>
            <wp:extent cx="16319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-1847850</wp:posOffset>
            </wp:positionV>
            <wp:extent cx="6858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-1188085</wp:posOffset>
            </wp:positionV>
            <wp:extent cx="17970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-1188085</wp:posOffset>
            </wp:positionV>
            <wp:extent cx="17970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-1188085</wp:posOffset>
            </wp:positionV>
            <wp:extent cx="16319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-1188085</wp:posOffset>
            </wp:positionV>
            <wp:extent cx="6858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-193675</wp:posOffset>
            </wp:positionV>
            <wp:extent cx="17970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-193675</wp:posOffset>
            </wp:positionV>
            <wp:extent cx="17970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-193675</wp:posOffset>
            </wp:positionV>
            <wp:extent cx="16319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-193675</wp:posOffset>
            </wp:positionV>
            <wp:extent cx="6858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17"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The Company does not allocate any income and expenses beyond revenue and cost of goods sold to the reportable operating segments in its reporting to the CODM. No asset information is provided for reportable operating segments because they are not reviewed by the CODM on segment basis. Substantially all of the Company’s revenue is generated from sales in the United States, and none of its property and equipment is located outside the United States.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15. Subsequent Events</w:t>
      </w:r>
    </w:p>
    <w:p>
      <w:pPr>
        <w:spacing w:after="0" w:line="135"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The Company evaluated subsequent events through November 10, 2021, the date on which the condensed consolidated financial statements were available for issuance.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the related notes and other financial information included elsewhere in this Quarterly Report on Form 10-Q. as well as our audited financial statements and related notes as disclosed in our prospectus, dated July 14, 2021, filed with the Securities and Exchange Commission (“SEC”) in accordance with Rule 424(b) of the Securities Act on July 15, 2021 (the “Prospectus”) in connection with our initial public offering (“IPO”). Certain information contained in the discussion and analysis set forth below includes forward-looking statements that involve risks and uncertainties. Our actual results may differ materially from those anticipated in these forward-looking statements as a result of various factors, including those set forth in Part II, Item 1A, “Risk Factors” and other factors set forth in other parts of this Quarterly Report on Form 10-Q.</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Our mission is to transform ophthalmology and optometry through the development and commercialization of proprietary devices that target the underlying causes of the world’s most prevalent eye diseases. We are passionate about improving patients’ lives. Our business philosophy is grounded in the following principles: comprehensively understanding disease physiology, developing products that are intended to restore natural physiological functionality to diseased eyes; developing and marketing products that achieve superior effectiveness versus current treatment paradigms while minimizing complications or side effects, providing intuitive, patient friendly solutions to ophthalmologists and optometrists; and delivering compelling economic value to all stakeholders, including patients, providers and third-party payors, such as Medicare and commercial insurers. Our objective is to develop and market products for use in new treatment paradigms and to create an interventional mindset in eyecare whereby our products may be used in procedures which supplant conventional outdated approaches. We believe current eyecare treatment models rely heavily on prescription medications, symptom relief, or either flawed or highly invasive, later-stage procedural interventions, and fail to adequately address the true underlying cause of disease. We have focused our initial product development on the treatment of two of the world’s most prevalent and underserved eye diseases, glaucoma and dry eye disease, or DED.</w:t>
      </w:r>
    </w:p>
    <w:p>
      <w:pPr>
        <w:spacing w:after="0" w:line="178"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We have commercial products in each of our two reportable segments, Surgical Glaucoma and Dry Eye. Our Surgical Glaucoma segment consists of sales of the OMNI® Surgical System, or OMNI. Our Dry Eye segment includes sales of the TearCare® System, or TearCare, and related components and accessories. For the three and nine months ended September 30, 2021, 95.0% and 5.0% of our revenues, respectively, were derived from our Surgical Glaucoma and Dry Eye segments, respectively. We primarily sell both systems through a highly-involved direct sales model that offers intensive education, training and customer service. We believe this philosophy and model not only enables us to differentiate our products and our overall company from competitors, but also to expand our addressable market by educating ophthalmologists and optometrists (together, eyecare professionals or ECPs), patients and other stakeholders on our products and evolving treatment paradigms. Outside of the U.S., we have historically sold OMNI primarily through a network of distributors, although we began employing a small direct sales force outside of the U.S. in April 2021.</w:t>
      </w:r>
    </w:p>
    <w:p>
      <w:pPr>
        <w:spacing w:after="0" w:line="163" w:lineRule="exact"/>
        <w:rPr>
          <w:sz w:val="20"/>
          <w:szCs w:val="20"/>
          <w:color w:val="auto"/>
        </w:rPr>
      </w:pPr>
    </w:p>
    <w:p>
      <w:pPr>
        <w:ind w:right="20" w:firstLine="509"/>
        <w:spacing w:after="0" w:line="306" w:lineRule="auto"/>
        <w:rPr>
          <w:sz w:val="20"/>
          <w:szCs w:val="20"/>
          <w:color w:val="auto"/>
        </w:rPr>
      </w:pPr>
      <w:r>
        <w:rPr>
          <w:rFonts w:ascii="Arial" w:cs="Arial" w:eastAsia="Arial" w:hAnsi="Arial"/>
          <w:sz w:val="16"/>
          <w:szCs w:val="16"/>
          <w:color w:val="auto"/>
        </w:rPr>
        <w:t>We commercially launched OMNI and TearCare in February 2018 and April 2019, respectively. In May 2020, we introduced a new version of the OMNI Surgical System called OMNI Next Gen that incorporated extensive feedback from our physician users and that we believe improved upon the first-generation device. We sell OMNI to facilities where ophthalmic surgeons perform outpatient procedures, mainly ambulatory surgery centers, or ASCs and hospital outpatient departments, or HOPDs, which are typically reimbursed by Medicare or private payors for procedures using our products. We sell TearCare to optometrist and ophthalmologist practices. Currently, there is no meaningful reimbursement coverage by Medicare or private payors for MGD procedures, including TearCare, and patients have typically paid out-of-pocket for TearCare. We are continuing our controlled commercial launch and are focused upon comprehensive, clinical data-driven long-term market development plan that aims to improve awareness and patient access to TearCare. As of September 30, 2021, we employed over 100 people to execute our commercial strategy in direct sales, marketing, training and professional services. The overall success of our approach to eyecare to date is evidenced by the over 80,000 estimated uses of OMNI and its direct predicates in over 1,200 hospitals and ASCs in the U.S. and Europe, and over 14,000 estimated uses of TearCare in over 450 eyecare facilities in the U.S. through September 30, 2021.</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9" w:name="page30"/>
    <w:bookmarkEnd w:id="29"/>
    <w:p>
      <w:pPr>
        <w:ind w:right="300" w:firstLine="509"/>
        <w:spacing w:after="0" w:line="279" w:lineRule="auto"/>
        <w:rPr>
          <w:sz w:val="20"/>
          <w:szCs w:val="20"/>
          <w:color w:val="auto"/>
        </w:rPr>
      </w:pPr>
      <w:r>
        <w:rPr>
          <w:rFonts w:ascii="Arial" w:cs="Arial" w:eastAsia="Arial" w:hAnsi="Arial"/>
          <w:sz w:val="18"/>
          <w:szCs w:val="18"/>
          <w:color w:val="auto"/>
        </w:rPr>
        <w:t>We have no manufacturing facilities of our own and instead contract with third parties for our production requirements. We currently believe our suppliers will be able to meet our current and anticipated manufacturing needs across all of our products. We do not currently plan to manufacture our products or any related components ourselves.</w:t>
      </w:r>
    </w:p>
    <w:p>
      <w:pPr>
        <w:spacing w:after="0" w:line="183"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Beginning with the production of finished goods inventory in February 2021, we have shifted our primary production of OMNI from a U.S.-based third-party contract manufacturer, to a lower cost, higher volume contract manufacturer in Asia, and are in the process of supplementing this OMNI production capacity with a U.S.-based contract manufacturer. We believe that these cost optimization initiatives contributed to the increase in gross margins in our Surgical Glaucoma segment thus far in 2021 as compared to the same periods in 2020. The TearCare System includes the SmartHub component, which is typically only sold in initial purchase orders, and single-use SmartLids which are sold as part of initial purchase orders and through repeat orders as the ECP performs procedures over time. In an effort to build a meaningful TearCare installed base and encourage product trial and adoption by ECPs, our pricing strategy for SmartHubs has not focused on gross profit maximization. As the installed base of TearCare customers grows, we believe SmartLids, which currently generate higher gross margins than SmartHubs, will increase as a proportion of total Dry Eye segment revenues and gross profit. Given the earlier stage of TearCare’s commercial development and our pricing strategy with respect to SmartHubs, we expect our Dry Eye segment’s gross margins to be lower than our Surgical Glaucoma segment’s gross margins for the near and medium-term.</w:t>
      </w:r>
    </w:p>
    <w:p>
      <w:pPr>
        <w:spacing w:after="0" w:line="165" w:lineRule="exact"/>
        <w:rPr>
          <w:sz w:val="20"/>
          <w:szCs w:val="20"/>
          <w:color w:val="auto"/>
        </w:rPr>
      </w:pPr>
    </w:p>
    <w:p>
      <w:pPr>
        <w:ind w:right="20" w:firstLine="509"/>
        <w:spacing w:after="0" w:line="306" w:lineRule="auto"/>
        <w:rPr>
          <w:sz w:val="20"/>
          <w:szCs w:val="20"/>
          <w:color w:val="auto"/>
        </w:rPr>
      </w:pPr>
      <w:r>
        <w:rPr>
          <w:rFonts w:ascii="Arial" w:cs="Arial" w:eastAsia="Arial" w:hAnsi="Arial"/>
          <w:sz w:val="16"/>
          <w:szCs w:val="16"/>
          <w:color w:val="auto"/>
        </w:rPr>
        <w:t>We believe in the importance of continued strategic investment in initiatives that: further demonstrate our products’ clinical effectiveness and safety to potential customers, patients, payors and regulators; enhance our commercial capabilities, including resources dedicated to sales, marketing and education; ensure the broadest possible patient access to the treatment alternatives that our products are designed to offer, enhance and improve upon our existing product technologies; and allow us to innovate new products, devices or drugs, in glaucoma and DED or in new eye disease areas. As a result, we intend to continue to invest in clinical studies, sales and marketing, education initiatives, market access, and product development. Because of these and other factors, we expect to continue to incur net losses for at least the next several fiscal years. Moreover, we expect to incur additional expenses as a result of operating as a public company, including expenses related to compliance with the rules and regulations of the SEC and those of the Nasdaq Stock Market, additional insurance expenses, investor relations activities and other administrative and professional services. As a result of these and other factors, we may require and seek additional debt and equity financing to fund our operations and planned growth.</w:t>
      </w:r>
    </w:p>
    <w:p>
      <w:pPr>
        <w:spacing w:after="0" w:line="170"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To date, our primary sources of capital has been private placements of redeemable convertible preferred stock, debt financing agreements, the sale of common stock in our IPO, and revenue from the sale of our products. On July 19, 2021, we completed our IPO, including the underwriters full exercise of their option to purchase additional shares, selling 11,500,000 shares of our common stock at $24.00 per share. Upon completion of our IPO, we received $252.2 million, after deducting underwriting discounts and commissions and offering costs. As of September 30, 2021, we had an outstanding term loan balance of $35.0 million (excluding debt discount and amortized debt issuance costs), cash and cash equivalents of $271.5 million and an accumulated deficit of $137.1 million.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31" w:lineRule="exact"/>
        <w:rPr>
          <w:sz w:val="20"/>
          <w:szCs w:val="20"/>
          <w:color w:val="auto"/>
        </w:rPr>
      </w:pPr>
    </w:p>
    <w:p>
      <w:pPr>
        <w:ind w:right="100" w:firstLine="509"/>
        <w:spacing w:after="0" w:line="306" w:lineRule="auto"/>
        <w:rPr>
          <w:sz w:val="20"/>
          <w:szCs w:val="20"/>
          <w:color w:val="auto"/>
        </w:rPr>
      </w:pPr>
      <w:r>
        <w:rPr>
          <w:rFonts w:ascii="Arial" w:cs="Arial" w:eastAsia="Arial" w:hAnsi="Arial"/>
          <w:sz w:val="16"/>
          <w:szCs w:val="16"/>
          <w:color w:val="auto"/>
        </w:rPr>
        <w:t>In December 2019, a novel strain of coronavirus, COVID-19, emerged in Wuhan, China. The World Health Organization declared COVID-19 to be a pandemic, spreading across the globe and impacting worldwide economic activity. In 2020, certain U.S. federal, state and local governmental authorities issued stay-at-home orders, proclamations and/or directives, including restrictions on elective procedures and therapies, aimed at minimizing the spread of COVID-19. As such, the global COVID-19 pandemic impacted and is expected to continue to impact demand for our products, which are used in procedures and therapies that are considered elective. Although some of these governmental restrictions have since been lifted or scaled back, recent and future surges of COVID-19, including recent surges in the delta variant of COVID-19, may result in restrictions being re-implemented in response to efforts to reduce the spread of COVID-19. We experienced a significant decrease in our revenues for both of our products in the second quarter of 2020 as compared to the first quarter of 2020. As elective eye care procedures in many facilities that utilize our products were temporarily suspended by governmental authorities, many patients avoided visiting ECPs, and, even in areas that allowed elective procedures, ECPs and healthcare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ind w:right="40"/>
        <w:spacing w:after="0" w:line="306" w:lineRule="auto"/>
        <w:rPr>
          <w:sz w:val="20"/>
          <w:szCs w:val="20"/>
          <w:color w:val="auto"/>
        </w:rPr>
      </w:pPr>
      <w:r>
        <w:rPr>
          <w:rFonts w:ascii="Arial" w:cs="Arial" w:eastAsia="Arial" w:hAnsi="Arial"/>
          <w:sz w:val="16"/>
          <w:szCs w:val="16"/>
          <w:color w:val="auto"/>
        </w:rPr>
        <w:t>facilities in general substantially reduced or in some cases halted, the scheduling and performance of such procedures and limited the access of industry professionals which impacts our ability to support and train our customers. The decrease in demand for our products due to COVID-19 most significantly impacted our revenues in the latter part of the quarter ended March 31, 2020 and the first half of the quarter ended June 30, 2020. Beginning in June 2020, we began to see an increase in the number of procedures using our products. In the first quarter of 2021, our customers experienced a significant number of procedure cancellations which we believe were largely driven by patients postponing office visit as well as treatments until their COVID-19 vaccinations were completed (as opposed to any restrictions imposed on elective procedures), impacting our revenues. As vaccine availability and the vaccinated population increased across the U.S., we observed a recovery of our end markets starting in the second quarter of 2021 which we currently expect to continue throughout the remainder of the year, provided that the lifting of restrictions on elective procedures and therapies continues and such restrictions are not reimposed. As a result, we believe that there may be a modest benefit to our revenues as glaucoma and DED patients schedule previously deferred elective procedures, provided that the lifting of restrictions on elective procedures and therapies continues and such restrictions are not reimposed.</w:t>
      </w:r>
    </w:p>
    <w:p>
      <w:pPr>
        <w:spacing w:after="0" w:line="165" w:lineRule="exact"/>
        <w:rPr>
          <w:sz w:val="20"/>
          <w:szCs w:val="20"/>
          <w:color w:val="auto"/>
        </w:rPr>
      </w:pPr>
    </w:p>
    <w:p>
      <w:pPr>
        <w:ind w:firstLine="509"/>
        <w:spacing w:after="0" w:line="302" w:lineRule="auto"/>
        <w:rPr>
          <w:sz w:val="20"/>
          <w:szCs w:val="20"/>
          <w:color w:val="auto"/>
        </w:rPr>
      </w:pPr>
      <w:r>
        <w:rPr>
          <w:rFonts w:ascii="Arial" w:cs="Arial" w:eastAsia="Arial" w:hAnsi="Arial"/>
          <w:sz w:val="16"/>
          <w:szCs w:val="16"/>
          <w:color w:val="auto"/>
        </w:rPr>
        <w:t>We are continuing to closely monitor the global COVID-19 pandemic. In order to operate in a safe manner, we are following the health and safety guidelines of the U.S. Centers for Disease Control and Prevention, Occupational Safety and Health Administration, and local and state public health departments where we operate. The majority of our employees at our headquarters have been asked to work from home, with only limited access given to employees to work in the office when necessary. For roles that require employees to be on-site, such as our R&amp;D and manufacturing technical staff, we are providing protective equipment, practicing social distancing, and enforcing mask wearing and we have increased sanitization standards. In addition, we have created a business continuity plan and incident management team to respond quickly and effectively to COVID-19 related issues in order to offer customers uninterrupted products, services and support while safeguarding the best interests of employees, suppliers and stakeholders. The ultimate impact of the global COVID-19 pandemic on our operations is unknown and will depend on future developments which are highly uncertain and cannot be predicted with confidence, including the duration and severity of the COVID-19 pandemic, the status of health and safety actions taken to contain its spread and any additional preventative and protective actions that governments, or we, may direct, any resurgence of COVID-19 that may occur and how quickly and to what extent economic and operating conditions normalize within the markets in which we operate. The global COVID-19 pandemic could disrupt the operations and supply chain efficiencies (delivery of components and finished goods) of our third-party manufacturers and other suppliers. Although we have not experienced material disruptions in our supply chain to date, we cannot predict how long the pandemic and measures intended to contain the spread of COVID-19 will continue and what effect COVID-19 and the associated containment measures will have on our suppliers and vendors, in particular for any of our suppliers and vendors that may not qualify as essential businesses and suffer more significant disruptions to their business operations. We are working closely with our manufacturing partners and suppliers to help ensure we are able to source key components and maintain appropriate inventory levels to meet customer demand. However, if there is a resurgence in the spread of COVID-19, including by means of the delta variant of other variants, then we may experience another slow-down in or postponement of scheduling and performance of procedures using our products, in which case our current expectations regarding continued market recovery may not come to pass, and we could further encounter unanticipated supply chain or other challenges that could adversely affect our business.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 and Results of Operations</w:t>
      </w:r>
    </w:p>
    <w:p>
      <w:pPr>
        <w:spacing w:after="0" w:line="135" w:lineRule="exact"/>
        <w:rPr>
          <w:sz w:val="20"/>
          <w:szCs w:val="20"/>
          <w:color w:val="auto"/>
        </w:rPr>
      </w:pPr>
    </w:p>
    <w:p>
      <w:pPr>
        <w:ind w:right="420" w:firstLine="509"/>
        <w:spacing w:after="0" w:line="293" w:lineRule="auto"/>
        <w:rPr>
          <w:sz w:val="20"/>
          <w:szCs w:val="20"/>
          <w:color w:val="auto"/>
        </w:rPr>
      </w:pPr>
      <w:r>
        <w:rPr>
          <w:rFonts w:ascii="Arial" w:cs="Arial" w:eastAsia="Arial" w:hAnsi="Arial"/>
          <w:sz w:val="18"/>
          <w:szCs w:val="18"/>
          <w:color w:val="auto"/>
        </w:rPr>
        <w:t>We believe there are several important factors that have impacted and that will continue to impact our business and results of operations. These factors include, but are limited to:</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31"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We believe our product development approach is a key differentiator of our team and our business. We are focused on continuous innovation and design and utilize input from our network of expert employees (including several ophthalmologists on staff), advisors and customers to rapidly iterate our pre-and post-commercial product designs with the aim of better satisfying the needs of our customers and their patients, and increasing adoption and utilization of our technologies. Once our products are launched, our customer feedback helps us further develop our products. This is particularly evident in the evolution of our OMNI Surgical System, which originated from the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1" w:name="page32"/>
    <w:bookmarkEnd w:id="31"/>
    <w:p>
      <w:pPr>
        <w:jc w:val="both"/>
        <w:ind w:right="60"/>
        <w:spacing w:after="0" w:line="303" w:lineRule="auto"/>
        <w:rPr>
          <w:sz w:val="20"/>
          <w:szCs w:val="20"/>
          <w:color w:val="auto"/>
        </w:rPr>
      </w:pPr>
      <w:r>
        <w:rPr>
          <w:rFonts w:ascii="Arial" w:cs="Arial" w:eastAsia="Arial" w:hAnsi="Arial"/>
          <w:sz w:val="17"/>
          <w:szCs w:val="17"/>
          <w:color w:val="auto"/>
        </w:rPr>
        <w:t>combined functionality of two internally developed, commercial predicate devices, each of which had their own multiple commercial iterations. We further refined ergonomics and functionality in the next generation OMNI System, which we launched in May 2020. Our future growth is dependent on our ability to continue innovating and applying our expertise of disease physiology to improve existing products and develop new products.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Education and Training on the Benefit of our Products vis-à-vis Existing Treatment Alternatives</w:t>
      </w:r>
    </w:p>
    <w:p>
      <w:pPr>
        <w:spacing w:after="0" w:line="131" w:lineRule="exact"/>
        <w:rPr>
          <w:sz w:val="20"/>
          <w:szCs w:val="20"/>
          <w:color w:val="auto"/>
        </w:rPr>
      </w:pPr>
    </w:p>
    <w:p>
      <w:pPr>
        <w:ind w:right="140" w:firstLine="509"/>
        <w:spacing w:after="0" w:line="288" w:lineRule="auto"/>
        <w:rPr>
          <w:sz w:val="20"/>
          <w:szCs w:val="20"/>
          <w:color w:val="auto"/>
        </w:rPr>
      </w:pPr>
      <w:r>
        <w:rPr>
          <w:rFonts w:ascii="Arial" w:cs="Arial" w:eastAsia="Arial" w:hAnsi="Arial"/>
          <w:sz w:val="17"/>
          <w:szCs w:val="17"/>
          <w:color w:val="auto"/>
        </w:rPr>
        <w:t>One of the key drivers of our success is educating ophthalmologists, optometrists, patients, and third-party payors about the clinical and safety benefits of our products and of the benefits of more proactive, interventional approach to treating glaucoma and DED. We believe the required market education and development is best accomplished through a differentiated, highly involved commercial approach. As such, we devote significant resources to onboarding our sales professionals and to continuously augmenting their knowledge and capabilities. Our sales professionals provide ECPs with the necessary education, training and appropriate support to adopt and continue to use our products. We believe that increasing acceptance and usage of our products will require continued investment in our sales force and education efforts to ensure ECPs, patients and third-party payors learn more about our products and appreciate our benefits to an expanded patient population.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Maximizing Product Usage by Customers</w:t>
      </w:r>
    </w:p>
    <w:p>
      <w:pPr>
        <w:spacing w:after="0" w:line="131"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 xml:space="preserve">Demand for our products will be highly dependent on our ability to develop their potential addressable markets and maximize the breadth of patients our products can serve. OMNI is indicated for canaloplasty followed by trabeculotomy to reduce intraocular pressure, or IOP, in adult patients with primary open-angle glaucoma, or POAG, in the U.S. and with open-angle glaucoma, or OAG, in the European Union. We believe that OMNI is the only device that is authorized by the FDA as an </w:t>
      </w:r>
      <w:r>
        <w:rPr>
          <w:rFonts w:ascii="Arial" w:cs="Arial" w:eastAsia="Arial" w:hAnsi="Arial"/>
          <w:sz w:val="17"/>
          <w:szCs w:val="17"/>
          <w:i w:val="1"/>
          <w:iCs w:val="1"/>
          <w:color w:val="auto"/>
        </w:rPr>
        <w:t>ab interno</w:t>
      </w:r>
      <w:r>
        <w:rPr>
          <w:rFonts w:ascii="Arial" w:cs="Arial" w:eastAsia="Arial" w:hAnsi="Arial"/>
          <w:sz w:val="17"/>
          <w:szCs w:val="17"/>
          <w:color w:val="auto"/>
        </w:rPr>
        <w:t xml:space="preserve"> procedure to: reduce IOP in adult patients with POAG across the spectrum of disease severity; be used in mild-to-moderate procedures either in combination with cataract surgery, or Combination Cataract, or on a standalone basis, which we refer to as Standalone procedures; access 360 degrees of the diseased conventional outflow pathway through a single clear corneal incision; and facilitate two consecutive procedures, canaloplasty and trabeculotomy, to comprehensively treat all three primary points of resistance in the conventional outflow pathway in a single operating room visit. Our ability to establish OMNI as the standard of care for all POAG patients by continuing to grow its adoption and utilization in Combination Cataract procedures to build OMNI's user base in our effort to pioneer the development of the market for interventional mild to moderate Standalone procedures will have a substantial impact on our future growth.</w:t>
      </w:r>
    </w:p>
    <w:p>
      <w:pPr>
        <w:spacing w:after="0" w:line="182"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TearCare serves as an elegant, compact, portable, intuitive solution that enables the application of localized heat to the eyelids with a universal fit that directly targets the meibomian glands for all eye physiologies, and we believe it presents a compelling physiological profile to potentially address MGD. The current DED treatment market primarily consists of an abundance of OTC and prescription eyedrops that seek to lubricate the ocular surface, alleviate inflammation and/or increase tear production respectively. However, OTC and prescription eyedrops mechanism of action are not designed to address MGD’s eyelid-borne physiology and subsequent obstruction of the meibomian glands. MGD is associated with 86% of DED cases and is a leading root cause of evaporative DED, which is characterized by low quality tears that evaporate prematurely. Clinical studies have demonstrated that treating MGD by liquefying and removing clogged meibum is the most effective method to eliminate obstructions and restore the lipid layer of tear film, thereby preventing premature evaporation of tears. TearCare was designed to be administered during the course of a routine office visit to an ECP, which makes it convenient for patients, and allows providers to maintain procedural throughput in their practices. Our ability to improve patient access and differentiate the value proposition of TearCare through market education and the benefits of proactive MGD treatment will be key drivers of TearCare’s future growth.</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Excellence and Cost Efficiency</w:t>
      </w:r>
    </w:p>
    <w:p>
      <w:pPr>
        <w:spacing w:after="0" w:line="131" w:lineRule="exact"/>
        <w:rPr>
          <w:sz w:val="20"/>
          <w:szCs w:val="20"/>
          <w:color w:val="auto"/>
        </w:rPr>
      </w:pPr>
    </w:p>
    <w:p>
      <w:pPr>
        <w:ind w:right="120" w:firstLine="509"/>
        <w:spacing w:after="0" w:line="292" w:lineRule="auto"/>
        <w:rPr>
          <w:sz w:val="20"/>
          <w:szCs w:val="20"/>
          <w:color w:val="auto"/>
        </w:rPr>
      </w:pPr>
      <w:r>
        <w:rPr>
          <w:rFonts w:ascii="Arial" w:cs="Arial" w:eastAsia="Arial" w:hAnsi="Arial"/>
          <w:sz w:val="17"/>
          <w:szCs w:val="17"/>
          <w:color w:val="auto"/>
        </w:rPr>
        <w:t>We aim to achieve operating and financial milestones with optimal capital efficiency, and focus on our market value relative to invested capital as a key measurement of our performance. To date, we have raised $402.4 million from equity and debt financings, including $252.2 million from our IPO. With a portion of these net proceeds (our September 30, 2021 cash and equivalents was $271.5 million), we believe we have developed and commercially launched two clinically differentiated products, funded multiple completed and ongoing clinical trials, and built our management team and company infrastructure to support the continued growth of our business. We believe that this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2" w:name="page33"/>
    <w:bookmarkEnd w:id="32"/>
    <w:p>
      <w:pPr>
        <w:ind w:right="140"/>
        <w:spacing w:after="0" w:line="275" w:lineRule="auto"/>
        <w:rPr>
          <w:sz w:val="20"/>
          <w:szCs w:val="20"/>
          <w:color w:val="auto"/>
        </w:rPr>
      </w:pPr>
      <w:r>
        <w:rPr>
          <w:rFonts w:ascii="Arial" w:cs="Arial" w:eastAsia="Arial" w:hAnsi="Arial"/>
          <w:sz w:val="18"/>
          <w:szCs w:val="18"/>
          <w:color w:val="auto"/>
        </w:rPr>
        <w:t>level of operational and commercial progress relative to our total capital investment to date compares favorably to medical technology peers. We seek to design products that can achieve attractive long-term gross margins. For example, we have targeted the achievement of higher gross margins as one of our long-term objectives for our Surgical Glaucoma segment. The achievement of this objective has been supported by our shift to high-volume contract manufacturers in 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1" w:lineRule="exact"/>
        <w:rPr>
          <w:sz w:val="20"/>
          <w:szCs w:val="20"/>
          <w:color w:val="auto"/>
        </w:rPr>
      </w:pPr>
    </w:p>
    <w:p>
      <w:pPr>
        <w:ind w:right="20" w:firstLine="509"/>
        <w:spacing w:after="0" w:line="309" w:lineRule="auto"/>
        <w:rPr>
          <w:sz w:val="20"/>
          <w:szCs w:val="20"/>
          <w:color w:val="auto"/>
        </w:rPr>
      </w:pPr>
      <w:r>
        <w:rPr>
          <w:rFonts w:ascii="Arial" w:cs="Arial" w:eastAsia="Arial" w:hAnsi="Arial"/>
          <w:sz w:val="16"/>
          <w:szCs w:val="16"/>
          <w:color w:val="auto"/>
        </w:rPr>
        <w:t>We currently derive all of our revenue from the sale of OMNI to ASCs and HOPDs and TearCare to ophthalmology and optometry clinical practices. During each of the three and nine months ended September 30, 2021 and 2020, the revenues from our Surgical Glaucoma segment, including OMNI and its predicate devices, accounted for over 90% of our total revenues. Substantially all of our revenues for the three and nine months ended September 30, 2021 and 2020 were generated from sales within the U.S. Our OMNI customers place orders based on their expected procedure volume and reorder as needed, typically on a biweekly, monthly or bimonthly basis. Our TearCare customers typically purchase a TearCare System which consists of one or more SmartHubs, multiple single-use SmartLids and other accessories. After utilizing their initial inventory, customers reorder SmartLids as needed. No single customer accounted for 10% or more of our revenue for any of the three and nine months ended September 30, 2021 and 2020.</w:t>
      </w:r>
    </w:p>
    <w:p>
      <w:pPr>
        <w:spacing w:after="0" w:line="164"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The growth in our revenue from 2018 to 2021 has been driven by the demand for elective surgery and treatment utilizing our products. Such demand is often lower during summer months because of ECP vacations and in winter months in certain parts of the world because of fewer business or surgery days due to holidays and adverse weather conditions.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131" w:lineRule="exact"/>
        <w:rPr>
          <w:sz w:val="20"/>
          <w:szCs w:val="20"/>
          <w:color w:val="auto"/>
        </w:rPr>
      </w:pPr>
    </w:p>
    <w:p>
      <w:pPr>
        <w:ind w:right="40" w:firstLine="509"/>
        <w:spacing w:after="0" w:line="304" w:lineRule="auto"/>
        <w:rPr>
          <w:sz w:val="20"/>
          <w:szCs w:val="20"/>
          <w:color w:val="auto"/>
        </w:rPr>
      </w:pPr>
      <w:r>
        <w:rPr>
          <w:rFonts w:ascii="Arial" w:cs="Arial" w:eastAsia="Arial" w:hAnsi="Arial"/>
          <w:sz w:val="16"/>
          <w:szCs w:val="16"/>
          <w:color w:val="auto"/>
        </w:rPr>
        <w:t>Our products are produced by third-party manufacturers. Our cost of goods sold consists primarily of amounts paid for our products to third-party manufacturers, and our manufacturing overhead costs, which consist primarily of personnel expenses, including salaries, benefits and stock-based compensation, and reserves for excess, obsolete and non-sellable inventory. Cost of goods sold also includes depreciation expenses for production equipment which we provide to our third-party manufacturers and certain direct costs, such as shipping and handling costs. We calculate gross margin as gross profit divided by revenue. Our gross margin has been and will continue to be affected by a variety of factors, including differences in segment gross margins, changes in average selling prices, product sales mix, production and ordering volumes, manufacturing costs, product yields, and headcount. In 2021, our gross margins have increased as we transition production of OMNI to lower-cost manufacturers and as we expect Surgical Glaucoma revenues will grow as a percentage of our overall revenue mix. In general, we expect our gross margins to increase over the long-term to the extent our production and ordering volumes increase and to the extent we spread the fixed portion of our overhead costs over a larger number of units produced. We intend to use our design, engineering and manufacturing know-how and capabilities to further advance and improve the efficiency of our suppliers’ manufacturing processes, which we believe will reduce costs and increase our gross margins. Our gross margins could fluctuate from quarter to quarter as we transition to new suppliers, introduce new products and adopt new manufacturing processes and technologies.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ind w:right="180" w:firstLine="509"/>
        <w:spacing w:after="0" w:line="309" w:lineRule="auto"/>
        <w:rPr>
          <w:sz w:val="20"/>
          <w:szCs w:val="20"/>
          <w:color w:val="auto"/>
        </w:rPr>
      </w:pPr>
      <w:r>
        <w:rPr>
          <w:rFonts w:ascii="Arial" w:cs="Arial" w:eastAsia="Arial" w:hAnsi="Arial"/>
          <w:sz w:val="16"/>
          <w:szCs w:val="16"/>
          <w:color w:val="auto"/>
        </w:rPr>
        <w:t>Research and development, or R&amp;D, expenses consist primarily of engineering, product development, clinical studies to develop and support our products, including clinical trial design, clinical trial site initiation and study costs, internal and external costs associated with our regulatory compliance and quality assurance functions, medical affairs, cost of products used for clinical trials and other costs associated with products and technologies – either new or enhancements of existing platforms – that are in development. These expenses also include personnel expenses, including salaries, benefits and stock-based compensation, supplies, consulting, prototyping, testing, materials, travel expenses, depreciation expenses for equipment and an allocation of IT and facility overhead expenses. Our R&amp;D expenses as a percentage of revenue may vary over time depending on the level and timing of new product development efforts, as well as clinical development, clinical trial and other related activities. We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3" w:name="page34"/>
    <w:bookmarkEnd w:id="33"/>
    <w:p>
      <w:pPr>
        <w:ind w:right="340"/>
        <w:spacing w:after="0" w:line="293" w:lineRule="auto"/>
        <w:rPr>
          <w:sz w:val="20"/>
          <w:szCs w:val="20"/>
          <w:color w:val="auto"/>
        </w:rPr>
      </w:pPr>
      <w:r>
        <w:rPr>
          <w:rFonts w:ascii="Arial" w:cs="Arial" w:eastAsia="Arial" w:hAnsi="Arial"/>
          <w:sz w:val="18"/>
          <w:szCs w:val="18"/>
          <w:color w:val="auto"/>
        </w:rPr>
        <w:t>expect our R&amp;D expenses to increase for the next several years as we continue to invest in our active clinical trial program, develop new products and improve our existing products.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31"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Selling, general and administrative, or SG&amp;A, expenses consist primarily of personnel expenses, including salaries, benefits and stock-based compensation related to selling, marketing and corporate functions, allocation of IT and facility overhead expenses, bad debt expense, finance, legal and human resource costs. Other SG&amp;A expenses include training, travel expenses, promotional activities, marketing initiatives, market research and analysis, conferences and trade shows, professional services fees (including external legal, audit, consulting and tax fees), insurance costs, and general corporate expenses. We expect SG&amp;A expenses to continue to increase in absolute dollars as we expand our infrastructure to both drive and support the anticipated growth in revenue and due to additional legal, accounting, insurance and other expenses associated with being a public company.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31" w:lineRule="exact"/>
        <w:rPr>
          <w:sz w:val="20"/>
          <w:szCs w:val="20"/>
          <w:color w:val="auto"/>
        </w:rPr>
      </w:pPr>
    </w:p>
    <w:p>
      <w:pPr>
        <w:ind w:right="300" w:firstLine="509"/>
        <w:spacing w:after="0" w:line="293" w:lineRule="auto"/>
        <w:rPr>
          <w:sz w:val="20"/>
          <w:szCs w:val="20"/>
          <w:color w:val="auto"/>
        </w:rPr>
      </w:pPr>
      <w:r>
        <w:rPr>
          <w:rFonts w:ascii="Arial" w:cs="Arial" w:eastAsia="Arial" w:hAnsi="Arial"/>
          <w:sz w:val="18"/>
          <w:szCs w:val="18"/>
          <w:color w:val="auto"/>
        </w:rPr>
        <w:t>Interest expense consists primarily of interest incurred on our outstanding indebtedness and non-cash interest related to the amortization of debt discount and issuance costs associated with our outstanding loan.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earned on our balances of cash and cash equivalents.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31"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Other income (expense), net primarily consists of gains and losses resulting from the remeasurement of the fair value of our redeemable convertible preferred stock warrant liability at each balance sheet date. We recorded adjustments to the estimated fair value of the redeemable convertible preferred stock warrants until they were exercised in August 2021. At such time, the final fair value of the warrant liability was reclassified to stockholders’ deficit and we no longer record any related periodic fair value adjustments.</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76" w:right="4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 (dollars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96"/>
        </w:trPr>
        <w:tc>
          <w:tcPr>
            <w:tcW w:w="38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r>
      <w:tr>
        <w:trPr>
          <w:trHeight w:val="196"/>
        </w:trPr>
        <w:tc>
          <w:tcPr>
            <w:tcW w:w="3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0" w:type="dxa"/>
            <w:vAlign w:val="bottom"/>
            <w:gridSpan w:val="3"/>
          </w:tcPr>
          <w:p>
            <w:pPr>
              <w:jc w:val="right"/>
              <w:ind w:right="736"/>
              <w:spacing w:after="0"/>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63"/>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r>
      <w:tr>
        <w:trPr>
          <w:trHeight w:val="250"/>
        </w:trPr>
        <w:tc>
          <w:tcPr>
            <w:tcW w:w="388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12,446</w:t>
            </w:r>
          </w:p>
        </w:tc>
        <w:tc>
          <w:tcPr>
            <w:tcW w:w="480" w:type="dxa"/>
            <w:vAlign w:val="bottom"/>
          </w:tcPr>
          <w:p>
            <w:pPr>
              <w:spacing w:after="0"/>
              <w:rPr>
                <w:sz w:val="21"/>
                <w:szCs w:val="21"/>
                <w:color w:val="auto"/>
              </w:rPr>
            </w:pP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7,883</w:t>
            </w:r>
          </w:p>
        </w:tc>
        <w:tc>
          <w:tcPr>
            <w:tcW w:w="460" w:type="dxa"/>
            <w:vAlign w:val="bottom"/>
          </w:tcPr>
          <w:p>
            <w:pPr>
              <w:spacing w:after="0"/>
              <w:rPr>
                <w:sz w:val="21"/>
                <w:szCs w:val="21"/>
                <w:color w:val="auto"/>
              </w:rPr>
            </w:pP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4,563</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58 %</w:t>
            </w:r>
          </w:p>
        </w:tc>
      </w:tr>
      <w:tr>
        <w:trPr>
          <w:trHeight w:val="263"/>
        </w:trPr>
        <w:tc>
          <w:tcPr>
            <w:tcW w:w="3880" w:type="dxa"/>
            <w:vAlign w:val="bottom"/>
            <w:shd w:val="clear" w:color="auto" w:fill="CFF0FC"/>
          </w:tcPr>
          <w:p>
            <w:pPr>
              <w:ind w:left="380"/>
              <w:spacing w:after="0"/>
              <w:rPr>
                <w:sz w:val="20"/>
                <w:szCs w:val="20"/>
                <w:color w:val="auto"/>
              </w:rPr>
            </w:pPr>
            <w:r>
              <w:rPr>
                <w:rFonts w:ascii="Arial" w:cs="Arial" w:eastAsia="Arial" w:hAnsi="Arial"/>
                <w:sz w:val="18"/>
                <w:szCs w:val="18"/>
                <w:i w:val="1"/>
                <w:iCs w:val="1"/>
                <w:color w:val="auto"/>
              </w:rPr>
              <w:t>Percentage of total revenue</w:t>
            </w:r>
          </w:p>
        </w:tc>
        <w:tc>
          <w:tcPr>
            <w:tcW w:w="9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i w:val="1"/>
                <w:iCs w:val="1"/>
                <w:color w:val="auto"/>
              </w:rPr>
              <w:t>95.0 %</w:t>
            </w:r>
          </w:p>
        </w:tc>
        <w:tc>
          <w:tcPr>
            <w:tcW w:w="94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i w:val="1"/>
                <w:iCs w:val="1"/>
                <w:color w:val="auto"/>
              </w:rPr>
              <w:t>91.1 %</w:t>
            </w:r>
          </w:p>
        </w:tc>
        <w:tc>
          <w:tcPr>
            <w:tcW w:w="92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r>
      <w:tr>
        <w:trPr>
          <w:trHeight w:val="250"/>
        </w:trPr>
        <w:tc>
          <w:tcPr>
            <w:tcW w:w="3880" w:type="dxa"/>
            <w:vAlign w:val="bottom"/>
          </w:tcPr>
          <w:p>
            <w:pPr>
              <w:ind w:left="200"/>
              <w:spacing w:after="0"/>
              <w:rPr>
                <w:sz w:val="20"/>
                <w:szCs w:val="20"/>
                <w:color w:val="auto"/>
              </w:rPr>
            </w:pPr>
            <w:r>
              <w:rPr>
                <w:rFonts w:ascii="Arial" w:cs="Arial" w:eastAsia="Arial" w:hAnsi="Arial"/>
                <w:sz w:val="18"/>
                <w:szCs w:val="18"/>
                <w:color w:val="auto"/>
              </w:rPr>
              <w:t>Dry Eye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655</w:t>
            </w: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768</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(113 )</w:t>
            </w:r>
          </w:p>
        </w:tc>
        <w:tc>
          <w:tcPr>
            <w:tcW w:w="30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(14.7 )</w:t>
            </w:r>
          </w:p>
        </w:tc>
      </w:tr>
      <w:tr>
        <w:trPr>
          <w:trHeight w:val="257"/>
        </w:trPr>
        <w:tc>
          <w:tcPr>
            <w:tcW w:w="3880" w:type="dxa"/>
            <w:vAlign w:val="bottom"/>
            <w:shd w:val="clear" w:color="auto" w:fill="CFF0FC"/>
          </w:tcPr>
          <w:p>
            <w:pPr>
              <w:ind w:left="380"/>
              <w:spacing w:after="0"/>
              <w:rPr>
                <w:sz w:val="20"/>
                <w:szCs w:val="20"/>
                <w:color w:val="auto"/>
              </w:rPr>
            </w:pPr>
            <w:r>
              <w:rPr>
                <w:rFonts w:ascii="Arial" w:cs="Arial" w:eastAsia="Arial" w:hAnsi="Arial"/>
                <w:sz w:val="18"/>
                <w:szCs w:val="18"/>
                <w:i w:val="1"/>
                <w:iCs w:val="1"/>
                <w:color w:val="auto"/>
              </w:rPr>
              <w:t>Percentage of total revenue</w:t>
            </w:r>
          </w:p>
        </w:tc>
        <w:tc>
          <w:tcPr>
            <w:tcW w:w="9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i w:val="1"/>
                <w:iCs w:val="1"/>
                <w:color w:val="auto"/>
              </w:rPr>
              <w:t>5.0 %</w:t>
            </w:r>
          </w:p>
        </w:tc>
        <w:tc>
          <w:tcPr>
            <w:tcW w:w="94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i w:val="1"/>
                <w:iCs w:val="1"/>
                <w:color w:val="auto"/>
              </w:rPr>
              <w:t>8.9 %</w:t>
            </w:r>
          </w:p>
        </w:tc>
        <w:tc>
          <w:tcPr>
            <w:tcW w:w="92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r>
      <w:tr>
        <w:trPr>
          <w:trHeight w:val="250"/>
        </w:trPr>
        <w:tc>
          <w:tcPr>
            <w:tcW w:w="388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13,101</w:t>
            </w:r>
          </w:p>
        </w:tc>
        <w:tc>
          <w:tcPr>
            <w:tcW w:w="480" w:type="dxa"/>
            <w:vAlign w:val="bottom"/>
            <w:tcBorders>
              <w:top w:val="single" w:sz="8" w:color="CFF0FC"/>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8,651</w:t>
            </w:r>
          </w:p>
        </w:tc>
        <w:tc>
          <w:tcPr>
            <w:tcW w:w="460" w:type="dxa"/>
            <w:vAlign w:val="bottom"/>
            <w:tcBorders>
              <w:top w:val="single" w:sz="8" w:color="CFF0FC"/>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4,450</w:t>
            </w:r>
          </w:p>
        </w:tc>
        <w:tc>
          <w:tcPr>
            <w:tcW w:w="280" w:type="dxa"/>
            <w:vAlign w:val="bottom"/>
            <w:tcBorders>
              <w:top w:val="single" w:sz="8" w:color="CFF0FC"/>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280" w:type="dxa"/>
            <w:vAlign w:val="bottom"/>
            <w:tcBorders>
              <w:top w:val="single" w:sz="8" w:color="CFF0FC"/>
            </w:tcBorders>
          </w:tcPr>
          <w:p>
            <w:pPr>
              <w:spacing w:after="0"/>
              <w:rPr>
                <w:sz w:val="21"/>
                <w:szCs w:val="21"/>
                <w:color w:val="auto"/>
              </w:rPr>
            </w:pPr>
          </w:p>
        </w:tc>
      </w:tr>
      <w:tr>
        <w:trPr>
          <w:trHeight w:val="263"/>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goods sold</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r>
      <w:tr>
        <w:trPr>
          <w:trHeight w:val="250"/>
        </w:trPr>
        <w:tc>
          <w:tcPr>
            <w:tcW w:w="388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1,621</w:t>
            </w: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1,946</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(325 )</w:t>
            </w:r>
          </w:p>
        </w:tc>
        <w:tc>
          <w:tcPr>
            <w:tcW w:w="30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(16.7 )</w:t>
            </w:r>
          </w:p>
        </w:tc>
      </w:tr>
      <w:tr>
        <w:trPr>
          <w:trHeight w:val="257"/>
        </w:trPr>
        <w:tc>
          <w:tcPr>
            <w:tcW w:w="3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4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4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(233 )</w:t>
            </w:r>
          </w:p>
        </w:tc>
        <w:tc>
          <w:tcPr>
            <w:tcW w:w="30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(34.6 )</w:t>
            </w:r>
          </w:p>
        </w:tc>
      </w:tr>
      <w:tr>
        <w:trPr>
          <w:trHeight w:val="20"/>
        </w:trPr>
        <w:tc>
          <w:tcPr>
            <w:tcW w:w="38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50"/>
        </w:trPr>
        <w:tc>
          <w:tcPr>
            <w:tcW w:w="3880" w:type="dxa"/>
            <w:vAlign w:val="bottom"/>
          </w:tcPr>
          <w:p>
            <w:pPr>
              <w:ind w:left="56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2,062</w:t>
            </w: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2,620</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(558 )</w:t>
            </w:r>
          </w:p>
        </w:tc>
        <w:tc>
          <w:tcPr>
            <w:tcW w:w="30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(21.3 )</w:t>
            </w:r>
          </w:p>
        </w:tc>
      </w:tr>
      <w:tr>
        <w:trPr>
          <w:trHeight w:val="263"/>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r>
      <w:tr>
        <w:trPr>
          <w:trHeight w:val="250"/>
        </w:trPr>
        <w:tc>
          <w:tcPr>
            <w:tcW w:w="388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10,825</w:t>
            </w: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5,937</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4,888</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82.3</w:t>
            </w:r>
          </w:p>
        </w:tc>
        <w:tc>
          <w:tcPr>
            <w:tcW w:w="280" w:type="dxa"/>
            <w:vAlign w:val="bottom"/>
          </w:tcPr>
          <w:p>
            <w:pPr>
              <w:spacing w:after="0"/>
              <w:rPr>
                <w:sz w:val="21"/>
                <w:szCs w:val="21"/>
                <w:color w:val="auto"/>
              </w:rPr>
            </w:pPr>
          </w:p>
        </w:tc>
      </w:tr>
      <w:tr>
        <w:trPr>
          <w:trHeight w:val="257"/>
        </w:trPr>
        <w:tc>
          <w:tcPr>
            <w:tcW w:w="38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9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4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46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127.7</w:t>
            </w:r>
          </w:p>
        </w:tc>
        <w:tc>
          <w:tcPr>
            <w:tcW w:w="280" w:type="dxa"/>
            <w:vAlign w:val="bottom"/>
            <w:tcBorders>
              <w:bottom w:val="single" w:sz="8" w:color="CFF0FC"/>
            </w:tcBorders>
            <w:shd w:val="clear" w:color="auto" w:fill="CFF0FC"/>
          </w:tcPr>
          <w:p>
            <w:pPr>
              <w:spacing w:after="0"/>
              <w:rPr>
                <w:sz w:val="22"/>
                <w:szCs w:val="22"/>
                <w:color w:val="auto"/>
              </w:rPr>
            </w:pPr>
          </w:p>
        </w:tc>
      </w:tr>
      <w:tr>
        <w:trPr>
          <w:trHeight w:val="250"/>
        </w:trPr>
        <w:tc>
          <w:tcPr>
            <w:tcW w:w="3880" w:type="dxa"/>
            <w:vAlign w:val="bottom"/>
          </w:tcPr>
          <w:p>
            <w:pPr>
              <w:ind w:left="56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11,039</w:t>
            </w: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6,031</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5,008</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83.0</w:t>
            </w:r>
          </w:p>
        </w:tc>
        <w:tc>
          <w:tcPr>
            <w:tcW w:w="280" w:type="dxa"/>
            <w:vAlign w:val="bottom"/>
          </w:tcPr>
          <w:p>
            <w:pPr>
              <w:spacing w:after="0"/>
              <w:rPr>
                <w:sz w:val="21"/>
                <w:szCs w:val="21"/>
                <w:color w:val="auto"/>
              </w:rPr>
            </w:pPr>
          </w:p>
        </w:tc>
      </w:tr>
      <w:tr>
        <w:trPr>
          <w:trHeight w:val="263"/>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r>
      <w:tr>
        <w:trPr>
          <w:trHeight w:val="250"/>
        </w:trPr>
        <w:tc>
          <w:tcPr>
            <w:tcW w:w="388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900" w:type="dxa"/>
            <w:vAlign w:val="bottom"/>
          </w:tcPr>
          <w:p>
            <w:pPr>
              <w:spacing w:after="0"/>
              <w:rPr>
                <w:sz w:val="21"/>
                <w:szCs w:val="21"/>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87.0 %</w:t>
            </w:r>
          </w:p>
        </w:tc>
        <w:tc>
          <w:tcPr>
            <w:tcW w:w="94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75.3 %</w:t>
            </w: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56"/>
        </w:trPr>
        <w:tc>
          <w:tcPr>
            <w:tcW w:w="3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9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i w:val="1"/>
                <w:iCs w:val="1"/>
                <w:color w:val="auto"/>
              </w:rPr>
              <w:t>32.7 %</w:t>
            </w:r>
          </w:p>
        </w:tc>
        <w:tc>
          <w:tcPr>
            <w:tcW w:w="94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i w:val="1"/>
                <w:iCs w:val="1"/>
                <w:color w:val="auto"/>
              </w:rPr>
              <w:t>12.2 %</w:t>
            </w:r>
          </w:p>
        </w:tc>
        <w:tc>
          <w:tcPr>
            <w:tcW w:w="92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r>
      <w:tr>
        <w:trPr>
          <w:trHeight w:val="20"/>
        </w:trPr>
        <w:tc>
          <w:tcPr>
            <w:tcW w:w="38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50"/>
        </w:trPr>
        <w:tc>
          <w:tcPr>
            <w:tcW w:w="3880" w:type="dxa"/>
            <w:vAlign w:val="bottom"/>
          </w:tcPr>
          <w:p>
            <w:pPr>
              <w:ind w:left="56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21"/>
                <w:szCs w:val="21"/>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84.3 %</w:t>
            </w:r>
          </w:p>
        </w:tc>
        <w:tc>
          <w:tcPr>
            <w:tcW w:w="94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69.7 %</w:t>
            </w: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63"/>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r>
      <w:tr>
        <w:trPr>
          <w:trHeight w:val="250"/>
        </w:trPr>
        <w:tc>
          <w:tcPr>
            <w:tcW w:w="38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4,279</w:t>
            </w: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2,158</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2,121</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98.3</w:t>
            </w:r>
          </w:p>
        </w:tc>
        <w:tc>
          <w:tcPr>
            <w:tcW w:w="280" w:type="dxa"/>
            <w:vAlign w:val="bottom"/>
          </w:tcPr>
          <w:p>
            <w:pPr>
              <w:spacing w:after="0"/>
              <w:rPr>
                <w:sz w:val="21"/>
                <w:szCs w:val="21"/>
                <w:color w:val="auto"/>
              </w:rPr>
            </w:pPr>
          </w:p>
        </w:tc>
      </w:tr>
      <w:tr>
        <w:trPr>
          <w:trHeight w:val="257"/>
        </w:trPr>
        <w:tc>
          <w:tcPr>
            <w:tcW w:w="38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20,790</w:t>
            </w:r>
          </w:p>
        </w:tc>
        <w:tc>
          <w:tcPr>
            <w:tcW w:w="4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11,228</w:t>
            </w:r>
          </w:p>
        </w:tc>
        <w:tc>
          <w:tcPr>
            <w:tcW w:w="46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9,562</w:t>
            </w:r>
          </w:p>
        </w:tc>
        <w:tc>
          <w:tcPr>
            <w:tcW w:w="2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280" w:type="dxa"/>
            <w:vAlign w:val="bottom"/>
            <w:tcBorders>
              <w:bottom w:val="single" w:sz="8" w:color="CFF0FC"/>
            </w:tcBorders>
            <w:shd w:val="clear" w:color="auto" w:fill="CFF0FC"/>
          </w:tcPr>
          <w:p>
            <w:pPr>
              <w:spacing w:after="0"/>
              <w:rPr>
                <w:sz w:val="22"/>
                <w:szCs w:val="22"/>
                <w:color w:val="auto"/>
              </w:rPr>
            </w:pPr>
          </w:p>
        </w:tc>
      </w:tr>
      <w:tr>
        <w:trPr>
          <w:trHeight w:val="250"/>
        </w:trPr>
        <w:tc>
          <w:tcPr>
            <w:tcW w:w="3880" w:type="dxa"/>
            <w:vAlign w:val="bottom"/>
          </w:tcPr>
          <w:p>
            <w:pPr>
              <w:ind w:left="560"/>
              <w:spacing w:after="0"/>
              <w:rPr>
                <w:sz w:val="20"/>
                <w:szCs w:val="20"/>
                <w:color w:val="auto"/>
              </w:rPr>
            </w:pPr>
            <w:r>
              <w:rPr>
                <w:rFonts w:ascii="Arial" w:cs="Arial" w:eastAsia="Arial" w:hAnsi="Arial"/>
                <w:sz w:val="18"/>
                <w:szCs w:val="18"/>
                <w:color w:val="auto"/>
              </w:rPr>
              <w:t>Total operating expenses</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25,069</w:t>
            </w:r>
          </w:p>
        </w:tc>
        <w:tc>
          <w:tcPr>
            <w:tcW w:w="4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13,386</w:t>
            </w:r>
          </w:p>
        </w:tc>
        <w:tc>
          <w:tcPr>
            <w:tcW w:w="46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11,683</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280" w:type="dxa"/>
            <w:vAlign w:val="bottom"/>
          </w:tcPr>
          <w:p>
            <w:pPr>
              <w:spacing w:after="0"/>
              <w:rPr>
                <w:sz w:val="21"/>
                <w:szCs w:val="21"/>
                <w:color w:val="auto"/>
              </w:rPr>
            </w:pPr>
          </w:p>
        </w:tc>
      </w:tr>
      <w:tr>
        <w:trPr>
          <w:trHeight w:val="256"/>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9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w w:val="88"/>
              </w:rPr>
              <w:t>(14,030 )</w:t>
            </w:r>
          </w:p>
        </w:tc>
        <w:tc>
          <w:tcPr>
            <w:tcW w:w="94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w w:val="96"/>
              </w:rPr>
              <w:t>(7,355 )</w:t>
            </w:r>
          </w:p>
        </w:tc>
        <w:tc>
          <w:tcPr>
            <w:tcW w:w="92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(6,675 )</w:t>
            </w: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280" w:type="dxa"/>
            <w:vAlign w:val="bottom"/>
            <w:shd w:val="clear" w:color="auto" w:fill="CFF0FC"/>
          </w:tcPr>
          <w:p>
            <w:pPr>
              <w:spacing w:after="0"/>
              <w:rPr>
                <w:sz w:val="22"/>
                <w:szCs w:val="22"/>
                <w:color w:val="auto"/>
              </w:rPr>
            </w:pPr>
          </w:p>
        </w:tc>
      </w:tr>
      <w:tr>
        <w:trPr>
          <w:trHeight w:val="250"/>
        </w:trPr>
        <w:tc>
          <w:tcPr>
            <w:tcW w:w="38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900" w:type="dxa"/>
            <w:vAlign w:val="bottom"/>
          </w:tcPr>
          <w:p>
            <w:pPr>
              <w:spacing w:after="0"/>
              <w:rPr>
                <w:sz w:val="21"/>
                <w:szCs w:val="21"/>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(1 )</w:t>
            </w:r>
          </w:p>
        </w:tc>
        <w:tc>
          <w:tcPr>
            <w:tcW w:w="30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(100.0 )</w:t>
            </w:r>
          </w:p>
        </w:tc>
      </w:tr>
      <w:tr>
        <w:trPr>
          <w:trHeight w:val="263"/>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(1,122 )</w:t>
            </w:r>
          </w:p>
        </w:tc>
        <w:tc>
          <w:tcPr>
            <w:tcW w:w="94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(538 )</w:t>
            </w:r>
          </w:p>
        </w:tc>
        <w:tc>
          <w:tcPr>
            <w:tcW w:w="92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(584 )</w:t>
            </w: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w:t>
            </w:r>
          </w:p>
        </w:tc>
        <w:tc>
          <w:tcPr>
            <w:tcW w:w="280" w:type="dxa"/>
            <w:vAlign w:val="bottom"/>
            <w:shd w:val="clear" w:color="auto" w:fill="CFF0FC"/>
          </w:tcPr>
          <w:p>
            <w:pPr>
              <w:spacing w:after="0"/>
              <w:rPr>
                <w:sz w:val="22"/>
                <w:szCs w:val="22"/>
                <w:color w:val="auto"/>
              </w:rPr>
            </w:pPr>
          </w:p>
        </w:tc>
      </w:tr>
      <w:tr>
        <w:trPr>
          <w:trHeight w:val="250"/>
        </w:trPr>
        <w:tc>
          <w:tcPr>
            <w:tcW w:w="388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900" w:type="dxa"/>
            <w:vAlign w:val="bottom"/>
          </w:tcPr>
          <w:p>
            <w:pPr>
              <w:spacing w:after="0"/>
              <w:rPr>
                <w:sz w:val="21"/>
                <w:szCs w:val="21"/>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(2,001 )</w:t>
            </w:r>
          </w:p>
        </w:tc>
        <w:tc>
          <w:tcPr>
            <w:tcW w:w="940" w:type="dxa"/>
            <w:vAlign w:val="bottom"/>
          </w:tcPr>
          <w:p>
            <w:pPr>
              <w:spacing w:after="0"/>
              <w:rPr>
                <w:sz w:val="21"/>
                <w:szCs w:val="21"/>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(197 )</w:t>
            </w:r>
          </w:p>
        </w:tc>
        <w:tc>
          <w:tcPr>
            <w:tcW w:w="9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(1,804 )</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915.7</w:t>
            </w:r>
          </w:p>
        </w:tc>
        <w:tc>
          <w:tcPr>
            <w:tcW w:w="280" w:type="dxa"/>
            <w:vAlign w:val="bottom"/>
          </w:tcPr>
          <w:p>
            <w:pPr>
              <w:spacing w:after="0"/>
              <w:rPr>
                <w:sz w:val="21"/>
                <w:szCs w:val="21"/>
                <w:color w:val="auto"/>
              </w:rPr>
            </w:pPr>
          </w:p>
        </w:tc>
      </w:tr>
      <w:tr>
        <w:trPr>
          <w:trHeight w:val="257"/>
        </w:trPr>
        <w:tc>
          <w:tcPr>
            <w:tcW w:w="3880" w:type="dxa"/>
            <w:vAlign w:val="bottom"/>
            <w:shd w:val="clear" w:color="auto" w:fill="CFF0FC"/>
          </w:tcPr>
          <w:p>
            <w:pPr>
              <w:spacing w:after="0"/>
              <w:rPr>
                <w:sz w:val="22"/>
                <w:szCs w:val="22"/>
                <w:color w:val="auto"/>
              </w:rPr>
            </w:pPr>
          </w:p>
        </w:tc>
        <w:tc>
          <w:tcPr>
            <w:tcW w:w="900" w:type="dxa"/>
            <w:vAlign w:val="bottom"/>
            <w:tcBorders>
              <w:top w:val="single" w:sz="8" w:color="auto"/>
            </w:tcBorders>
            <w:shd w:val="clear" w:color="auto" w:fill="CFF0FC"/>
          </w:tcPr>
          <w:p>
            <w:pPr>
              <w:spacing w:after="0"/>
              <w:rPr>
                <w:sz w:val="22"/>
                <w:szCs w:val="22"/>
                <w:color w:val="auto"/>
              </w:rPr>
            </w:pPr>
          </w:p>
        </w:tc>
        <w:tc>
          <w:tcPr>
            <w:tcW w:w="580" w:type="dxa"/>
            <w:vAlign w:val="bottom"/>
            <w:tcBorders>
              <w:top w:val="single" w:sz="8" w:color="auto"/>
            </w:tcBorders>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940" w:type="dxa"/>
            <w:vAlign w:val="bottom"/>
            <w:tcBorders>
              <w:top w:val="single" w:sz="8" w:color="auto"/>
            </w:tcBorders>
            <w:shd w:val="clear" w:color="auto" w:fill="CFF0FC"/>
          </w:tcPr>
          <w:p>
            <w:pPr>
              <w:spacing w:after="0"/>
              <w:rPr>
                <w:sz w:val="22"/>
                <w:szCs w:val="22"/>
                <w:color w:val="auto"/>
              </w:rPr>
            </w:pPr>
          </w:p>
        </w:tc>
        <w:tc>
          <w:tcPr>
            <w:tcW w:w="540" w:type="dxa"/>
            <w:vAlign w:val="bottom"/>
            <w:tcBorders>
              <w:top w:val="single" w:sz="8" w:color="auto"/>
            </w:tcBorders>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20" w:type="dxa"/>
            <w:vAlign w:val="bottom"/>
            <w:tcBorders>
              <w:top w:val="single" w:sz="8" w:color="auto"/>
            </w:tcBorders>
            <w:shd w:val="clear" w:color="auto" w:fill="CFF0FC"/>
          </w:tcPr>
          <w:p>
            <w:pPr>
              <w:spacing w:after="0"/>
              <w:rPr>
                <w:sz w:val="22"/>
                <w:szCs w:val="22"/>
                <w:color w:val="auto"/>
              </w:rPr>
            </w:pPr>
          </w:p>
        </w:tc>
        <w:tc>
          <w:tcPr>
            <w:tcW w:w="62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106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r>
      <w:tr>
        <w:trPr>
          <w:trHeight w:val="250"/>
        </w:trPr>
        <w:tc>
          <w:tcPr>
            <w:tcW w:w="3880" w:type="dxa"/>
            <w:vAlign w:val="bottom"/>
          </w:tcPr>
          <w:p>
            <w:pPr>
              <w:ind w:left="20"/>
              <w:spacing w:after="0"/>
              <w:rPr>
                <w:sz w:val="20"/>
                <w:szCs w:val="20"/>
                <w:color w:val="auto"/>
              </w:rPr>
            </w:pPr>
            <w:r>
              <w:rPr>
                <w:rFonts w:ascii="Arial" w:cs="Arial" w:eastAsia="Arial" w:hAnsi="Arial"/>
                <w:sz w:val="18"/>
                <w:szCs w:val="18"/>
                <w:color w:val="auto"/>
              </w:rPr>
              <w:t>Loss before income tax</w:t>
            </w:r>
          </w:p>
        </w:tc>
        <w:tc>
          <w:tcPr>
            <w:tcW w:w="900" w:type="dxa"/>
            <w:vAlign w:val="bottom"/>
          </w:tcPr>
          <w:p>
            <w:pPr>
              <w:spacing w:after="0"/>
              <w:rPr>
                <w:sz w:val="21"/>
                <w:szCs w:val="21"/>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(17,153 )</w:t>
            </w:r>
          </w:p>
        </w:tc>
        <w:tc>
          <w:tcPr>
            <w:tcW w:w="940" w:type="dxa"/>
            <w:vAlign w:val="bottom"/>
          </w:tcPr>
          <w:p>
            <w:pPr>
              <w:spacing w:after="0"/>
              <w:rPr>
                <w:sz w:val="21"/>
                <w:szCs w:val="21"/>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(8,089 )</w:t>
            </w:r>
          </w:p>
        </w:tc>
        <w:tc>
          <w:tcPr>
            <w:tcW w:w="9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(9,064 )</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112.1</w:t>
            </w:r>
          </w:p>
        </w:tc>
        <w:tc>
          <w:tcPr>
            <w:tcW w:w="280" w:type="dxa"/>
            <w:vAlign w:val="bottom"/>
          </w:tcPr>
          <w:p>
            <w:pPr>
              <w:spacing w:after="0"/>
              <w:rPr>
                <w:sz w:val="21"/>
                <w:szCs w:val="21"/>
                <w:color w:val="auto"/>
              </w:rPr>
            </w:pPr>
          </w:p>
        </w:tc>
      </w:tr>
      <w:tr>
        <w:trPr>
          <w:trHeight w:val="257"/>
        </w:trPr>
        <w:tc>
          <w:tcPr>
            <w:tcW w:w="3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w:t>
            </w:r>
          </w:p>
        </w:tc>
        <w:tc>
          <w:tcPr>
            <w:tcW w:w="9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46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shd w:val="clear" w:color="auto" w:fill="CFF0FC"/>
          </w:tcPr>
          <w:p>
            <w:pPr>
              <w:spacing w:after="0"/>
              <w:rPr>
                <w:sz w:val="22"/>
                <w:szCs w:val="22"/>
                <w:color w:val="auto"/>
              </w:rPr>
            </w:pPr>
          </w:p>
        </w:tc>
      </w:tr>
      <w:tr>
        <w:trPr>
          <w:trHeight w:val="257"/>
        </w:trPr>
        <w:tc>
          <w:tcPr>
            <w:tcW w:w="388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(17,169 )</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(8,097 )</w:t>
            </w: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(9,072 )</w:t>
            </w:r>
          </w:p>
        </w:tc>
        <w:tc>
          <w:tcPr>
            <w:tcW w:w="300" w:type="dxa"/>
            <w:vAlign w:val="bottom"/>
          </w:tcPr>
          <w:p>
            <w:pPr>
              <w:spacing w:after="0"/>
              <w:rPr>
                <w:sz w:val="22"/>
                <w:szCs w:val="2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112.0 %</w:t>
            </w:r>
          </w:p>
        </w:tc>
      </w:tr>
      <w:tr>
        <w:trPr>
          <w:trHeight w:val="20"/>
        </w:trPr>
        <w:tc>
          <w:tcPr>
            <w:tcW w:w="38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-4162425</wp:posOffset>
            </wp:positionV>
            <wp:extent cx="30035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00355" cy="57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-4162425</wp:posOffset>
            </wp:positionV>
            <wp:extent cx="28257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-4162425</wp:posOffset>
            </wp:positionV>
            <wp:extent cx="17145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-4162425</wp:posOffset>
            </wp:positionV>
            <wp:extent cx="17970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-3502660</wp:posOffset>
            </wp:positionV>
            <wp:extent cx="30035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00355" cy="57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-3502660</wp:posOffset>
            </wp:positionV>
            <wp:extent cx="28257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-3502660</wp:posOffset>
            </wp:positionV>
            <wp:extent cx="17145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-3502660</wp:posOffset>
            </wp:positionV>
            <wp:extent cx="17970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-2842260</wp:posOffset>
            </wp:positionV>
            <wp:extent cx="30035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00355" cy="57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-2842260</wp:posOffset>
            </wp:positionV>
            <wp:extent cx="28257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-2842260</wp:posOffset>
            </wp:positionV>
            <wp:extent cx="17145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-2842260</wp:posOffset>
            </wp:positionV>
            <wp:extent cx="17970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-2182495</wp:posOffset>
            </wp:positionV>
            <wp:extent cx="30035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00355" cy="57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-2182495</wp:posOffset>
            </wp:positionV>
            <wp:extent cx="28257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-2182495</wp:posOffset>
            </wp:positionV>
            <wp:extent cx="17145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-2182495</wp:posOffset>
            </wp:positionV>
            <wp:extent cx="17970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-1522095</wp:posOffset>
            </wp:positionV>
            <wp:extent cx="30035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00355" cy="57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-1522095</wp:posOffset>
            </wp:positionV>
            <wp:extent cx="28257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-1522095</wp:posOffset>
            </wp:positionV>
            <wp:extent cx="17145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-1522095</wp:posOffset>
            </wp:positionV>
            <wp:extent cx="17970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-193675</wp:posOffset>
            </wp:positionV>
            <wp:extent cx="30035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00355" cy="57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-193675</wp:posOffset>
            </wp:positionV>
            <wp:extent cx="28257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-193675</wp:posOffset>
            </wp:positionV>
            <wp:extent cx="17145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-193675</wp:posOffset>
            </wp:positionV>
            <wp:extent cx="17970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9705" cy="5715"/>
                    </a:xfrm>
                    <a:prstGeom prst="rect">
                      <a:avLst/>
                    </a:prstGeom>
                    <a:noFill/>
                  </pic:spPr>
                </pic:pic>
              </a:graphicData>
            </a:graphic>
          </wp:anchor>
        </w:drawing>
      </w:r>
    </w:p>
    <w:p>
      <w:pPr>
        <w:spacing w:after="0" w:line="317" w:lineRule="exact"/>
        <w:rPr>
          <w:sz w:val="20"/>
          <w:szCs w:val="20"/>
          <w:color w:val="auto"/>
        </w:rPr>
      </w:pPr>
    </w:p>
    <w:p>
      <w:pPr>
        <w:ind w:right="100" w:firstLine="509"/>
        <w:spacing w:after="0" w:line="290" w:lineRule="auto"/>
        <w:rPr>
          <w:sz w:val="20"/>
          <w:szCs w:val="20"/>
          <w:color w:val="auto"/>
        </w:rPr>
      </w:pPr>
      <w:r>
        <w:rPr>
          <w:rFonts w:ascii="Arial" w:cs="Arial" w:eastAsia="Arial" w:hAnsi="Arial"/>
          <w:sz w:val="17"/>
          <w:szCs w:val="17"/>
          <w:i w:val="1"/>
          <w:iCs w:val="1"/>
          <w:color w:val="auto"/>
        </w:rPr>
        <w:t>Revenue</w:t>
      </w:r>
      <w:r>
        <w:rPr>
          <w:rFonts w:ascii="Arial" w:cs="Arial" w:eastAsia="Arial" w:hAnsi="Arial"/>
          <w:sz w:val="17"/>
          <w:szCs w:val="17"/>
          <w:color w:val="auto"/>
        </w:rPr>
        <w:t>. Revenue in the three months ended September 30, 2021 was $13.1 million, an increase of $4.5 million, or 51.4%, from our revenue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September 30, 2020. The overall increase in Surgical Glaucoma revenue was attributable to a significant increase in the number of OMNI units sold in the three months ended September 30, 2021 as result of growth in the number of facilities ordering OMNI and an increase in unit utilization per ordering facility. Our Dry Eye revenues decreased slightly in the three months ended September 30, 2021 versus the same period in 2020 reflecting the implementation of our more focused customer targeting in 2021. Surgical Glaucoma sales represented 95.0% and 91.1% of our revenue generated in the three months ended September 30, 2021 and 2020, respectively.</w:t>
      </w:r>
    </w:p>
    <w:p>
      <w:pPr>
        <w:spacing w:after="0" w:line="176" w:lineRule="exact"/>
        <w:rPr>
          <w:sz w:val="20"/>
          <w:szCs w:val="20"/>
          <w:color w:val="auto"/>
        </w:rPr>
      </w:pPr>
    </w:p>
    <w:p>
      <w:pPr>
        <w:jc w:val="both"/>
        <w:ind w:right="40" w:firstLine="509"/>
        <w:spacing w:after="0" w:line="319" w:lineRule="auto"/>
        <w:rPr>
          <w:sz w:val="20"/>
          <w:szCs w:val="20"/>
          <w:color w:val="auto"/>
        </w:rPr>
      </w:pPr>
      <w:r>
        <w:rPr>
          <w:rFonts w:ascii="Arial" w:cs="Arial" w:eastAsia="Arial" w:hAnsi="Arial"/>
          <w:sz w:val="16"/>
          <w:szCs w:val="16"/>
          <w:i w:val="1"/>
          <w:iCs w:val="1"/>
          <w:color w:val="auto"/>
        </w:rPr>
        <w:t>Cost of Goods Sold and Gross Profit</w:t>
      </w:r>
      <w:r>
        <w:rPr>
          <w:rFonts w:ascii="Arial" w:cs="Arial" w:eastAsia="Arial" w:hAnsi="Arial"/>
          <w:sz w:val="16"/>
          <w:szCs w:val="16"/>
          <w:color w:val="auto"/>
        </w:rPr>
        <w:t>. The $0.6 million decrease in cost of goods sold during the three months ended September 30, 2021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three months ended September 30, 2020 was attributable to a $0.3 million decrease in cost of materials and a reduction in manufacturing overhead as result of improved efficiency, and $0.3 million in our inventory write-down reserve. The three months ended September 30, 2020 included a write-down of inventory from our original version of OMNI following the launch and adoption of our next generation OMNI System by our user base.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ind w:firstLine="509"/>
        <w:spacing w:after="0" w:line="271" w:lineRule="auto"/>
        <w:rPr>
          <w:sz w:val="20"/>
          <w:szCs w:val="20"/>
          <w:color w:val="auto"/>
        </w:rPr>
      </w:pPr>
      <w:r>
        <w:rPr>
          <w:rFonts w:ascii="Arial" w:cs="Arial" w:eastAsia="Arial" w:hAnsi="Arial"/>
          <w:sz w:val="18"/>
          <w:szCs w:val="18"/>
          <w:color w:val="auto"/>
        </w:rPr>
        <w:t>Our total gross profit increased $5.0 million, from $6.0 million to $11.0 million when comparing the three months ended September 30, 2020 to the three months ended September 30, 2021. Our total gross margin increased from 69.7% to 84.3% when comparing the three months ended September 30, 2020 to the three months ended September 30, 2021 primarily due to increased sales volume in OMNI units and manufacturing efficiencies. Gross margin in our Surgical Glaucoma segment increased from 75.3% to 87.0% from the three months ended September 30, 2020 compared to the three months ended September 30, 2021, and in our Dry Eye segment gross margin increased from 12.2% to 32.7% from the three months ended September 30, 2020 compared to the three months ended September 30, 2021.</w:t>
      </w:r>
    </w:p>
    <w:p>
      <w:pPr>
        <w:spacing w:after="0" w:line="191"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i w:val="1"/>
          <w:iCs w:val="1"/>
          <w:color w:val="auto"/>
        </w:rPr>
        <w:t>Research and Development ("R&amp;D") Expenses</w:t>
      </w:r>
      <w:r>
        <w:rPr>
          <w:rFonts w:ascii="Arial" w:cs="Arial" w:eastAsia="Arial" w:hAnsi="Arial"/>
          <w:sz w:val="18"/>
          <w:szCs w:val="18"/>
          <w:color w:val="auto"/>
        </w:rPr>
        <w:t>. The $2.1 million increase in R&amp;D expenses during the three months ended September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September 30, 2020 was primarily attributable to $0.7 million increase in personnel expenses as a result of increased headcount, $0.7 million net increase in contract manufacturing, lab supplies and Dry Eye product prototype development expenses, $0.2 million increase in clinical studies, $0.1 million in legal services mainly related to registration of patents, $0.1 million stock-based compensation and $0.3 million in other services driven by overall increase in business activities.</w:t>
      </w:r>
    </w:p>
    <w:p>
      <w:pPr>
        <w:spacing w:after="0" w:line="191" w:lineRule="exact"/>
        <w:rPr>
          <w:sz w:val="20"/>
          <w:szCs w:val="20"/>
          <w:color w:val="auto"/>
        </w:rPr>
      </w:pPr>
    </w:p>
    <w:p>
      <w:pPr>
        <w:ind w:right="60" w:firstLine="509"/>
        <w:spacing w:after="0" w:line="288" w:lineRule="auto"/>
        <w:rPr>
          <w:sz w:val="20"/>
          <w:szCs w:val="20"/>
          <w:color w:val="auto"/>
        </w:rPr>
      </w:pPr>
      <w:r>
        <w:rPr>
          <w:rFonts w:ascii="Arial" w:cs="Arial" w:eastAsia="Arial" w:hAnsi="Arial"/>
          <w:sz w:val="17"/>
          <w:szCs w:val="17"/>
          <w:i w:val="1"/>
          <w:iCs w:val="1"/>
          <w:color w:val="auto"/>
        </w:rPr>
        <w:t>Selling, General, and Administrative ("SG&amp;A") Expenses</w:t>
      </w:r>
      <w:r>
        <w:rPr>
          <w:rFonts w:ascii="Arial" w:cs="Arial" w:eastAsia="Arial" w:hAnsi="Arial"/>
          <w:sz w:val="17"/>
          <w:szCs w:val="17"/>
          <w:color w:val="auto"/>
        </w:rPr>
        <w:t>. The $9.6 million increase in SG&amp;A expenses during the three months ended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30, 2021 compared to the three months ended September 30, 2020 was primarily due to our continued investment and scaling of operations and corporate headcount to support our growth, which resulted in an increase of $3.9 million in cash compensation including salaries, commissions, and other employee-related expenses, $1.6 million of stock-based compensation increases, and a net increase of $4.1 million in non-personnel SG&amp;A expenses. Our largest areas of growth in non-personnel SG&amp;A expenses in the three months ended September 30, 2021 as compared to September 30, 2020 were commercial spend, including promotional activities, conferences, tradeshows and marketing initiatives, legal fees related to regulatory matters, accounting related expenses, and other services to support business growth and the post-IPO activities.</w:t>
      </w:r>
    </w:p>
    <w:p>
      <w:pPr>
        <w:spacing w:after="0" w:line="181" w:lineRule="exact"/>
        <w:rPr>
          <w:sz w:val="20"/>
          <w:szCs w:val="20"/>
          <w:color w:val="auto"/>
        </w:rPr>
      </w:pPr>
    </w:p>
    <w:p>
      <w:pPr>
        <w:ind w:right="300" w:firstLine="509"/>
        <w:spacing w:after="0" w:line="324"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The $0.6 million increase in interest expense during the three months ended September 30, 2021 compared to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2020 was attributable to the increase in average debt outstanding due to our debt financing in November 2020.</w:t>
      </w:r>
    </w:p>
    <w:p>
      <w:pPr>
        <w:spacing w:after="0" w:line="147" w:lineRule="exact"/>
        <w:rPr>
          <w:sz w:val="20"/>
          <w:szCs w:val="20"/>
          <w:color w:val="auto"/>
        </w:rPr>
      </w:pPr>
    </w:p>
    <w:p>
      <w:pPr>
        <w:ind w:right="40" w:firstLine="509"/>
        <w:spacing w:after="0" w:line="290" w:lineRule="auto"/>
        <w:rPr>
          <w:sz w:val="20"/>
          <w:szCs w:val="20"/>
          <w:color w:val="auto"/>
        </w:rPr>
      </w:pPr>
      <w:r>
        <w:rPr>
          <w:rFonts w:ascii="Arial" w:cs="Arial" w:eastAsia="Arial" w:hAnsi="Arial"/>
          <w:sz w:val="17"/>
          <w:szCs w:val="17"/>
          <w:i w:val="1"/>
          <w:iCs w:val="1"/>
          <w:color w:val="auto"/>
        </w:rPr>
        <w:t xml:space="preserve">Interest Income and Other Income (Expense), Net. </w:t>
      </w:r>
      <w:r>
        <w:rPr>
          <w:rFonts w:ascii="Arial" w:cs="Arial" w:eastAsia="Arial" w:hAnsi="Arial"/>
          <w:sz w:val="17"/>
          <w:szCs w:val="17"/>
          <w:color w:val="auto"/>
        </w:rPr>
        <w:t>Interest income did not change significantly during the three months ended September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three months ended September 30, 2020. Other income (expense) decreased by a net of $1.8 million during the three months ended September 30, 2021 compared to the three months ended September 30, 2020. This decrease was attributable primarily to $1.8 million of expense in the 2021 period related to the remeasurement of our convertible preferred stock warrants and recognition of the change in fair value. As detailed in the notes to our financial statements included herein, during the three months ended September 30, 2021, the convertible preferred stock warrants were automatically converted into common stock warrants concurrent with our IPO and subsequently exercised in August 2021.</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 (dollars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Nine Months Ended September 30,</w:t>
            </w:r>
          </w:p>
        </w:tc>
        <w:tc>
          <w:tcPr>
            <w:tcW w:w="380" w:type="dxa"/>
            <w:vAlign w:val="bottom"/>
          </w:tcPr>
          <w:p>
            <w:pPr>
              <w:spacing w:after="0"/>
              <w:rPr>
                <w:sz w:val="16"/>
                <w:szCs w:val="16"/>
                <w:color w:val="auto"/>
              </w:rPr>
            </w:pPr>
          </w:p>
        </w:tc>
        <w:tc>
          <w:tcPr>
            <w:tcW w:w="1540" w:type="dxa"/>
            <w:vAlign w:val="bottom"/>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6"/>
        </w:trPr>
        <w:tc>
          <w:tcPr>
            <w:tcW w:w="45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r>
      <w:tr>
        <w:trPr>
          <w:trHeight w:val="196"/>
        </w:trPr>
        <w:tc>
          <w:tcPr>
            <w:tcW w:w="4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63"/>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r>
      <w:tr>
        <w:trPr>
          <w:trHeight w:val="250"/>
        </w:trPr>
        <w:tc>
          <w:tcPr>
            <w:tcW w:w="458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32,573</w:t>
            </w:r>
          </w:p>
        </w:tc>
        <w:tc>
          <w:tcPr>
            <w:tcW w:w="46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17,282</w:t>
            </w:r>
          </w:p>
        </w:tc>
        <w:tc>
          <w:tcPr>
            <w:tcW w:w="4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15,291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88.5 %</w:t>
            </w:r>
          </w:p>
        </w:tc>
      </w:tr>
      <w:tr>
        <w:trPr>
          <w:trHeight w:val="263"/>
        </w:trPr>
        <w:tc>
          <w:tcPr>
            <w:tcW w:w="4580" w:type="dxa"/>
            <w:vAlign w:val="bottom"/>
            <w:shd w:val="clear" w:color="auto" w:fill="CFF0FC"/>
          </w:tcPr>
          <w:p>
            <w:pPr>
              <w:ind w:left="380"/>
              <w:spacing w:after="0"/>
              <w:rPr>
                <w:sz w:val="20"/>
                <w:szCs w:val="20"/>
                <w:color w:val="auto"/>
              </w:rPr>
            </w:pPr>
            <w:r>
              <w:rPr>
                <w:rFonts w:ascii="Arial" w:cs="Arial" w:eastAsia="Arial" w:hAnsi="Arial"/>
                <w:sz w:val="18"/>
                <w:szCs w:val="18"/>
                <w:i w:val="1"/>
                <w:iCs w:val="1"/>
                <w:color w:val="auto"/>
              </w:rPr>
              <w:t>Percentage of total revenue</w:t>
            </w:r>
          </w:p>
        </w:tc>
        <w:tc>
          <w:tcPr>
            <w:tcW w:w="28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i w:val="1"/>
                <w:iCs w:val="1"/>
                <w:color w:val="auto"/>
              </w:rPr>
              <w:t>95.0 %</w:t>
            </w:r>
          </w:p>
        </w:tc>
        <w:tc>
          <w:tcPr>
            <w:tcW w:w="32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i w:val="1"/>
                <w:iCs w:val="1"/>
                <w:color w:val="auto"/>
              </w:rPr>
              <w:t>92.7 %</w:t>
            </w:r>
          </w:p>
        </w:tc>
        <w:tc>
          <w:tcPr>
            <w:tcW w:w="3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r>
      <w:tr>
        <w:trPr>
          <w:trHeight w:val="250"/>
        </w:trPr>
        <w:tc>
          <w:tcPr>
            <w:tcW w:w="4580" w:type="dxa"/>
            <w:vAlign w:val="bottom"/>
          </w:tcPr>
          <w:p>
            <w:pPr>
              <w:ind w:left="200"/>
              <w:spacing w:after="0"/>
              <w:rPr>
                <w:sz w:val="20"/>
                <w:szCs w:val="20"/>
                <w:color w:val="auto"/>
              </w:rPr>
            </w:pPr>
            <w:r>
              <w:rPr>
                <w:rFonts w:ascii="Arial" w:cs="Arial" w:eastAsia="Arial" w:hAnsi="Arial"/>
                <w:sz w:val="18"/>
                <w:szCs w:val="18"/>
                <w:color w:val="auto"/>
              </w:rPr>
              <w:t>Dry Eye</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1,698</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1,367</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w:t>
            </w:r>
          </w:p>
        </w:tc>
        <w:tc>
          <w:tcPr>
            <w:tcW w:w="280" w:type="dxa"/>
            <w:vAlign w:val="bottom"/>
          </w:tcPr>
          <w:p>
            <w:pPr>
              <w:spacing w:after="0"/>
              <w:rPr>
                <w:sz w:val="21"/>
                <w:szCs w:val="21"/>
                <w:color w:val="auto"/>
              </w:rPr>
            </w:pPr>
          </w:p>
        </w:tc>
      </w:tr>
      <w:tr>
        <w:trPr>
          <w:trHeight w:val="257"/>
        </w:trPr>
        <w:tc>
          <w:tcPr>
            <w:tcW w:w="4580" w:type="dxa"/>
            <w:vAlign w:val="bottom"/>
            <w:shd w:val="clear" w:color="auto" w:fill="CFF0FC"/>
          </w:tcPr>
          <w:p>
            <w:pPr>
              <w:ind w:left="380"/>
              <w:spacing w:after="0"/>
              <w:rPr>
                <w:sz w:val="20"/>
                <w:szCs w:val="20"/>
                <w:color w:val="auto"/>
              </w:rPr>
            </w:pPr>
            <w:r>
              <w:rPr>
                <w:rFonts w:ascii="Arial" w:cs="Arial" w:eastAsia="Arial" w:hAnsi="Arial"/>
                <w:sz w:val="18"/>
                <w:szCs w:val="18"/>
                <w:i w:val="1"/>
                <w:iCs w:val="1"/>
                <w:color w:val="auto"/>
              </w:rPr>
              <w:t>Percentage of total revenue</w:t>
            </w:r>
          </w:p>
        </w:tc>
        <w:tc>
          <w:tcPr>
            <w:tcW w:w="28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i w:val="1"/>
                <w:iCs w:val="1"/>
                <w:color w:val="auto"/>
              </w:rPr>
              <w:t>5.0 %</w:t>
            </w:r>
          </w:p>
        </w:tc>
        <w:tc>
          <w:tcPr>
            <w:tcW w:w="32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i w:val="1"/>
                <w:iCs w:val="1"/>
                <w:color w:val="auto"/>
              </w:rPr>
              <w:t>7.3 %</w:t>
            </w:r>
          </w:p>
        </w:tc>
        <w:tc>
          <w:tcPr>
            <w:tcW w:w="3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r>
      <w:tr>
        <w:trPr>
          <w:trHeight w:val="250"/>
        </w:trPr>
        <w:tc>
          <w:tcPr>
            <w:tcW w:w="458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34,271</w:t>
            </w:r>
          </w:p>
        </w:tc>
        <w:tc>
          <w:tcPr>
            <w:tcW w:w="46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18,649</w:t>
            </w:r>
          </w:p>
        </w:tc>
        <w:tc>
          <w:tcPr>
            <w:tcW w:w="440" w:type="dxa"/>
            <w:vAlign w:val="bottom"/>
            <w:tcBorders>
              <w:top w:val="single" w:sz="8" w:color="CFF0FC"/>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15,622</w:t>
            </w:r>
          </w:p>
        </w:tc>
        <w:tc>
          <w:tcPr>
            <w:tcW w:w="260" w:type="dxa"/>
            <w:vAlign w:val="bottom"/>
            <w:tcBorders>
              <w:top w:val="single" w:sz="8" w:color="CFF0FC"/>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280" w:type="dxa"/>
            <w:vAlign w:val="bottom"/>
            <w:tcBorders>
              <w:top w:val="single" w:sz="8" w:color="CFF0FC"/>
            </w:tcBorders>
          </w:tcPr>
          <w:p>
            <w:pPr>
              <w:spacing w:after="0"/>
              <w:rPr>
                <w:sz w:val="21"/>
                <w:szCs w:val="21"/>
                <w:color w:val="auto"/>
              </w:rPr>
            </w:pPr>
          </w:p>
        </w:tc>
      </w:tr>
      <w:tr>
        <w:trPr>
          <w:trHeight w:val="263"/>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r>
      <w:tr>
        <w:trPr>
          <w:trHeight w:val="250"/>
        </w:trPr>
        <w:tc>
          <w:tcPr>
            <w:tcW w:w="458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5,252</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4,968</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21"/>
                <w:szCs w:val="21"/>
                <w:color w:val="auto"/>
              </w:rPr>
            </w:pPr>
          </w:p>
        </w:tc>
      </w:tr>
      <w:tr>
        <w:trPr>
          <w:trHeight w:val="257"/>
        </w:trPr>
        <w:tc>
          <w:tcPr>
            <w:tcW w:w="4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w:t>
            </w:r>
          </w:p>
        </w:tc>
        <w:tc>
          <w:tcPr>
            <w:tcW w:w="4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w:t>
            </w:r>
          </w:p>
        </w:tc>
        <w:tc>
          <w:tcPr>
            <w:tcW w:w="4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(449 )</w:t>
            </w:r>
          </w:p>
        </w:tc>
        <w:tc>
          <w:tcPr>
            <w:tcW w:w="2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(24.1 )</w:t>
            </w:r>
          </w:p>
        </w:tc>
      </w:tr>
      <w:tr>
        <w:trPr>
          <w:trHeight w:val="20"/>
        </w:trPr>
        <w:tc>
          <w:tcPr>
            <w:tcW w:w="45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50"/>
        </w:trPr>
        <w:tc>
          <w:tcPr>
            <w:tcW w:w="4580" w:type="dxa"/>
            <w:vAlign w:val="bottom"/>
          </w:tcPr>
          <w:p>
            <w:pPr>
              <w:ind w:left="56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6,668</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6,833</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(165 )</w:t>
            </w:r>
          </w:p>
        </w:tc>
        <w:tc>
          <w:tcPr>
            <w:tcW w:w="2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(2.4 )</w:t>
            </w:r>
          </w:p>
        </w:tc>
      </w:tr>
      <w:tr>
        <w:trPr>
          <w:trHeight w:val="263"/>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r>
      <w:tr>
        <w:trPr>
          <w:trHeight w:val="250"/>
        </w:trPr>
        <w:tc>
          <w:tcPr>
            <w:tcW w:w="458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27,321</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12,314</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15,007</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121.9</w:t>
            </w:r>
          </w:p>
        </w:tc>
        <w:tc>
          <w:tcPr>
            <w:tcW w:w="280" w:type="dxa"/>
            <w:vAlign w:val="bottom"/>
          </w:tcPr>
          <w:p>
            <w:pPr>
              <w:spacing w:after="0"/>
              <w:rPr>
                <w:sz w:val="21"/>
                <w:szCs w:val="21"/>
                <w:color w:val="auto"/>
              </w:rPr>
            </w:pPr>
          </w:p>
        </w:tc>
      </w:tr>
      <w:tr>
        <w:trPr>
          <w:trHeight w:val="257"/>
        </w:trPr>
        <w:tc>
          <w:tcPr>
            <w:tcW w:w="4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4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(498 )</w:t>
            </w:r>
          </w:p>
        </w:tc>
        <w:tc>
          <w:tcPr>
            <w:tcW w:w="3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(156.6 )</w:t>
            </w:r>
          </w:p>
        </w:tc>
      </w:tr>
      <w:tr>
        <w:trPr>
          <w:trHeight w:val="250"/>
        </w:trPr>
        <w:tc>
          <w:tcPr>
            <w:tcW w:w="458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27,603</w:t>
            </w:r>
          </w:p>
        </w:tc>
        <w:tc>
          <w:tcPr>
            <w:tcW w:w="46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11,816</w:t>
            </w:r>
          </w:p>
        </w:tc>
        <w:tc>
          <w:tcPr>
            <w:tcW w:w="440" w:type="dxa"/>
            <w:vAlign w:val="bottom"/>
            <w:tcBorders>
              <w:top w:val="single" w:sz="8" w:color="CFF0FC"/>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15,787</w:t>
            </w:r>
          </w:p>
        </w:tc>
        <w:tc>
          <w:tcPr>
            <w:tcW w:w="260" w:type="dxa"/>
            <w:vAlign w:val="bottom"/>
            <w:tcBorders>
              <w:top w:val="single" w:sz="8" w:color="CFF0FC"/>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280" w:type="dxa"/>
            <w:vAlign w:val="bottom"/>
            <w:tcBorders>
              <w:top w:val="single" w:sz="8" w:color="CFF0FC"/>
            </w:tcBorders>
          </w:tcPr>
          <w:p>
            <w:pPr>
              <w:spacing w:after="0"/>
              <w:rPr>
                <w:sz w:val="21"/>
                <w:szCs w:val="21"/>
                <w:color w:val="auto"/>
              </w:rPr>
            </w:pPr>
          </w:p>
        </w:tc>
      </w:tr>
      <w:tr>
        <w:trPr>
          <w:trHeight w:val="263"/>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r>
      <w:tr>
        <w:trPr>
          <w:trHeight w:val="250"/>
        </w:trPr>
        <w:tc>
          <w:tcPr>
            <w:tcW w:w="458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280" w:type="dxa"/>
            <w:vAlign w:val="bottom"/>
          </w:tcPr>
          <w:p>
            <w:pPr>
              <w:spacing w:after="0"/>
              <w:rPr>
                <w:sz w:val="21"/>
                <w:szCs w:val="21"/>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83.9 %</w:t>
            </w:r>
          </w:p>
        </w:tc>
        <w:tc>
          <w:tcPr>
            <w:tcW w:w="320" w:type="dxa"/>
            <w:vAlign w:val="bottom"/>
          </w:tcPr>
          <w:p>
            <w:pPr>
              <w:spacing w:after="0"/>
              <w:rPr>
                <w:sz w:val="21"/>
                <w:szCs w:val="21"/>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71.3 %</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56"/>
        </w:trPr>
        <w:tc>
          <w:tcPr>
            <w:tcW w:w="4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28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i w:val="1"/>
                <w:iCs w:val="1"/>
                <w:color w:val="auto"/>
              </w:rPr>
              <w:t>16.6 %</w:t>
            </w:r>
          </w:p>
        </w:tc>
        <w:tc>
          <w:tcPr>
            <w:tcW w:w="32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i w:val="1"/>
                <w:iCs w:val="1"/>
                <w:color w:val="auto"/>
              </w:rPr>
              <w:t>-36.4 %</w:t>
            </w:r>
          </w:p>
        </w:tc>
        <w:tc>
          <w:tcPr>
            <w:tcW w:w="3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r>
      <w:tr>
        <w:trPr>
          <w:trHeight w:val="20"/>
        </w:trPr>
        <w:tc>
          <w:tcPr>
            <w:tcW w:w="45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50"/>
        </w:trPr>
        <w:tc>
          <w:tcPr>
            <w:tcW w:w="4580" w:type="dxa"/>
            <w:vAlign w:val="bottom"/>
          </w:tcPr>
          <w:p>
            <w:pPr>
              <w:ind w:left="56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1"/>
                <w:szCs w:val="21"/>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80.5 %</w:t>
            </w:r>
          </w:p>
        </w:tc>
        <w:tc>
          <w:tcPr>
            <w:tcW w:w="320" w:type="dxa"/>
            <w:vAlign w:val="bottom"/>
          </w:tcPr>
          <w:p>
            <w:pPr>
              <w:spacing w:after="0"/>
              <w:rPr>
                <w:sz w:val="21"/>
                <w:szCs w:val="21"/>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63.4 %</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63"/>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r>
      <w:tr>
        <w:trPr>
          <w:trHeight w:val="250"/>
        </w:trPr>
        <w:tc>
          <w:tcPr>
            <w:tcW w:w="45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11,265</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6,001</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5,264</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87.7</w:t>
            </w:r>
          </w:p>
        </w:tc>
        <w:tc>
          <w:tcPr>
            <w:tcW w:w="280" w:type="dxa"/>
            <w:vAlign w:val="bottom"/>
          </w:tcPr>
          <w:p>
            <w:pPr>
              <w:spacing w:after="0"/>
              <w:rPr>
                <w:sz w:val="21"/>
                <w:szCs w:val="21"/>
                <w:color w:val="auto"/>
              </w:rPr>
            </w:pPr>
          </w:p>
        </w:tc>
      </w:tr>
      <w:tr>
        <w:trPr>
          <w:trHeight w:val="257"/>
        </w:trPr>
        <w:tc>
          <w:tcPr>
            <w:tcW w:w="4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53,100</w:t>
            </w:r>
          </w:p>
        </w:tc>
        <w:tc>
          <w:tcPr>
            <w:tcW w:w="4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29,570</w:t>
            </w:r>
          </w:p>
        </w:tc>
        <w:tc>
          <w:tcPr>
            <w:tcW w:w="4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23,530</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280" w:type="dxa"/>
            <w:vAlign w:val="bottom"/>
            <w:tcBorders>
              <w:bottom w:val="single" w:sz="8" w:color="CFF0FC"/>
            </w:tcBorders>
            <w:shd w:val="clear" w:color="auto" w:fill="CFF0FC"/>
          </w:tcPr>
          <w:p>
            <w:pPr>
              <w:spacing w:after="0"/>
              <w:rPr>
                <w:sz w:val="22"/>
                <w:szCs w:val="22"/>
                <w:color w:val="auto"/>
              </w:rPr>
            </w:pPr>
          </w:p>
        </w:tc>
      </w:tr>
      <w:tr>
        <w:trPr>
          <w:trHeight w:val="250"/>
        </w:trPr>
        <w:tc>
          <w:tcPr>
            <w:tcW w:w="4580" w:type="dxa"/>
            <w:vAlign w:val="bottom"/>
          </w:tcPr>
          <w:p>
            <w:pPr>
              <w:ind w:left="5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64,365</w:t>
            </w:r>
          </w:p>
        </w:tc>
        <w:tc>
          <w:tcPr>
            <w:tcW w:w="4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35,571</w:t>
            </w:r>
          </w:p>
        </w:tc>
        <w:tc>
          <w:tcPr>
            <w:tcW w:w="4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28,794</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280" w:type="dxa"/>
            <w:vAlign w:val="bottom"/>
          </w:tcPr>
          <w:p>
            <w:pPr>
              <w:spacing w:after="0"/>
              <w:rPr>
                <w:sz w:val="21"/>
                <w:szCs w:val="21"/>
                <w:color w:val="auto"/>
              </w:rPr>
            </w:pPr>
          </w:p>
        </w:tc>
      </w:tr>
      <w:tr>
        <w:trPr>
          <w:trHeight w:val="256"/>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(36,762 )</w:t>
            </w:r>
          </w:p>
        </w:tc>
        <w:tc>
          <w:tcPr>
            <w:tcW w:w="32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(23,755 )</w:t>
            </w:r>
          </w:p>
        </w:tc>
        <w:tc>
          <w:tcPr>
            <w:tcW w:w="38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(13,007 )</w:t>
            </w: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280" w:type="dxa"/>
            <w:vAlign w:val="bottom"/>
            <w:shd w:val="clear" w:color="auto" w:fill="CFF0FC"/>
          </w:tcPr>
          <w:p>
            <w:pPr>
              <w:spacing w:after="0"/>
              <w:rPr>
                <w:sz w:val="22"/>
                <w:szCs w:val="22"/>
                <w:color w:val="auto"/>
              </w:rPr>
            </w:pPr>
          </w:p>
        </w:tc>
      </w:tr>
      <w:tr>
        <w:trPr>
          <w:trHeight w:val="250"/>
        </w:trPr>
        <w:tc>
          <w:tcPr>
            <w:tcW w:w="45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(30 )</w:t>
            </w:r>
          </w:p>
        </w:tc>
        <w:tc>
          <w:tcPr>
            <w:tcW w:w="2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(100.0 )</w:t>
            </w:r>
          </w:p>
        </w:tc>
      </w:tr>
      <w:tr>
        <w:trPr>
          <w:trHeight w:val="263"/>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(3,288 )</w:t>
            </w:r>
          </w:p>
        </w:tc>
        <w:tc>
          <w:tcPr>
            <w:tcW w:w="32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(1,639 )</w:t>
            </w:r>
          </w:p>
        </w:tc>
        <w:tc>
          <w:tcPr>
            <w:tcW w:w="38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(1,649 )</w:t>
            </w: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280" w:type="dxa"/>
            <w:vAlign w:val="bottom"/>
            <w:shd w:val="clear" w:color="auto" w:fill="CFF0FC"/>
          </w:tcPr>
          <w:p>
            <w:pPr>
              <w:spacing w:after="0"/>
              <w:rPr>
                <w:sz w:val="22"/>
                <w:szCs w:val="22"/>
                <w:color w:val="auto"/>
              </w:rPr>
            </w:pPr>
          </w:p>
        </w:tc>
      </w:tr>
      <w:tr>
        <w:trPr>
          <w:trHeight w:val="250"/>
        </w:trPr>
        <w:tc>
          <w:tcPr>
            <w:tcW w:w="458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21"/>
                <w:szCs w:val="21"/>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(6,884 )</w:t>
            </w:r>
          </w:p>
        </w:tc>
        <w:tc>
          <w:tcPr>
            <w:tcW w:w="320" w:type="dxa"/>
            <w:vAlign w:val="bottom"/>
          </w:tcPr>
          <w:p>
            <w:pPr>
              <w:spacing w:after="0"/>
              <w:rPr>
                <w:sz w:val="21"/>
                <w:szCs w:val="21"/>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(179 )</w:t>
            </w: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(6,705 )</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3,745.8</w:t>
            </w:r>
          </w:p>
        </w:tc>
        <w:tc>
          <w:tcPr>
            <w:tcW w:w="280" w:type="dxa"/>
            <w:vAlign w:val="bottom"/>
          </w:tcPr>
          <w:p>
            <w:pPr>
              <w:spacing w:after="0"/>
              <w:rPr>
                <w:sz w:val="21"/>
                <w:szCs w:val="21"/>
                <w:color w:val="auto"/>
              </w:rPr>
            </w:pPr>
          </w:p>
        </w:tc>
      </w:tr>
      <w:tr>
        <w:trPr>
          <w:trHeight w:val="257"/>
        </w:trPr>
        <w:tc>
          <w:tcPr>
            <w:tcW w:w="4580" w:type="dxa"/>
            <w:vAlign w:val="bottom"/>
            <w:shd w:val="clear" w:color="auto" w:fill="CFF0FC"/>
          </w:tcPr>
          <w:p>
            <w:pPr>
              <w:spacing w:after="0"/>
              <w:rPr>
                <w:sz w:val="22"/>
                <w:szCs w:val="22"/>
                <w:color w:val="auto"/>
              </w:rPr>
            </w:pPr>
          </w:p>
        </w:tc>
        <w:tc>
          <w:tcPr>
            <w:tcW w:w="280" w:type="dxa"/>
            <w:vAlign w:val="bottom"/>
            <w:tcBorders>
              <w:top w:val="single" w:sz="8" w:color="auto"/>
            </w:tcBorders>
            <w:shd w:val="clear" w:color="auto" w:fill="CFF0FC"/>
          </w:tcPr>
          <w:p>
            <w:pPr>
              <w:spacing w:after="0"/>
              <w:rPr>
                <w:sz w:val="22"/>
                <w:szCs w:val="22"/>
                <w:color w:val="auto"/>
              </w:rPr>
            </w:pPr>
          </w:p>
        </w:tc>
        <w:tc>
          <w:tcPr>
            <w:tcW w:w="1040" w:type="dxa"/>
            <w:vAlign w:val="bottom"/>
            <w:tcBorders>
              <w:top w:val="single" w:sz="8" w:color="auto"/>
            </w:tcBorders>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320" w:type="dxa"/>
            <w:vAlign w:val="bottom"/>
            <w:tcBorders>
              <w:top w:val="single" w:sz="8" w:color="auto"/>
            </w:tcBorders>
            <w:shd w:val="clear" w:color="auto" w:fill="CFF0FC"/>
          </w:tcPr>
          <w:p>
            <w:pPr>
              <w:spacing w:after="0"/>
              <w:rPr>
                <w:sz w:val="22"/>
                <w:szCs w:val="22"/>
                <w:color w:val="auto"/>
              </w:rPr>
            </w:pPr>
          </w:p>
        </w:tc>
        <w:tc>
          <w:tcPr>
            <w:tcW w:w="980" w:type="dxa"/>
            <w:vAlign w:val="bottom"/>
            <w:tcBorders>
              <w:top w:val="single" w:sz="8" w:color="auto"/>
            </w:tcBorders>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380" w:type="dxa"/>
            <w:vAlign w:val="bottom"/>
            <w:tcBorders>
              <w:top w:val="single" w:sz="8" w:color="auto"/>
            </w:tcBorders>
            <w:shd w:val="clear" w:color="auto" w:fill="CFF0FC"/>
          </w:tcPr>
          <w:p>
            <w:pPr>
              <w:spacing w:after="0"/>
              <w:rPr>
                <w:sz w:val="22"/>
                <w:szCs w:val="22"/>
                <w:color w:val="auto"/>
              </w:rPr>
            </w:pPr>
          </w:p>
        </w:tc>
        <w:tc>
          <w:tcPr>
            <w:tcW w:w="102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94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r>
      <w:tr>
        <w:trPr>
          <w:trHeight w:val="250"/>
        </w:trPr>
        <w:tc>
          <w:tcPr>
            <w:tcW w:w="4580" w:type="dxa"/>
            <w:vAlign w:val="bottom"/>
          </w:tcPr>
          <w:p>
            <w:pPr>
              <w:ind w:left="20"/>
              <w:spacing w:after="0"/>
              <w:rPr>
                <w:sz w:val="20"/>
                <w:szCs w:val="20"/>
                <w:color w:val="auto"/>
              </w:rPr>
            </w:pPr>
            <w:r>
              <w:rPr>
                <w:rFonts w:ascii="Arial" w:cs="Arial" w:eastAsia="Arial" w:hAnsi="Arial"/>
                <w:sz w:val="18"/>
                <w:szCs w:val="18"/>
                <w:color w:val="auto"/>
              </w:rPr>
              <w:t>Loss before income tax</w:t>
            </w:r>
          </w:p>
        </w:tc>
        <w:tc>
          <w:tcPr>
            <w:tcW w:w="280" w:type="dxa"/>
            <w:vAlign w:val="bottom"/>
          </w:tcPr>
          <w:p>
            <w:pPr>
              <w:spacing w:after="0"/>
              <w:rPr>
                <w:sz w:val="21"/>
                <w:szCs w:val="21"/>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(46,934 )</w:t>
            </w:r>
          </w:p>
        </w:tc>
        <w:tc>
          <w:tcPr>
            <w:tcW w:w="320" w:type="dxa"/>
            <w:vAlign w:val="bottom"/>
          </w:tcPr>
          <w:p>
            <w:pPr>
              <w:spacing w:after="0"/>
              <w:rPr>
                <w:sz w:val="21"/>
                <w:szCs w:val="21"/>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(25,543 )</w:t>
            </w: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(21,391 )</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83.7</w:t>
            </w:r>
          </w:p>
        </w:tc>
        <w:tc>
          <w:tcPr>
            <w:tcW w:w="280" w:type="dxa"/>
            <w:vAlign w:val="bottom"/>
          </w:tcPr>
          <w:p>
            <w:pPr>
              <w:spacing w:after="0"/>
              <w:rPr>
                <w:sz w:val="21"/>
                <w:szCs w:val="21"/>
                <w:color w:val="auto"/>
              </w:rPr>
            </w:pPr>
          </w:p>
        </w:tc>
      </w:tr>
      <w:tr>
        <w:trPr>
          <w:trHeight w:val="257"/>
        </w:trPr>
        <w:tc>
          <w:tcPr>
            <w:tcW w:w="4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4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4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shd w:val="clear" w:color="auto" w:fill="CFF0FC"/>
          </w:tcPr>
          <w:p>
            <w:pPr>
              <w:spacing w:after="0"/>
              <w:rPr>
                <w:sz w:val="22"/>
                <w:szCs w:val="22"/>
                <w:color w:val="auto"/>
              </w:rPr>
            </w:pPr>
          </w:p>
        </w:tc>
      </w:tr>
      <w:tr>
        <w:trPr>
          <w:trHeight w:val="257"/>
        </w:trPr>
        <w:tc>
          <w:tcPr>
            <w:tcW w:w="458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Pr>
          <w:p>
            <w:pPr>
              <w:spacing w:after="0"/>
              <w:rPr>
                <w:sz w:val="22"/>
                <w:szCs w:val="22"/>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(47,024 )</w:t>
            </w:r>
          </w:p>
        </w:tc>
        <w:tc>
          <w:tcPr>
            <w:tcW w:w="320" w:type="dxa"/>
            <w:vAlign w:val="bottom"/>
          </w:tcPr>
          <w:p>
            <w:pPr>
              <w:spacing w:after="0"/>
              <w:rPr>
                <w:sz w:val="22"/>
                <w:szCs w:val="22"/>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(25,588 )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(21,436 )</w:t>
            </w:r>
          </w:p>
        </w:tc>
        <w:tc>
          <w:tcPr>
            <w:tcW w:w="260" w:type="dxa"/>
            <w:vAlign w:val="bottom"/>
          </w:tcPr>
          <w:p>
            <w:pPr>
              <w:spacing w:after="0"/>
              <w:rPr>
                <w:sz w:val="22"/>
                <w:szCs w:val="2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83.8 %</w:t>
            </w:r>
          </w:p>
        </w:tc>
      </w:tr>
      <w:tr>
        <w:trPr>
          <w:trHeight w:val="20"/>
        </w:trPr>
        <w:tc>
          <w:tcPr>
            <w:tcW w:w="4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-4162425</wp:posOffset>
            </wp:positionV>
            <wp:extent cx="29146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-4162425</wp:posOffset>
            </wp:positionV>
            <wp:extent cx="27432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-4162425</wp:posOffset>
            </wp:positionV>
            <wp:extent cx="16256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-4162425</wp:posOffset>
            </wp:positionV>
            <wp:extent cx="17970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-3502660</wp:posOffset>
            </wp:positionV>
            <wp:extent cx="29146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-3502660</wp:posOffset>
            </wp:positionV>
            <wp:extent cx="27432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-3502660</wp:posOffset>
            </wp:positionV>
            <wp:extent cx="16256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-3502660</wp:posOffset>
            </wp:positionV>
            <wp:extent cx="179705"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-2842260</wp:posOffset>
            </wp:positionV>
            <wp:extent cx="29146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-2842260</wp:posOffset>
            </wp:positionV>
            <wp:extent cx="27432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-2842260</wp:posOffset>
            </wp:positionV>
            <wp:extent cx="16256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-2842260</wp:posOffset>
            </wp:positionV>
            <wp:extent cx="179705"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-2182495</wp:posOffset>
            </wp:positionV>
            <wp:extent cx="29146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-2182495</wp:posOffset>
            </wp:positionV>
            <wp:extent cx="27432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-2182495</wp:posOffset>
            </wp:positionV>
            <wp:extent cx="16256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-2182495</wp:posOffset>
            </wp:positionV>
            <wp:extent cx="17970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-1522095</wp:posOffset>
            </wp:positionV>
            <wp:extent cx="29146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-1522095</wp:posOffset>
            </wp:positionV>
            <wp:extent cx="27432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-1522095</wp:posOffset>
            </wp:positionV>
            <wp:extent cx="16256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-1522095</wp:posOffset>
            </wp:positionV>
            <wp:extent cx="17970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-193675</wp:posOffset>
            </wp:positionV>
            <wp:extent cx="29146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-193675</wp:posOffset>
            </wp:positionV>
            <wp:extent cx="27432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-193675</wp:posOffset>
            </wp:positionV>
            <wp:extent cx="16256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-193675</wp:posOffset>
            </wp:positionV>
            <wp:extent cx="17970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79705" cy="5715"/>
                    </a:xfrm>
                    <a:prstGeom prst="rect">
                      <a:avLst/>
                    </a:prstGeom>
                    <a:noFill/>
                  </pic:spPr>
                </pic:pic>
              </a:graphicData>
            </a:graphic>
          </wp:anchor>
        </w:drawing>
      </w:r>
    </w:p>
    <w:p>
      <w:pPr>
        <w:spacing w:after="0" w:line="317" w:lineRule="exact"/>
        <w:rPr>
          <w:sz w:val="20"/>
          <w:szCs w:val="20"/>
          <w:color w:val="auto"/>
        </w:rPr>
      </w:pPr>
    </w:p>
    <w:p>
      <w:pPr>
        <w:ind w:right="60" w:firstLine="509"/>
        <w:spacing w:after="0" w:line="287" w:lineRule="auto"/>
        <w:rPr>
          <w:sz w:val="20"/>
          <w:szCs w:val="20"/>
          <w:color w:val="auto"/>
        </w:rPr>
      </w:pPr>
      <w:r>
        <w:rPr>
          <w:rFonts w:ascii="Arial" w:cs="Arial" w:eastAsia="Arial" w:hAnsi="Arial"/>
          <w:sz w:val="17"/>
          <w:szCs w:val="17"/>
          <w:i w:val="1"/>
          <w:iCs w:val="1"/>
          <w:color w:val="auto"/>
        </w:rPr>
        <w:t>Revenue</w:t>
      </w:r>
      <w:r>
        <w:rPr>
          <w:rFonts w:ascii="Arial" w:cs="Arial" w:eastAsia="Arial" w:hAnsi="Arial"/>
          <w:sz w:val="17"/>
          <w:szCs w:val="17"/>
          <w:color w:val="auto"/>
        </w:rPr>
        <w:t>. Revenue in the nine months ended September 30, 2021 was $34.3 million, an increase of $15.6 million, or 83.8%, from our revenue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September 30, 2020. The increase was attributable to a $15.3 million increase in Surgical Glaucoma sales and an increase of $0.3 million in Dry Eye sales. The overall increase in Surgical Glaucoma revenue was attributable to a significant increase in the number of OMNI units sold during 2021 due to growth in the number of facilities ordering OMNI and an increase in unit utilization per ordering facility due, in part, to the significant impact of COVID-19 on industry-wide procedure volumes during the nine months ended September 30, 2020. Our Dry Eye revenue growth was the result of an increased amount of SmartLids reordered by our existing customer base and also reflected COVID-19’s significant impact on elective procedures during the nine months ended September 30, 2020. Surgical Glaucoma sales represented 95.0% and 92.7% of our revenue generated in the nine months ended September 30, 2021 and 2020, respectively.</w:t>
      </w:r>
    </w:p>
    <w:p>
      <w:pPr>
        <w:spacing w:after="0" w:line="182" w:lineRule="exact"/>
        <w:rPr>
          <w:sz w:val="20"/>
          <w:szCs w:val="20"/>
          <w:color w:val="auto"/>
        </w:rPr>
      </w:pPr>
    </w:p>
    <w:p>
      <w:pPr>
        <w:ind w:right="160" w:firstLine="509"/>
        <w:spacing w:after="0" w:line="314" w:lineRule="auto"/>
        <w:rPr>
          <w:sz w:val="20"/>
          <w:szCs w:val="20"/>
          <w:color w:val="auto"/>
        </w:rPr>
      </w:pPr>
      <w:r>
        <w:rPr>
          <w:rFonts w:ascii="Arial" w:cs="Arial" w:eastAsia="Arial" w:hAnsi="Arial"/>
          <w:sz w:val="16"/>
          <w:szCs w:val="16"/>
          <w:i w:val="1"/>
          <w:iCs w:val="1"/>
          <w:color w:val="auto"/>
        </w:rPr>
        <w:t>Cost of Goods Sold and Gross Profit</w:t>
      </w:r>
      <w:r>
        <w:rPr>
          <w:rFonts w:ascii="Arial" w:cs="Arial" w:eastAsia="Arial" w:hAnsi="Arial"/>
          <w:sz w:val="16"/>
          <w:szCs w:val="16"/>
          <w:color w:val="auto"/>
        </w:rPr>
        <w:t>. The $0.2 million decrease in cost of goods sold during the nine months ended September 30, 2021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nine months ended September 30, 2020 was attributable to a decrease of $1.3 million in our inventory write-down reserve, $0.5 million decrease in cost of materials and a decrease in manufacturing overhead as result of improved efficiency, which was partially offset by an increase of $1.6 million in product costs driven by increased sales growth during the period. The nine months ended September 30, 2020 included a large write-down of inventory from our original version of OMNI following the launch and adoption of our next generation OMNI System by our user base.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 w:name="page38"/>
    <w:bookmarkEnd w:id="37"/>
    <w:p>
      <w:pPr>
        <w:ind w:firstLine="509"/>
        <w:spacing w:after="0" w:line="290" w:lineRule="auto"/>
        <w:rPr>
          <w:sz w:val="20"/>
          <w:szCs w:val="20"/>
          <w:color w:val="auto"/>
        </w:rPr>
      </w:pPr>
      <w:r>
        <w:rPr>
          <w:rFonts w:ascii="Arial" w:cs="Arial" w:eastAsia="Arial" w:hAnsi="Arial"/>
          <w:sz w:val="17"/>
          <w:szCs w:val="17"/>
          <w:color w:val="auto"/>
        </w:rPr>
        <w:t>Our total gross profit increased $15.8 million from $11.8 million to $27.6 million during the nine months ended September 30, 2021 compared to the nine months ended September 30, 2020. Our total gross margin increased from 63.4% to 80.5% from the nine months ended September 30, 2020 to the nine months ended September 30, 2021 primarily due to a higher volume of OMNI units sold. Gross margin in our Surgical Glaucoma segment increased from 71.3% to 83.9% from the nine months ended September 30, 2020 to the nine months ended September 30, 2021, and in our Dry Eye segment gross margin increased from (36.4)% to 16.6% from the nine months ended September 30, 2020 to the nine months ended September 30, 2021. Gross margin was negatively impacted for the nine months ended September 30, 2020 due to the COVID-19 pandemic.</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The $5.3 million increase in R&amp;D expenses during the nine months ended September 30, 2021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nine months ended September 30, 2020 was primarily attributable to $1.5 million increase in personnel expenses as a result of increased headcount,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 million net increase in contract manufacturing, lab supplies and Dry Eye product prototype development expenses, $0.7 million in clinical studies,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$0.5 million in legal services mainly related to registration of patents, $0.3 million in stock-based compensation, and $0.9 million in other services driven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 overall increase in business activities.</w:t>
      </w:r>
    </w:p>
    <w:p>
      <w:pPr>
        <w:spacing w:after="0" w:line="238" w:lineRule="exact"/>
        <w:rPr>
          <w:sz w:val="20"/>
          <w:szCs w:val="20"/>
          <w:color w:val="auto"/>
        </w:rPr>
      </w:pPr>
    </w:p>
    <w:p>
      <w:pPr>
        <w:ind w:right="120" w:firstLine="509"/>
        <w:spacing w:after="0" w:line="287"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The $23.5 million increase in SG&amp;A expenses during the nine months ended September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nine months ended September 30, 2020 was primarily due to our continued investment and scaling of operations and corporate headcount to support our growth, which resulted in an increase of $13.4 million in headcount increases resulting in higher compensation including salaries, commissions, and other employee-related expenses, increase of $2.5 million in stock-based compensation, and a of $7.6 million net increase in non-personnel SG&amp;A expenses. Our largest areas of growth in non-personnel SG&amp;A expenses from the nine months ended September 30, 2020 to the nine months ended September 30, 2021 were commercial spend, including promotional activities, conferences, tradeshows and marketing initiatives, legal fees relate to regulatory matters, particularly related to the FDA clearance of OMNI’s expanded Indication for Use, accounting-related expenses, and other services to support business growth and post IPO activities.</w:t>
      </w:r>
    </w:p>
    <w:p>
      <w:pPr>
        <w:spacing w:after="0" w:line="182" w:lineRule="exact"/>
        <w:rPr>
          <w:sz w:val="20"/>
          <w:szCs w:val="20"/>
          <w:color w:val="auto"/>
        </w:rPr>
      </w:pPr>
    </w:p>
    <w:p>
      <w:pPr>
        <w:ind w:right="420" w:firstLine="509"/>
        <w:spacing w:after="0" w:line="324"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The $1.6 million increase in interest expense during the nine months ended September 30, 2021 compared to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2020 was attributable to the increase in average debt outstanding due to our debt financing in November 2020.</w:t>
      </w:r>
    </w:p>
    <w:p>
      <w:pPr>
        <w:spacing w:after="0" w:line="147"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i w:val="1"/>
          <w:iCs w:val="1"/>
          <w:color w:val="auto"/>
        </w:rPr>
        <w:t xml:space="preserve">Interest Income and Other Income (Expense), Net. </w:t>
      </w:r>
      <w:r>
        <w:rPr>
          <w:rFonts w:ascii="Arial" w:cs="Arial" w:eastAsia="Arial" w:hAnsi="Arial"/>
          <w:sz w:val="18"/>
          <w:szCs w:val="18"/>
          <w:color w:val="auto"/>
        </w:rPr>
        <w:t>Interest income did not change significantly during the nine months ended September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nine months ended September 30, 2020. The increase in other income (expense), net of $6.7 million, during the nine months ended September 30, 2021 compared to the nine months ended September 30, 2020 was attributable primarily to the remeasurement of our convertible preferred stock warrants and recognition of the change in fair value. As detailed in the notes to our financial statements included herein, during the nine months ended September 30, 2021, the convertible preferred stock warrants were automatically converted into common stock warrants concurrent with our IPO and subsequently exercised in August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58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02"/>
        </w:trPr>
        <w:tc>
          <w:tcPr>
            <w:tcW w:w="7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2"/>
          </w:tcPr>
          <w:p>
            <w:pPr>
              <w:spacing w:after="0"/>
              <w:rPr>
                <w:sz w:val="17"/>
                <w:szCs w:val="17"/>
                <w:color w:val="auto"/>
              </w:rPr>
            </w:pPr>
          </w:p>
        </w:tc>
      </w:tr>
      <w:tr>
        <w:trPr>
          <w:trHeight w:val="257"/>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(41,818 )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(23,624 )</w:t>
            </w:r>
          </w:p>
        </w:tc>
      </w:tr>
      <w:tr>
        <w:trPr>
          <w:trHeight w:val="250"/>
        </w:trPr>
        <w:tc>
          <w:tcPr>
            <w:tcW w:w="75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(656 )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(651 )</w:t>
            </w:r>
          </w:p>
        </w:tc>
      </w:tr>
      <w:tr>
        <w:trPr>
          <w:trHeight w:val="257"/>
        </w:trPr>
        <w:tc>
          <w:tcPr>
            <w:tcW w:w="7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252,438</w:t>
            </w:r>
          </w:p>
        </w:tc>
        <w:tc>
          <w:tcPr>
            <w:tcW w:w="3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29,882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580" w:type="dxa"/>
            <w:vAlign w:val="bottom"/>
          </w:tcPr>
          <w:p>
            <w:pPr>
              <w:ind w:left="20"/>
              <w:spacing w:after="0"/>
              <w:rPr>
                <w:sz w:val="20"/>
                <w:szCs w:val="20"/>
                <w:color w:val="auto"/>
              </w:rPr>
            </w:pPr>
            <w:r>
              <w:rPr>
                <w:rFonts w:ascii="Arial" w:cs="Arial" w:eastAsia="Arial" w:hAnsi="Arial"/>
                <w:sz w:val="18"/>
                <w:szCs w:val="18"/>
                <w:color w:val="auto"/>
              </w:rPr>
              <w:t>Net increase in cash</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209,964</w:t>
            </w:r>
          </w:p>
        </w:tc>
        <w:tc>
          <w:tcPr>
            <w:tcW w:w="300" w:type="dxa"/>
            <w:vAlign w:val="bottom"/>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5,607</w:t>
            </w:r>
          </w:p>
        </w:tc>
        <w:tc>
          <w:tcPr>
            <w:tcW w:w="100" w:type="dxa"/>
            <w:vAlign w:val="bottom"/>
          </w:tcPr>
          <w:p>
            <w:pPr>
              <w:spacing w:after="0"/>
              <w:rPr>
                <w:sz w:val="21"/>
                <w:szCs w:val="21"/>
                <w:color w:val="auto"/>
              </w:rPr>
            </w:pPr>
          </w:p>
        </w:tc>
      </w:tr>
      <w:tr>
        <w:trPr>
          <w:trHeight w:val="20"/>
        </w:trPr>
        <w:tc>
          <w:tcPr>
            <w:tcW w:w="7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-193675</wp:posOffset>
            </wp:positionV>
            <wp:extent cx="19685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ind w:firstLine="509"/>
        <w:spacing w:after="0" w:line="287" w:lineRule="auto"/>
        <w:rPr>
          <w:sz w:val="20"/>
          <w:szCs w:val="20"/>
          <w:color w:val="auto"/>
        </w:rPr>
      </w:pPr>
      <w:r>
        <w:rPr>
          <w:rFonts w:ascii="Arial" w:cs="Arial" w:eastAsia="Arial" w:hAnsi="Arial"/>
          <w:sz w:val="17"/>
          <w:szCs w:val="17"/>
          <w:color w:val="auto"/>
        </w:rPr>
        <w:t>Net cash used in operating activities for the nine months ended September 30, 2021 was $41.8 million, consisting primarily of a net loss of $47.0 million and a net change in our operating assets and liabilities of $6.7 million, partially offset by non-cash charges of $11.9 million. The change in our net operating assets and liabilities was primarily due to a $3.7 million increase in accounts receivable, a $0.6 million increase in inventory, and a $3.3 million increase in our prepaid expenses to support the continued growth of our operations, partially offset by a $0.6 million increase in accrued compensation, and a $0.3 million increase in other non-current liabilities. The non-cash charges primarily consisted of $3.1 million related to stock-based compensation, $0.3 million provision for excess and obsolete inventories, $0.4 million of right of use asset amortization related to our office leases, $0.5 million of accretion of debt discount and amortization of debt issuance costs, $0.5 million in depreciation and amortization, and $6.9 million resulted from the fair value remeasurement of our convertible preferred stock warrants.</w:t>
      </w:r>
    </w:p>
    <w:p>
      <w:pPr>
        <w:spacing w:after="0" w:line="182"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color w:val="auto"/>
        </w:rPr>
        <w:t>Net cash used in operating activities for nine months ended September 30, 2020 was $23.6 million, consisting primarily of a net loss of $25.6 million, which included a $2.2 million benefit from the proceeds from our Paycheck Protection Program, or PPP, loan under the Coronavirus Aid, Relief, and Economic Security Act, or CARES Act, offset by net change in our operating assets and liabilities of $1.1 million and non-cash charges of $3.1 million. The change in our net operating assets and liabilities was primarily due to a $1.2 million increase in accounts receivable, $1.1 million increase in inventory, a $0.4 million increase in our prepaid expenses to support the continued growth of our operations, partially offset by a $2.4 million increase in accrued and other liabilities, a $0.6 million increase in accrued compensation, and a $0.8 million increase in other noncurrent liabilities. The non-cash charges primarily consisted of $1.1 million provision for excess and obsolete inventories, primarily due to the impact of COVID-19 and the launch of OMNI Next Gen, $0.4 million of depreciation and amortization, $0.4 million accretion of debt discount and amortization of debt issuance costs, $0.3 million stock-based compensation, $0.4 million of right of use asset amortization related to our office leases, and $0.2 million resulting from the fair value remeasurement of our convertible preferred stock warrants.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31" w:lineRule="exact"/>
        <w:rPr>
          <w:sz w:val="20"/>
          <w:szCs w:val="20"/>
          <w:color w:val="auto"/>
        </w:rPr>
      </w:pPr>
    </w:p>
    <w:p>
      <w:pPr>
        <w:ind w:right="640" w:firstLine="509"/>
        <w:spacing w:after="0" w:line="293" w:lineRule="auto"/>
        <w:rPr>
          <w:sz w:val="20"/>
          <w:szCs w:val="20"/>
          <w:color w:val="auto"/>
        </w:rPr>
      </w:pPr>
      <w:r>
        <w:rPr>
          <w:rFonts w:ascii="Arial" w:cs="Arial" w:eastAsia="Arial" w:hAnsi="Arial"/>
          <w:sz w:val="18"/>
          <w:szCs w:val="18"/>
          <w:color w:val="auto"/>
        </w:rPr>
        <w:t>Net cash used in investing activities in the nine months ended September 30, 2021 and 2020 was $0.7 million for purchases of property and equipment.</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31" w:lineRule="exact"/>
        <w:rPr>
          <w:sz w:val="20"/>
          <w:szCs w:val="20"/>
          <w:color w:val="auto"/>
        </w:rPr>
      </w:pPr>
    </w:p>
    <w:p>
      <w:pPr>
        <w:ind w:right="60" w:firstLine="509"/>
        <w:spacing w:after="0" w:line="293" w:lineRule="auto"/>
        <w:rPr>
          <w:sz w:val="20"/>
          <w:szCs w:val="20"/>
          <w:color w:val="auto"/>
        </w:rPr>
      </w:pPr>
      <w:r>
        <w:rPr>
          <w:rFonts w:ascii="Arial" w:cs="Arial" w:eastAsia="Arial" w:hAnsi="Arial"/>
          <w:sz w:val="18"/>
          <w:szCs w:val="18"/>
          <w:color w:val="auto"/>
        </w:rPr>
        <w:t>Net cash provided by financing activities in the nine months ended September 30, 2021 primarily related to net IPO proceeds of $252.2 million and $0.3 million related to proceeds from stock option exercises.</w:t>
      </w:r>
    </w:p>
    <w:p>
      <w:pPr>
        <w:spacing w:after="0" w:line="170" w:lineRule="exact"/>
        <w:rPr>
          <w:sz w:val="20"/>
          <w:szCs w:val="20"/>
          <w:color w:val="auto"/>
        </w:rPr>
      </w:pPr>
    </w:p>
    <w:p>
      <w:pPr>
        <w:ind w:right="500" w:firstLine="509"/>
        <w:spacing w:after="0" w:line="293" w:lineRule="auto"/>
        <w:rPr>
          <w:sz w:val="20"/>
          <w:szCs w:val="20"/>
          <w:color w:val="auto"/>
        </w:rPr>
      </w:pPr>
      <w:r>
        <w:rPr>
          <w:rFonts w:ascii="Arial" w:cs="Arial" w:eastAsia="Arial" w:hAnsi="Arial"/>
          <w:sz w:val="18"/>
          <w:szCs w:val="18"/>
          <w:color w:val="auto"/>
        </w:rPr>
        <w:t>Net cash provided by financing activities in the nine months ended September 30, 2020 was related to net proceeds from issuance of Series E redeemable convertible preferred stock of $30.0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31" w:lineRule="exact"/>
        <w:rPr>
          <w:sz w:val="20"/>
          <w:szCs w:val="20"/>
          <w:color w:val="auto"/>
        </w:rPr>
      </w:pPr>
    </w:p>
    <w:p>
      <w:pPr>
        <w:jc w:val="both"/>
        <w:ind w:right="20" w:firstLine="509"/>
        <w:spacing w:after="0" w:line="296" w:lineRule="auto"/>
        <w:rPr>
          <w:sz w:val="20"/>
          <w:szCs w:val="20"/>
          <w:color w:val="auto"/>
        </w:rPr>
      </w:pPr>
      <w:r>
        <w:rPr>
          <w:rFonts w:ascii="Arial" w:cs="Arial" w:eastAsia="Arial" w:hAnsi="Arial"/>
          <w:sz w:val="17"/>
          <w:szCs w:val="17"/>
          <w:color w:val="auto"/>
        </w:rPr>
        <w:t>To date, our primary sources of capital have been private placements of redeemable convertible preferred stock, debt financing agreements, the sale of common stock in our IPO, and revenue from the sale of our products. On July 19, 2021, we completed our IPO, including the underwriters' full exercise of their option to purchase additional shares, selling 11,500,000 shares of our common stock at $24.00 per share. Upon completion of our IPO, we received $252.2 million, after deducting underwriting discounts and commissions and offering costs.</w:t>
      </w:r>
    </w:p>
    <w:p>
      <w:pPr>
        <w:spacing w:after="0" w:line="170" w:lineRule="exact"/>
        <w:rPr>
          <w:sz w:val="20"/>
          <w:szCs w:val="20"/>
          <w:color w:val="auto"/>
        </w:rPr>
      </w:pPr>
    </w:p>
    <w:p>
      <w:pPr>
        <w:ind w:right="20" w:firstLine="509"/>
        <w:spacing w:after="0" w:line="329" w:lineRule="auto"/>
        <w:rPr>
          <w:sz w:val="20"/>
          <w:szCs w:val="20"/>
          <w:color w:val="auto"/>
        </w:rPr>
      </w:pPr>
      <w:r>
        <w:rPr>
          <w:rFonts w:ascii="Arial" w:cs="Arial" w:eastAsia="Arial" w:hAnsi="Arial"/>
          <w:sz w:val="16"/>
          <w:szCs w:val="16"/>
          <w:color w:val="auto"/>
        </w:rPr>
        <w:t>As of September 30, 2021, we had cash and cash equivalents of $271.5 million, an accumulated deficit of $137.1 million and $35.0 million outstanding under our term loan agreement (before debt discount). Based on our current planned operations, we expect our cash and cash equivalents and additional borrowings available under the 2020 Term Loan and the 2020 Revolver will enable us to fund our operations for at least the next twelve months.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MidCap Loan Agreements</w:t>
      </w:r>
    </w:p>
    <w:p>
      <w:pPr>
        <w:spacing w:after="0" w:line="131" w:lineRule="exact"/>
        <w:rPr>
          <w:sz w:val="20"/>
          <w:szCs w:val="20"/>
          <w:color w:val="auto"/>
        </w:rPr>
      </w:pPr>
    </w:p>
    <w:p>
      <w:pPr>
        <w:ind w:right="180" w:firstLine="509"/>
        <w:spacing w:after="0" w:line="270" w:lineRule="auto"/>
        <w:rPr>
          <w:sz w:val="20"/>
          <w:szCs w:val="20"/>
          <w:color w:val="auto"/>
        </w:rPr>
      </w:pPr>
      <w:r>
        <w:rPr>
          <w:rFonts w:ascii="Arial" w:cs="Arial" w:eastAsia="Arial" w:hAnsi="Arial"/>
          <w:sz w:val="18"/>
          <w:szCs w:val="18"/>
          <w:color w:val="auto"/>
        </w:rPr>
        <w:t>In January 2019, we entered into credit and security agreements, or the 2019 MidCap Credit Facility, with MidCap Financial Services, or the Lender, which provided for a term loan facility, or the 2019 Term Loan, and a revolving line of credit, or the 2019 Revolver. The original agreements included a maximum of $25.0 million credit facility consisting of a senior secured 2019 Term Loan of up to $20.0 million and a $5.0 million 2019 Revolver. In November 2020, we entered into amended and restated credit and security agreements, or the 2020 MidCap Credit Facility, with the Lender, which replaced the 2019 MidCap Credit Facility, and provided for a term loan facility, or the 2020 Term Loan, and a revolving line of credit, or the 2020 Revolver. The 2020 MidCap Credit Facility includes a maximum of $40.0 million credit facility consisting of a senior secured term loan of up to $35.0 million and a $5.0 million revolver.</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Term Loan</w:t>
      </w:r>
    </w:p>
    <w:p>
      <w:pPr>
        <w:spacing w:after="0" w:line="131" w:lineRule="exact"/>
        <w:rPr>
          <w:sz w:val="20"/>
          <w:szCs w:val="20"/>
          <w:color w:val="auto"/>
        </w:rPr>
      </w:pPr>
    </w:p>
    <w:p>
      <w:pPr>
        <w:ind w:right="20" w:firstLine="509"/>
        <w:spacing w:after="0" w:line="299" w:lineRule="auto"/>
        <w:rPr>
          <w:sz w:val="20"/>
          <w:szCs w:val="20"/>
          <w:color w:val="auto"/>
        </w:rPr>
      </w:pPr>
      <w:r>
        <w:rPr>
          <w:rFonts w:ascii="Arial" w:cs="Arial" w:eastAsia="Arial" w:hAnsi="Arial"/>
          <w:sz w:val="16"/>
          <w:szCs w:val="16"/>
          <w:color w:val="auto"/>
        </w:rPr>
        <w:t xml:space="preserve">The 2019 Term Loan had a four-year term and a stated floating interest rate which equated to reserve-adjusted LIBOR, </w:t>
      </w:r>
      <w:r>
        <w:rPr>
          <w:rFonts w:ascii="Arial" w:cs="Arial" w:eastAsia="Arial" w:hAnsi="Arial"/>
          <w:sz w:val="16"/>
          <w:szCs w:val="16"/>
          <w:i w:val="1"/>
          <w:iCs w:val="1"/>
          <w:color w:val="auto"/>
        </w:rPr>
        <w:t>plus</w:t>
      </w:r>
      <w:r>
        <w:rPr>
          <w:rFonts w:ascii="Arial" w:cs="Arial" w:eastAsia="Arial" w:hAnsi="Arial"/>
          <w:sz w:val="16"/>
          <w:szCs w:val="16"/>
          <w:color w:val="auto"/>
        </w:rPr>
        <w:t xml:space="preserve"> 6.75%. Under certain circumstances, the floating interest rate could have been based on the prime rate instead of LIBOR. The Term Loan was split into three tranches as follows:</w:t>
      </w:r>
    </w:p>
    <w:p>
      <w:pPr>
        <w:spacing w:after="0" w:line="1" w:lineRule="exact"/>
        <w:rPr>
          <w:sz w:val="20"/>
          <w:szCs w:val="20"/>
          <w:color w:val="auto"/>
        </w:rPr>
      </w:pPr>
    </w:p>
    <w:p>
      <w:pPr>
        <w:ind w:right="20" w:firstLine="8"/>
        <w:spacing w:after="0" w:line="271" w:lineRule="auto"/>
        <w:tabs>
          <w:tab w:leader="none" w:pos="2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Tranche One Loans provided for $12.0 million in term loans, (ii) the Tranche Two Loans provided for up to $2.0 million in term loans, and (iii) the Tranche Three Loans provided for up to $6.0 million in term loans. We borrowed $14.0 million under the Tranche One Loans and Tranche Two Loans. Although the conditions necessary to draw the Tranche Three Loans had been met as of December 31, 2019, we did not draw the Tranche Three Term Loans. The 2019 Term Loan required 18 interest only payments, which began on January 31, 2019, followed by 30 equal monthly installments of principal, plus interest. The interest-only period was extended by an additional six months upon achievement of a milestone defined in the agreement with respect to the Tranche Three Loans.</w:t>
      </w:r>
    </w:p>
    <w:p>
      <w:pPr>
        <w:spacing w:after="0" w:line="190"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We incurred $1.5 million of issuance costs in conjunction with the 2019 Term Loan which were netted against the borrowed funds in the balance sheet and were being accreted using the effective interest method as interest expense over the contractual period of four years. The 2019 Term Loan had an effective interest rate of 14.52% per year.</w:t>
      </w:r>
    </w:p>
    <w:p>
      <w:pPr>
        <w:spacing w:after="0" w:line="183" w:lineRule="exact"/>
        <w:rPr>
          <w:sz w:val="20"/>
          <w:szCs w:val="20"/>
          <w:color w:val="auto"/>
        </w:rPr>
      </w:pPr>
    </w:p>
    <w:p>
      <w:pPr>
        <w:ind w:firstLine="509"/>
        <w:spacing w:after="0" w:line="303" w:lineRule="auto"/>
        <w:rPr>
          <w:sz w:val="20"/>
          <w:szCs w:val="20"/>
          <w:color w:val="auto"/>
        </w:rPr>
      </w:pPr>
      <w:r>
        <w:rPr>
          <w:rFonts w:ascii="Arial" w:cs="Arial" w:eastAsia="Arial" w:hAnsi="Arial"/>
          <w:sz w:val="17"/>
          <w:szCs w:val="17"/>
          <w:color w:val="auto"/>
        </w:rPr>
        <w:t>In conjunction with the funding of Tranche One Loans and Tranche Two Loans under the 2019 Term Loan, we issued a 10-year warrant to the Lender to purchase 29,514 shares of our Series C redeemable convertible preferred stock, or the 2019 MidCap Warrants, at an exercise price of $9.4868 per share. In August 2021, the 2019 MidCap Warrants were net exercised and the Company issued 51,846 shares of common stock.</w:t>
      </w:r>
    </w:p>
    <w:p>
      <w:pPr>
        <w:spacing w:after="0" w:line="164"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The estimated fair value of the 2019 MidCap Warrants was $0.2 million. The 2019 MidCap Warrants were recorded at the fair value as a debt discount and as a warrant liability. The debt discount was being accreted using the effective interest method as interest expense over the contractual period of four years for the 2019 Term Loan.</w:t>
      </w:r>
    </w:p>
    <w:p>
      <w:pPr>
        <w:spacing w:after="0" w:line="183" w:lineRule="exact"/>
        <w:rPr>
          <w:sz w:val="20"/>
          <w:szCs w:val="20"/>
          <w:color w:val="auto"/>
        </w:rPr>
      </w:pPr>
    </w:p>
    <w:p>
      <w:pPr>
        <w:ind w:right="280" w:firstLine="509"/>
        <w:spacing w:after="0" w:line="319" w:lineRule="auto"/>
        <w:rPr>
          <w:sz w:val="20"/>
          <w:szCs w:val="20"/>
          <w:color w:val="auto"/>
        </w:rPr>
      </w:pPr>
      <w:r>
        <w:rPr>
          <w:rFonts w:ascii="Arial" w:cs="Arial" w:eastAsia="Arial" w:hAnsi="Arial"/>
          <w:sz w:val="16"/>
          <w:szCs w:val="16"/>
          <w:color w:val="auto"/>
        </w:rPr>
        <w:t>The 2019 Term Loan granted us the right to voluntarily prepay the borrowings in full, with a prepayment premium beginning at 3.0% in the first year from tranche funding and declining to 2.0% in the second year from tranche funding, to 1.0% in the third year from tranche funding thereafter. In addition, a final payment fee of 5% of the original Tranche One Loans and Tranche Two Loans amounts borrowed was payable at the end of the term or when the borrowings are repaid in full. The borrowings were collateralized by a security interest in substantially all of our assets.</w:t>
      </w:r>
    </w:p>
    <w:p>
      <w:pPr>
        <w:spacing w:after="0" w:line="156" w:lineRule="exact"/>
        <w:rPr>
          <w:sz w:val="20"/>
          <w:szCs w:val="20"/>
          <w:color w:val="auto"/>
        </w:rPr>
      </w:pPr>
    </w:p>
    <w:p>
      <w:pPr>
        <w:ind w:right="60" w:firstLine="509"/>
        <w:spacing w:after="0" w:line="293" w:lineRule="auto"/>
        <w:rPr>
          <w:sz w:val="20"/>
          <w:szCs w:val="20"/>
          <w:color w:val="auto"/>
        </w:rPr>
      </w:pPr>
      <w:r>
        <w:rPr>
          <w:rFonts w:ascii="Arial" w:cs="Arial" w:eastAsia="Arial" w:hAnsi="Arial"/>
          <w:sz w:val="18"/>
          <w:szCs w:val="18"/>
          <w:color w:val="auto"/>
        </w:rPr>
        <w:t>The 2019 Term Loan terms included making us subject to financial covenants related to minimum trailing net revenue targets that began on January 1, 2019 and were tested on a monthly basis.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Revolver</w:t>
      </w:r>
    </w:p>
    <w:p>
      <w:pPr>
        <w:spacing w:after="0" w:line="131" w:lineRule="exact"/>
        <w:rPr>
          <w:sz w:val="20"/>
          <w:szCs w:val="20"/>
          <w:color w:val="auto"/>
        </w:rPr>
      </w:pPr>
    </w:p>
    <w:p>
      <w:pPr>
        <w:jc w:val="both"/>
        <w:ind w:right="20" w:firstLine="509"/>
        <w:spacing w:after="0" w:line="329" w:lineRule="auto"/>
        <w:rPr>
          <w:sz w:val="20"/>
          <w:szCs w:val="20"/>
          <w:color w:val="auto"/>
        </w:rPr>
      </w:pPr>
      <w:r>
        <w:rPr>
          <w:rFonts w:ascii="Arial" w:cs="Arial" w:eastAsia="Arial" w:hAnsi="Arial"/>
          <w:sz w:val="16"/>
          <w:szCs w:val="16"/>
          <w:color w:val="auto"/>
        </w:rPr>
        <w:t xml:space="preserve">The 2019 Revolver had a four-year term and had a stated floating interest rate which equated to reserve-adjusted LIBOR, </w:t>
      </w:r>
      <w:r>
        <w:rPr>
          <w:rFonts w:ascii="Arial" w:cs="Arial" w:eastAsia="Arial" w:hAnsi="Arial"/>
          <w:sz w:val="16"/>
          <w:szCs w:val="16"/>
          <w:i w:val="1"/>
          <w:iCs w:val="1"/>
          <w:color w:val="auto"/>
        </w:rPr>
        <w:t>plus</w:t>
      </w:r>
      <w:r>
        <w:rPr>
          <w:rFonts w:ascii="Arial" w:cs="Arial" w:eastAsia="Arial" w:hAnsi="Arial"/>
          <w:sz w:val="16"/>
          <w:szCs w:val="16"/>
          <w:color w:val="auto"/>
        </w:rPr>
        <w:t xml:space="preserve"> 4.25%. Under certain circumstances, the floating interest rate could have been based on the prime rate instead of LIBOR. An unused line fee of 0.5% was payable monthly based on the average unused balance and a collateral management fee of 0.5% was payable monthly based on the outstanding balance of the 2019</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40" w:name="page41"/>
    <w:bookmarkEnd w:id="40"/>
    <w:p>
      <w:pPr>
        <w:ind w:right="20"/>
        <w:spacing w:after="0" w:line="293" w:lineRule="auto"/>
        <w:rPr>
          <w:sz w:val="20"/>
          <w:szCs w:val="20"/>
          <w:color w:val="auto"/>
        </w:rPr>
      </w:pPr>
      <w:r>
        <w:rPr>
          <w:rFonts w:ascii="Arial" w:cs="Arial" w:eastAsia="Arial" w:hAnsi="Arial"/>
          <w:sz w:val="18"/>
          <w:szCs w:val="18"/>
          <w:color w:val="auto"/>
        </w:rPr>
        <w:t>Revolver. We could have requested to increase the 2019 Revolver commitment amount to $10.0 million under the terms of the agreement. As of December 31, 2019, $4.0 million was available to be drawn under the 2019 Revolver.</w:t>
      </w:r>
    </w:p>
    <w:p>
      <w:pPr>
        <w:spacing w:after="0" w:line="170"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The 2019 Revolver provided for a prepayment premium equal to an amount determined by multiplying the commitment amount by 3.0% in the first year, 2.0% in year 2, and 1.0% thereafter.</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2019 Revolver had not been drawn upon as of December 31, 2019.</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Amendment to MidCap Loan Agreements</w:t>
      </w:r>
    </w:p>
    <w:p>
      <w:pPr>
        <w:spacing w:after="0" w:line="131" w:lineRule="exact"/>
        <w:rPr>
          <w:sz w:val="20"/>
          <w:szCs w:val="20"/>
          <w:color w:val="auto"/>
        </w:rPr>
      </w:pPr>
    </w:p>
    <w:p>
      <w:pPr>
        <w:ind w:right="360" w:firstLine="509"/>
        <w:spacing w:after="0" w:line="359" w:lineRule="auto"/>
        <w:rPr>
          <w:sz w:val="20"/>
          <w:szCs w:val="20"/>
          <w:color w:val="auto"/>
        </w:rPr>
      </w:pPr>
      <w:r>
        <w:rPr>
          <w:rFonts w:ascii="Arial" w:cs="Arial" w:eastAsia="Arial" w:hAnsi="Arial"/>
          <w:sz w:val="16"/>
          <w:szCs w:val="16"/>
          <w:color w:val="auto"/>
        </w:rPr>
        <w:t>In November 2020, we amended the 2019 Term Loan and 2019 Revolver agreements, which resulted in an increase to our term loan borrowing availability, an extension of maturities and non-amortization periods, and changes to a number of other terms and conditions as summarized below.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Term Loan</w:t>
      </w:r>
    </w:p>
    <w:p>
      <w:pPr>
        <w:spacing w:after="0" w:line="131"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 xml:space="preserve">The amended term loan extended the maturity date to November 1, 2025 and increased the stated floating interest rate to reserve-adjusted LIBOR, </w:t>
      </w:r>
      <w:r>
        <w:rPr>
          <w:rFonts w:ascii="Arial" w:cs="Arial" w:eastAsia="Arial" w:hAnsi="Arial"/>
          <w:sz w:val="18"/>
          <w:szCs w:val="18"/>
          <w:i w:val="1"/>
          <w:iCs w:val="1"/>
          <w:color w:val="auto"/>
        </w:rPr>
        <w:t xml:space="preserve">plus </w:t>
      </w:r>
      <w:r>
        <w:rPr>
          <w:rFonts w:ascii="Arial" w:cs="Arial" w:eastAsia="Arial" w:hAnsi="Arial"/>
          <w:sz w:val="18"/>
          <w:szCs w:val="18"/>
          <w:color w:val="auto"/>
        </w:rPr>
        <w:t>7.00%. Outstanding principal amounts of Tranche One Loans and Tranche Two Loans borrowed under the 2019 Term Loan were designated as</w:t>
      </w:r>
      <w:r>
        <w:rPr>
          <w:rFonts w:ascii="Arial" w:cs="Arial" w:eastAsia="Arial" w:hAnsi="Arial"/>
          <w:sz w:val="18"/>
          <w:szCs w:val="18"/>
          <w:i w:val="1"/>
          <w:iCs w:val="1"/>
          <w:color w:val="auto"/>
        </w:rPr>
        <w:t xml:space="preserve"> </w:t>
      </w:r>
      <w:r>
        <w:rPr>
          <w:rFonts w:ascii="Arial" w:cs="Arial" w:eastAsia="Arial" w:hAnsi="Arial"/>
          <w:sz w:val="18"/>
          <w:szCs w:val="18"/>
          <w:color w:val="auto"/>
        </w:rPr>
        <w:t>Tranche One Loans and Tranche Two Loans under the 2020 Term Loan, and the Tranche Three Loans commitment amount was increased to $21.0 million. We drew the entire commitment amount of the Tranche Three Loans in November 2020. The 2020 Term Loan begins to amortize on December 1, 2022, and, if certain conditions are met, the initiation of the amortization period can be extended to December 1, 2023 or December 1, 2024. In addition, the final payment fee was increased to 6.0%. We are subject to financial covenants related to minimum trailing revenue targets that began on November 30, 2020, and are tested on a monthly basis. As of December 31, 2020 and September 30, 2021, the Company was in compliance with the applicable financial covenant.</w:t>
      </w:r>
    </w:p>
    <w:p>
      <w:pPr>
        <w:spacing w:after="0" w:line="196" w:lineRule="exact"/>
        <w:rPr>
          <w:sz w:val="20"/>
          <w:szCs w:val="20"/>
          <w:color w:val="auto"/>
        </w:rPr>
      </w:pPr>
    </w:p>
    <w:p>
      <w:pPr>
        <w:jc w:val="both"/>
        <w:ind w:right="160" w:firstLine="509"/>
        <w:spacing w:after="0" w:line="279" w:lineRule="auto"/>
        <w:rPr>
          <w:sz w:val="20"/>
          <w:szCs w:val="20"/>
          <w:color w:val="auto"/>
        </w:rPr>
      </w:pPr>
      <w:r>
        <w:rPr>
          <w:rFonts w:ascii="Arial" w:cs="Arial" w:eastAsia="Arial" w:hAnsi="Arial"/>
          <w:sz w:val="18"/>
          <w:szCs w:val="18"/>
          <w:color w:val="auto"/>
        </w:rPr>
        <w:t>We incurred $0.7 million of issuance costs in conjunction with the 2020 Term Loan which were netted against the borrowed funds in the balance sheet and are being accreted using the effective interest method as interest expense over the contractual period of five years. The 2020 Term Loan had an effective interest rate of 13.59% per year.</w:t>
      </w:r>
    </w:p>
    <w:p>
      <w:pPr>
        <w:spacing w:after="0" w:line="183" w:lineRule="exact"/>
        <w:rPr>
          <w:sz w:val="20"/>
          <w:szCs w:val="20"/>
          <w:color w:val="auto"/>
        </w:rPr>
      </w:pPr>
    </w:p>
    <w:p>
      <w:pPr>
        <w:ind w:right="100" w:firstLine="509"/>
        <w:spacing w:after="0" w:line="272" w:lineRule="auto"/>
        <w:rPr>
          <w:sz w:val="20"/>
          <w:szCs w:val="20"/>
          <w:color w:val="auto"/>
        </w:rPr>
      </w:pPr>
      <w:r>
        <w:rPr>
          <w:rFonts w:ascii="Arial" w:cs="Arial" w:eastAsia="Arial" w:hAnsi="Arial"/>
          <w:sz w:val="18"/>
          <w:szCs w:val="18"/>
          <w:color w:val="auto"/>
        </w:rPr>
        <w:t>In conjunction with the funding of the 2020 Term Loan, we issued a 10-year warrant to the Lender to purchase 300,000 shares of our Series F redeemable convertible preferred stock at an exercise price of $21.8779 per share, or the 2020 MidCap Warrant, with the estimated fair value of $1.8 million. The 2020 MidCap Warrants were recorded at the fair value as a debt discount and as a warrant liability. The debt discount is being accreted using the effective interest method as interest expense over the contractual period of four years for the 2020 Term Loan. In August 2021, the 2020 MidCap Warrant was net exercised and the Company issued 431,708 shares of common stock.</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key terms of the 2020 Term Loan remained substantially unchanged compared to those of the 2019 Term Loan.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Revolver</w:t>
      </w:r>
    </w:p>
    <w:p>
      <w:pPr>
        <w:spacing w:after="0" w:line="131" w:lineRule="exact"/>
        <w:rPr>
          <w:sz w:val="20"/>
          <w:szCs w:val="20"/>
          <w:color w:val="auto"/>
        </w:rPr>
      </w:pPr>
    </w:p>
    <w:p>
      <w:pPr>
        <w:ind w:right="420" w:firstLine="509"/>
        <w:spacing w:after="0" w:line="324" w:lineRule="auto"/>
        <w:rPr>
          <w:sz w:val="20"/>
          <w:szCs w:val="20"/>
          <w:color w:val="auto"/>
        </w:rPr>
      </w:pPr>
      <w:r>
        <w:rPr>
          <w:rFonts w:ascii="Arial" w:cs="Arial" w:eastAsia="Arial" w:hAnsi="Arial"/>
          <w:sz w:val="17"/>
          <w:szCs w:val="17"/>
          <w:color w:val="auto"/>
        </w:rPr>
        <w:t>The 2020 Revolver extended maturity date to November 1, 2025 and increased the stated floating interest rate to reserve-adjusted LIBOR plus 4.50%. As of September 30, 2021, $5.0 million was available to be drawn under the 2020 Revolver which remains undrawn upon.</w:t>
      </w:r>
    </w:p>
    <w:p>
      <w:pPr>
        <w:spacing w:after="0" w:line="147" w:lineRule="exact"/>
        <w:rPr>
          <w:sz w:val="20"/>
          <w:szCs w:val="20"/>
          <w:color w:val="auto"/>
        </w:rPr>
      </w:pPr>
    </w:p>
    <w:p>
      <w:pPr>
        <w:ind w:right="20" w:firstLine="509"/>
        <w:spacing w:after="0" w:line="292" w:lineRule="auto"/>
        <w:rPr>
          <w:sz w:val="20"/>
          <w:szCs w:val="20"/>
          <w:color w:val="auto"/>
        </w:rPr>
      </w:pPr>
      <w:r>
        <w:rPr>
          <w:rFonts w:ascii="Arial" w:cs="Arial" w:eastAsia="Arial" w:hAnsi="Arial"/>
          <w:sz w:val="17"/>
          <w:szCs w:val="17"/>
          <w:color w:val="auto"/>
        </w:rPr>
        <w:t>Our obligations under the 2020 Term Loan and the 2020 Revolver are guaranteed by us and our future subsidiaries, subject to exceptions for certain foreign subsidiaries. Our obligations under the agreements are secured by substantially all of our assets, including our material intellectual property. Additionally, we are subject to customary affirmative and negative covenants, including covenants that limit or restrict the ability of us to, among other things, incur indebtedness, grant liens, merge or consolidate, make investments, dispose of assets, make acquisitions, pay dividends or make distributions, repurchase stock and enter into certain transactions with affiliates, in each case subject to certain exceptions.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41" w:name="page42"/>
    <w:bookmarkEnd w:id="41"/>
    <w:p>
      <w:pPr>
        <w:ind w:left="520"/>
        <w:spacing w:after="0"/>
        <w:rPr>
          <w:sz w:val="20"/>
          <w:szCs w:val="20"/>
          <w:color w:val="auto"/>
        </w:rPr>
      </w:pPr>
      <w:r>
        <w:rPr>
          <w:rFonts w:ascii="Arial" w:cs="Arial" w:eastAsia="Arial" w:hAnsi="Arial"/>
          <w:sz w:val="18"/>
          <w:szCs w:val="18"/>
          <w:color w:val="auto"/>
        </w:rPr>
        <w:t>Other key terms of the 2020 Revolver remained substantially unchanged compared to those of 2019 Revolver.</w:t>
      </w:r>
    </w:p>
    <w:p>
      <w:pPr>
        <w:spacing w:after="0" w:line="239" w:lineRule="exact"/>
        <w:rPr>
          <w:sz w:val="20"/>
          <w:szCs w:val="20"/>
          <w:color w:val="auto"/>
        </w:rPr>
      </w:pPr>
    </w:p>
    <w:p>
      <w:pPr>
        <w:ind w:right="220" w:firstLine="509"/>
        <w:spacing w:after="0" w:line="293" w:lineRule="auto"/>
        <w:rPr>
          <w:sz w:val="20"/>
          <w:szCs w:val="20"/>
          <w:color w:val="auto"/>
        </w:rPr>
      </w:pPr>
      <w:r>
        <w:rPr>
          <w:rFonts w:ascii="Arial" w:cs="Arial" w:eastAsia="Arial" w:hAnsi="Arial"/>
          <w:sz w:val="18"/>
          <w:szCs w:val="18"/>
          <w:color w:val="auto"/>
        </w:rPr>
        <w:t>The 2020 Term Loan and the 2020 Revolver each contain events of default that include, among others, non-payment of principal, interest or fees, breach of covenants, inaccuracy of representations and warranties, cross-defaults and bankruptcy and insolvency events.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 Loan</w:t>
      </w:r>
    </w:p>
    <w:p>
      <w:pPr>
        <w:spacing w:after="0" w:line="131" w:lineRule="exact"/>
        <w:rPr>
          <w:sz w:val="20"/>
          <w:szCs w:val="20"/>
          <w:color w:val="auto"/>
        </w:rPr>
      </w:pPr>
    </w:p>
    <w:p>
      <w:pPr>
        <w:ind w:firstLine="509"/>
        <w:spacing w:after="0" w:line="314" w:lineRule="auto"/>
        <w:rPr>
          <w:sz w:val="20"/>
          <w:szCs w:val="20"/>
          <w:color w:val="auto"/>
        </w:rPr>
      </w:pPr>
      <w:r>
        <w:rPr>
          <w:rFonts w:ascii="Arial" w:cs="Arial" w:eastAsia="Arial" w:hAnsi="Arial"/>
          <w:sz w:val="16"/>
          <w:szCs w:val="16"/>
          <w:color w:val="auto"/>
        </w:rPr>
        <w:t>In May 2020, we received a loan of $2.2 million pursuant to the Paycheck Protection Program, or PPP, under the CARES Act. The Small Business Administration required that PPP loans only be used for eligible payroll costs, business mortgage interest payments, rent or utilities. Per SBA guidelines, we would be eligible to apply for loan forgiveness if we used the loan proceeds for acceptable expenses during the 8-week period after disbursement. We believe we have satisfied all of the terms and conditions of the PPP loan and applied for loan forgiveness in September 2020. The PPP loan was forgiven in June 2021. The Company has elected to recognize this government grant income as a reduction of the related expenses.</w:t>
      </w:r>
    </w:p>
    <w:p>
      <w:pPr>
        <w:spacing w:after="0" w:line="160"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In connection with the PPP loan, we executed a promissory note in favor of Bank of America. Because the SBA confirmed full and complete forgiveness of the unpaid balance of the PPP loan and reimbursed Bank of America for the total outstanding balance, principal and interest, our obligations under the PPP loan are deemed fully satisfied and paid in full.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Agreements</w:t>
      </w:r>
    </w:p>
    <w:p>
      <w:pPr>
        <w:spacing w:after="0" w:line="131" w:lineRule="exact"/>
        <w:rPr>
          <w:sz w:val="20"/>
          <w:szCs w:val="20"/>
          <w:color w:val="auto"/>
        </w:rPr>
      </w:pPr>
    </w:p>
    <w:p>
      <w:pPr>
        <w:ind w:right="140" w:firstLine="509"/>
        <w:spacing w:after="0" w:line="275" w:lineRule="auto"/>
        <w:rPr>
          <w:sz w:val="20"/>
          <w:szCs w:val="20"/>
          <w:color w:val="auto"/>
        </w:rPr>
      </w:pPr>
      <w:r>
        <w:rPr>
          <w:rFonts w:ascii="Arial" w:cs="Arial" w:eastAsia="Arial" w:hAnsi="Arial"/>
          <w:sz w:val="18"/>
          <w:szCs w:val="18"/>
          <w:color w:val="auto"/>
        </w:rPr>
        <w:t>Our corporate headquarters are located in Menlo Park, California, where we lease approximately 10,823 square feet of office, research and development, engineering and laboratory space pursuant to a lease that commenced effective as of August 1, 2021, and expires on August 31, 2024. We also lease approximately 2,040 square feet of office space, which is primarily used by our commercial leadership team, in Southlake, Texas, pursuant to a lease that commenced on April 30, 2019 and expires on May 15, 2024.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5" w:lineRule="exact"/>
        <w:rPr>
          <w:sz w:val="20"/>
          <w:szCs w:val="20"/>
          <w:color w:val="auto"/>
        </w:rPr>
      </w:pPr>
    </w:p>
    <w:p>
      <w:pPr>
        <w:ind w:firstLine="509"/>
        <w:spacing w:after="0" w:line="314" w:lineRule="auto"/>
        <w:rPr>
          <w:sz w:val="20"/>
          <w:szCs w:val="20"/>
          <w:color w:val="auto"/>
        </w:rPr>
      </w:pPr>
      <w:r>
        <w:rPr>
          <w:rFonts w:ascii="Arial" w:cs="Arial" w:eastAsia="Arial" w:hAnsi="Arial"/>
          <w:sz w:val="16"/>
          <w:szCs w:val="16"/>
          <w:color w:val="auto"/>
        </w:rPr>
        <w:t>Our condensed consolidated financial statements included elsewhere in this Quarterly Report on Form 10-Q are prepared in accordance with GAAP. The preparation of these condensed consolidated financial statements requires us to make estimates and assumptions that affect the reported amounts of assets, liabilities, revenues,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0" w:lineRule="exact"/>
        <w:rPr>
          <w:sz w:val="20"/>
          <w:szCs w:val="20"/>
          <w:color w:val="auto"/>
        </w:rPr>
      </w:pPr>
    </w:p>
    <w:p>
      <w:pPr>
        <w:ind w:right="60" w:firstLine="509"/>
        <w:spacing w:after="0" w:line="272"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and stock-based compensation have the greatest potential impact on our condensed consolidated financial statements. Therefore, we consider these to be our critical accounting policies and estimates.</w:t>
      </w:r>
    </w:p>
    <w:p>
      <w:pPr>
        <w:spacing w:after="0" w:line="191" w:lineRule="exact"/>
        <w:rPr>
          <w:sz w:val="20"/>
          <w:szCs w:val="20"/>
          <w:color w:val="auto"/>
        </w:rPr>
      </w:pPr>
    </w:p>
    <w:p>
      <w:pPr>
        <w:ind w:right="140" w:firstLine="509"/>
        <w:spacing w:after="0" w:line="296" w:lineRule="auto"/>
        <w:rPr>
          <w:sz w:val="20"/>
          <w:szCs w:val="20"/>
          <w:color w:val="auto"/>
        </w:rPr>
      </w:pPr>
      <w:r>
        <w:rPr>
          <w:rFonts w:ascii="Arial" w:cs="Arial" w:eastAsia="Arial" w:hAnsi="Arial"/>
          <w:sz w:val="17"/>
          <w:szCs w:val="17"/>
          <w:color w:val="auto"/>
        </w:rPr>
        <w:t>There have been no material changes to our critical accounting policies and estimates as compared to the critical accounting policies and estimates described in our consolidated financial statements for the year ended December 31, 2020, included under the heading “Management’s Discussion and Analysis of Financial Condition and Results of Operations—Critical Accounting Policies and Estimates” in the Prospectus and in and in Note 2 to our condensed consolidated financial statements appearing elsewhere in this Quarterly Report on Form 10-Q.</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35"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The Jumpstart Our Business Startups Act of 2012 (JOBS Act) permits an “emerging growth company” such as us to take advantage of an extended transition period to comply with new or revised accounting standards applicable to public companies.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35" w:lineRule="exact"/>
        <w:rPr>
          <w:sz w:val="20"/>
          <w:szCs w:val="20"/>
          <w:color w:val="auto"/>
        </w:rPr>
      </w:pPr>
    </w:p>
    <w:p>
      <w:pPr>
        <w:ind w:right="520" w:firstLine="509"/>
        <w:spacing w:after="0" w:line="293" w:lineRule="auto"/>
        <w:rPr>
          <w:sz w:val="20"/>
          <w:szCs w:val="20"/>
          <w:color w:val="auto"/>
        </w:rPr>
      </w:pPr>
      <w:r>
        <w:rPr>
          <w:rFonts w:ascii="Arial" w:cs="Arial" w:eastAsia="Arial" w:hAnsi="Arial"/>
          <w:sz w:val="18"/>
          <w:szCs w:val="18"/>
          <w:color w:val="auto"/>
        </w:rPr>
        <w:t>See Note 2 to our condensed consolidated financial statements included elsewhere in this Quarterly Report on Form 10-Q for new accounting pronouncements not yet adopted as of the date of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Rate Risk</w:t>
      </w:r>
    </w:p>
    <w:p>
      <w:pPr>
        <w:spacing w:after="0" w:line="131" w:lineRule="exact"/>
        <w:rPr>
          <w:sz w:val="20"/>
          <w:szCs w:val="20"/>
          <w:color w:val="auto"/>
        </w:rPr>
      </w:pPr>
    </w:p>
    <w:p>
      <w:pPr>
        <w:ind w:right="60" w:firstLine="509"/>
        <w:spacing w:after="0" w:line="290" w:lineRule="auto"/>
        <w:rPr>
          <w:sz w:val="20"/>
          <w:szCs w:val="20"/>
          <w:color w:val="auto"/>
        </w:rPr>
      </w:pPr>
      <w:r>
        <w:rPr>
          <w:rFonts w:ascii="Arial" w:cs="Arial" w:eastAsia="Arial" w:hAnsi="Arial"/>
          <w:sz w:val="17"/>
          <w:szCs w:val="17"/>
          <w:color w:val="auto"/>
        </w:rPr>
        <w:t>The risk associated with fluctuating interest rates is primarily limited to our cash equivalents, which are carried at quoted market prices. Due to the short-term maturities and low risk profile of our cash equivalents, an immediate 100 basis point change in interest rates would not have a material effect on the fair value of our cash equivalents. We do not currently use or plan to use financial derivatives in our investment portfolio. As of September 30, 2021, we had $35.0 million in variable rate debt outstanding. Our 2020 Term Loan bears interest per annum at 7.00% plus LIBOR for such interest period, and our 2020 Revolver bears interest per annum at 4.50% plus LIBOR for such interest period. A hypothetical change in interest rates of 10% would have resulted in a change of $0.3 million in interest expense in the nine months ended September 30, 2021.</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Foreign Currency Risk</w:t>
      </w:r>
    </w:p>
    <w:p>
      <w:pPr>
        <w:spacing w:after="0" w:line="131" w:lineRule="exact"/>
        <w:rPr>
          <w:sz w:val="20"/>
          <w:szCs w:val="20"/>
          <w:color w:val="auto"/>
        </w:rPr>
      </w:pPr>
    </w:p>
    <w:p>
      <w:pPr>
        <w:ind w:right="620" w:firstLine="509"/>
        <w:spacing w:after="0" w:line="293" w:lineRule="auto"/>
        <w:rPr>
          <w:sz w:val="20"/>
          <w:szCs w:val="20"/>
          <w:color w:val="auto"/>
        </w:rPr>
      </w:pPr>
      <w:r>
        <w:rPr>
          <w:rFonts w:ascii="Arial" w:cs="Arial" w:eastAsia="Arial" w:hAnsi="Arial"/>
          <w:sz w:val="18"/>
          <w:szCs w:val="18"/>
          <w:color w:val="auto"/>
        </w:rPr>
        <w:t>Our business is primarily conducted in U.S. dollars. Any transactions that may be conducted in foreign currencies are not expected to have a material effect on our results of operations, financial position or cash flows.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ind w:right="40" w:firstLine="509"/>
        <w:spacing w:after="0" w:line="303" w:lineRule="auto"/>
        <w:rPr>
          <w:sz w:val="20"/>
          <w:szCs w:val="20"/>
          <w:color w:val="auto"/>
        </w:rPr>
      </w:pPr>
      <w:r>
        <w:rPr>
          <w:rFonts w:ascii="Arial" w:cs="Arial" w:eastAsia="Arial" w:hAnsi="Arial"/>
          <w:sz w:val="16"/>
          <w:szCs w:val="16"/>
          <w:color w:val="auto"/>
        </w:rPr>
        <w:t>Our management, with the participation and supervision of our principal executive officer and our principal financial officer, evaluated our disclosure controls and procedures (as defined in Rules 13a-15(e) and 15d-15(e) under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this evaluation, our principal executive officer and our principal financial officer concluded that as a result of the material weaknesses in our internal control over financial reporting described below, as of the end of the period covered by this Quarterly Report on Form 10-Q, our disclosure controls and procedures were not effective. However, our management, including our principal executive officer and our principal financial officer, has concluded that, notwithstanding the identified material weaknesses in our internal control over financial reporting, the condensed consolidated financial statements in this Quarterly Report on Form 10-Q fairly presented, in all material respects, our financial position, results of operations, and cash flows for the periods presented in conformity with U.S. GAAP.</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Remediation efforts on previously reported material weaknesses</w:t>
      </w:r>
    </w:p>
    <w:p>
      <w:pPr>
        <w:spacing w:after="0" w:line="135"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 xml:space="preserve">In connection with the preparation of our financial statements in connection with our IPO, we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related to a lack of </w:t>
      </w:r>
      <w:r>
        <w:rPr>
          <w:rFonts w:ascii="Arial" w:cs="Arial" w:eastAsia="Arial" w:hAnsi="Arial"/>
          <w:sz w:val="18"/>
          <w:szCs w:val="18"/>
          <w:color w:val="231F20"/>
        </w:rPr>
        <w:t>sufficient full-time accounting personnel with requisite experience and deep technical accounting knowledge to (i)</w:t>
      </w:r>
      <w:r>
        <w:rPr>
          <w:rFonts w:ascii="Arial" w:cs="Arial" w:eastAsia="Arial" w:hAnsi="Arial"/>
          <w:sz w:val="18"/>
          <w:szCs w:val="18"/>
          <w:color w:val="auto"/>
        </w:rPr>
        <w:t xml:space="preserve"> </w:t>
      </w:r>
      <w:r>
        <w:rPr>
          <w:rFonts w:ascii="Arial" w:cs="Arial" w:eastAsia="Arial" w:hAnsi="Arial"/>
          <w:sz w:val="18"/>
          <w:szCs w:val="18"/>
          <w:color w:val="231F20"/>
        </w:rPr>
        <w:t>identify and resolve complex accounting issues under GAAP, and (ii) enable appropriate segregation of duties and reviews over the financial reviews over the financial close and reporting process.</w:t>
      </w:r>
    </w:p>
    <w:p>
      <w:pPr>
        <w:spacing w:after="0" w:line="83" w:lineRule="exact"/>
        <w:rPr>
          <w:sz w:val="20"/>
          <w:szCs w:val="20"/>
          <w:color w:val="auto"/>
        </w:rPr>
      </w:pPr>
    </w:p>
    <w:p>
      <w:pPr>
        <w:ind w:right="80" w:firstLine="509"/>
        <w:spacing w:after="0" w:line="292" w:lineRule="auto"/>
        <w:rPr>
          <w:sz w:val="20"/>
          <w:szCs w:val="20"/>
          <w:color w:val="auto"/>
        </w:rPr>
      </w:pPr>
      <w:r>
        <w:rPr>
          <w:rFonts w:ascii="Arial" w:cs="Arial" w:eastAsia="Arial" w:hAnsi="Arial"/>
          <w:sz w:val="17"/>
          <w:szCs w:val="17"/>
          <w:color w:val="231F20"/>
        </w:rPr>
        <w:t xml:space="preserve">We have implemented and are in process of implementing additional measures to improve our internal control over financial reporting to remediate this material weakness, including </w:t>
      </w:r>
      <w:r>
        <w:rPr>
          <w:rFonts w:ascii="Arial" w:cs="Arial" w:eastAsia="Arial" w:hAnsi="Arial"/>
          <w:sz w:val="17"/>
          <w:szCs w:val="17"/>
          <w:color w:val="000000"/>
        </w:rPr>
        <w:t>(i) the hiring of personnel with technical accounting and financial reporting experience and (ii) the implementation of</w:t>
      </w:r>
      <w:r>
        <w:rPr>
          <w:rFonts w:ascii="Arial" w:cs="Arial" w:eastAsia="Arial" w:hAnsi="Arial"/>
          <w:sz w:val="17"/>
          <w:szCs w:val="17"/>
          <w:color w:val="231F20"/>
        </w:rPr>
        <w:t xml:space="preserve"> </w:t>
      </w:r>
      <w:r>
        <w:rPr>
          <w:rFonts w:ascii="Arial" w:cs="Arial" w:eastAsia="Arial" w:hAnsi="Arial"/>
          <w:sz w:val="17"/>
          <w:szCs w:val="17"/>
          <w:color w:val="000000"/>
        </w:rPr>
        <w:t>improved accounting and financial reporting procedures and systems to improve the completeness, timeliness and accuracy of our financial reporting and disclosures including the assessment of more judgmental areas of accounting. We are committed to continuing to improve our internal control processes and we will continue to diligently and vigorously review our financial reporting controls and procedures.</w:t>
      </w:r>
    </w:p>
    <w:p>
      <w:pPr>
        <w:spacing w:after="0" w:line="66" w:lineRule="exact"/>
        <w:rPr>
          <w:sz w:val="20"/>
          <w:szCs w:val="20"/>
          <w:color w:val="auto"/>
        </w:rPr>
      </w:pPr>
    </w:p>
    <w:p>
      <w:pPr>
        <w:ind w:right="140" w:firstLine="509"/>
        <w:spacing w:after="0" w:line="272" w:lineRule="auto"/>
        <w:rPr>
          <w:sz w:val="20"/>
          <w:szCs w:val="20"/>
          <w:color w:val="auto"/>
        </w:rPr>
      </w:pPr>
      <w:r>
        <w:rPr>
          <w:rFonts w:ascii="Arial" w:cs="Arial" w:eastAsia="Arial" w:hAnsi="Arial"/>
          <w:sz w:val="18"/>
          <w:szCs w:val="18"/>
          <w:color w:val="231F20"/>
        </w:rPr>
        <w:t>We cannot assure you that the measures we have taken to date, and are continuing to implement, will be sufficient to remediate the material weakness we have identified or avoid potential future material weaknesses. While we believe that our efforts have improved our internal control over financial reporting, remediation of the material weaknesses will require further validation and testing of the design and operating effectiveness of internal controls over a sustained period of financial reporting cycles, and we cannot assure you that we have identified all, or that we will not in the future have additional material weaknesses.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5" w:lineRule="exact"/>
        <w:rPr>
          <w:sz w:val="20"/>
          <w:szCs w:val="20"/>
          <w:color w:val="auto"/>
        </w:rPr>
      </w:pPr>
    </w:p>
    <w:p>
      <w:pPr>
        <w:jc w:val="both"/>
        <w:ind w:right="500" w:firstLine="509"/>
        <w:spacing w:after="0" w:line="303" w:lineRule="auto"/>
        <w:rPr>
          <w:sz w:val="20"/>
          <w:szCs w:val="20"/>
          <w:color w:val="auto"/>
        </w:rPr>
      </w:pPr>
      <w:r>
        <w:rPr>
          <w:rFonts w:ascii="Arial" w:cs="Arial" w:eastAsia="Arial" w:hAnsi="Arial"/>
          <w:sz w:val="17"/>
          <w:szCs w:val="17"/>
          <w:color w:val="auto"/>
        </w:rPr>
        <w:t>Other than the changes intended to remediate the material weakness noted above, there were no changes in our internal control over financial reporting (as defined in Rules 13a-15(f) and 15d-15(f) under the Exchange Act) during the most recently completed fiscal quarter that has materially affected, or is reasonably likely to materially affect, our internal control over financial reporting.</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right="60" w:firstLine="509"/>
        <w:spacing w:after="0" w:line="272" w:lineRule="auto"/>
        <w:rPr>
          <w:sz w:val="20"/>
          <w:szCs w:val="20"/>
          <w:color w:val="auto"/>
        </w:rPr>
      </w:pPr>
      <w:r>
        <w:rPr>
          <w:rFonts w:ascii="Arial" w:cs="Arial" w:eastAsia="Arial" w:hAnsi="Arial"/>
          <w:sz w:val="18"/>
          <w:szCs w:val="18"/>
          <w:color w:val="auto"/>
        </w:rPr>
        <w:t>On September 16, 2021, the Company filed suit in the U.S. District Court for the District of Delaware (C.A. No. 1:21-cv-01317) alleging that Ivantis, Inc. directly or indirectly infringes U.S. Patent Nos. 8,287,482, 9,370,443, 9,486,361, and 10,314,742 by making, using, selling, and offering for sale the Hydrus® Microstent. The Company’s Complaint seeks money damages and injunctive relief. Ivantis has not yet responded to the Complaint, and no trial date has been set. The Company is presently unable to predict the outcome of this lawsuit or to reasonably estimate the potential financial impact of the lawsuit on the Company, if any.</w:t>
      </w:r>
    </w:p>
    <w:p>
      <w:pPr>
        <w:spacing w:after="0" w:line="83" w:lineRule="exact"/>
        <w:rPr>
          <w:sz w:val="20"/>
          <w:szCs w:val="20"/>
          <w:color w:val="auto"/>
        </w:rPr>
      </w:pPr>
    </w:p>
    <w:p>
      <w:pPr>
        <w:ind w:right="100" w:firstLine="509"/>
        <w:spacing w:after="0" w:line="270" w:lineRule="auto"/>
        <w:rPr>
          <w:sz w:val="20"/>
          <w:szCs w:val="20"/>
          <w:color w:val="auto"/>
        </w:rPr>
      </w:pPr>
      <w:r>
        <w:rPr>
          <w:rFonts w:ascii="Arial" w:cs="Arial" w:eastAsia="Arial" w:hAnsi="Arial"/>
          <w:sz w:val="18"/>
          <w:szCs w:val="18"/>
          <w:color w:val="auto"/>
        </w:rPr>
        <w:t>We may, in the ordinary course of business, face various claims brought by third parties, and we may, from time to time, make additional claims or take further legal actions to assert our rights, including intellectual property rights as well as claims relating to employment matters and the safety or effectiveness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business, financial condition and results of operations. Additionally, any such claims, whether or not successful, could damage our reputation and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44" w:name="page45"/>
    <w:bookmarkEnd w:id="44"/>
    <w:p>
      <w:pPr>
        <w:ind w:right="20"/>
        <w:spacing w:after="0" w:line="270" w:lineRule="auto"/>
        <w:rPr>
          <w:sz w:val="20"/>
          <w:szCs w:val="20"/>
          <w:color w:val="auto"/>
        </w:rPr>
      </w:pPr>
      <w:r>
        <w:rPr>
          <w:rFonts w:ascii="Arial" w:cs="Arial" w:eastAsia="Arial" w:hAnsi="Arial"/>
          <w:sz w:val="18"/>
          <w:szCs w:val="18"/>
          <w:i w:val="1"/>
          <w:iCs w:val="1"/>
          <w:color w:val="auto"/>
        </w:rPr>
        <w:t>Operations” and our condensed consolidated financial statements and the accompanying notes thereto included elsewhere in this Quarterly Report on Form 10-Q, before investing in our common stock. Many of the risks and uncertainties are, and will be, exacerbated by the COVID-19 pandemic and any worsening of the global business and economic environment as a result.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35"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b w:val="1"/>
          <w:bCs w:val="1"/>
          <w:i w:val="1"/>
          <w:iCs w:val="1"/>
          <w:color w:val="auto"/>
        </w:rPr>
        <w:t>We are an early-stage company with a history of significant losses, we expect to incur losses in the future and we may not be able to achieve or sustain profitability.</w:t>
      </w:r>
    </w:p>
    <w:p>
      <w:pPr>
        <w:spacing w:after="0" w:line="62"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We have incurred annual net losses since our formation in 2010. For the years ended December 31, 2018, 2019 and 2020, we had net losses of $14.3 million, $25.9 million and $34.7 million, respectively, and for the nine months ended September 30, 2020 and 2021, we had net losses of $25.6 million and $47.0 million, respectively. As of September 30, 2021, we had an accumulated deficit of $137.1 million. To date, we have financed our operations primarily through equity and debt financings and from sales of our products, the OMNI® Surgical System, or OMNI, a device that enables canaloplasty followed by trabeculotomy for the reduction of intraocular pressure in adult patients with primary open-angle glaucoma, or POAG, and our TearCare® System, or TearCare, to apply localized heat where the medical community recommends the application of warm compress to the eyelids, as well as predicates to OMNI. The losses and accumulated deficit have primarily been due to the substantial investments we have made to develop our products, costs related to our sales and marketing efforts, general research and development expenses, including costs related to clinical trials and regulatory initiatives to obtain marketing clearance, and infrastructure improvements.</w:t>
      </w:r>
    </w:p>
    <w:p>
      <w:pPr>
        <w:spacing w:after="0" w:line="178" w:lineRule="exact"/>
        <w:rPr>
          <w:sz w:val="20"/>
          <w:szCs w:val="20"/>
          <w:color w:val="auto"/>
        </w:rPr>
      </w:pPr>
    </w:p>
    <w:p>
      <w:pPr>
        <w:ind w:firstLine="509"/>
        <w:spacing w:after="0" w:line="314" w:lineRule="auto"/>
        <w:rPr>
          <w:sz w:val="20"/>
          <w:szCs w:val="20"/>
          <w:color w:val="auto"/>
        </w:rPr>
      </w:pPr>
      <w:r>
        <w:rPr>
          <w:rFonts w:ascii="Arial" w:cs="Arial" w:eastAsia="Arial" w:hAnsi="Arial"/>
          <w:sz w:val="16"/>
          <w:szCs w:val="16"/>
          <w:color w:val="auto"/>
        </w:rPr>
        <w:t>In addition, as a public company, we incur significant legal, accounting and other expenses that we did not incur as a private company. Accordingly, we expect to continue to incur losses for the foreseeable future and we cannot assure you that we will ever achieve profitability or that, if we do become profitable, we will sustain profitability. Our failure to achieve and sustain profitability in the future would make it more difficult to finance our business and accomplish our strategic objectives, which would have a material adverse effect on our business, financial condition and results of operations. In addition, failure of our products to significantly penetrate our target markets would negatively affect our business, financial condition and results of operations.</w:t>
      </w:r>
    </w:p>
    <w:p>
      <w:pPr>
        <w:spacing w:after="0" w:line="268" w:lineRule="exact"/>
        <w:rPr>
          <w:sz w:val="20"/>
          <w:szCs w:val="20"/>
          <w:color w:val="auto"/>
        </w:rPr>
      </w:pPr>
    </w:p>
    <w:p>
      <w:pPr>
        <w:ind w:right="40"/>
        <w:spacing w:after="0" w:line="359" w:lineRule="auto"/>
        <w:rPr>
          <w:sz w:val="20"/>
          <w:szCs w:val="20"/>
          <w:color w:val="auto"/>
        </w:rPr>
      </w:pPr>
      <w:r>
        <w:rPr>
          <w:rFonts w:ascii="Arial" w:cs="Arial" w:eastAsia="Arial" w:hAnsi="Arial"/>
          <w:sz w:val="15"/>
          <w:szCs w:val="15"/>
          <w:b w:val="1"/>
          <w:bCs w:val="1"/>
          <w:i w:val="1"/>
          <w:iCs w:val="1"/>
          <w:color w:val="auto"/>
        </w:rPr>
        <w:t>Our revenue has been primarily generated from the sales of our products and is expected to continue to be so generated for the near future, and we are therefore highly dependent on the success of those products, and particularly on OMNI. We have limited commercial sales experience regarding our products, which makes it difficult to evaluate our current business, predict our future prospects and forecast our financial performance and growth.</w:t>
      </w:r>
    </w:p>
    <w:p>
      <w:pPr>
        <w:spacing w:after="0" w:line="22" w:lineRule="exact"/>
        <w:rPr>
          <w:sz w:val="20"/>
          <w:szCs w:val="20"/>
          <w:color w:val="auto"/>
        </w:rPr>
      </w:pPr>
    </w:p>
    <w:p>
      <w:pPr>
        <w:ind w:right="20" w:firstLine="509"/>
        <w:spacing w:after="0" w:line="270" w:lineRule="auto"/>
        <w:rPr>
          <w:sz w:val="20"/>
          <w:szCs w:val="20"/>
          <w:color w:val="auto"/>
        </w:rPr>
      </w:pPr>
      <w:r>
        <w:rPr>
          <w:rFonts w:ascii="Arial" w:cs="Arial" w:eastAsia="Arial" w:hAnsi="Arial"/>
          <w:sz w:val="18"/>
          <w:szCs w:val="18"/>
          <w:color w:val="auto"/>
        </w:rPr>
        <w:t>We began selling VISCO360 and TRAB360, commercial predicate devices to OMNI, in 2015 and TearCare in 2019 and therefore do not have a long history operating as a commercial company. Currently, we are highly dependent on the success of OMNI and TearCare. To date, our revenue has primarily been derived, and we expect it to continue to be substantially derived in the near future, from sales of our Surgical Glaucoma and Dry Eye products. We are particularly dependent on the success of OMNI, which accounted for 94% of our total revenues for the year ended December 31, 2020. Because we devote substantially all of our resources to these products and rely on them as our sole source of revenue, any factors that negatively impact our products, and particularly OMNI, or result in a decrease in sales, could have a material adverse effect on our business, financial condition and results of operations.</w:t>
      </w:r>
    </w:p>
    <w:p>
      <w:pPr>
        <w:spacing w:after="0" w:line="192" w:lineRule="exact"/>
        <w:rPr>
          <w:sz w:val="20"/>
          <w:szCs w:val="20"/>
          <w:color w:val="auto"/>
        </w:rPr>
      </w:pPr>
    </w:p>
    <w:p>
      <w:pPr>
        <w:ind w:right="120" w:firstLine="509"/>
        <w:spacing w:after="0" w:line="329" w:lineRule="auto"/>
        <w:rPr>
          <w:sz w:val="20"/>
          <w:szCs w:val="20"/>
          <w:color w:val="auto"/>
        </w:rPr>
      </w:pPr>
      <w:r>
        <w:rPr>
          <w:rFonts w:ascii="Arial" w:cs="Arial" w:eastAsia="Arial" w:hAnsi="Arial"/>
          <w:sz w:val="16"/>
          <w:szCs w:val="16"/>
          <w:color w:val="auto"/>
        </w:rPr>
        <w:t>Over the next several years, we expect to continue to devote a substantial amount of resources to expand our commercialization efforts, drive increased adoption of our products and continue to develop new and improved products. Our limited commercialization experience and limited number of products make it difficult to evaluate our current business and predict our future prospects. These factors also make it difficult for us to forecast our future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5" w:name="page46"/>
    <w:bookmarkEnd w:id="45"/>
    <w:p>
      <w:pPr>
        <w:jc w:val="both"/>
        <w:ind w:right="240"/>
        <w:spacing w:after="0" w:line="359" w:lineRule="auto"/>
        <w:rPr>
          <w:sz w:val="20"/>
          <w:szCs w:val="20"/>
          <w:color w:val="auto"/>
        </w:rPr>
      </w:pPr>
      <w:r>
        <w:rPr>
          <w:rFonts w:ascii="Arial" w:cs="Arial" w:eastAsia="Arial" w:hAnsi="Arial"/>
          <w:sz w:val="16"/>
          <w:szCs w:val="16"/>
          <w:color w:val="auto"/>
        </w:rPr>
        <w:t>financial performance and growth, and such forecasts are subject to a number of uncertainties, including our ability to successfully complete preclinical studies and clinical trials and obtain FDA pre-market clearance for our current products and for future planned products or changes to existing products.</w:t>
      </w:r>
    </w:p>
    <w:p>
      <w:pPr>
        <w:spacing w:after="0" w:line="125"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Ophthalmologist and optometrist (together, eyecare professionals or ECPs) awareness of, and experience with, our products is currently limited. As a result, our products have limited product and brand recognition within the ophthalmic industry. The novelty of our products, together with our limited commercialization experience, makes it difficult to evaluate our current business and predict our future prospects. A number of factors, including some outside of our control, may contribute to fluctuations in our financial results, including:</w:t>
      </w:r>
    </w:p>
    <w:p>
      <w:pPr>
        <w:spacing w:after="0" w:line="118" w:lineRule="exact"/>
        <w:rPr>
          <w:sz w:val="20"/>
          <w:szCs w:val="20"/>
          <w:color w:val="auto"/>
        </w:rPr>
      </w:pPr>
    </w:p>
    <w:p>
      <w:pPr>
        <w:ind w:left="1040" w:hanging="45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ECP and patient demand for our products;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45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and maintain reimbursement coverage for procedures in which our products are used;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45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reimbursement rates by government or commercial payors;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45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of our clinical trials or investigations;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452"/>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Positive or negative media coverage, or public, patient and/or physician perception, of our products or competing products and treatments;</w:t>
      </w: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1040" w:right="120" w:hanging="452"/>
        <w:spacing w:after="0" w:line="29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safety or effectiveness concerns that arise regarding our products for either their currently authorized uses or the uses for which we are developing our products;</w:t>
      </w:r>
    </w:p>
    <w:p>
      <w:pPr>
        <w:spacing w:after="0" w:line="115" w:lineRule="exact"/>
        <w:rPr>
          <w:rFonts w:ascii="Arial" w:cs="Arial" w:eastAsia="Arial" w:hAnsi="Arial"/>
          <w:sz w:val="18"/>
          <w:szCs w:val="18"/>
          <w:color w:val="auto"/>
        </w:rPr>
      </w:pPr>
    </w:p>
    <w:p>
      <w:pPr>
        <w:ind w:left="1040" w:hanging="452"/>
        <w:spacing w:after="0" w:line="29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effectiveness of our marketing and sales efforts, including our ability to have a sufficient number of qualified sales representatives to sell our products;</w:t>
      </w:r>
    </w:p>
    <w:p>
      <w:pPr>
        <w:spacing w:after="0" w:line="115" w:lineRule="exact"/>
        <w:rPr>
          <w:rFonts w:ascii="Arial" w:cs="Arial" w:eastAsia="Arial" w:hAnsi="Arial"/>
          <w:sz w:val="18"/>
          <w:szCs w:val="18"/>
          <w:color w:val="auto"/>
        </w:rPr>
      </w:pPr>
    </w:p>
    <w:p>
      <w:pPr>
        <w:ind w:left="1040" w:hanging="45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delays in product development or product launches;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45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raise additional capital on acceptable terms, or at all, if needed to support the commercialization of our products;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45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achieve and maintain compliance with all legal and regulatory requirements applicable to our products;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45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right="200" w:hanging="452"/>
        <w:spacing w:after="0" w:line="29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third-party manufacturers’ ability to supply our products in a timely manner, in accordance with our specifications, and in compliance with applicable regulatory requirements; and</w:t>
      </w:r>
    </w:p>
    <w:p>
      <w:pPr>
        <w:spacing w:after="0" w:line="115" w:lineRule="exact"/>
        <w:rPr>
          <w:rFonts w:ascii="Arial" w:cs="Arial" w:eastAsia="Arial" w:hAnsi="Arial"/>
          <w:sz w:val="18"/>
          <w:szCs w:val="18"/>
          <w:color w:val="auto"/>
        </w:rPr>
      </w:pPr>
    </w:p>
    <w:p>
      <w:pPr>
        <w:ind w:left="1040" w:hanging="45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Introduction of new products or alternative treatments that compete with our products.</w:t>
      </w:r>
    </w:p>
    <w:p>
      <w:pPr>
        <w:spacing w:after="0" w:line="200" w:lineRule="exact"/>
        <w:rPr>
          <w:sz w:val="20"/>
          <w:szCs w:val="20"/>
          <w:color w:val="auto"/>
        </w:rPr>
      </w:pPr>
    </w:p>
    <w:p>
      <w:pPr>
        <w:spacing w:after="0" w:line="282" w:lineRule="exact"/>
        <w:rPr>
          <w:sz w:val="20"/>
          <w:szCs w:val="20"/>
          <w:color w:val="auto"/>
        </w:rPr>
      </w:pPr>
    </w:p>
    <w:p>
      <w:pPr>
        <w:ind w:right="160" w:firstLine="509"/>
        <w:spacing w:after="0" w:line="275" w:lineRule="auto"/>
        <w:rPr>
          <w:sz w:val="20"/>
          <w:szCs w:val="20"/>
          <w:color w:val="auto"/>
        </w:rPr>
      </w:pPr>
      <w:r>
        <w:rPr>
          <w:rFonts w:ascii="Arial" w:cs="Arial" w:eastAsia="Arial" w:hAnsi="Arial"/>
          <w:sz w:val="18"/>
          <w:szCs w:val="18"/>
          <w:color w:val="auto"/>
        </w:rPr>
        <w:t>It is therefore difficult to predict our future financial performance and growth, and such forecasts are inherently limited and subject to a number of uncertainties. If our assumptions regarding the risks and uncertainties we face, which we use to plan our business, are incorrect or change due to circumstances in our business or our markets, or if we do not address these risks successfully, our operating and financial results could differ materially from our expectations and our business could suffer.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dependent upon the broad adoption of our products by ECPs and patients.</w:t>
      </w:r>
    </w:p>
    <w:p>
      <w:pPr>
        <w:spacing w:after="0" w:line="131" w:lineRule="exact"/>
        <w:rPr>
          <w:sz w:val="20"/>
          <w:szCs w:val="20"/>
          <w:color w:val="auto"/>
        </w:rPr>
      </w:pPr>
    </w:p>
    <w:p>
      <w:pPr>
        <w:jc w:val="both"/>
        <w:ind w:right="100" w:firstLine="509"/>
        <w:spacing w:after="0" w:line="272" w:lineRule="auto"/>
        <w:rPr>
          <w:sz w:val="20"/>
          <w:szCs w:val="20"/>
          <w:color w:val="auto"/>
        </w:rPr>
      </w:pPr>
      <w:r>
        <w:rPr>
          <w:rFonts w:ascii="Arial" w:cs="Arial" w:eastAsia="Arial" w:hAnsi="Arial"/>
          <w:sz w:val="18"/>
          <w:szCs w:val="18"/>
          <w:color w:val="auto"/>
        </w:rPr>
        <w:t>Our future growth and profitability largely depend on our ability to increase ECP and patient awareness of our products and on the willingness of ECPs and patients to adopt our products. ECPs may not adopt our products unless they are able to determine, based on experience, clinical data, medical society recommendations and other analyses, that our products are clinically differentiated from, or otherwise preferable to, available alternatives. Even if we are able to raise awareness among ECPs, they may be slow to change their medical treatment practices and may be hesitant to select our products for a variety of reasons, including:</w:t>
      </w:r>
    </w:p>
    <w:p>
      <w:pPr>
        <w:spacing w:after="0" w:line="123" w:lineRule="exact"/>
        <w:rPr>
          <w:sz w:val="20"/>
          <w:szCs w:val="20"/>
          <w:color w:val="auto"/>
        </w:rPr>
      </w:pPr>
    </w:p>
    <w:p>
      <w:pPr>
        <w:ind w:left="1040" w:hanging="45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Lack of experience with our products and concerns that we are relatively new to market;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45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Perceived liability risk generally associated with the use of new products and treatment options;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6" w:name="page47"/>
    <w:bookmarkEnd w:id="46"/>
    <w:p>
      <w:pPr>
        <w:ind w:left="1040" w:right="80" w:hanging="452"/>
        <w:spacing w:after="0" w:line="293"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Lack, or perceived lack, of sufficient clinical evidence, including long-term data, supporting clinical benefits or the cost-effectiveness of our products over existing treatments;</w:t>
      </w:r>
    </w:p>
    <w:p>
      <w:pPr>
        <w:spacing w:after="0" w:line="115" w:lineRule="exact"/>
        <w:rPr>
          <w:rFonts w:ascii="Arial" w:cs="Arial" w:eastAsia="Arial" w:hAnsi="Arial"/>
          <w:sz w:val="18"/>
          <w:szCs w:val="18"/>
          <w:color w:val="auto"/>
        </w:rPr>
      </w:pPr>
    </w:p>
    <w:p>
      <w:pPr>
        <w:ind w:left="1040" w:right="380" w:hanging="452"/>
        <w:spacing w:after="0" w:line="324"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failure of key ophthalmologist and optometrist leaders to provide recommendations regarding our products, or to assure physicians, patients and healthcare payors of the benefits of our products as an attractive alternative to other treatment options;</w:t>
      </w:r>
    </w:p>
    <w:p>
      <w:pPr>
        <w:spacing w:after="0" w:line="93" w:lineRule="exact"/>
        <w:rPr>
          <w:rFonts w:ascii="Arial" w:cs="Arial" w:eastAsia="Arial" w:hAnsi="Arial"/>
          <w:sz w:val="17"/>
          <w:szCs w:val="17"/>
          <w:color w:val="auto"/>
        </w:rPr>
      </w:pPr>
    </w:p>
    <w:p>
      <w:pPr>
        <w:ind w:left="1040" w:hanging="452"/>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Perceptions that our products are unproven;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452"/>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Long-standing relationships with companies, distributors and salespeople that sell competing products;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right="720" w:hanging="452"/>
        <w:spacing w:after="0" w:line="293"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Lack of availability of adequate third-party payor coverage or reimbursement, or changes in (or new) third-party payor coverage or reimbursement policies that are materially adverse to the Company's interest;</w:t>
      </w:r>
    </w:p>
    <w:p>
      <w:pPr>
        <w:spacing w:after="0" w:line="115" w:lineRule="exact"/>
        <w:rPr>
          <w:rFonts w:ascii="Arial" w:cs="Arial" w:eastAsia="Arial" w:hAnsi="Arial"/>
          <w:sz w:val="18"/>
          <w:szCs w:val="18"/>
          <w:color w:val="auto"/>
        </w:rPr>
      </w:pPr>
    </w:p>
    <w:p>
      <w:pPr>
        <w:ind w:left="1040" w:hanging="452"/>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 response and negative selling efforts from providers of alternative treatments;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452"/>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Challenges of integrating TearCare into established ophthalmologic and optometric practices;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right="680" w:hanging="452"/>
        <w:spacing w:after="0" w:line="293"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Perceptions regarding the time commitment and skill development that may be required to gain familiarity and proficiency with our products.</w:t>
      </w:r>
    </w:p>
    <w:p>
      <w:pPr>
        <w:spacing w:after="0" w:line="183" w:lineRule="exact"/>
        <w:rPr>
          <w:sz w:val="20"/>
          <w:szCs w:val="20"/>
          <w:color w:val="auto"/>
        </w:rPr>
      </w:pPr>
    </w:p>
    <w:p>
      <w:pPr>
        <w:ind w:firstLine="536"/>
        <w:spacing w:after="0" w:line="304" w:lineRule="auto"/>
        <w:rPr>
          <w:sz w:val="20"/>
          <w:szCs w:val="20"/>
          <w:color w:val="auto"/>
        </w:rPr>
      </w:pPr>
      <w:r>
        <w:rPr>
          <w:rFonts w:ascii="Arial" w:cs="Arial" w:eastAsia="Arial" w:hAnsi="Arial"/>
          <w:sz w:val="16"/>
          <w:szCs w:val="16"/>
          <w:color w:val="auto"/>
        </w:rPr>
        <w:t>To effectively market and sell our products, we will need to continue to educate the medical community about the safety, efficacy, necessity and efficiency of our products and about the patient populations that would potentially benefit from the use of our products. We focus our sales, marketing and education efforts primarily on our target ECP providers, ambulatory surgery centers, hospital outpatient departments and potential patient populations. However, we cannot assure you that we will achieve broad education or market acceptance. For example, if first-line ECPs or primary care physicians that serve as the early point of contact for patients are not made aware of our OMNI products, they may not refer patients to ECPs who utilize our products, and those patients may be treated with alternative procedures or treatments. In addition, some physicians may choose to utilize our products on only a subset of their total patient population or may not adopt our products at all. If we are not able to effectively demonstrate that our products are beneficial for a broad range of patients, adoption of our products will be limited and may not occur as rapidly as we anticipate or at all, which would have a material adverse effect on our business, financial condition and results of operations. Further, if we are unable to obtain or maintain favorable third-party reimbursement coverage of procedures in which our OMNI product is used, if we are unable to obtain favorable reimbursement for procedures in which TearCare is used, or if competitive products obtain comparatively favorable third-party reimbursement coverage as compared to our products, adoption of our products by ECPs and patients will suffer. We cannot assure you that our products will achieve broad market acceptance among payors, physicians and patients. Any failure of our products to satisfy demand or to achieve meaningful market acceptance and penetration will harm our future prospects and have a material adverse effect on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OMNI and TearCare depends upon appropriate physician training, practice and patient selection.</w:t>
      </w:r>
    </w:p>
    <w:p>
      <w:pPr>
        <w:spacing w:after="0" w:line="131"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The success of our products depends in part on the skill of the ECPs utilizing and administering products to treat patients and on their adherence to our stated patient selection criteria and the proper techniques that we provide in training sessions. We train ECPs on the correct use of OMNI. However, ECPs rely on their previous medical training and experience when performing ophthalmic surgical procedures and may deviate from the techniques we provide in training sessions. Furthermore, we cannot guarantee that all such ECPs who use OMNI will have the necessary skills or experience to safely and effectively perform these procedures. Similarly, though we train ECPs to ensure correct use of TearCare, including placement of TearCare SmartLids on patients’ eyelids, we cannot guarantee that all such ECPs will have the necessary skills or experience to safely and effectively use these devices.</w:t>
      </w:r>
    </w:p>
    <w:p>
      <w:pPr>
        <w:spacing w:after="0" w:line="163" w:lineRule="exact"/>
        <w:rPr>
          <w:sz w:val="20"/>
          <w:szCs w:val="20"/>
          <w:color w:val="auto"/>
        </w:rPr>
      </w:pPr>
    </w:p>
    <w:p>
      <w:pPr>
        <w:ind w:right="160" w:firstLine="509"/>
        <w:spacing w:after="0" w:line="296" w:lineRule="auto"/>
        <w:rPr>
          <w:sz w:val="20"/>
          <w:szCs w:val="20"/>
          <w:color w:val="auto"/>
        </w:rPr>
      </w:pPr>
      <w:r>
        <w:rPr>
          <w:rFonts w:ascii="Arial" w:cs="Arial" w:eastAsia="Arial" w:hAnsi="Arial"/>
          <w:sz w:val="17"/>
          <w:szCs w:val="17"/>
          <w:color w:val="auto"/>
        </w:rPr>
        <w:t>We do not control which physicians utilize these medical devices in their treatments or how much training they receive, and physicians who have not completed our training sessions may nonetheless attempt to use OMNI as part of an ophthalmic surgical procedure or use TearCare to apply localized heat. In addition, a perception by physicians that OMNI or TearCare are difficult to use may negatively impact adoption by ECPs. If ECPs utilize these devices in a manner that is inconsistent with our labeled indications or with components that are not part of our</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47" w:name="page48"/>
    <w:bookmarkEnd w:id="47"/>
    <w:p>
      <w:pPr>
        <w:ind w:right="180"/>
        <w:spacing w:after="0" w:line="279" w:lineRule="auto"/>
        <w:rPr>
          <w:sz w:val="20"/>
          <w:szCs w:val="20"/>
          <w:color w:val="auto"/>
        </w:rPr>
      </w:pPr>
      <w:r>
        <w:rPr>
          <w:rFonts w:ascii="Arial" w:cs="Arial" w:eastAsia="Arial" w:hAnsi="Arial"/>
          <w:sz w:val="18"/>
          <w:szCs w:val="18"/>
          <w:color w:val="auto"/>
        </w:rPr>
        <w:t>products, such as viscoelastic fluid that is incompatible with OMNI, or without adhering to or completing our training sessions, the patient outcomes may be negative. This could negatively impact the perception of patient benefits and safety associated with OMNI and TearCare and limit adoption of our devices, which would have a material adverse effect on our business, financial condition and results of operations.</w:t>
      </w:r>
    </w:p>
    <w:p>
      <w:pPr>
        <w:spacing w:after="0" w:line="29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i w:val="1"/>
          <w:iCs w:val="1"/>
          <w:color w:val="auto"/>
        </w:rPr>
        <w:t>Development of TearCare for expanded indications depends upon positive clinical data, and the safety and efficacy of our products for the intended uses for which we intend to seek clearance, certification or approval are not yet supported by long-term clinical data, which could delay or prevent clearance by the FDA (or other foreign authorities) or limit sales if cleared, certified or approved and our products might therefore prove to be less safe or effective than initially thought.</w:t>
      </w:r>
    </w:p>
    <w:p>
      <w:pPr>
        <w:spacing w:after="0" w:line="77" w:lineRule="exact"/>
        <w:rPr>
          <w:sz w:val="20"/>
          <w:szCs w:val="20"/>
          <w:color w:val="auto"/>
        </w:rPr>
      </w:pPr>
    </w:p>
    <w:p>
      <w:pPr>
        <w:ind w:right="300" w:firstLine="509"/>
        <w:spacing w:after="0" w:line="293" w:lineRule="auto"/>
        <w:rPr>
          <w:sz w:val="20"/>
          <w:szCs w:val="20"/>
          <w:color w:val="auto"/>
        </w:rPr>
      </w:pPr>
      <w:r>
        <w:rPr>
          <w:rFonts w:ascii="Arial" w:cs="Arial" w:eastAsia="Arial" w:hAnsi="Arial"/>
          <w:sz w:val="18"/>
          <w:szCs w:val="18"/>
          <w:color w:val="auto"/>
        </w:rPr>
        <w:t>We are currently seeking FDA clearance for an expanded indication for our TearCare product, and we intend to continue to develop TearCare for expanded indications in the future.</w:t>
      </w:r>
    </w:p>
    <w:p>
      <w:pPr>
        <w:spacing w:after="0" w:line="170"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We are conducting and intend to continue conducting additional clinical trials or investigations to develop our devices for expanded indications. Historical clinical results, including interim results, are not necessarily predictive of future clinical results, and we cannot assure you that the results reported in these studies will be consistent with, or better than, currently available clinical data. Moreover, the outcomes and updates resulting from these studies, including interim results, may be compared to the results of other products and treatments for POAG or MGD, and if the comparisons are not favorable, it may limit the ability to obtain clearance, certification or approval of the devices for the expanded indications for which we intend to seek clearance, certification or approval, as well as adoption of our products for their current authorized uses. In addition, our competitors and other third parties may also conduct clinical trials or investigations of our products without our participation. Unfavorable or inconsistent clinical data from existing or future clinical trials or investigations conducted by us, our competitors or other third parties, the interpretation of our clinical data or findings of new or more frequent adverse events, could subject us to mandatory or voluntary product recalls, suspension or withdrawal of FDA or other clearance, certification or approval, significant legal liability or harm to our business reputation and could have a material adverse effect on our business, financial condition and results of operations.</w:t>
      </w:r>
    </w:p>
    <w:p>
      <w:pPr>
        <w:spacing w:after="0" w:line="178"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Our products will be adopted and compete, in part, based on long-term data regarding patient outcomes and the risk of our products relative to other treatment options. The long-term clinical outcomes of the use of OMNI for its cleared uses are not known and, due to the novelty of our products, there is no long-term data regarding patient outcomes beyond our clinical trials or investigations. The results of short-term clinical experience of our products do not necessarily predict long-term clinical outcomes. We believe that ECPs will compare the rates of long-term clinical outcomes for procedures using our products for their authorized uses against alternative procedures and treatment options. If the long-term data does not meet ECPs’ expectations, or if the long-term data indicates that our products are not as safe or effective as other treatment options or as current short-term data would suggest, physicians may recommend alternative treatments for their patients and our products may not become widely adopted, which will negatively affect our business, financial condition and results of operations.</w:t>
      </w:r>
    </w:p>
    <w:p>
      <w:pPr>
        <w:spacing w:after="0" w:line="290" w:lineRule="exact"/>
        <w:rPr>
          <w:sz w:val="20"/>
          <w:szCs w:val="20"/>
          <w:color w:val="auto"/>
        </w:rPr>
      </w:pPr>
    </w:p>
    <w:p>
      <w:pPr>
        <w:ind w:right="660"/>
        <w:spacing w:after="0" w:line="293" w:lineRule="auto"/>
        <w:rPr>
          <w:sz w:val="20"/>
          <w:szCs w:val="20"/>
          <w:color w:val="auto"/>
        </w:rPr>
      </w:pPr>
      <w:r>
        <w:rPr>
          <w:rFonts w:ascii="Arial" w:cs="Arial" w:eastAsia="Arial" w:hAnsi="Arial"/>
          <w:sz w:val="18"/>
          <w:szCs w:val="18"/>
          <w:b w:val="1"/>
          <w:bCs w:val="1"/>
          <w:i w:val="1"/>
          <w:iCs w:val="1"/>
          <w:color w:val="auto"/>
        </w:rPr>
        <w:t>The safety and efficacy of some of our products is not yet supported by long-term clinical data, which could limit sales, and our products might therefore prove to be less safe or effective than initially thought.</w:t>
      </w:r>
    </w:p>
    <w:p>
      <w:pPr>
        <w:spacing w:after="0" w:line="62"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The products that we market in the United States are regulated as medical devices by the FDA. OMNI has received premarket clearance under Section 510(k) of the Federal Food, Drug, and Cosmetic Act, or the FDCA.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application and later down-classified, or a 510(k)-exempt device. This process is typically shorter and generally requires the submission of less supporting documentation than the FDA’s PMA process and does not always require long-term clinical studies. TearCare is currently marketed as a 510(k)-exempt device, and did not undergo premarket clearance prior to marketing. In November 2020, we submitted a 510(k) premarket notification seeking an expanded indication for use for TearCare. The FDA requested several safety tests and modifications which we believe would have required additional time to complete beyond the designated review process. We voluntarily withdrew this submission in May 2021 to allow us to comply with the FDA requests in a comprehensive manner. We completed the additional testing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and modifications requested by the FDA and summitted a new 510(k) for an expanded indication for use in September 2021.</w:t>
      </w:r>
    </w:p>
    <w:p>
      <w:pPr>
        <w:spacing w:after="0" w:line="239"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In the European Economic Area, or EEA, manufacturers of medical devices are required by the Medical Devices Directive to collect post-marketing clinical data in relation to their CE marked medical devices. Post-market surveillance includes the conduct of post-market clinical follow-up studies permitting manufacturers to gather information concerning quality, safety or performance of medical devices after they have been placed on the market in the EU. All information collected as part of the post-market surveillance process must be reviewed, investigated and analyzed on a regular basis in order to determine whether trending conclusions can be made concerning the safety or performance of the medical device and decisions must be taken in relation to the continued marketing of medical devices currently on the market. We expect to incur ongoing costs to comply with these post-market clinical obligations in EEA markets for so long as we continue to market and sell products in those markets.</w:t>
      </w:r>
    </w:p>
    <w:p>
      <w:pPr>
        <w:spacing w:after="0" w:line="181" w:lineRule="exact"/>
        <w:rPr>
          <w:sz w:val="20"/>
          <w:szCs w:val="20"/>
          <w:color w:val="auto"/>
        </w:rPr>
      </w:pPr>
    </w:p>
    <w:p>
      <w:pPr>
        <w:ind w:right="120" w:firstLine="509"/>
        <w:spacing w:after="0" w:line="309" w:lineRule="auto"/>
        <w:rPr>
          <w:sz w:val="20"/>
          <w:szCs w:val="20"/>
          <w:color w:val="auto"/>
        </w:rPr>
      </w:pPr>
      <w:r>
        <w:rPr>
          <w:rFonts w:ascii="Arial" w:cs="Arial" w:eastAsia="Arial" w:hAnsi="Arial"/>
          <w:sz w:val="16"/>
          <w:szCs w:val="16"/>
          <w:color w:val="auto"/>
        </w:rPr>
        <w:t>We are conducting and intend to continue conducting additional clinical trials, including clinical trials to develop TearCare for an expanded indication. In addition, our competitors and other third parties may also conduct clinical trials of our products without our participation. If future patient studies or clinical testing do not support our belief that our products are advantageous for their intended uses, market acceptance of our products could fail to increase or could decrease and our business could be harmed. Moreover, if future results and experience by us, our competitors or other third parties, indicate that our products cause unexpected or serious complications or other unforeseen negative effects, we could be subject to mandatory or voluntary product recalls, suspension or withdrawal of FDA or other governmental clearance or approval or CE Certificates of Conformity, significant legal liability or harm to our business reputation, which could have a material adverse effect on our business, financial condition and results of operations.</w:t>
      </w:r>
    </w:p>
    <w:p>
      <w:pPr>
        <w:spacing w:after="0" w:line="164"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We believe that ECPs will compare the rates of long-term clinical outcomes for procedures using our products for their authorized uses against alternative procedures and treatment options. If we choose to, or are required to, conduct additional studies, such studies or experience could reduce the rate of coverage and reimbursement by both public and private third-party payors for procedures that are performed with our products, slow market adoption of our products by ECPs, significantly reduce our ability to achieve expected revenues and prevent us from being profitable.</w:t>
      </w:r>
    </w:p>
    <w:p>
      <w:pPr>
        <w:spacing w:after="0" w:line="278"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b w:val="1"/>
          <w:bCs w:val="1"/>
          <w:i w:val="1"/>
          <w:iCs w:val="1"/>
          <w:color w:val="auto"/>
        </w:rPr>
        <w:t>We have limited experience in training on, and marketing and selling, our products and we may provide inadequate training, fail to increase our sales and marketing capabilities or fail to develop broad brand awareness in a cost-effective manner.</w:t>
      </w:r>
    </w:p>
    <w:p>
      <w:pPr>
        <w:spacing w:after="0" w:line="62" w:lineRule="exact"/>
        <w:rPr>
          <w:sz w:val="20"/>
          <w:szCs w:val="20"/>
          <w:color w:val="auto"/>
        </w:rPr>
      </w:pPr>
    </w:p>
    <w:p>
      <w:pPr>
        <w:ind w:right="120" w:firstLine="509"/>
        <w:spacing w:after="0" w:line="286" w:lineRule="auto"/>
        <w:rPr>
          <w:sz w:val="20"/>
          <w:szCs w:val="20"/>
          <w:color w:val="auto"/>
        </w:rPr>
      </w:pPr>
      <w:r>
        <w:rPr>
          <w:rFonts w:ascii="Arial" w:cs="Arial" w:eastAsia="Arial" w:hAnsi="Arial"/>
          <w:sz w:val="17"/>
          <w:szCs w:val="17"/>
          <w:color w:val="auto"/>
        </w:rPr>
        <w:t>We have limited experience marketing and selling our products. In the United States, we currently rely on our direct sales force and, in certain targeted geographic regions or customer verticals, independent sales representatives and distributors, and any failure to maintain and grow our sales force could harm our business. In Europe, we currently rely on a combination of direct sales personnel and independent distributors to sell our products, and we intend to grow our international sales through a combination of direct and distributor sales. If we are unable to identify and retain productive direct sales representatives and distributors in the international territories and jurisdictions that we have targeted for commercial expansion, we may not be able to achieve projected revenue goals and our business could suffer. Our sales representatives are trained and possess product specific sales expertise, which we believe is critical in driving the awareness and adoption of our products. The members of our U.S. sales force are at-will employees. The loss of these personnel to competitors, or otherwise, could materially harm our business. If we are unable to retain our direct sales force personnel or replace them with individuals of equivalent expertise and qualifications, or if we are unable to successfully instill such expertise in replacement personnel, our business, financial condition and results of operations could be materially harmed.</w:t>
      </w:r>
    </w:p>
    <w:p>
      <w:pPr>
        <w:spacing w:after="0" w:line="182"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In order to generate future growth, we plan to continue to significantly expand and leverage our commercial infrastructure to increase our customer base and increase adoption by existing customers to drive our growth. Identifying and recruiting qualified sales and marketing professionals and training them on our products, on applicable federal and state laws and regulations and on our internal policies and procedures requires significant time, expense and attention. It can take several months or more before a sales representative or distributor representative is fully trained and productive. Our direct sales force may subject us to higher fixed costs than those of companies with competing products or treatments that rely more heavily on independent third parties, placing us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9" w:name="page50"/>
    <w:bookmarkEnd w:id="49"/>
    <w:p>
      <w:pPr>
        <w:ind w:right="140"/>
        <w:spacing w:after="0" w:line="292" w:lineRule="auto"/>
        <w:rPr>
          <w:sz w:val="20"/>
          <w:szCs w:val="20"/>
          <w:color w:val="auto"/>
        </w:rPr>
      </w:pPr>
      <w:r>
        <w:rPr>
          <w:rFonts w:ascii="Arial" w:cs="Arial" w:eastAsia="Arial" w:hAnsi="Arial"/>
          <w:sz w:val="17"/>
          <w:szCs w:val="17"/>
          <w:color w:val="auto"/>
        </w:rPr>
        <w:t>at a competitive disadvantage. Our business may be harmed if our efforts to expand and train our sales force and distribution chain do not generate a corresponding increase in product sales and revenue, and our higher fixed costs may slow our ability to reduce costs in the face of a sudden decline in demand for our products. Any failure to hire, develop and retain effective sales personnel, to identify and train distributors and independent sales representatives in targeted international territories, to achieve desired productivity levels in a reasonable period of time or timely reduce fixed costs, could have a material adverse effect on our business, financial condition and results of operations.</w:t>
      </w:r>
    </w:p>
    <w:p>
      <w:pPr>
        <w:spacing w:after="0" w:line="174" w:lineRule="exact"/>
        <w:rPr>
          <w:sz w:val="20"/>
          <w:szCs w:val="20"/>
          <w:color w:val="auto"/>
        </w:rPr>
      </w:pPr>
    </w:p>
    <w:p>
      <w:pPr>
        <w:ind w:right="120" w:firstLine="509"/>
        <w:spacing w:after="0" w:line="287" w:lineRule="auto"/>
        <w:rPr>
          <w:sz w:val="20"/>
          <w:szCs w:val="20"/>
          <w:color w:val="auto"/>
        </w:rPr>
      </w:pPr>
      <w:r>
        <w:rPr>
          <w:rFonts w:ascii="Arial" w:cs="Arial" w:eastAsia="Arial" w:hAnsi="Arial"/>
          <w:sz w:val="17"/>
          <w:szCs w:val="17"/>
          <w:color w:val="auto"/>
        </w:rPr>
        <w:t>Our ability to increase our customer base and achieve broader market acceptance of our products will depend, to a significant extent, on our ability to expand our sales and marketing and educational efforts. We plan to dedicate significant resources to our sales and marketing initiatives, and educational programs through leading medical publications and at large industry and scientific meetings, both directly and through key opinion leaders. Our business may be harmed if these efforts and expenditures do not generate a corresponding increase in revenue. In addition, we believe that developing and maintaining broad awareness of our brand in a cost-effective manner is critical to achieving broad acceptance of our products and reaching new ECPs and patients. Brand promotion activities may not impact ECP or patient awareness or increase revenue, and even if they do, any increase in revenue may not offset the costs and expenses we incur in building our brand. If we fail to successfully promote, maintain and protect our brand, we may fail to attract or retain the market acceptance necessary to realize a sufficient return on our brand building efforts, or to achieve the level of brand awareness that is an important factor for the broad adoption of our products.</w:t>
      </w:r>
    </w:p>
    <w:p>
      <w:pPr>
        <w:spacing w:after="0" w:line="286" w:lineRule="exact"/>
        <w:rPr>
          <w:sz w:val="20"/>
          <w:szCs w:val="20"/>
          <w:color w:val="auto"/>
        </w:rPr>
      </w:pPr>
    </w:p>
    <w:p>
      <w:pPr>
        <w:ind w:right="200"/>
        <w:spacing w:after="0" w:line="359" w:lineRule="auto"/>
        <w:rPr>
          <w:sz w:val="20"/>
          <w:szCs w:val="20"/>
          <w:color w:val="auto"/>
        </w:rPr>
      </w:pPr>
      <w:r>
        <w:rPr>
          <w:rFonts w:ascii="Arial" w:cs="Arial" w:eastAsia="Arial" w:hAnsi="Arial"/>
          <w:sz w:val="16"/>
          <w:szCs w:val="16"/>
          <w:b w:val="1"/>
          <w:bCs w:val="1"/>
          <w:i w:val="1"/>
          <w:iCs w:val="1"/>
          <w:color w:val="auto"/>
        </w:rPr>
        <w:t>Our products are designed to be used in a limited number of procedures, and there is a limited total addressable market for our products. The sizes of the potential and actual markets for our current products have not been established with precision and may be smaller than we estimate.</w:t>
      </w:r>
    </w:p>
    <w:p>
      <w:pPr>
        <w:spacing w:after="0" w:line="17" w:lineRule="exact"/>
        <w:rPr>
          <w:sz w:val="20"/>
          <w:szCs w:val="20"/>
          <w:color w:val="auto"/>
        </w:rPr>
      </w:pPr>
    </w:p>
    <w:p>
      <w:pPr>
        <w:ind w:firstLine="509"/>
        <w:spacing w:after="0" w:line="309" w:lineRule="auto"/>
        <w:rPr>
          <w:sz w:val="20"/>
          <w:szCs w:val="20"/>
          <w:color w:val="auto"/>
        </w:rPr>
      </w:pPr>
      <w:r>
        <w:rPr>
          <w:rFonts w:ascii="Arial" w:cs="Arial" w:eastAsia="Arial" w:hAnsi="Arial"/>
          <w:sz w:val="16"/>
          <w:szCs w:val="16"/>
          <w:color w:val="auto"/>
        </w:rPr>
        <w:t>We currently market our OMNI device for use in the U.S. and select European geographies for canaloplasty followed by trabeculotomy to reduce intraocular pressure in adult patients with POAG. POAG is the most prevalent form of glaucoma and affects approximately 4.1 million people in the United States and over 60 million people worldwide. We currently market TearCare as a Class II, 510(k)-exempt powered heating pad for the delivery of localized heat where the current medical community recommends application of a warm compress. In September 2021, we submitted a 510(k) seeking FDA clearance of TearCare for an expanded indication for use. There are an estimated 739 million people globally and 38 million people in the U.S. who suffer from DED. DED is the most common reason for a patient visit to an eye doctor, yet of the 38 million people with DED in the U.S., only 17 million have been diagnosed with DED. Studies have shown that evaporative DED resulting from MGD is associated with approximately 86% of all DED cases.</w:t>
      </w:r>
    </w:p>
    <w:p>
      <w:pPr>
        <w:spacing w:after="0" w:line="164"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The total addressable markets for our products are subject to change and, even assuming TearCare is cleared for an expanded indication, its use may be further limited by FDA restrictions or more narrowly defined indications, any of which could have a material adverse effect on our business, financial condition and results of operations.</w:t>
      </w:r>
    </w:p>
    <w:p>
      <w:pPr>
        <w:spacing w:after="0" w:line="183" w:lineRule="exact"/>
        <w:rPr>
          <w:sz w:val="20"/>
          <w:szCs w:val="20"/>
          <w:color w:val="auto"/>
        </w:rPr>
      </w:pPr>
    </w:p>
    <w:p>
      <w:pPr>
        <w:ind w:right="120" w:firstLine="509"/>
        <w:spacing w:after="0" w:line="309" w:lineRule="auto"/>
        <w:rPr>
          <w:sz w:val="20"/>
          <w:szCs w:val="20"/>
          <w:color w:val="auto"/>
        </w:rPr>
      </w:pPr>
      <w:r>
        <w:rPr>
          <w:rFonts w:ascii="Arial" w:cs="Arial" w:eastAsia="Arial" w:hAnsi="Arial"/>
          <w:sz w:val="16"/>
          <w:szCs w:val="16"/>
          <w:color w:val="auto"/>
        </w:rPr>
        <w:t>Further, our estimates of the total addressable markets for our products are based on a number of internal and third-party estimates, including, without limitation, the number of patients with POAG and, if TearCare is cleared for such use, MGD, and the assumed prices at which we can sell our products in markets that have not yet been fully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products may prove to be incorrect. If the actual number of patients who would benefit from our products or the price at which we can sell our products is smaller than we have estimated, it may impair our sales growth and negatively affect our business, financial condition and results of operations.</w:t>
      </w:r>
    </w:p>
    <w:p>
      <w:pPr>
        <w:spacing w:after="0" w:line="272"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b w:val="1"/>
          <w:bCs w:val="1"/>
          <w:i w:val="1"/>
          <w:iCs w:val="1"/>
          <w:color w:val="auto"/>
        </w:rPr>
        <w:t>Our operations and financial results have been, and will continue to be, adversely impacted by the COVID-19 pandemic in the United States and the rest of the world.</w:t>
      </w:r>
    </w:p>
    <w:p>
      <w:pPr>
        <w:spacing w:after="0" w:line="62" w:lineRule="exact"/>
        <w:rPr>
          <w:sz w:val="20"/>
          <w:szCs w:val="20"/>
          <w:color w:val="auto"/>
        </w:rPr>
      </w:pPr>
    </w:p>
    <w:p>
      <w:pPr>
        <w:ind w:right="580" w:firstLine="509"/>
        <w:spacing w:after="0" w:line="293" w:lineRule="auto"/>
        <w:rPr>
          <w:sz w:val="20"/>
          <w:szCs w:val="20"/>
          <w:color w:val="auto"/>
        </w:rPr>
      </w:pPr>
      <w:r>
        <w:rPr>
          <w:rFonts w:ascii="Arial" w:cs="Arial" w:eastAsia="Arial" w:hAnsi="Arial"/>
          <w:sz w:val="18"/>
          <w:szCs w:val="18"/>
          <w:color w:val="auto"/>
        </w:rPr>
        <w:t>In December 2019, a novel strain of coronavirus, SARS-CoV-2, was identified in Wuhan, China. Since then, SARS-CoV-2, and the resulting disease, COVID-19, has spread worldwide. In response to</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spacing w:after="0" w:line="284" w:lineRule="auto"/>
        <w:rPr>
          <w:sz w:val="20"/>
          <w:szCs w:val="20"/>
          <w:color w:val="auto"/>
        </w:rPr>
      </w:pPr>
      <w:r>
        <w:rPr>
          <w:rFonts w:ascii="Arial" w:cs="Arial" w:eastAsia="Arial" w:hAnsi="Arial"/>
          <w:sz w:val="17"/>
          <w:szCs w:val="17"/>
          <w:color w:val="auto"/>
        </w:rPr>
        <w:t>the COVID-19 pandemic, numerous state and local jurisdictions have imposed, and others in the future may impose, “shelter-in-place” orders, quarantines, executive orders and similar government orders and restrictions for their residents. Such orders or restrictions have resulted in work stoppages, slowdowns and delays, travel restrictions and cancellation of events. Disruptions or potential disruptions to our business from COVID-19 or a future pandemic could include the inability of our component suppliers and manufacturers to produce our products, components, or accessories on a timely basis, or at all; disruptions in our logistics and distribution providers to deliver our products to customers on a timely basis, or at all; potential disruption in our employee base as a result of COVID-19 regulations and requirements (including vaccination mandates); inventory shortages or obsolescence; diversion of or limitations on employee resources that would otherwise be focused on the operations of our business; delays in growing or reductions in our sales organization, including through delays in hiring, lay-offs, furloughs or other losses of sales representatives; limitations on the ability of our sales representatives and distributors to reach potential customers and reduced opportunities for market education; business adjustments or disruptions of certain third parties, including suppliers and customers; and additional government requirements or other incremental mitigation efforts that may further impact our or our suppliers’ capacity to manufacture our products. For example, as a result of restrictions related to the COVID-19 pandemic our sales representatives have been curtailed in their ability to conduct in-person meetings and demonstrations, and our market education and training efforts have been limited. We may also experience delays in initiating or completing any clinical trials or investigations that we intend to conduct or are conducting, and we do not know whether our clinical trials or investigations will begin on time, need to be redesigned, enroll patients on time, or be completed on schedule, or at all.</w:t>
      </w:r>
    </w:p>
    <w:p>
      <w:pPr>
        <w:spacing w:after="0" w:line="189" w:lineRule="exact"/>
        <w:rPr>
          <w:sz w:val="20"/>
          <w:szCs w:val="20"/>
          <w:color w:val="auto"/>
        </w:rPr>
      </w:pPr>
    </w:p>
    <w:p>
      <w:pPr>
        <w:ind w:right="60" w:firstLine="509"/>
        <w:spacing w:after="0" w:line="269" w:lineRule="auto"/>
        <w:rPr>
          <w:sz w:val="20"/>
          <w:szCs w:val="20"/>
          <w:color w:val="auto"/>
        </w:rPr>
      </w:pPr>
      <w:r>
        <w:rPr>
          <w:rFonts w:ascii="Arial" w:cs="Arial" w:eastAsia="Arial" w:hAnsi="Arial"/>
          <w:sz w:val="18"/>
          <w:szCs w:val="18"/>
          <w:color w:val="auto"/>
        </w:rPr>
        <w:t>We experienced a significant decrease in our revenues for both of our products in the second quarter of 2020 as compared to the first quarter of 2020. As elective eye care procedures in many facilities that utilize OMNI and TearCare were temporarily suspended by governmental authorities, many patients avoided visiting ECPs, and, even in areas that allowed elective procedures, ECPs and healthcare facilities in general severely cut back on the scheduling and performance of such procedures. We felt the decrease in demand due to COVID-19 most significantly in the latter part of the quarter ended March 31, 2020 and the first half of the quarter ended June 30, 2020. Beginning in June 2020, we began to see an increase in the number of procedures using our products. In the first quarter of 2021, our customers experienced a significant number of procedure cancellations which we believe was largely driven by patients postponing procedures until their COVID-19 vaccinations were completed as opposed to any restrictions imposed on elective procedures.</w:t>
      </w:r>
    </w:p>
    <w:p>
      <w:pPr>
        <w:spacing w:after="0" w:line="196" w:lineRule="exact"/>
        <w:rPr>
          <w:sz w:val="20"/>
          <w:szCs w:val="20"/>
          <w:color w:val="auto"/>
        </w:rPr>
      </w:pPr>
    </w:p>
    <w:p>
      <w:pPr>
        <w:ind w:right="60" w:firstLine="509"/>
        <w:spacing w:after="0" w:line="319" w:lineRule="auto"/>
        <w:rPr>
          <w:sz w:val="20"/>
          <w:szCs w:val="20"/>
          <w:color w:val="auto"/>
        </w:rPr>
      </w:pPr>
      <w:r>
        <w:rPr>
          <w:rFonts w:ascii="Arial" w:cs="Arial" w:eastAsia="Arial" w:hAnsi="Arial"/>
          <w:sz w:val="16"/>
          <w:szCs w:val="16"/>
          <w:color w:val="auto"/>
        </w:rPr>
        <w:t>Though demand for our products in the second and third quarters of 2021 has grown, the extent to which the COVID-19 pandemic impacts our business will depend on future developments, which are highly uncertain and cannot be predicted, including new information which may emerge concerning the severity and spread of COVID-19, any new variants of the virus, the nature, extent and effectiveness of containment and treatment measures, the extent and duration of the effect on the economy and how quickly and to what extent normal economic and operating conditions can resume.</w:t>
      </w:r>
    </w:p>
    <w:p>
      <w:pPr>
        <w:spacing w:after="0" w:line="156" w:lineRule="exact"/>
        <w:rPr>
          <w:sz w:val="20"/>
          <w:szCs w:val="20"/>
          <w:color w:val="auto"/>
        </w:rPr>
      </w:pPr>
    </w:p>
    <w:p>
      <w:pPr>
        <w:ind w:right="100" w:firstLine="509"/>
        <w:spacing w:after="0" w:line="287" w:lineRule="auto"/>
        <w:rPr>
          <w:sz w:val="20"/>
          <w:szCs w:val="20"/>
          <w:color w:val="auto"/>
        </w:rPr>
      </w:pPr>
      <w:r>
        <w:rPr>
          <w:rFonts w:ascii="Arial" w:cs="Arial" w:eastAsia="Arial" w:hAnsi="Arial"/>
          <w:sz w:val="17"/>
          <w:szCs w:val="17"/>
          <w:color w:val="auto"/>
        </w:rPr>
        <w:t>While the potential economic impact brought by and the duration of any pandemic, epidemic or outbreak of an infectious disease, including COVID-19, may be difficult to assess or predict, the COVID-19 pandemic has resulted in, and may continue to result in, significant disruption of global financial markets, reducing our ability to access capital, which could in the future negatively affect our liquidity. In addition, a recession or market correction resulting from the spread of an infectious disease, including COVID-19, could materially affect our business. Such economic recession could have a material adverse effect on our long-term business as hospitals and surgical centers curtail and reduce capital and overall spending. In addition, the current economic downturn is resulting in significant job losses and reductions in disposable income and if patients are unable to obtain or maintain health insurance policies, this may significantly impact their ability to pay for the procedures utilizing our products, further negatively impacting our business, financial condition and results of operations. To the extent the COVID-19 pandemic adversely affects our business and financial results, it may also have the effect of heightening many of the other risks described in this “Risk Factors” section.</w:t>
      </w:r>
    </w:p>
    <w:p>
      <w:pPr>
        <w:spacing w:after="0" w:line="286" w:lineRule="exact"/>
        <w:rPr>
          <w:sz w:val="20"/>
          <w:szCs w:val="20"/>
          <w:color w:val="auto"/>
        </w:rPr>
      </w:pPr>
    </w:p>
    <w:p>
      <w:pPr>
        <w:jc w:val="both"/>
        <w:ind w:right="160"/>
        <w:spacing w:after="0" w:line="279" w:lineRule="auto"/>
        <w:rPr>
          <w:sz w:val="20"/>
          <w:szCs w:val="20"/>
          <w:color w:val="auto"/>
        </w:rPr>
      </w:pPr>
      <w:r>
        <w:rPr>
          <w:rFonts w:ascii="Arial" w:cs="Arial" w:eastAsia="Arial" w:hAnsi="Arial"/>
          <w:sz w:val="18"/>
          <w:szCs w:val="18"/>
          <w:b w:val="1"/>
          <w:bCs w:val="1"/>
          <w:i w:val="1"/>
          <w:iCs w:val="1"/>
          <w:color w:val="auto"/>
        </w:rPr>
        <w:t>We may not be able to incrementally secure or maintain adequate levels of third-party coverage and reimbursement for procedures in which OMNI is used, and third parties may rescind or modify their coverage or delay payments related to OMNI. We may not be able to incrementally secure any, or adequate levels of,</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1" w:name="page52"/>
    <w:bookmarkEnd w:id="51"/>
    <w:p>
      <w:pPr>
        <w:ind w:right="480"/>
        <w:spacing w:after="0" w:line="293" w:lineRule="auto"/>
        <w:rPr>
          <w:sz w:val="20"/>
          <w:szCs w:val="20"/>
          <w:color w:val="auto"/>
        </w:rPr>
      </w:pPr>
      <w:r>
        <w:rPr>
          <w:rFonts w:ascii="Arial" w:cs="Arial" w:eastAsia="Arial" w:hAnsi="Arial"/>
          <w:sz w:val="18"/>
          <w:szCs w:val="18"/>
          <w:b w:val="1"/>
          <w:bCs w:val="1"/>
          <w:i w:val="1"/>
          <w:iCs w:val="1"/>
          <w:color w:val="auto"/>
        </w:rPr>
        <w:t>third-party coverage and reimbursement for procedures in which TearCare is used, and even if third parties provide coverage they may rescind or modify their coverage or delay payments related to TearCare.</w:t>
      </w:r>
    </w:p>
    <w:p>
      <w:pPr>
        <w:spacing w:after="0" w:line="62" w:lineRule="exact"/>
        <w:rPr>
          <w:sz w:val="20"/>
          <w:szCs w:val="20"/>
          <w:color w:val="auto"/>
        </w:rPr>
      </w:pPr>
    </w:p>
    <w:p>
      <w:pPr>
        <w:ind w:right="200" w:firstLine="509"/>
        <w:spacing w:after="0" w:line="272" w:lineRule="auto"/>
        <w:rPr>
          <w:sz w:val="20"/>
          <w:szCs w:val="20"/>
          <w:color w:val="auto"/>
        </w:rPr>
      </w:pPr>
      <w:r>
        <w:rPr>
          <w:rFonts w:ascii="Arial" w:cs="Arial" w:eastAsia="Arial" w:hAnsi="Arial"/>
          <w:sz w:val="18"/>
          <w:szCs w:val="18"/>
          <w:color w:val="auto"/>
        </w:rPr>
        <w:t>We derive revenue from sales of OMNI to physicians, ambulatory surgery centers and hospital outpatient departments, which typically bill all or a portion of the costs and fees associated with our products to various third-party payors, including Medicare, Medicaid, private commercial insurance companies, health maintenance organizations and other healthcare-related organizations, and then bill patients for any applicable deductibles or co-payments. As a result, access to adequate coverage and reimbursement for procedures in which OMNI is used by third-party payors is essential to its acceptance and adoption by patients and ECPs.</w:t>
      </w:r>
    </w:p>
    <w:p>
      <w:pPr>
        <w:spacing w:after="0" w:line="191" w:lineRule="exact"/>
        <w:rPr>
          <w:sz w:val="20"/>
          <w:szCs w:val="20"/>
          <w:color w:val="auto"/>
        </w:rPr>
      </w:pPr>
    </w:p>
    <w:p>
      <w:pPr>
        <w:ind w:right="100" w:firstLine="509"/>
        <w:spacing w:after="0" w:line="308" w:lineRule="auto"/>
        <w:rPr>
          <w:sz w:val="20"/>
          <w:szCs w:val="20"/>
          <w:color w:val="auto"/>
        </w:rPr>
      </w:pPr>
      <w:r>
        <w:rPr>
          <w:rFonts w:ascii="Arial" w:cs="Arial" w:eastAsia="Arial" w:hAnsi="Arial"/>
          <w:sz w:val="16"/>
          <w:szCs w:val="16"/>
          <w:color w:val="auto"/>
        </w:rPr>
        <w:t>We also derive revenue from sales of TearCare to ECPs and eye care clinics, which also bill all or a portion of the costs and fees associated with treatments and products to patients or, on a limited basis, to third-party payors. We believe that access to adequate coverage and reimbursement for procedures in which TearCare is used by third-party payors is important to the broad acceptance and adoption of TearCare. Currently, however, no payors have formal policies establishing coverage for the procedures in which TearCare is used. We are pursuing a comprehensive long-term market development and patient access plan for TearCare and focusing our efforts on partnering with key strategic accounts to pursue prior authorization approvals and reimbursement claims for procedures in which TearCare is used, but there is no guarantee that we will be successful. If patients are not willing to pay for procedures in which TearCare is used, or if third-party payors continue to refuse to provide coverage and reimbursement or provide insufficient levels of coverage and reimbursement, it could have a negative impact on ECPs’ adoption of TearCare and sales of TearCare.</w:t>
      </w:r>
    </w:p>
    <w:p>
      <w:pPr>
        <w:spacing w:after="0" w:line="163" w:lineRule="exact"/>
        <w:rPr>
          <w:sz w:val="20"/>
          <w:szCs w:val="20"/>
          <w:color w:val="auto"/>
        </w:rPr>
      </w:pPr>
    </w:p>
    <w:p>
      <w:pPr>
        <w:ind w:right="280" w:firstLine="509"/>
        <w:spacing w:after="0" w:line="293" w:lineRule="auto"/>
        <w:rPr>
          <w:sz w:val="20"/>
          <w:szCs w:val="20"/>
          <w:color w:val="auto"/>
        </w:rPr>
      </w:pPr>
      <w:r>
        <w:rPr>
          <w:rFonts w:ascii="Arial" w:cs="Arial" w:eastAsia="Arial" w:hAnsi="Arial"/>
          <w:sz w:val="18"/>
          <w:szCs w:val="18"/>
          <w:color w:val="auto"/>
        </w:rPr>
        <w:t>Coverage and reimbursement by governmental and third-party payors may depend upon a number of factors, including the determination that the product or service and its use or administration for a particular patient is:</w:t>
      </w:r>
    </w:p>
    <w:p>
      <w:pPr>
        <w:spacing w:after="0" w:line="197" w:lineRule="exact"/>
        <w:rPr>
          <w:sz w:val="20"/>
          <w:szCs w:val="20"/>
          <w:color w:val="auto"/>
        </w:rPr>
      </w:pPr>
    </w:p>
    <w:p>
      <w:pPr>
        <w:ind w:left="1040" w:hanging="452"/>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covered benefit;</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Safe, effective reasonable and medically necessary;</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Supported by clinical data;</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Supported by guidelines established by the relevant professional societies;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00" w:lineRule="exact"/>
        <w:rPr>
          <w:sz w:val="20"/>
          <w:szCs w:val="20"/>
          <w:color w:val="auto"/>
        </w:rPr>
      </w:pPr>
    </w:p>
    <w:p>
      <w:pPr>
        <w:spacing w:after="0" w:line="28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Third-party payors, whether foreign or domestic, or governmental or commercial, are developing increasingly sophisticated methods of controlling healthcare costs. In addition, no uniform policy of coverage and reimbursement for procedures using our products exists among third-party payors. Therefore, coverage and reimbursement for procedures using our products can differ significantly from payor to payor. Obtaining and maintaining coverage and reimbursement can be a time-consuming process that could require us to provide supporting scientific, clinical and cost-effectiveness data for the use of our products. We may not be able to provide data sufficient to satisfy governmental and third-party payors that procedures using our products should be covered and reimbursed.</w:t>
      </w:r>
    </w:p>
    <w:p>
      <w:pPr>
        <w:spacing w:after="0" w:line="191" w:lineRule="exact"/>
        <w:rPr>
          <w:sz w:val="20"/>
          <w:szCs w:val="20"/>
          <w:color w:val="auto"/>
        </w:rPr>
      </w:pPr>
    </w:p>
    <w:p>
      <w:pPr>
        <w:ind w:right="160" w:firstLine="509"/>
        <w:spacing w:after="0" w:line="299" w:lineRule="auto"/>
        <w:rPr>
          <w:sz w:val="20"/>
          <w:szCs w:val="20"/>
          <w:color w:val="auto"/>
        </w:rPr>
      </w:pPr>
      <w:r>
        <w:rPr>
          <w:rFonts w:ascii="Arial" w:cs="Arial" w:eastAsia="Arial" w:hAnsi="Arial"/>
          <w:sz w:val="16"/>
          <w:szCs w:val="16"/>
          <w:color w:val="auto"/>
        </w:rPr>
        <w:t>In the United States, the American Medical Association, or AMA, generally assigns specific billing codes for procedures under a coding system known as Current Procedure Terminology, or CPT, which surgeons use to bill third-party payors and receive reimbursement. Once a permanent (Category</w:t>
      </w:r>
    </w:p>
    <w:p>
      <w:pPr>
        <w:spacing w:after="0" w:line="1" w:lineRule="exact"/>
        <w:rPr>
          <w:sz w:val="20"/>
          <w:szCs w:val="20"/>
          <w:color w:val="auto"/>
        </w:rPr>
      </w:pPr>
    </w:p>
    <w:p>
      <w:pPr>
        <w:jc w:val="both"/>
        <w:ind w:right="220" w:firstLine="8"/>
        <w:spacing w:after="0" w:line="319" w:lineRule="auto"/>
        <w:tabs>
          <w:tab w:leader="none" w:pos="165" w:val="left"/>
        </w:tabs>
        <w:numPr>
          <w:ilvl w:val="0"/>
          <w:numId w:val="11"/>
        </w:numPr>
        <w:rPr>
          <w:rFonts w:ascii="Arial" w:cs="Arial" w:eastAsia="Arial" w:hAnsi="Arial"/>
          <w:sz w:val="16"/>
          <w:szCs w:val="16"/>
          <w:color w:val="auto"/>
        </w:rPr>
      </w:pPr>
      <w:r>
        <w:rPr>
          <w:rFonts w:ascii="Arial" w:cs="Arial" w:eastAsia="Arial" w:hAnsi="Arial"/>
          <w:sz w:val="16"/>
          <w:szCs w:val="16"/>
          <w:color w:val="auto"/>
        </w:rPr>
        <w:t>CPT code is established for a service, the Centers for Medicare &amp; Medicaid Services, or CMS, establishes payment levels under Medicare, while other payors may establish rates and coverage rules independently. Canaloplasty followed by trabeculotomy procedures using OMNI are typically billed using the Category I CPT code 66174, which describes canaloplasty. Coding for ophthalmic surgical procedures is complex, and changes to the codes used to report services performed with our products may result in significant changes in reimbursement, which could negatively impact our revenue.</w:t>
      </w:r>
    </w:p>
    <w:p>
      <w:pPr>
        <w:spacing w:after="0" w:line="155" w:lineRule="exact"/>
        <w:rPr>
          <w:sz w:val="20"/>
          <w:szCs w:val="20"/>
          <w:color w:val="auto"/>
        </w:rPr>
      </w:pPr>
    </w:p>
    <w:p>
      <w:pPr>
        <w:jc w:val="both"/>
        <w:ind w:right="80" w:firstLine="509"/>
        <w:spacing w:after="0" w:line="279" w:lineRule="auto"/>
        <w:rPr>
          <w:sz w:val="20"/>
          <w:szCs w:val="20"/>
          <w:color w:val="auto"/>
        </w:rPr>
      </w:pPr>
      <w:r>
        <w:rPr>
          <w:rFonts w:ascii="Arial" w:cs="Arial" w:eastAsia="Arial" w:hAnsi="Arial"/>
          <w:sz w:val="18"/>
          <w:szCs w:val="18"/>
          <w:color w:val="auto"/>
        </w:rPr>
        <w:t>The AMA maintains a subset of temporary (Category III) CPT codes used for new and emerging technologies. For example, TearCare was assigned a Category III CPT code effective beginning January 1, 2020. Coverage for Category III CPT codes is often limited. Medicare does not generally establish national payment rates for Category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jc w:val="both"/>
        <w:ind w:right="120" w:firstLine="8"/>
        <w:spacing w:after="0" w:line="329" w:lineRule="auto"/>
        <w:tabs>
          <w:tab w:leader="none" w:pos="225" w:val="left"/>
        </w:tabs>
        <w:numPr>
          <w:ilvl w:val="0"/>
          <w:numId w:val="12"/>
        </w:numPr>
        <w:rPr>
          <w:rFonts w:ascii="Arial" w:cs="Arial" w:eastAsia="Arial" w:hAnsi="Arial"/>
          <w:sz w:val="16"/>
          <w:szCs w:val="16"/>
          <w:color w:val="auto"/>
        </w:rPr>
      </w:pPr>
      <w:r>
        <w:rPr>
          <w:rFonts w:ascii="Arial" w:cs="Arial" w:eastAsia="Arial" w:hAnsi="Arial"/>
          <w:sz w:val="16"/>
          <w:szCs w:val="16"/>
          <w:color w:val="auto"/>
        </w:rPr>
        <w:t>CPT codes on the Medicare Physician Fee Schedule, or MPFS. As a result, individual Medicare contractors and private payors may establish their own payment rates for services described by Category III CPT codes, which payment rates may be variable across Medicare contractors and may be materially below the final reimbursement rates that we are currently targeting, or may determine not to reimburse services described by Category III CPT codes.</w:t>
      </w:r>
    </w:p>
    <w:p>
      <w:pPr>
        <w:spacing w:after="0" w:line="148" w:lineRule="exact"/>
        <w:rPr>
          <w:sz w:val="20"/>
          <w:szCs w:val="20"/>
          <w:color w:val="auto"/>
        </w:rPr>
      </w:pPr>
    </w:p>
    <w:p>
      <w:pPr>
        <w:ind w:right="100" w:firstLine="509"/>
        <w:spacing w:after="0" w:line="269" w:lineRule="auto"/>
        <w:rPr>
          <w:sz w:val="20"/>
          <w:szCs w:val="20"/>
          <w:color w:val="auto"/>
        </w:rPr>
      </w:pPr>
      <w:r>
        <w:rPr>
          <w:rFonts w:ascii="Arial" w:cs="Arial" w:eastAsia="Arial" w:hAnsi="Arial"/>
          <w:sz w:val="18"/>
          <w:szCs w:val="18"/>
          <w:color w:val="auto"/>
        </w:rPr>
        <w:t>Payors also continually review new and existing technologies for possible coverage and can deny or reverse coverage for new or existing products and procedures. There can be no assurance that third-party payor policies provide coverage, or will continue to provide coverage, for procedures in which OMNI is used. If coverage policies change such that Medicare no longer covers procedures in which our products are used, there would be a material adverse effect on our business, financial condition and results of operations. For example, Medicare Administrative Contractors could issue local coverage determinations that could restrict the patients eligible for treatment with our products or that are otherwise unfavorable to our business. If we are not successful in reversing any proposed non-coverage policies, or if third-party payors that currently cover or reimburse procedures in which our products are used reverse or limit their coverage in the future, or if other third-party payors issue similar policies, this could have a material adverse effect on our business.</w:t>
      </w:r>
    </w:p>
    <w:p>
      <w:pPr>
        <w:spacing w:after="0" w:line="196" w:lineRule="exact"/>
        <w:rPr>
          <w:sz w:val="20"/>
          <w:szCs w:val="20"/>
          <w:color w:val="auto"/>
        </w:rPr>
      </w:pPr>
    </w:p>
    <w:p>
      <w:pPr>
        <w:ind w:right="60" w:firstLine="509"/>
        <w:spacing w:after="0" w:line="270" w:lineRule="auto"/>
        <w:rPr>
          <w:sz w:val="20"/>
          <w:szCs w:val="20"/>
          <w:color w:val="auto"/>
        </w:rPr>
      </w:pPr>
      <w:r>
        <w:rPr>
          <w:rFonts w:ascii="Arial" w:cs="Arial" w:eastAsia="Arial" w:hAnsi="Arial"/>
          <w:sz w:val="18"/>
          <w:szCs w:val="18"/>
          <w:color w:val="auto"/>
        </w:rPr>
        <w:t>Further, we believe that future coverage and reimbursement may be subject to increased restrictions, such as additional prior authorization requirements, both in the United States and in international markets. Third-party coverage and reimbursement for procedures using our products or any of our products in development for which we may receive regulatory clearance, certification or approval may not be available or adequate in either the United States or international markets. Further, other devices or treatments that compete with our products may be more widely covered or subject to different co-pay policies and requirements, which could impact demand for our products. If hospital, surgical center, ECP and/or patient demand for our products is adversely affected by third-party reimbursement policies and decisions, it could have a material adverse effect on our business, financial condition and results of operations.</w:t>
      </w:r>
    </w:p>
    <w:p>
      <w:pPr>
        <w:spacing w:after="0" w:line="300" w:lineRule="exact"/>
        <w:rPr>
          <w:sz w:val="20"/>
          <w:szCs w:val="20"/>
          <w:color w:val="auto"/>
        </w:rPr>
      </w:pPr>
    </w:p>
    <w:p>
      <w:pPr>
        <w:spacing w:after="0" w:line="279" w:lineRule="auto"/>
        <w:rPr>
          <w:sz w:val="20"/>
          <w:szCs w:val="20"/>
          <w:color w:val="auto"/>
        </w:rPr>
      </w:pPr>
      <w:r>
        <w:rPr>
          <w:rFonts w:ascii="Arial" w:cs="Arial" w:eastAsia="Arial" w:hAnsi="Arial"/>
          <w:sz w:val="18"/>
          <w:szCs w:val="18"/>
          <w:b w:val="1"/>
          <w:bCs w:val="1"/>
          <w:i w:val="1"/>
          <w:iCs w:val="1"/>
          <w:color w:val="auto"/>
        </w:rPr>
        <w:t>The market for our products is highly competitive. Our competitors may have longer operating histories, more established products and greater resources than we do, and may be able to develop or market treatments that are safer, more effective or gain greater acceptance in the marketplace than our products.</w:t>
      </w:r>
    </w:p>
    <w:p>
      <w:pPr>
        <w:spacing w:after="0" w:line="75"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The medical device industry is highly competitive, subject to rapid change and significantly affected by the introduction of new products and technologies and the other activities of industry participants. We compete, or plan to compete, with medical device and pharmaceutical companies that develop and commercialize products for eye conditions, including Glaukos, Ivantis, AbbVie/Allergan, Novartis, Alcon, and Johnson &amp; Johnson. These companies, or other entrants into the market, may have or develop competing technologies, other products that are in or that enter clinical trials, new devices or additional indications for existing devices that could demonstrate better safety, effectiveness, clinical results, lower costs or greater ECP and market acceptance than our products.</w:t>
      </w:r>
    </w:p>
    <w:p>
      <w:pPr>
        <w:spacing w:after="0" w:line="191" w:lineRule="exact"/>
        <w:rPr>
          <w:sz w:val="20"/>
          <w:szCs w:val="20"/>
          <w:color w:val="auto"/>
        </w:rPr>
      </w:pPr>
    </w:p>
    <w:p>
      <w:pPr>
        <w:jc w:val="both"/>
        <w:ind w:right="480" w:firstLine="509"/>
        <w:spacing w:after="0" w:line="279" w:lineRule="auto"/>
        <w:rPr>
          <w:sz w:val="20"/>
          <w:szCs w:val="20"/>
          <w:color w:val="auto"/>
        </w:rPr>
      </w:pPr>
      <w:r>
        <w:rPr>
          <w:rFonts w:ascii="Arial" w:cs="Arial" w:eastAsia="Arial" w:hAnsi="Arial"/>
          <w:sz w:val="18"/>
          <w:szCs w:val="18"/>
          <w:color w:val="auto"/>
        </w:rPr>
        <w:t>We compete, or may compete in the future, against other companies which have longer, more established operating histories and significantly greater financial, technical, marketing, sales, distribution and other resources, which may prevent us from achieving significant market penetration or improved operating results. These companies may enjoy several competitive advantages, including:</w:t>
      </w:r>
    </w:p>
    <w:p>
      <w:pPr>
        <w:spacing w:after="0" w:line="210" w:lineRule="exact"/>
        <w:rPr>
          <w:sz w:val="20"/>
          <w:szCs w:val="20"/>
          <w:color w:val="auto"/>
        </w:rPr>
      </w:pPr>
    </w:p>
    <w:p>
      <w:pPr>
        <w:ind w:left="1040" w:right="60" w:hanging="452"/>
        <w:spacing w:after="0" w:line="279"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Established treatment patterns pursuant to which prescription medications, traditional glaucoma surgery or more conventional MIGS devices are generally first-line therapies for the treatment of POAG and eye drops or warm-compresses are first-line therapies for the treatment of MGD;</w:t>
      </w:r>
    </w:p>
    <w:p>
      <w:pPr>
        <w:spacing w:after="0" w:line="223" w:lineRule="exact"/>
        <w:rPr>
          <w:rFonts w:ascii="Arial" w:cs="Arial" w:eastAsia="Arial" w:hAnsi="Arial"/>
          <w:sz w:val="18"/>
          <w:szCs w:val="18"/>
          <w:color w:val="auto"/>
        </w:rPr>
      </w:pPr>
    </w:p>
    <w:p>
      <w:pPr>
        <w:ind w:left="1040" w:hanging="452"/>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Established relationships with ECPs who are familiar with their products and procedures for the treatment of POAG or MGD;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right="400" w:hanging="452"/>
        <w:spacing w:after="0" w:line="293"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Established relationships with key stakeholders, including hospital outpatient departments, ambulatory surgery centers, optometrists and ophthalmologists, general practitioners and administrators;</w:t>
      </w:r>
    </w:p>
    <w:p>
      <w:pPr>
        <w:spacing w:after="0" w:line="210" w:lineRule="exact"/>
        <w:rPr>
          <w:rFonts w:ascii="Arial" w:cs="Arial" w:eastAsia="Arial" w:hAnsi="Arial"/>
          <w:sz w:val="18"/>
          <w:szCs w:val="18"/>
          <w:color w:val="auto"/>
        </w:rPr>
      </w:pPr>
    </w:p>
    <w:p>
      <w:pPr>
        <w:ind w:left="1040" w:hanging="452"/>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financial and human capital resources;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3" w:name="page54"/>
    <w:bookmarkEnd w:id="53"/>
    <w:p>
      <w:pPr>
        <w:ind w:left="1040" w:right="160" w:hanging="452"/>
        <w:spacing w:after="0" w:line="293"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Additional lines of products, and the ability to offer rebates or bundle products to offer greater discounts or incentives to gain a competitive advantage; and</w:t>
      </w:r>
    </w:p>
    <w:p>
      <w:pPr>
        <w:spacing w:after="0" w:line="210" w:lineRule="exact"/>
        <w:rPr>
          <w:rFonts w:ascii="Arial" w:cs="Arial" w:eastAsia="Arial" w:hAnsi="Arial"/>
          <w:sz w:val="18"/>
          <w:szCs w:val="18"/>
          <w:color w:val="auto"/>
        </w:rPr>
      </w:pPr>
    </w:p>
    <w:p>
      <w:pPr>
        <w:ind w:left="1040" w:hanging="452"/>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Established sales, marketing and worldwide distribution networks.</w:t>
      </w:r>
    </w:p>
    <w:p>
      <w:pPr>
        <w:spacing w:after="0" w:line="200" w:lineRule="exact"/>
        <w:rPr>
          <w:sz w:val="20"/>
          <w:szCs w:val="20"/>
          <w:color w:val="auto"/>
        </w:rPr>
      </w:pPr>
    </w:p>
    <w:p>
      <w:pPr>
        <w:spacing w:after="0" w:line="282" w:lineRule="exact"/>
        <w:rPr>
          <w:sz w:val="20"/>
          <w:szCs w:val="20"/>
          <w:color w:val="auto"/>
        </w:rPr>
      </w:pPr>
    </w:p>
    <w:p>
      <w:pPr>
        <w:ind w:right="180" w:firstLine="509"/>
        <w:spacing w:after="0" w:line="292" w:lineRule="auto"/>
        <w:rPr>
          <w:sz w:val="20"/>
          <w:szCs w:val="20"/>
          <w:color w:val="auto"/>
        </w:rPr>
      </w:pPr>
      <w:r>
        <w:rPr>
          <w:rFonts w:ascii="Arial" w:cs="Arial" w:eastAsia="Arial" w:hAnsi="Arial"/>
          <w:sz w:val="17"/>
          <w:szCs w:val="17"/>
          <w:color w:val="auto"/>
        </w:rPr>
        <w:t>One of the major hurdles to adoption of our products will be overcoming established treatment patterns, which will require educating ECPs and supportive clinical data. However, because of the size of the market opportunity for devices used in procedures to address POAG and MGD, we believe current and potential future competitors will dedicate significant resources to aggressively promote their products or develop new products or treatments, such as Glaukos’ iStent infinite. Further, new treatment options may be developed that could compete more effectively with our products due to the prevalence of POAG and MGD, and the research and technological progress that exist within the market.</w:t>
      </w:r>
    </w:p>
    <w:p>
      <w:pPr>
        <w:spacing w:after="0" w:line="282"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b w:val="1"/>
          <w:bCs w:val="1"/>
          <w:i w:val="1"/>
          <w:iCs w:val="1"/>
          <w:color w:val="auto"/>
        </w:rPr>
        <w:t>We rely on third parties to manufacture and supply OMNI and TearCare, and we may encounter delays or incur additional costs when we add new manufacturers and suppliers for our products.</w:t>
      </w:r>
    </w:p>
    <w:p>
      <w:pPr>
        <w:spacing w:after="0" w:line="62" w:lineRule="exact"/>
        <w:rPr>
          <w:sz w:val="20"/>
          <w:szCs w:val="20"/>
          <w:color w:val="auto"/>
        </w:rPr>
      </w:pPr>
    </w:p>
    <w:p>
      <w:pPr>
        <w:ind w:right="40" w:firstLine="509"/>
        <w:spacing w:after="0" w:line="285" w:lineRule="auto"/>
        <w:rPr>
          <w:sz w:val="20"/>
          <w:szCs w:val="20"/>
          <w:color w:val="auto"/>
        </w:rPr>
      </w:pPr>
      <w:r>
        <w:rPr>
          <w:rFonts w:ascii="Arial" w:cs="Arial" w:eastAsia="Arial" w:hAnsi="Arial"/>
          <w:sz w:val="17"/>
          <w:szCs w:val="17"/>
          <w:color w:val="auto"/>
        </w:rPr>
        <w:t>Our business strategy depends on our ability to manufacture our current and future products in sufficient quantities and on a timely basis to meet customer demand, while adhering to product quality standards, complying with regulatory quality system requirements and managing manufacturing costs. We do not have any internal manufacturing capabilities or infrastructure. OMNI is currently being produced and assembled by Peter’s Technology (Suzhou) CO LTD., or Peter’s, a subsidiary of Peter’s Co., Ltd., a Taiwan-based manufacturer, and we also maintain OMNI product inventory manufactured by Second Source Medical, LLC (“Second Source”), our previous OMNI manufacturer, which will be used to fulfill customer orders until such inventory has been depleted. We intend to fully transition OMNI production to Peter’s and an additional high-volume contract manufacturer with domestic U.S. production facilities by the first quarter of 2022. The Peter’s Supply Agreement governs the assembly and supply of OMNI by Peter's, pursuant to which Peter’s purchases components from our approved suppliers for assembly and we make purchases on a purchase order basis. We may encounter delays or incur additional costs in connection with the transition to a new contract manufacturer with domestic U.S. and Chinese production facilities for OMNI production. For the production of TearCare, we currently have supply arrangements with separate Chinese and U.S. medical device manufacturers for the production of TearCare’s SmartLids and TearCare’s SmartHubs. These companies manufacture, assemble, inspect, test, package and ship OMNI and TearCare and related accessories.</w:t>
      </w:r>
    </w:p>
    <w:p>
      <w:pPr>
        <w:spacing w:after="0" w:line="185"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While our existing manufacturers have generally met our demand requirements on a timely basis in the past, their ability and willingness to continue to do so going forward may be limited for several reasons, including if any of our manufacturers’ facilities suffer damage or a force majeure event, our relative importance as a customer to each manufacturer or their inability to provide assembly services to manufacture our products, which may be affected by the COVID-19 pandemic. An interruption in our commercial operations could occur if we encounter delays or difficulties in securing these manufactured products if we cannot obtain an acceptable substitute.</w:t>
      </w:r>
    </w:p>
    <w:p>
      <w:pPr>
        <w:spacing w:after="0" w:line="191" w:lineRule="exact"/>
        <w:rPr>
          <w:sz w:val="20"/>
          <w:szCs w:val="20"/>
          <w:color w:val="auto"/>
        </w:rPr>
      </w:pPr>
    </w:p>
    <w:p>
      <w:pPr>
        <w:ind w:right="80" w:firstLine="509"/>
        <w:spacing w:after="0" w:line="269" w:lineRule="auto"/>
        <w:rPr>
          <w:sz w:val="20"/>
          <w:szCs w:val="20"/>
          <w:color w:val="auto"/>
        </w:rPr>
      </w:pPr>
      <w:r>
        <w:rPr>
          <w:rFonts w:ascii="Arial" w:cs="Arial" w:eastAsia="Arial" w:hAnsi="Arial"/>
          <w:sz w:val="18"/>
          <w:szCs w:val="18"/>
          <w:color w:val="auto"/>
        </w:rPr>
        <w:t>The process of identifying alternative manufacturing facilities for any other reason could be time-consuming and expensive, may result in interruptions in our operations and product delivery, and could affect the performance specifications of our products. If we are required to change any of our contract manufacturers, we will be required to verify that the new manufacturer maintains facilities, procedures and operations that comply with our quality and applicable regulatory requirements, which could further impede our ability to manufacture our products in a timely manner. We cannot assure you that we will be able to identify and engage alternative contract manufacturers on similar terms or without delay. Furthermore, our contract manufacturers could require us to move to a different production facility. The occurrence of any of these events could harm our ability to meet the demand for our products in a timely and cost-effective manner, which could have a material adverse effect on our business, financial condition and results of operations.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also subject to numerous other risks relating to our reliance on third parties, including:</w:t>
      </w:r>
    </w:p>
    <w:p>
      <w:pPr>
        <w:spacing w:after="0" w:line="266" w:lineRule="exact"/>
        <w:rPr>
          <w:sz w:val="20"/>
          <w:szCs w:val="20"/>
          <w:color w:val="auto"/>
        </w:rPr>
      </w:pPr>
    </w:p>
    <w:p>
      <w:pPr>
        <w:ind w:left="1040" w:right="20" w:hanging="452"/>
        <w:spacing w:after="0" w:line="293"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renew or extend contracts and arrangements with such third parties or renew any such contracts or arrangements on terms that are favorable to us;</w:t>
      </w:r>
    </w:p>
    <w:p>
      <w:pPr>
        <w:spacing w:after="0" w:line="210" w:lineRule="exact"/>
        <w:rPr>
          <w:rFonts w:ascii="Arial" w:cs="Arial" w:eastAsia="Arial" w:hAnsi="Arial"/>
          <w:sz w:val="18"/>
          <w:szCs w:val="18"/>
          <w:color w:val="auto"/>
        </w:rPr>
      </w:pPr>
    </w:p>
    <w:p>
      <w:pPr>
        <w:ind w:left="1040" w:hanging="452"/>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Interruption of supply resulting from modifications to, or discontinuation of, a third-party’s operations;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54" w:name="page55"/>
    <w:bookmarkEnd w:id="54"/>
    <w:p>
      <w:pPr>
        <w:ind w:left="1040" w:right="280" w:hanging="452"/>
        <w:spacing w:after="0" w:line="324"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Delays in shipments resulting from uncorrected defects, reliability issues or a third-party’s failure to manufacture and supply components, accessories, materials, and assembly that consistently meet our agreed specifications and quality requirements;</w:t>
      </w:r>
    </w:p>
    <w:p>
      <w:pPr>
        <w:spacing w:after="0" w:line="187" w:lineRule="exact"/>
        <w:rPr>
          <w:rFonts w:ascii="Arial" w:cs="Arial" w:eastAsia="Arial" w:hAnsi="Arial"/>
          <w:sz w:val="17"/>
          <w:szCs w:val="17"/>
          <w:color w:val="auto"/>
        </w:rPr>
      </w:pPr>
    </w:p>
    <w:p>
      <w:pPr>
        <w:ind w:left="1040" w:hanging="452"/>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obtain adequate supply or services in a timely manner or on commercially reasonable terms;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right="720" w:hanging="452"/>
        <w:spacing w:after="0" w:line="293"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identifying and qualifying, and obtaining new regulatory approvals, for alternative suppliers for our products and product components in a timely manner;</w:t>
      </w:r>
    </w:p>
    <w:p>
      <w:pPr>
        <w:spacing w:after="0" w:line="210" w:lineRule="exact"/>
        <w:rPr>
          <w:rFonts w:ascii="Arial" w:cs="Arial" w:eastAsia="Arial" w:hAnsi="Arial"/>
          <w:sz w:val="18"/>
          <w:szCs w:val="18"/>
          <w:color w:val="auto"/>
        </w:rPr>
      </w:pPr>
    </w:p>
    <w:p>
      <w:pPr>
        <w:ind w:left="1040" w:right="580" w:hanging="452"/>
        <w:spacing w:after="0" w:line="293"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design or modify production processes to enable us to produce future products efficiently or implement changes in current products in response to design or regulatory requirements;</w:t>
      </w:r>
    </w:p>
    <w:p>
      <w:pPr>
        <w:spacing w:after="0" w:line="210" w:lineRule="exact"/>
        <w:rPr>
          <w:rFonts w:ascii="Arial" w:cs="Arial" w:eastAsia="Arial" w:hAnsi="Arial"/>
          <w:sz w:val="18"/>
          <w:szCs w:val="18"/>
          <w:color w:val="auto"/>
        </w:rPr>
      </w:pPr>
    </w:p>
    <w:p>
      <w:pPr>
        <w:ind w:left="1040" w:right="440" w:hanging="452"/>
        <w:spacing w:after="0" w:line="293"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comply with applicable provisions of the FDA’s Quality System Regulation, or QSR, or other applicable laws or regulations enforced by the FDA, state and foreign regulatory authorities;</w:t>
      </w:r>
    </w:p>
    <w:p>
      <w:pPr>
        <w:spacing w:after="0" w:line="210" w:lineRule="exact"/>
        <w:rPr>
          <w:rFonts w:ascii="Arial" w:cs="Arial" w:eastAsia="Arial" w:hAnsi="Arial"/>
          <w:sz w:val="18"/>
          <w:szCs w:val="18"/>
          <w:color w:val="auto"/>
        </w:rPr>
      </w:pPr>
    </w:p>
    <w:p>
      <w:pPr>
        <w:ind w:left="1040" w:hanging="452"/>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ensure the quality of products and components manufactured by third parties;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timely increase production capacity or volumes to meet demand;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right="740" w:hanging="452"/>
        <w:spacing w:after="0" w:line="293"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Production delays related to the evaluation and testing of products and components from alternative third parties and corresponding regulatory qualifications;</w:t>
      </w:r>
    </w:p>
    <w:p>
      <w:pPr>
        <w:spacing w:after="0" w:line="210" w:lineRule="exact"/>
        <w:rPr>
          <w:rFonts w:ascii="Arial" w:cs="Arial" w:eastAsia="Arial" w:hAnsi="Arial"/>
          <w:sz w:val="18"/>
          <w:szCs w:val="18"/>
          <w:color w:val="auto"/>
        </w:rPr>
      </w:pPr>
    </w:p>
    <w:p>
      <w:pPr>
        <w:ind w:left="1040" w:hanging="452"/>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outbreak of disease or similar public health threat, such as the COVID-19 pandemic, particularly as it may impact our supply chain;</w:t>
      </w:r>
    </w:p>
    <w:p>
      <w:pPr>
        <w:spacing w:after="0" w:line="200" w:lineRule="exact"/>
        <w:rPr>
          <w:rFonts w:ascii="Arial" w:cs="Arial" w:eastAsia="Arial" w:hAnsi="Arial"/>
          <w:sz w:val="17"/>
          <w:szCs w:val="17"/>
          <w:color w:val="auto"/>
        </w:rPr>
      </w:pPr>
    </w:p>
    <w:p>
      <w:pPr>
        <w:spacing w:after="0" w:line="320" w:lineRule="exact"/>
        <w:rPr>
          <w:rFonts w:ascii="Arial" w:cs="Arial" w:eastAsia="Arial" w:hAnsi="Arial"/>
          <w:sz w:val="17"/>
          <w:szCs w:val="17"/>
          <w:color w:val="auto"/>
        </w:rPr>
      </w:pPr>
    </w:p>
    <w:p>
      <w:pPr>
        <w:ind w:left="1040" w:hanging="452"/>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 lead time for the production of certain components of our products;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fluctuations due to a lack of long-term supply arrangements with certain of our suppliers;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 of delays or interruption stemming from trade wars; and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delays in delivery by our suppliers.</w:t>
      </w:r>
    </w:p>
    <w:p>
      <w:pPr>
        <w:spacing w:after="0" w:line="200" w:lineRule="exact"/>
        <w:rPr>
          <w:sz w:val="20"/>
          <w:szCs w:val="20"/>
          <w:color w:val="auto"/>
        </w:rPr>
      </w:pPr>
    </w:p>
    <w:p>
      <w:pPr>
        <w:spacing w:after="0" w:line="282"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These risks are likely to be exacerbated by our limited experience with our current products and manufacturing processes. As demand for our products increases, we will have to invest additional resources to manage the manufacturing process. If we fail to secure increased production capacity efficiently, we may not be able to fill customer orders on a timely basis, our sales may not increase in line with our expectations and our operating margins could fluctuate or decline. In addition, although some future products may share product features, components, sub-assemblies and materials with our existing products, the manufacture of these products may require modification of the current production processes or unique production processes, the identification of new suppliers for specific components, sub-assemblies and materials or the development of new manufacturing technologies. It may not be possible for our current third-party manufacturers to produce these products at a cost or in quantities sufficient to make these products commercially viable or to maintain current operating margins, all of which could have a material adverse effect on our business, financial condition and 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single source suppliers.</w:t>
      </w:r>
    </w:p>
    <w:p>
      <w:pPr>
        <w:spacing w:after="0" w:line="131" w:lineRule="exact"/>
        <w:rPr>
          <w:sz w:val="20"/>
          <w:szCs w:val="20"/>
          <w:color w:val="auto"/>
        </w:rPr>
      </w:pPr>
    </w:p>
    <w:p>
      <w:pPr>
        <w:ind w:right="80" w:firstLine="509"/>
        <w:spacing w:after="0" w:line="309" w:lineRule="auto"/>
        <w:rPr>
          <w:sz w:val="20"/>
          <w:szCs w:val="20"/>
          <w:color w:val="auto"/>
        </w:rPr>
      </w:pPr>
      <w:r>
        <w:rPr>
          <w:rFonts w:ascii="Arial" w:cs="Arial" w:eastAsia="Arial" w:hAnsi="Arial"/>
          <w:sz w:val="16"/>
          <w:szCs w:val="16"/>
          <w:color w:val="auto"/>
        </w:rPr>
        <w:t>We rely on a limited number of third-party manufacturers, many of which are single source suppliers, for a portion of the components, accessories, materials and assembly that we utilize in our products. These items are critical and, for certain items, there are relatively few or no readily available alternative sources of supply. These single source suppliers may be unwilling or unable to supply these items reliably and at the levels we anticipate or that are required by the market. Additionally, although we require our suppliers and providers to supply us with components and services that meet our specifications and other applicable legal and regulatory requirements in our agreements and contracts, and appropriate inspections, testing or other acceptance activities are performed to ensure the components meet our requirements, there is a risk that these third parties will not always act consistent with our best interests, and may not always supply components or provide services that meet our requirements or in a timely manner.</w:t>
      </w:r>
    </w:p>
    <w:p>
      <w:pPr>
        <w:spacing w:after="0" w:line="164" w:lineRule="exact"/>
        <w:rPr>
          <w:sz w:val="20"/>
          <w:szCs w:val="20"/>
          <w:color w:val="auto"/>
        </w:rPr>
      </w:pPr>
    </w:p>
    <w:p>
      <w:pPr>
        <w:ind w:right="140" w:firstLine="509"/>
        <w:spacing w:after="0" w:line="293" w:lineRule="auto"/>
        <w:rPr>
          <w:sz w:val="20"/>
          <w:szCs w:val="20"/>
          <w:color w:val="auto"/>
        </w:rPr>
      </w:pPr>
      <w:r>
        <w:rPr>
          <w:rFonts w:ascii="Arial" w:cs="Arial" w:eastAsia="Arial" w:hAnsi="Arial"/>
          <w:sz w:val="18"/>
          <w:szCs w:val="18"/>
          <w:color w:val="auto"/>
        </w:rPr>
        <w:t>While our suppliers have generally met our demand requirements on a timely basis in the past, we cannot guarantee that suppliers will in the future be able to meet our demand, either because of acts of nature, global</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5" w:name="page56"/>
    <w:bookmarkEnd w:id="55"/>
    <w:p>
      <w:pPr>
        <w:ind w:right="60"/>
        <w:spacing w:after="0" w:line="314" w:lineRule="auto"/>
        <w:rPr>
          <w:sz w:val="20"/>
          <w:szCs w:val="20"/>
          <w:color w:val="auto"/>
        </w:rPr>
      </w:pPr>
      <w:r>
        <w:rPr>
          <w:rFonts w:ascii="Arial" w:cs="Arial" w:eastAsia="Arial" w:hAnsi="Arial"/>
          <w:sz w:val="16"/>
          <w:szCs w:val="16"/>
          <w:color w:val="auto"/>
        </w:rPr>
        <w:t>pandemics, such as the COVID-19 pandemic, the nature of our agreements with those suppliers or our relative importance to them as a customer, and our suppliers may decide in the future to discontinue or reduce the level of business they conduct with us. We may also fail to obtain additional suppliers for any of the components used in our products. If we are unable to meet our demand requirements on a timely basis, we may not have a sufficient number of our products available for delivery to support ECPs that utilize our products as part of their treatment. Any shortfall in the supply of products may result in lower adoption and usage rates of our products and have a material adverse effect on our business, financial condition and results of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of third parties to meet their contractual, regulatory, and other obligations could adversely affect our business.</w:t>
      </w:r>
    </w:p>
    <w:p>
      <w:pPr>
        <w:spacing w:after="0" w:line="131" w:lineRule="exact"/>
        <w:rPr>
          <w:sz w:val="20"/>
          <w:szCs w:val="20"/>
          <w:color w:val="auto"/>
        </w:rPr>
      </w:pPr>
    </w:p>
    <w:p>
      <w:pPr>
        <w:ind w:firstLine="509"/>
        <w:spacing w:after="0" w:line="315" w:lineRule="auto"/>
        <w:rPr>
          <w:sz w:val="20"/>
          <w:szCs w:val="20"/>
          <w:color w:val="auto"/>
        </w:rPr>
      </w:pPr>
      <w:r>
        <w:rPr>
          <w:rFonts w:ascii="Arial" w:cs="Arial" w:eastAsia="Arial" w:hAnsi="Arial"/>
          <w:sz w:val="16"/>
          <w:szCs w:val="16"/>
          <w:color w:val="auto"/>
        </w:rPr>
        <w:t>We rely on suppliers, vendors, outsourcing partners, consultants, alliance partners and other third parties to help research, develop, manufacture, commercialize and distribute our products and manage certain parts of our business.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risk, infrastructure problems and natural disasters, in addition to country-specific privacy and data security risk given current legal and regulatory environments. Failure of third parties to meet their contractual, regulatory, and other obligations may materially adversely affect our business.</w:t>
      </w:r>
    </w:p>
    <w:p>
      <w:pPr>
        <w:spacing w:after="0" w:line="269"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b w:val="1"/>
          <w:bCs w:val="1"/>
          <w:i w:val="1"/>
          <w:iCs w:val="1"/>
          <w:color w:val="auto"/>
        </w:rPr>
        <w:t>The failure of OMNI or TearCare to meet patient expectations or the occurrence of adverse events from use of OMNI or TearCare could limit their adoption and impair our financial performance.</w:t>
      </w:r>
    </w:p>
    <w:p>
      <w:pPr>
        <w:spacing w:after="0" w:line="62"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Our future success depends in part upon patients having an experience with our products that meets their expectations in order to increase ECPs’ demand for our products as a result of positive feedback, social media and word-of-mouth. Patients may be dissatisfied if their expectations of the procedures performed by ECPs using our products, among other things, are not met. Despite what we believe to be the strong safety profile of our products for their intended uses, patients may experience adverse events following canaloplasty or trabeculotomy with OMNI, including, but not limited to, hyphema, mild anterior chamber inflammation and spikes in intraocular pressure. Similarly, patients may experience adverse events following application of localized heat with TearCare, including discomfort, pain or erythema of the eyelids.</w:t>
      </w:r>
    </w:p>
    <w:p>
      <w:pPr>
        <w:spacing w:after="0" w:line="176" w:lineRule="exact"/>
        <w:rPr>
          <w:sz w:val="20"/>
          <w:szCs w:val="20"/>
          <w:color w:val="auto"/>
        </w:rPr>
      </w:pPr>
    </w:p>
    <w:p>
      <w:pPr>
        <w:ind w:right="340" w:firstLine="509"/>
        <w:spacing w:after="0" w:line="275" w:lineRule="auto"/>
        <w:rPr>
          <w:sz w:val="20"/>
          <w:szCs w:val="20"/>
          <w:color w:val="auto"/>
        </w:rPr>
      </w:pPr>
      <w:r>
        <w:rPr>
          <w:rFonts w:ascii="Arial" w:cs="Arial" w:eastAsia="Arial" w:hAnsi="Arial"/>
          <w:sz w:val="18"/>
          <w:szCs w:val="18"/>
          <w:color w:val="auto"/>
        </w:rPr>
        <w:t>If experiences with OMNI or TearCare do not meet the expectations of patients, or if patients experience adverse events, it could discourage the patient and treating physician from referring our products to others. Dissatisfied patients may express negative opinions through social media or other public forums. Any failure to meet patient expectations and any resulting negative publicity could harm our reputation and future sales and therefore adversely affect our business, financial condition and results of operations.</w:t>
      </w:r>
    </w:p>
    <w:p>
      <w:pPr>
        <w:spacing w:after="0" w:line="293"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b w:val="1"/>
          <w:bCs w:val="1"/>
          <w:i w:val="1"/>
          <w:iCs w:val="1"/>
          <w:color w:val="auto"/>
        </w:rPr>
        <w:t>Our results of operations could be materially harmed if we are unable to accurately forecast customer demand for our products and manage our inventory.</w:t>
      </w:r>
    </w:p>
    <w:p>
      <w:pPr>
        <w:spacing w:after="0" w:line="62" w:lineRule="exact"/>
        <w:rPr>
          <w:sz w:val="20"/>
          <w:szCs w:val="20"/>
          <w:color w:val="auto"/>
        </w:rPr>
      </w:pPr>
    </w:p>
    <w:p>
      <w:pPr>
        <w:ind w:right="40" w:firstLine="509"/>
        <w:spacing w:after="0" w:line="309" w:lineRule="auto"/>
        <w:rPr>
          <w:sz w:val="20"/>
          <w:szCs w:val="20"/>
          <w:color w:val="auto"/>
        </w:rPr>
      </w:pPr>
      <w:r>
        <w:rPr>
          <w:rFonts w:ascii="Arial" w:cs="Arial" w:eastAsia="Arial" w:hAnsi="Arial"/>
          <w:sz w:val="16"/>
          <w:szCs w:val="16"/>
          <w:color w:val="auto"/>
        </w:rPr>
        <w:t>We seek to maintain sufficient levels of inventory in order to protect ourselves from supply interruptions, but keep limited components, sub-assemblies, materials and finished products on hand. To ensure adequate inventory supply and manage our operations with our third-party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product introductions by competitors, an increase or decrease in customer demand for our products, our failure to accurately forecast customer acceptance and adoption of new products, unanticipated changes in general market conditions or regulatory matters and weakening of economic conditions or consumer confidence in future economic conditions.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56" w:name="page57"/>
    <w:bookmarkEnd w:id="56"/>
    <w:p>
      <w:pPr>
        <w:ind w:right="80" w:firstLine="509"/>
        <w:spacing w:after="0" w:line="287" w:lineRule="auto"/>
        <w:rPr>
          <w:sz w:val="20"/>
          <w:szCs w:val="20"/>
          <w:color w:val="auto"/>
        </w:rPr>
      </w:pPr>
      <w:r>
        <w:rPr>
          <w:rFonts w:ascii="Arial" w:cs="Arial" w:eastAsia="Arial" w:hAnsi="Arial"/>
          <w:sz w:val="17"/>
          <w:szCs w:val="17"/>
          <w:color w:val="auto"/>
        </w:rPr>
        <w:t>Inventory levels in excess of customer demand may result in a portion of our inventory becoming obsolete or expiring, as well as inventory write-downs or write-offs, which would negatively impact our gross margins and impair the strength of our brand. Conversely, if we underestimate customer demand for our products or our own requirements for components, sub-assemblies and materials, our third-party suppliers may not be able to deliver components, sub-assemblies and materials to meet our requirements,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or additional manufacturing capacity may not be available when required on terms that are acceptable to us, or at all, and our third-party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and annual results may fluctuate significantly and may not fully reflect the underlying performance of our business.</w:t>
      </w:r>
    </w:p>
    <w:p>
      <w:pPr>
        <w:spacing w:after="0" w:line="131"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Our quarterly and annual results of operations, including our revenue, may vary significantly in the future, and period-to-period comparisons of our operating results may not be meaningful. Accordingly, the results of any one quarter or period should not be relied upon as an indication of future performance or of the results for the year in which such quarter or period occurs. Our quarterly and annual financial results may fluctuate as a result of a variety of factors, many of which are outside our control and, as a result, may not fully reflect the underlying performance of our business. Fluctuations in quarterly and annual results may decrease the value of our common stock or result in volatility of our common stock. Because our quarterly results may fluctuate, period-to-period comparisons may not be the best indication of the underlying results of our business and should only be relied upon as one factor in determining how our business is performing. These fluctuations may occur due to a variety of factors, many of which are outside of our control, including, but not limited to:</w:t>
      </w:r>
    </w:p>
    <w:p>
      <w:pPr>
        <w:spacing w:after="0" w:line="223" w:lineRule="exact"/>
        <w:rPr>
          <w:sz w:val="20"/>
          <w:szCs w:val="20"/>
          <w:color w:val="auto"/>
        </w:rPr>
      </w:pPr>
    </w:p>
    <w:p>
      <w:pPr>
        <w:ind w:left="1040" w:hanging="452"/>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demand for our products which may vary significantly;</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Results of clinical trials or investigations involving the use of our products;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decisions or announcements, including product recalls;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Data and results relating to our products that are presented in journal publications;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products and technologies;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and marketing efforts and expenses;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pressures;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rate at which we grow our sales force and the speed at which newly hired salespeople become effective;</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productivity of our sales force;</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expand the geographic reach of our sales force;</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right="220" w:hanging="452"/>
        <w:spacing w:after="0" w:line="293"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degree of competition in our industry and any change in the competitive landscape of our industry, including consolidation among our competitors or future partners;</w:t>
      </w:r>
    </w:p>
    <w:p>
      <w:pPr>
        <w:spacing w:after="0" w:line="210" w:lineRule="exact"/>
        <w:rPr>
          <w:rFonts w:ascii="Arial" w:cs="Arial" w:eastAsia="Arial" w:hAnsi="Arial"/>
          <w:sz w:val="18"/>
          <w:szCs w:val="18"/>
          <w:color w:val="auto"/>
        </w:rPr>
      </w:pPr>
    </w:p>
    <w:p>
      <w:pPr>
        <w:ind w:left="1040" w:right="400" w:hanging="452"/>
        <w:spacing w:after="0" w:line="293"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coverage and reimbursement policies with respect to the procedures in which our products and our competitors' products are used, and potential future products that compete with our products;</w:t>
      </w:r>
    </w:p>
    <w:p>
      <w:pPr>
        <w:spacing w:after="0" w:line="210" w:lineRule="exact"/>
        <w:rPr>
          <w:rFonts w:ascii="Arial" w:cs="Arial" w:eastAsia="Arial" w:hAnsi="Arial"/>
          <w:sz w:val="18"/>
          <w:szCs w:val="18"/>
          <w:color w:val="auto"/>
        </w:rPr>
      </w:pPr>
    </w:p>
    <w:p>
      <w:pPr>
        <w:ind w:left="1040" w:hanging="452"/>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Positive or negative coverage in the media or clinical publications of our products or products of our competitors or our industry;</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right="300" w:hanging="452"/>
        <w:spacing w:after="0" w:line="324"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timing of customer orders or medical procedures using our products and the number of available selling days in any quarterly period, which can be impacted by holidays, the mix of products sold and the geographic mix of where products are sold;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443" w:gutter="0" w:footer="0" w:header="0"/>
        </w:sectPr>
      </w:pPr>
    </w:p>
    <w:bookmarkStart w:id="57" w:name="page58"/>
    <w:bookmarkEnd w:id="57"/>
    <w:p>
      <w:pPr>
        <w:jc w:val="both"/>
        <w:ind w:left="1040" w:right="580" w:hanging="452"/>
        <w:spacing w:after="0" w:line="359"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timing and cost of, and level of investment in, research, development, licenses, regulatory approval, commercialization activities, acquisitions and other strategic transactions, or other significant events relating to our products, which may change from time to time;</w:t>
      </w:r>
    </w:p>
    <w:p>
      <w:pPr>
        <w:spacing w:after="0" w:line="165" w:lineRule="exact"/>
        <w:rPr>
          <w:rFonts w:ascii="Arial" w:cs="Arial" w:eastAsia="Arial" w:hAnsi="Arial"/>
          <w:sz w:val="16"/>
          <w:szCs w:val="16"/>
          <w:color w:val="auto"/>
        </w:rPr>
      </w:pPr>
    </w:p>
    <w:p>
      <w:pPr>
        <w:ind w:left="1040" w:right="440" w:hanging="452"/>
        <w:spacing w:after="0" w:line="293"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manufacturing our products, which may vary depending on the quantity of production and the terms of our agreements with third-party suppliers; and</w:t>
      </w:r>
    </w:p>
    <w:p>
      <w:pPr>
        <w:spacing w:after="0" w:line="210" w:lineRule="exact"/>
        <w:rPr>
          <w:rFonts w:ascii="Arial" w:cs="Arial" w:eastAsia="Arial" w:hAnsi="Arial"/>
          <w:sz w:val="18"/>
          <w:szCs w:val="18"/>
          <w:color w:val="auto"/>
        </w:rPr>
      </w:pPr>
    </w:p>
    <w:p>
      <w:pPr>
        <w:ind w:left="1040" w:hanging="452"/>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00" w:lineRule="exact"/>
        <w:rPr>
          <w:sz w:val="20"/>
          <w:szCs w:val="20"/>
          <w:color w:val="auto"/>
        </w:rPr>
      </w:pPr>
    </w:p>
    <w:p>
      <w:pPr>
        <w:spacing w:after="0" w:line="390" w:lineRule="exact"/>
        <w:rPr>
          <w:sz w:val="20"/>
          <w:szCs w:val="20"/>
          <w:color w:val="auto"/>
        </w:rPr>
      </w:pPr>
    </w:p>
    <w:p>
      <w:pPr>
        <w:ind w:right="80"/>
        <w:spacing w:after="0" w:line="324" w:lineRule="auto"/>
        <w:rPr>
          <w:sz w:val="20"/>
          <w:szCs w:val="20"/>
          <w:color w:val="auto"/>
        </w:rPr>
      </w:pPr>
      <w:r>
        <w:rPr>
          <w:rFonts w:ascii="Arial" w:cs="Arial" w:eastAsia="Arial" w:hAnsi="Arial"/>
          <w:sz w:val="17"/>
          <w:szCs w:val="17"/>
          <w:b w:val="1"/>
          <w:bCs w:val="1"/>
          <w:i w:val="1"/>
          <w:iCs w:val="1"/>
          <w:color w:val="auto"/>
        </w:rPr>
        <w:t>Our long-term growth depends on our ability to enhance our products, expand our indications and develop and commercialize additional products in a timely manner. If we fail to identify, acquire and develop other products, we may be unable to grow our business.</w:t>
      </w:r>
    </w:p>
    <w:p>
      <w:pPr>
        <w:spacing w:after="0" w:line="39" w:lineRule="exact"/>
        <w:rPr>
          <w:sz w:val="20"/>
          <w:szCs w:val="20"/>
          <w:color w:val="auto"/>
        </w:rPr>
      </w:pPr>
    </w:p>
    <w:p>
      <w:pPr>
        <w:ind w:right="60" w:firstLine="509"/>
        <w:spacing w:after="0" w:line="290" w:lineRule="auto"/>
        <w:rPr>
          <w:sz w:val="20"/>
          <w:szCs w:val="20"/>
          <w:color w:val="auto"/>
        </w:rPr>
      </w:pPr>
      <w:r>
        <w:rPr>
          <w:rFonts w:ascii="Arial" w:cs="Arial" w:eastAsia="Arial" w:hAnsi="Arial"/>
          <w:sz w:val="17"/>
          <w:szCs w:val="17"/>
          <w:color w:val="auto"/>
        </w:rPr>
        <w:t>The markets for our products are highly competitive, dynamic, and marked by rapid and substantial technological development and product innovation. New entrants or existing competitors could attempt to develop products that compete directly with ours. Demand for our products and future related products could be diminished by equivalent or superior products and technologies offered by competitors. If we are unable to innovate successfully, our products could become obsolete and our revenue would decline as our customers purchase our competitors’ products. Developing and improving products is expensive and time-consuming and could divert management’s attention away from our existing products. The success of any new product offering or product enhancements to our solutions will depend on several factors, including our ability to:</w:t>
      </w:r>
    </w:p>
    <w:p>
      <w:pPr>
        <w:spacing w:after="0" w:line="203" w:lineRule="exact"/>
        <w:rPr>
          <w:sz w:val="20"/>
          <w:szCs w:val="20"/>
          <w:color w:val="auto"/>
        </w:rPr>
      </w:pPr>
    </w:p>
    <w:p>
      <w:pPr>
        <w:ind w:left="1040" w:hanging="452"/>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strong relationships with ECPs;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Assemble sufficient resources to acquire or discover additional products;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Properly identify and anticipate physician and patient needs;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and introduce new products and product enhancements in a timely manner;</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Avoid infringing upon, misappropriating or otherwise violating the intellectual property rights of third parties;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Demonstrate, if required, the safety and efficacy of new products with data from preclinical studies and clinical trials or investigations;</w:t>
      </w:r>
    </w:p>
    <w:p>
      <w:pPr>
        <w:spacing w:after="0" w:line="200" w:lineRule="exact"/>
        <w:rPr>
          <w:rFonts w:ascii="Arial" w:cs="Arial" w:eastAsia="Arial" w:hAnsi="Arial"/>
          <w:sz w:val="17"/>
          <w:szCs w:val="17"/>
          <w:color w:val="auto"/>
        </w:rPr>
      </w:pPr>
    </w:p>
    <w:p>
      <w:pPr>
        <w:spacing w:after="0" w:line="320" w:lineRule="exact"/>
        <w:rPr>
          <w:rFonts w:ascii="Arial" w:cs="Arial" w:eastAsia="Arial" w:hAnsi="Arial"/>
          <w:sz w:val="17"/>
          <w:szCs w:val="17"/>
          <w:color w:val="auto"/>
        </w:rPr>
      </w:pPr>
    </w:p>
    <w:p>
      <w:pPr>
        <w:ind w:left="1040" w:hanging="452"/>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Obtain the necessary regulatory clearances, certifications or approvals for expanded indications, new products or product modifications;</w:t>
      </w:r>
    </w:p>
    <w:p>
      <w:pPr>
        <w:spacing w:after="0" w:line="200" w:lineRule="exact"/>
        <w:rPr>
          <w:rFonts w:ascii="Arial" w:cs="Arial" w:eastAsia="Arial" w:hAnsi="Arial"/>
          <w:sz w:val="17"/>
          <w:szCs w:val="17"/>
          <w:color w:val="auto"/>
        </w:rPr>
      </w:pPr>
    </w:p>
    <w:p>
      <w:pPr>
        <w:spacing w:after="0" w:line="320" w:lineRule="exact"/>
        <w:rPr>
          <w:rFonts w:ascii="Arial" w:cs="Arial" w:eastAsia="Arial" w:hAnsi="Arial"/>
          <w:sz w:val="17"/>
          <w:szCs w:val="17"/>
          <w:color w:val="auto"/>
        </w:rPr>
      </w:pPr>
    </w:p>
    <w:p>
      <w:pPr>
        <w:ind w:left="1040" w:right="620" w:hanging="452"/>
        <w:spacing w:after="0" w:line="293"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Comply with the requirements of FDA and similar foreign regulatory authorities regarding the marketing of new devices or modified products;</w:t>
      </w:r>
    </w:p>
    <w:p>
      <w:pPr>
        <w:spacing w:after="0" w:line="210" w:lineRule="exact"/>
        <w:rPr>
          <w:rFonts w:ascii="Arial" w:cs="Arial" w:eastAsia="Arial" w:hAnsi="Arial"/>
          <w:sz w:val="18"/>
          <w:szCs w:val="18"/>
          <w:color w:val="auto"/>
        </w:rPr>
      </w:pPr>
    </w:p>
    <w:p>
      <w:pPr>
        <w:ind w:left="1040" w:hanging="452"/>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Produce new products in commercial quantities at an acceptable cost;</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adequate training to potential users of our products;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Receive adequate coding, coverage and reimbursement for procedures performed with our products; and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an effective and dedicated sales and marketing team.</w:t>
      </w:r>
    </w:p>
    <w:p>
      <w:pPr>
        <w:spacing w:after="0" w:line="200" w:lineRule="exact"/>
        <w:rPr>
          <w:sz w:val="20"/>
          <w:szCs w:val="20"/>
          <w:color w:val="auto"/>
        </w:rPr>
      </w:pPr>
    </w:p>
    <w:p>
      <w:pPr>
        <w:spacing w:after="0" w:line="28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If we are unable to develop or improve products, applications or features due to constraints, such as insufficient cash resources, high employee turnover, inability to hire personnel with sufficient technical skills or a lack of other research and development resources, we may not be able to maintain our competitive position compared to other companies. Furthermore, many of our competitors devote a considerably greater amount of funds to their research and development programs than we do, and those that do not may be acquired by larger companies that could allocate greater resources to research and development programs. Our failure or inability to devote adequate research and development resources or compete effectively with the research and development programs of our competitors could harm our business.</w:t>
      </w:r>
    </w:p>
    <w:p>
      <w:pPr>
        <w:spacing w:after="0" w:line="191" w:lineRule="exact"/>
        <w:rPr>
          <w:sz w:val="20"/>
          <w:szCs w:val="20"/>
          <w:color w:val="auto"/>
        </w:rPr>
      </w:pPr>
    </w:p>
    <w:p>
      <w:pPr>
        <w:ind w:right="360" w:firstLine="509"/>
        <w:spacing w:after="0" w:line="293" w:lineRule="auto"/>
        <w:rPr>
          <w:sz w:val="20"/>
          <w:szCs w:val="20"/>
          <w:color w:val="auto"/>
        </w:rPr>
      </w:pPr>
      <w:r>
        <w:rPr>
          <w:rFonts w:ascii="Arial" w:cs="Arial" w:eastAsia="Arial" w:hAnsi="Arial"/>
          <w:sz w:val="18"/>
          <w:szCs w:val="18"/>
          <w:color w:val="auto"/>
        </w:rPr>
        <w:t>In addition, we may choose to focus our efforts and resources on potential products or indications that ultimately prove to be unsuccessful, or to license or purchase a marketed product that does not meet our financial</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430" w:gutter="0" w:footer="0" w:header="0"/>
        </w:sectPr>
      </w:pPr>
    </w:p>
    <w:bookmarkStart w:id="58" w:name="page59"/>
    <w:bookmarkEnd w:id="58"/>
    <w:p>
      <w:pPr>
        <w:ind w:right="80"/>
        <w:spacing w:after="0" w:line="319" w:lineRule="auto"/>
        <w:rPr>
          <w:sz w:val="20"/>
          <w:szCs w:val="20"/>
          <w:color w:val="auto"/>
        </w:rPr>
      </w:pPr>
      <w:r>
        <w:rPr>
          <w:rFonts w:ascii="Arial" w:cs="Arial" w:eastAsia="Arial" w:hAnsi="Arial"/>
          <w:sz w:val="16"/>
          <w:szCs w:val="16"/>
          <w:color w:val="auto"/>
        </w:rPr>
        <w:t>expectations. As a result, we may fail to capitalize on viable commercial products or profitable market opportunities, be required to forego or delay pursuit of opportunities with other potential products or other diseases that may later prove to have greater commercial potential, or relinquish valuable rights to such potential products through collaboration, licensing or other royalty arrangements in cases in which it would have been advantageous for us to retain sole development and commercialization rights, which could adversely impact our business, financial condition and results of operations.</w:t>
      </w:r>
    </w:p>
    <w:p>
      <w:pPr>
        <w:spacing w:after="0" w:line="291" w:lineRule="exact"/>
        <w:rPr>
          <w:sz w:val="20"/>
          <w:szCs w:val="20"/>
          <w:color w:val="auto"/>
        </w:rPr>
      </w:pPr>
    </w:p>
    <w:p>
      <w:pPr>
        <w:ind w:right="40" w:firstLine="54"/>
        <w:spacing w:after="0" w:line="308" w:lineRule="auto"/>
        <w:rPr>
          <w:sz w:val="20"/>
          <w:szCs w:val="20"/>
          <w:color w:val="auto"/>
        </w:rPr>
      </w:pPr>
      <w:r>
        <w:rPr>
          <w:rFonts w:ascii="Arial" w:cs="Arial" w:eastAsia="Arial" w:hAnsi="Arial"/>
          <w:sz w:val="18"/>
          <w:szCs w:val="18"/>
          <w:b w:val="1"/>
          <w:bCs w:val="1"/>
          <w:i w:val="1"/>
          <w:iCs w:val="1"/>
          <w:color w:val="auto"/>
        </w:rPr>
        <w:t>Changes in public health insurance coverage and government reimbursement rates for our products could affect the adoption of our products and our future revenue.</w:t>
      </w:r>
    </w:p>
    <w:p>
      <w:pPr>
        <w:spacing w:after="0" w:line="49"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The federal government is considering ways to change, and has changed, the manner in which healthcare services are paid for in the U.S. Individual states may also enact legislation that impacts Medicaid payments to hospitals, surgical centers and physicians. In addition, CMS establishes Medicare payment levels for hospitals, surgical centers and physicians on an annual basis, which can increase or decrease payment to such entities, including for procedures involving our products. 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Even if we succeed in bringing our products to market in additional foreign countries, uncertainties regarding future healthcare policy, legislation and regulation, as well as private market practices, could affect our ability to sell our products in commercially acceptable quantities at acceptable prices.</w:t>
      </w:r>
    </w:p>
    <w:p>
      <w:pPr>
        <w:spacing w:after="0" w:line="304" w:lineRule="exact"/>
        <w:rPr>
          <w:sz w:val="20"/>
          <w:szCs w:val="20"/>
          <w:color w:val="auto"/>
        </w:rPr>
      </w:pPr>
    </w:p>
    <w:p>
      <w:pPr>
        <w:jc w:val="both"/>
        <w:ind w:right="160"/>
        <w:spacing w:after="0" w:line="303" w:lineRule="auto"/>
        <w:rPr>
          <w:sz w:val="20"/>
          <w:szCs w:val="20"/>
          <w:color w:val="auto"/>
        </w:rPr>
      </w:pPr>
      <w:r>
        <w:rPr>
          <w:rFonts w:ascii="Arial" w:cs="Arial" w:eastAsia="Arial" w:hAnsi="Arial"/>
          <w:sz w:val="17"/>
          <w:szCs w:val="17"/>
          <w:b w:val="1"/>
          <w:bCs w:val="1"/>
          <w:i w:val="1"/>
          <w:iCs w:val="1"/>
          <w:color w:val="auto"/>
        </w:rPr>
        <w:t>Cost-containment efforts of our customers, purchasing groups and governmental organizations could have a material adverse effect on our sales and results of operations. Consolidation in the healthcare industry or group purchasing organizations could lead to demands for price concessions, which may affect our ability to sell our products at prices necessary to support our current business strategies.</w:t>
      </w:r>
    </w:p>
    <w:p>
      <w:pPr>
        <w:spacing w:after="0" w:line="56" w:lineRule="exact"/>
        <w:rPr>
          <w:sz w:val="20"/>
          <w:szCs w:val="20"/>
          <w:color w:val="auto"/>
        </w:rPr>
      </w:pPr>
    </w:p>
    <w:p>
      <w:pPr>
        <w:ind w:right="140" w:firstLine="509"/>
        <w:spacing w:after="0" w:line="288" w:lineRule="auto"/>
        <w:rPr>
          <w:sz w:val="20"/>
          <w:szCs w:val="20"/>
          <w:color w:val="auto"/>
        </w:rPr>
      </w:pPr>
      <w:r>
        <w:rPr>
          <w:rFonts w:ascii="Arial" w:cs="Arial" w:eastAsia="Arial" w:hAnsi="Arial"/>
          <w:sz w:val="17"/>
          <w:szCs w:val="17"/>
          <w:color w:val="auto"/>
        </w:rPr>
        <w:t>In an effort to reduce costs, many clinics and hospitals in the United States, including some of our customers, are members of Group Purchasing Organizations, or GPOs, and Integrated Delivery Networks, or IDNs. GPOs and IDNs negotiate pricing arrangements with medical device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products, thereby reducing our revenue and margins.</w:t>
      </w:r>
    </w:p>
    <w:p>
      <w:pPr>
        <w:spacing w:after="0" w:line="181"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products due to the price or quality offered by other companies, which could result in a decline in our sales volumes and revenue.</w:t>
      </w:r>
    </w:p>
    <w:p>
      <w:pPr>
        <w:spacing w:after="0" w:line="191"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Healthcare costs have risen significantly over the past decade, which has resulted in or led to numerous cost reform initiatives by legislators, regulators and third-party payors. Cost reform has triggered a consolidation trend in the healthcare industry to aggregate purchasing power, which may create more requests for pricing concessions in the future. Additionally, GPOs, IDNs and large single accounts may continue to use their market power to consolidate purchasing decisions for hospitals. We expect that market demand, government regulation, third-party coverage and reimbursement policies and societal pressures will continue to change the healthcare industry worldwide, resulting in further business consolidations and alliances among our customers, which may exert further downward pressure on the prices of our products. Such downward pressure on the prices of our products may affect our results of operations and our ability to support our current business strategies.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achieve or maintain satisfactory pricing and margins for our products.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9" w:name="page60"/>
    <w:bookmarkEnd w:id="59"/>
    <w:p>
      <w:pPr>
        <w:ind w:right="20" w:firstLine="509"/>
        <w:spacing w:after="0" w:line="294" w:lineRule="auto"/>
        <w:rPr>
          <w:sz w:val="20"/>
          <w:szCs w:val="20"/>
          <w:color w:val="auto"/>
        </w:rPr>
      </w:pPr>
      <w:r>
        <w:rPr>
          <w:rFonts w:ascii="Arial" w:cs="Arial" w:eastAsia="Arial" w:hAnsi="Arial"/>
          <w:sz w:val="17"/>
          <w:szCs w:val="17"/>
          <w:color w:val="auto"/>
        </w:rPr>
        <w:t>Medical device companies have a history of price competition, and we can give no assurance that we will be able to achieve satisfactory prices for our products or maintain prices at the levels we have historically achieved. Any decline in the amount that payors reimburse our customers for procedures that use OMNI or in the amount that customers are willing to pay or that payors reimburse for procedures that use TearCare in the future, could make it difficult for customers to continue using, or to adopt, our products and could create additional pricing pressure for us. If we are forced to lower the price we charge for our products or add more components to our products, our gross margins will decrease, which will adversely affect our ability to invest in and grow our business. If we are unable to maintain our prices, or if our costs increase and we are unable to offset such increase with an increase in our prices, our margins could erode. We are, and will continue to be, subject to significant pricing pressure, which could negatively affect our business, financial condition and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the anticipated growth of our business.</w:t>
      </w:r>
    </w:p>
    <w:p>
      <w:pPr>
        <w:spacing w:after="0" w:line="131" w:lineRule="exact"/>
        <w:rPr>
          <w:sz w:val="20"/>
          <w:szCs w:val="20"/>
          <w:color w:val="auto"/>
        </w:rPr>
      </w:pPr>
    </w:p>
    <w:p>
      <w:pPr>
        <w:ind w:right="100" w:firstLine="509"/>
        <w:spacing w:after="0" w:line="308" w:lineRule="auto"/>
        <w:rPr>
          <w:sz w:val="20"/>
          <w:szCs w:val="20"/>
          <w:color w:val="auto"/>
        </w:rPr>
      </w:pPr>
      <w:r>
        <w:rPr>
          <w:rFonts w:ascii="Arial" w:cs="Arial" w:eastAsia="Arial" w:hAnsi="Arial"/>
          <w:sz w:val="16"/>
          <w:szCs w:val="16"/>
          <w:color w:val="auto"/>
        </w:rPr>
        <w:t>In order to grow, we need to expand our commercial team, and general and administrative infrastructure. In addition to the need to scale our organization, future growth will impose significant added responsibilities on management, including the need to identify, recruit, train and integrate additional employees. Rapid expansion in personnel could mean that less experienced people market and sell our products, which could result in inefficiencies and unanticipated costs, reduced quality and disruptions to our operations. In addition, rapid and significant growth may strain our administrative and operational infrastructure. Our ability to manage our business and growth will require us to continue to improve our operational, financial and management controls, reporting systems and procedures. For example, we currently rely on a combination of direct sales personnel and independent distributors to sell our products in Europe, and we intend to grow our international sales through a combination of direct and distributor sales. If we are unable to manage our growth effectively, it may be difficult for us to execute our business strategy and our business could be harmed.</w:t>
      </w:r>
    </w:p>
    <w:p>
      <w:pPr>
        <w:spacing w:after="0" w:line="163" w:lineRule="exact"/>
        <w:rPr>
          <w:sz w:val="20"/>
          <w:szCs w:val="20"/>
          <w:color w:val="auto"/>
        </w:rPr>
      </w:pPr>
    </w:p>
    <w:p>
      <w:pPr>
        <w:ind w:right="60" w:firstLine="509"/>
        <w:spacing w:after="0" w:line="272" w:lineRule="auto"/>
        <w:rPr>
          <w:sz w:val="20"/>
          <w:szCs w:val="20"/>
          <w:color w:val="auto"/>
        </w:rPr>
      </w:pPr>
      <w:r>
        <w:rPr>
          <w:rFonts w:ascii="Arial" w:cs="Arial" w:eastAsia="Arial" w:hAnsi="Arial"/>
          <w:sz w:val="18"/>
          <w:szCs w:val="18"/>
          <w:color w:val="auto"/>
        </w:rPr>
        <w:t>As demand for our current products or any of our future products increases, we will need to continue to expand customer service, billing and systems processes and enhance our internal quality assurance program. We cannot assure you that any increases in scale, related improvements and quality assurance will be successfully implemented or that appropriate personnel will be available to facilitate the growth of our business. Failure to implement necessary procedures, transition to new processes or hire the necessary personnel could result in higher costs of processing data or inability to meet increased demand.</w:t>
      </w:r>
    </w:p>
    <w:p>
      <w:pPr>
        <w:spacing w:after="0" w:line="299" w:lineRule="exact"/>
        <w:rPr>
          <w:sz w:val="20"/>
          <w:szCs w:val="20"/>
          <w:color w:val="auto"/>
        </w:rPr>
      </w:pPr>
    </w:p>
    <w:p>
      <w:pPr>
        <w:ind w:right="280"/>
        <w:spacing w:after="0" w:line="359" w:lineRule="auto"/>
        <w:rPr>
          <w:sz w:val="20"/>
          <w:szCs w:val="20"/>
          <w:color w:val="auto"/>
        </w:rPr>
      </w:pPr>
      <w:r>
        <w:rPr>
          <w:rFonts w:ascii="Arial" w:cs="Arial" w:eastAsia="Arial" w:hAnsi="Arial"/>
          <w:sz w:val="16"/>
          <w:szCs w:val="16"/>
          <w:b w:val="1"/>
          <w:bCs w:val="1"/>
          <w:i w:val="1"/>
          <w:iCs w:val="1"/>
          <w:color w:val="auto"/>
        </w:rPr>
        <w:t>Performance issues, service interruptions or price increases by our shipping carriers and distributors could negatively affect our business, financial condition and results of operations and harm our reputation and the relationship between us and the ECPs we work with.</w:t>
      </w:r>
    </w:p>
    <w:p>
      <w:pPr>
        <w:spacing w:after="0" w:line="17" w:lineRule="exact"/>
        <w:rPr>
          <w:sz w:val="20"/>
          <w:szCs w:val="20"/>
          <w:color w:val="auto"/>
        </w:rPr>
      </w:pPr>
    </w:p>
    <w:p>
      <w:pPr>
        <w:ind w:firstLine="509"/>
        <w:spacing w:after="0" w:line="309" w:lineRule="auto"/>
        <w:rPr>
          <w:sz w:val="20"/>
          <w:szCs w:val="20"/>
          <w:color w:val="auto"/>
        </w:rPr>
      </w:pPr>
      <w:r>
        <w:rPr>
          <w:rFonts w:ascii="Arial" w:cs="Arial" w:eastAsia="Arial" w:hAnsi="Arial"/>
          <w:sz w:val="16"/>
          <w:szCs w:val="16"/>
          <w:color w:val="auto"/>
        </w:rPr>
        <w:t>Expedited, reliable shipping is essential to our operations. We rely heavily on providers of transport services for reliable and secure point-to-point transport of our products to our customers and for tracking of these shipments. Should a carrier encounter delivery performance issues such as loss, damage or destruction of any systems, it would be costly to replace such systems in a timely manner and such occurrences may damage our reputation and lead to decreased demand for our solutions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process orders for our products on a timely basis. These factors could negatively affect our business, financial condition and results of operations and harm our reputation and the relationship between us and the ECPs we work with.</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may become obsolete in the future.</w:t>
      </w:r>
    </w:p>
    <w:p>
      <w:pPr>
        <w:spacing w:after="0" w:line="131"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The medical device industry is characterized by rapid and significant change. There can be no assurance that other companies will not succeed in developing or marketing devices or products that are more effective than our products or that would render our products obsolete or noncompetitive. Additionally, new surgical procedures, medications and other therapies could be developed that replace or reduce the importance of our products. Accordingly, our success will depend in part on our ability to respond quickly to medical and other changes through the development and introduction of new products. Product development involves a high degree of risk, and there can be no assurance that our new product development efforts will result in any commercially successful products.</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We bear the risk of potential warranty claims on our products.</w:t>
      </w:r>
    </w:p>
    <w:p>
      <w:pPr>
        <w:spacing w:after="0" w:line="131"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We provide limited warranties regarding our products, including warranties pertaining to freedom from defects and conformance to specifications. We are generally obligated under our sales contracts to repair, replace or credit or refund the purchase price of defective products. As a result, we bear the risk of potential warranty claims on our products. In the event that we attempt to recover some or all of the expenses associated with a warranty claim against us from our suppliers or vendors, we may not be successful in claiming recovery under any warranty or indemnity provided to us by such suppliers or vendors and any recovery from such vendor or supplier may not be adequate. In addition, warranty claims brought by our customers related to third-party components may arise after our ability to bring corresponding warranty claims against such suppliers expires, which could result in costs to us.</w:t>
      </w:r>
    </w:p>
    <w:p>
      <w:pPr>
        <w:spacing w:after="0" w:line="271" w:lineRule="exact"/>
        <w:rPr>
          <w:sz w:val="20"/>
          <w:szCs w:val="20"/>
          <w:color w:val="auto"/>
        </w:rPr>
      </w:pPr>
    </w:p>
    <w:p>
      <w:pPr>
        <w:ind w:right="80"/>
        <w:spacing w:after="0" w:line="324" w:lineRule="auto"/>
        <w:rPr>
          <w:sz w:val="20"/>
          <w:szCs w:val="20"/>
          <w:color w:val="auto"/>
        </w:rPr>
      </w:pPr>
      <w:r>
        <w:rPr>
          <w:rFonts w:ascii="Arial" w:cs="Arial" w:eastAsia="Arial" w:hAnsi="Arial"/>
          <w:sz w:val="17"/>
          <w:szCs w:val="17"/>
          <w:b w:val="1"/>
          <w:bCs w:val="1"/>
          <w:i w:val="1"/>
          <w:iCs w:val="1"/>
          <w:color w:val="auto"/>
        </w:rPr>
        <w:t>We may enter into collaborations, in-licensing arrangements, joint ventures, strategic alliances or partnerships with third parties that may not result in the development of commercially viable products or product improvements or the generation of significant future revenues.</w:t>
      </w:r>
    </w:p>
    <w:p>
      <w:pPr>
        <w:spacing w:after="0" w:line="39" w:lineRule="exact"/>
        <w:rPr>
          <w:sz w:val="20"/>
          <w:szCs w:val="20"/>
          <w:color w:val="auto"/>
        </w:rPr>
      </w:pPr>
    </w:p>
    <w:p>
      <w:pPr>
        <w:ind w:right="200" w:firstLine="509"/>
        <w:spacing w:after="0" w:line="308" w:lineRule="auto"/>
        <w:rPr>
          <w:sz w:val="20"/>
          <w:szCs w:val="20"/>
          <w:color w:val="auto"/>
        </w:rPr>
      </w:pPr>
      <w:r>
        <w:rPr>
          <w:rFonts w:ascii="Arial" w:cs="Arial" w:eastAsia="Arial" w:hAnsi="Arial"/>
          <w:sz w:val="16"/>
          <w:szCs w:val="16"/>
          <w:color w:val="auto"/>
        </w:rPr>
        <w:t>We may enter into collaborations, in-licensing arrangements, joint ventures, strategic alliances, partnerships or other arrangements to develop new products or product improvements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viable product improvements or result in significant revenues and could be terminated prior to developing any products.</w:t>
      </w:r>
    </w:p>
    <w:p>
      <w:pPr>
        <w:spacing w:after="0" w:line="163" w:lineRule="exact"/>
        <w:rPr>
          <w:sz w:val="20"/>
          <w:szCs w:val="20"/>
          <w:color w:val="auto"/>
        </w:rPr>
      </w:pPr>
    </w:p>
    <w:p>
      <w:pPr>
        <w:ind w:right="100" w:firstLine="509"/>
        <w:spacing w:after="0" w:line="288" w:lineRule="auto"/>
        <w:rPr>
          <w:sz w:val="20"/>
          <w:szCs w:val="20"/>
          <w:color w:val="auto"/>
        </w:rPr>
      </w:pPr>
      <w:r>
        <w:rPr>
          <w:rFonts w:ascii="Arial" w:cs="Arial" w:eastAsia="Arial" w:hAnsi="Arial"/>
          <w:sz w:val="17"/>
          <w:szCs w:val="17"/>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181"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Disputes between us and any collaborators we may have in the future may result in litigation or arbitration which would increase our expenses and divert the attention of our management. These arrangements may consume management time and resources to establish and maintain.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Any termination of collaborations we enter into in the future, or any delay in entering into collaborations related to our products, could delay the development and commercialization of our products and reduce their competitiveness if they reach the market, which could have a material adverse effect on our business, financial condition and results of operations.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and/or seek damages arising out of the alleged breach, which could adversely affect our competitive business position and harm our business prospects.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i w:val="1"/>
          <w:iCs w:val="1"/>
          <w:color w:val="auto"/>
        </w:rPr>
        <w:t>Our insurance policies are expensive and protect us only from some business risks, which leaves us exposed to significant uninsured liabilities.</w:t>
      </w:r>
    </w:p>
    <w:p>
      <w:pPr>
        <w:spacing w:after="0" w:line="154"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We do not carry insurance for all categories of risk that our business may encounter. Although we carry product liability insurance in the United States, we can give no assurance that such coverage will be available or 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spacing w:after="0" w:line="182" w:lineRule="exact"/>
        <w:rPr>
          <w:sz w:val="20"/>
          <w:szCs w:val="20"/>
          <w:color w:val="auto"/>
        </w:rPr>
      </w:pPr>
    </w:p>
    <w:p>
      <w:pPr>
        <w:ind w:right="120" w:firstLine="509"/>
        <w:spacing w:after="0" w:line="314" w:lineRule="auto"/>
        <w:rPr>
          <w:sz w:val="20"/>
          <w:szCs w:val="20"/>
          <w:color w:val="auto"/>
        </w:rPr>
      </w:pPr>
      <w:r>
        <w:rPr>
          <w:rFonts w:ascii="Arial" w:cs="Arial" w:eastAsia="Arial" w:hAnsi="Arial"/>
          <w:sz w:val="16"/>
          <w:szCs w:val="16"/>
          <w:color w:val="auto"/>
        </w:rPr>
        <w:t>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268" w:lineRule="exact"/>
        <w:rPr>
          <w:sz w:val="20"/>
          <w:szCs w:val="20"/>
          <w:color w:val="auto"/>
        </w:rPr>
      </w:pPr>
    </w:p>
    <w:p>
      <w:pPr>
        <w:spacing w:after="0" w:line="293" w:lineRule="auto"/>
        <w:rPr>
          <w:sz w:val="20"/>
          <w:szCs w:val="20"/>
          <w:color w:val="auto"/>
        </w:rPr>
      </w:pPr>
      <w:r>
        <w:rPr>
          <w:rFonts w:ascii="Arial" w:cs="Arial" w:eastAsia="Arial" w:hAnsi="Arial"/>
          <w:sz w:val="18"/>
          <w:szCs w:val="18"/>
          <w:b w:val="1"/>
          <w:bCs w:val="1"/>
          <w:i w:val="1"/>
          <w:iCs w:val="1"/>
          <w:color w:val="auto"/>
        </w:rPr>
        <w:t>We depend on our senior management team and the loss of one or more key employees or an inability to attract and retain highly skilled employees will negatively affect our business, financial condition and results of operations.</w:t>
      </w:r>
    </w:p>
    <w:p>
      <w:pPr>
        <w:spacing w:after="0" w:line="62"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Our success depends largely on the continued services of key members of our executive management team and others in key management positions. For example, the services of Paul Badawi, our Chief Executive Officer, Jesse Selnick, our Chief Financial Officer, Shawn O’Neil, our Chief Commercial Officer, and Sam Park, our Chief Operating Officer, are essential to driving adoption of our products, executing on our corporate strategy and ensuring the continued operations and integrity of financial reporting within our company. In addition, the services of our sales professionals are critical to driving the growth in sales of our products. Any of our employees may terminate their employment with us at any time. We currently maintain a key person life insurance policy on Mr. Badawi. If we lose one or more key employees, we may experience difficulties in competing effectively, developing our technologies and implementing our business strategy, which in turn would negatively affect our business.</w:t>
      </w:r>
    </w:p>
    <w:p>
      <w:pPr>
        <w:spacing w:after="0" w:line="181"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In addition, our research and development programs, clinical and quality operations and sales efforts depend on our ability to attract and retain highly skilled engineers and sales professionals, as well as experienced regulatory, quality and clinical professionals. We may not be able to attract or retain qualified professionals in the future due to the competition for qualified personnel. We have from time to time experienced, and we expect to continue to experience, difficulty in hiring and retaining employees with appropriate qualifications. Many of the companies with which we compete for experienced personnel have greater resources than we do. If we hire employees from competitors or other companies, their former employers may attempt to assert that these employees or we have breached legal obligations, resulting in a diversion of our time and resources and, potentially, damages.</w:t>
      </w:r>
    </w:p>
    <w:p>
      <w:pPr>
        <w:spacing w:after="0" w:line="163" w:lineRule="exact"/>
        <w:rPr>
          <w:sz w:val="20"/>
          <w:szCs w:val="20"/>
          <w:color w:val="auto"/>
        </w:rPr>
      </w:pPr>
    </w:p>
    <w:p>
      <w:pPr>
        <w:ind w:firstLine="509"/>
        <w:spacing w:after="0" w:line="309" w:lineRule="auto"/>
        <w:rPr>
          <w:sz w:val="20"/>
          <w:szCs w:val="20"/>
          <w:color w:val="auto"/>
        </w:rPr>
      </w:pPr>
      <w:r>
        <w:rPr>
          <w:rFonts w:ascii="Arial" w:cs="Arial" w:eastAsia="Arial" w:hAnsi="Arial"/>
          <w:sz w:val="16"/>
          <w:szCs w:val="16"/>
          <w:color w:val="auto"/>
        </w:rPr>
        <w:t>In addition, job candidates and existing employees often consider the value of the stock awards they receive in connection with their employment. If the perceived benefits of our stock awards decline, either because of unfavorable fluctuations or declines in our stock price or for other reasons, it may harm our ability to recruit and retain highly skilled employees. Many of our employees have become or will soon become vested in a substantial amount of our common stock or a number of common stock options.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 Our future success also depends on our ability to continue to attract and retain additional executive officers and other key employees. If we fail to attract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62" w:name="page63"/>
    <w:bookmarkEnd w:id="62"/>
    <w:p>
      <w:pPr>
        <w:spacing w:after="0"/>
        <w:rPr>
          <w:sz w:val="20"/>
          <w:szCs w:val="20"/>
          <w:color w:val="auto"/>
        </w:rPr>
      </w:pPr>
      <w:r>
        <w:rPr>
          <w:rFonts w:ascii="Arial" w:cs="Arial" w:eastAsia="Arial" w:hAnsi="Arial"/>
          <w:sz w:val="17"/>
          <w:szCs w:val="17"/>
          <w:color w:val="auto"/>
        </w:rPr>
        <w:t>new personnel or fail to retain and motivate our current personnel, it will negatively affect our business, financial condition and results of operations.</w:t>
      </w:r>
    </w:p>
    <w:p>
      <w:pPr>
        <w:spacing w:after="0" w:line="358" w:lineRule="exact"/>
        <w:rPr>
          <w:sz w:val="20"/>
          <w:szCs w:val="20"/>
          <w:color w:val="auto"/>
        </w:rPr>
      </w:pPr>
    </w:p>
    <w:p>
      <w:pPr>
        <w:ind w:right="1080"/>
        <w:spacing w:after="0" w:line="394" w:lineRule="auto"/>
        <w:rPr>
          <w:sz w:val="20"/>
          <w:szCs w:val="20"/>
          <w:color w:val="auto"/>
        </w:rPr>
      </w:pPr>
      <w:r>
        <w:rPr>
          <w:rFonts w:ascii="Arial" w:cs="Arial" w:eastAsia="Arial" w:hAnsi="Arial"/>
          <w:sz w:val="15"/>
          <w:szCs w:val="15"/>
          <w:b w:val="1"/>
          <w:bCs w:val="1"/>
          <w:i w:val="1"/>
          <w:iCs w:val="1"/>
          <w:color w:val="auto"/>
        </w:rPr>
        <w:t>The use, misuse or off-label use of our products may result in injuries that lead to product liability suits, which could be expensive, divert management’s attention and harm our reputation and business. We may not be able to maintain adequate product liability insurance.</w:t>
      </w:r>
    </w:p>
    <w:p>
      <w:pPr>
        <w:spacing w:after="0" w:line="1" w:lineRule="exact"/>
        <w:rPr>
          <w:sz w:val="20"/>
          <w:szCs w:val="20"/>
          <w:color w:val="auto"/>
        </w:rPr>
      </w:pPr>
    </w:p>
    <w:p>
      <w:pPr>
        <w:ind w:right="20" w:firstLine="509"/>
        <w:spacing w:after="0" w:line="269" w:lineRule="auto"/>
        <w:rPr>
          <w:sz w:val="20"/>
          <w:szCs w:val="20"/>
          <w:color w:val="auto"/>
        </w:rPr>
      </w:pPr>
      <w:r>
        <w:rPr>
          <w:rFonts w:ascii="Arial" w:cs="Arial" w:eastAsia="Arial" w:hAnsi="Arial"/>
          <w:sz w:val="18"/>
          <w:szCs w:val="18"/>
          <w:color w:val="auto"/>
        </w:rPr>
        <w:t>Our products are cleared or authorized by the FDA to be marketed for certain specific intended uses. If physicians elect to use our products in manners outside of the intended uses that have been cleared or authorized by the FDA, then such off-label use of our products may result in outcomes and adverse events that are sight threatening, necessitate medical or surgical intervention to preclude permanent impairment of vision, or result in a permanent impairment of vision, potentially leading to product liability claims. However, we cannot prevent a physician from using our products for off-label applications or using components or products that are not our products when performing procedures with our products. There may be increased risk of injury to patients if physicians attempt to use our devices off-label. In addition, we cannot guarantee that physicians are trained by us or their peers prior to utilizing our products. Complications resulting from the use of our products off-label or use by physicians who have not been trained appropriately, or at all, may not effectively treat the applicable conditions and may expose us to product liability claims or litigation by our customers or their patients and may harm our reputation.</w:t>
      </w:r>
    </w:p>
    <w:p>
      <w:pPr>
        <w:spacing w:after="0" w:line="194"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In addition, if our products are defectively designed, manufactured or labeled, contain defective components or are misused, we may become subject to costly litigation initiated by hospitals, surgical centers, ECPs or patients. Product liability claims are especially prevalent in the medical device industry and could harm our reputation, divert management’s attention from our core business, attract negative publicity, be expensive to defend and may result in sizable damage awards against us. Although we maintain product liability insurance, we may not have sufficient insurance coverage for future product liability claims. We are not able to obtain insurance in amounts or scope sufficient to provide us with adequate coverage against all potential liabilities. Any product liability claims brought against us, with or without merit, could increase our product liability insurance rates or prevent us from securing continuing coverage, harm our reputation, significantly increase our expenses, and reduce product sales. Product liability claims could cause us to incur significant legal fees and deductibles and claims in excess of our insurance coverage would be paid out of cash reserves, harming our financial condition and operating results.</w:t>
      </w:r>
    </w:p>
    <w:p>
      <w:pPr>
        <w:spacing w:after="0" w:line="302" w:lineRule="exact"/>
        <w:rPr>
          <w:sz w:val="20"/>
          <w:szCs w:val="20"/>
          <w:color w:val="auto"/>
        </w:rPr>
      </w:pPr>
    </w:p>
    <w:p>
      <w:pPr>
        <w:ind w:right="400"/>
        <w:spacing w:after="0" w:line="293" w:lineRule="auto"/>
        <w:rPr>
          <w:sz w:val="20"/>
          <w:szCs w:val="20"/>
          <w:color w:val="auto"/>
        </w:rPr>
      </w:pPr>
      <w:r>
        <w:rPr>
          <w:rFonts w:ascii="Arial" w:cs="Arial" w:eastAsia="Arial" w:hAnsi="Arial"/>
          <w:sz w:val="18"/>
          <w:szCs w:val="18"/>
          <w:b w:val="1"/>
          <w:bCs w:val="1"/>
          <w:i w:val="1"/>
          <w:iCs w:val="1"/>
          <w:color w:val="auto"/>
        </w:rPr>
        <w:t>We may need additional funding to finance our planned operations, and may not be able to raise capital on acceptable terms, if at all, which could force us to delay, reduce or eliminate our product development programs and commercialization efforts.</w:t>
      </w:r>
    </w:p>
    <w:p>
      <w:pPr>
        <w:spacing w:after="0" w:line="62"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Since inception, we have incurred significant net losses and expect to continue to incur net losses for the foreseeable future. Since our inception, our operations have been financed primarily by net proceeds from the sale of our convertible preferred stock in private placements, indebtedness and, to a lesser extent, product revenue from sales of our products. As of September 30, 2021, we had $271.5 million in cash and cash equivalents, and an accumulated deficit of $137.1 million. Based on our current planned operations, we expect that our cash and cash equivalents and additional borrowings available under our credit facility will enable us to fund our operations for at least the next twelve months. We have based these estimates on assumptions that may prove to be wrong, and we could utilize our available capital resources sooner than we expect.</w:t>
      </w:r>
    </w:p>
    <w:p>
      <w:pPr>
        <w:spacing w:after="0" w:line="163" w:lineRule="exact"/>
        <w:rPr>
          <w:sz w:val="20"/>
          <w:szCs w:val="20"/>
          <w:color w:val="auto"/>
        </w:rPr>
      </w:pPr>
    </w:p>
    <w:p>
      <w:pPr>
        <w:ind w:right="160" w:firstLine="509"/>
        <w:spacing w:after="0" w:line="292" w:lineRule="auto"/>
        <w:rPr>
          <w:sz w:val="20"/>
          <w:szCs w:val="20"/>
          <w:color w:val="auto"/>
        </w:rPr>
      </w:pPr>
      <w:r>
        <w:rPr>
          <w:rFonts w:ascii="Arial" w:cs="Arial" w:eastAsia="Arial" w:hAnsi="Arial"/>
          <w:sz w:val="17"/>
          <w:szCs w:val="17"/>
          <w:color w:val="auto"/>
        </w:rPr>
        <w:t>We expect to continue to invest in clinical trials or investigations that are designed to provide clinical evidence of the safety and efficacy of our products, the growth of our sales and marketing organization, and research and development of product improvements and future products. Moreover, we expect to incur additional expenses associated with operating as a public company, including legal, accounting, insurance, exchange listing and SEC compliance, investor relations and other expenses. Because of these and other factors, we expect to continue to incur net losses and negative cash flows from operations for the foreseeable future. Our future funding requirements will depend on many factors, including:</w:t>
      </w:r>
    </w:p>
    <w:p>
      <w:pPr>
        <w:spacing w:after="0" w:line="201" w:lineRule="exact"/>
        <w:rPr>
          <w:sz w:val="20"/>
          <w:szCs w:val="20"/>
          <w:color w:val="auto"/>
        </w:rPr>
      </w:pPr>
    </w:p>
    <w:p>
      <w:pPr>
        <w:ind w:left="1040" w:hanging="452"/>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degree and rate of market acceptance of our products and procedures;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we acquire third-party companies, products or technologies;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3" w:name="page64"/>
    <w:bookmarkEnd w:id="63"/>
    <w:p>
      <w:pPr>
        <w:ind w:left="1040" w:hanging="452"/>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and timing of investment in our sales force and expansion of our commercial organization;</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impact on our business from the ongoing COVID-19 pandemic, or any other pandemic, epidemic or outbreak of an infectious disease;</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040" w:hanging="452"/>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rate of progress and cost of our current or future clinical trials or investigations and registries;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and timing of additional regulatory clearances, certifications or approvals;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any product recall that may occur;</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attaining, defending, protecting and enforcing our intellectual property rights;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and timing of any other collaborative, licensing and other arrangements that we may establish;</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at which we expand internationally.</w:t>
      </w:r>
    </w:p>
    <w:p>
      <w:pPr>
        <w:spacing w:after="0" w:line="200" w:lineRule="exact"/>
        <w:rPr>
          <w:sz w:val="20"/>
          <w:szCs w:val="20"/>
          <w:color w:val="auto"/>
        </w:rPr>
      </w:pPr>
    </w:p>
    <w:p>
      <w:pPr>
        <w:spacing w:after="0" w:line="282" w:lineRule="exact"/>
        <w:rPr>
          <w:sz w:val="20"/>
          <w:szCs w:val="20"/>
          <w:color w:val="auto"/>
        </w:rPr>
      </w:pPr>
    </w:p>
    <w:p>
      <w:pPr>
        <w:ind w:right="80" w:firstLine="509"/>
        <w:spacing w:after="0" w:line="288" w:lineRule="auto"/>
        <w:rPr>
          <w:sz w:val="20"/>
          <w:szCs w:val="20"/>
          <w:color w:val="auto"/>
        </w:rPr>
      </w:pPr>
      <w:r>
        <w:rPr>
          <w:rFonts w:ascii="Arial" w:cs="Arial" w:eastAsia="Arial" w:hAnsi="Arial"/>
          <w:sz w:val="17"/>
          <w:szCs w:val="17"/>
          <w:color w:val="auto"/>
        </w:rPr>
        <w:t>We may seek to raise additional capital through equity offerings or debt financings and such additional financing may not be available to us on acceptable terms, or at all. In addition, any additional equity or debt financing that we raise may contain terms that are not favorable to us or our stockholders. For example, if we raise funds by issuing equity or equity-linked securities, the issuance of such securities could result in dilution to our stockholders.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and the price per share at which we sell additional shares of our common stock, or securities convertible into or exercisable or exchangeable for shares of our common stock, in future transactions may be higher or lower than the price per share paid by investors in the IPO.</w:t>
      </w:r>
    </w:p>
    <w:p>
      <w:pPr>
        <w:spacing w:after="0" w:line="208" w:lineRule="exact"/>
        <w:rPr>
          <w:sz w:val="20"/>
          <w:szCs w:val="20"/>
          <w:color w:val="auto"/>
        </w:rPr>
      </w:pPr>
    </w:p>
    <w:p>
      <w:pPr>
        <w:ind w:firstLine="563"/>
        <w:spacing w:after="0" w:line="291" w:lineRule="auto"/>
        <w:rPr>
          <w:sz w:val="20"/>
          <w:szCs w:val="20"/>
          <w:color w:val="auto"/>
        </w:rPr>
      </w:pPr>
      <w:r>
        <w:rPr>
          <w:rFonts w:ascii="Arial" w:cs="Arial" w:eastAsia="Arial" w:hAnsi="Arial"/>
          <w:sz w:val="17"/>
          <w:szCs w:val="17"/>
          <w:color w:val="auto"/>
        </w:rPr>
        <w:t>In addition, the terms of debt securities issued or borrowings could impose significant restrictions on our operations including restrictive covenants, such as limitations on our ability to incur additional debt or issue additional equity, limitations on our ability to pay dividends,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such as relinquishment or licensing of certain technologies or products that we otherwise would seek to develop or commercialize ourselves, or reserve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77" w:lineRule="exact"/>
        <w:rPr>
          <w:sz w:val="20"/>
          <w:szCs w:val="20"/>
          <w:color w:val="auto"/>
        </w:rPr>
      </w:pPr>
    </w:p>
    <w:p>
      <w:pPr>
        <w:ind w:right="120" w:firstLine="509"/>
        <w:spacing w:after="0" w:line="319" w:lineRule="auto"/>
        <w:rPr>
          <w:sz w:val="20"/>
          <w:szCs w:val="20"/>
          <w:color w:val="auto"/>
        </w:rPr>
      </w:pPr>
      <w:r>
        <w:rPr>
          <w:rFonts w:ascii="Arial" w:cs="Arial" w:eastAsia="Arial" w:hAnsi="Arial"/>
          <w:sz w:val="16"/>
          <w:szCs w:val="16"/>
          <w:color w:val="auto"/>
        </w:rPr>
        <w:t>If we are unable to obtain adequate financing on terms satisfactory to us when we require it, we may terminate or delay the development of one or more of our products, delay clinical trials or investigations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which could have a material adverse effect on our business, financial condition and results of operations.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significant amount of debt, which may affect our ability to operate our business and secure additional financing in the future.</w:t>
      </w:r>
    </w:p>
    <w:p>
      <w:pPr>
        <w:spacing w:after="0" w:line="142" w:lineRule="exact"/>
        <w:rPr>
          <w:sz w:val="20"/>
          <w:szCs w:val="20"/>
          <w:color w:val="auto"/>
        </w:rPr>
      </w:pPr>
    </w:p>
    <w:p>
      <w:pPr>
        <w:ind w:right="80" w:firstLine="509"/>
        <w:spacing w:after="0" w:line="296" w:lineRule="auto"/>
        <w:rPr>
          <w:sz w:val="20"/>
          <w:szCs w:val="20"/>
          <w:color w:val="auto"/>
        </w:rPr>
      </w:pPr>
      <w:r>
        <w:rPr>
          <w:rFonts w:ascii="Arial" w:cs="Arial" w:eastAsia="Arial" w:hAnsi="Arial"/>
          <w:sz w:val="17"/>
          <w:szCs w:val="17"/>
          <w:color w:val="auto"/>
        </w:rPr>
        <w:t>In November 2020, we entered into new credit and security agreements with MidCap Financial Services, which provide for a term loan facility and revolving line of credit, or the 2020 MidCap Credit Facility. The 2020 MidCap Credit Facility consists of a term loan of up to $35.0 million, or the 2020 Term Loan, which has a stated floating interest rate equal to reserve-adjusted LIBOR plus 7.00%, and a revolving line of credit of $5 million, or the 2020 Revolver, with a stated floating interest rate equal to reserve-adjusted LIBOR plus 4.50%, a 0.5% unused line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64" w:name="page65"/>
    <w:bookmarkEnd w:id="64"/>
    <w:p>
      <w:pPr>
        <w:ind w:right="180"/>
        <w:spacing w:after="0" w:line="290" w:lineRule="auto"/>
        <w:rPr>
          <w:sz w:val="20"/>
          <w:szCs w:val="20"/>
          <w:color w:val="auto"/>
        </w:rPr>
      </w:pPr>
      <w:r>
        <w:rPr>
          <w:rFonts w:ascii="Arial" w:cs="Arial" w:eastAsia="Arial" w:hAnsi="Arial"/>
          <w:sz w:val="17"/>
          <w:szCs w:val="17"/>
          <w:color w:val="auto"/>
        </w:rPr>
        <w:t>fee and a 0.5% collateral management fee. We further amended the 2020 MidCap Facility in October 2021 for purposes of relaxing certain financial reporting obligations and other operating covenants. As of December 31, 2020 and September 30, 2021, we had an aggregate of approximately $35.0 million in principal borrowings outstanding under the 2020 MidCap Credit Facility, excluding debt discounts. We must make interest payments under the 2020 MidCap Credit Facility, which has diverted and will continue to divert resources from other activities. We incurred an aggregate interest expense of $2.0 million and $2.4 million in the years ended December 31, 2019 and December 31, 2020, respectively, and $1.6 million and $3.3 million in the nine months ended September 30, 2020 and September 30, 2021, respectively.</w:t>
      </w:r>
    </w:p>
    <w:p>
      <w:pPr>
        <w:spacing w:after="0" w:line="176"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Our obligations under the 2020 MidCap Credit Facility are collateralized by a security interest in substantially all of our assets, and we are subject to customary financial and operating covenants limiting our ability to, among other things, relocate or dispose of assets, undergo a change in control, merge or consolidate, enter into certain transactions with affiliates, make acquisitions, incur debt, pay dividends, grant liens, store certain amounts of inventory or equipment with third parties and make investments, in each case subject to certain exceptions. We are also subject to minimum trailing revenue targets that are evaluated on a monthly basis. The covenants related to the 2020 MidCap Credit Facility, as well as any future financing agreements into which we may enter, may restrict our ability to finance our operations and engage in, expand or otherwise pursue our business activities and strategies.</w:t>
      </w:r>
    </w:p>
    <w:p>
      <w:pPr>
        <w:spacing w:after="0" w:line="163" w:lineRule="exact"/>
        <w:rPr>
          <w:sz w:val="20"/>
          <w:szCs w:val="20"/>
          <w:color w:val="auto"/>
        </w:rPr>
      </w:pPr>
    </w:p>
    <w:p>
      <w:pPr>
        <w:ind w:right="220" w:firstLine="509"/>
        <w:spacing w:after="0" w:line="287" w:lineRule="auto"/>
        <w:rPr>
          <w:sz w:val="20"/>
          <w:szCs w:val="20"/>
          <w:color w:val="auto"/>
        </w:rPr>
      </w:pPr>
      <w:r>
        <w:rPr>
          <w:rFonts w:ascii="Arial" w:cs="Arial" w:eastAsia="Arial" w:hAnsi="Arial"/>
          <w:sz w:val="17"/>
          <w:szCs w:val="17"/>
          <w:color w:val="auto"/>
        </w:rPr>
        <w:t>While we have not previously breached and are not currently in breach of these or any other covenants contained in the 2020 MidCap Credit Facility, there can be no guarantee that we will not breach these covenants in the future. Our ability to comply with these covenants may be affected by events beyond our control, and future breaches of any of these covenants could result in a default under the 2020 MidCap Credit Facility. If not waived, future defaults could cause all of the outstanding indebtedness under the 2020 MidCap Credit Facility to become immediately due and payable and terminate commitments to extend further credit and foreclose on the collateral granted to it to collateralize such indebtedness. If we do not have or are unable to generate sufficient cash available to repay our debt obligations when they become due and payable, either upon maturity or in the event of a default, our assets could be foreclosed upon and we may not be able to obtain additional debt or equity financing on favorable terms, if at all, which may negatively impact our ability to operate and continue our business as a going concern.</w:t>
      </w:r>
    </w:p>
    <w:p>
      <w:pPr>
        <w:spacing w:after="0" w:line="182"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We cannot assure you that our business will be able to generate sufficient cash flow from operations or that future borrowings or other financings will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may place us at a competitive disadvantage compared to our competitors that have less indebtedness or greater financial resources to service their debt.</w:t>
      </w:r>
    </w:p>
    <w:p>
      <w:pPr>
        <w:spacing w:after="0" w:line="290"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b w:val="1"/>
          <w:bCs w:val="1"/>
          <w:i w:val="1"/>
          <w:iCs w:val="1"/>
          <w:color w:val="auto"/>
        </w:rPr>
        <w:t>Uncertainty relating to the LIBOR calculation process and potential phasing out of LIBOR after 2021 may adversely affect the market value of our current or future debt obligations.</w:t>
      </w:r>
    </w:p>
    <w:p>
      <w:pPr>
        <w:spacing w:after="0" w:line="62"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The London Inter-bank Offered Rate, or LIBOR, and certain other interest “benchmarks” may be subject to regulatory guidance and/or reform that could cause interest rates under our current or future debt agreements to perform differently than in the past or cause other unanticipated consequences. The United Kingdom’s Financial Conduct Authority, which regulates LIBOR, has announced that it intends to stop encouraging or requiring banks to submit LIBOR rates after 2021, and it is unclear if LIBOR will cease to exist or if new methods of calculating LIBOR will evolve. If LIBOR ceases to exist or if the methods of calculating LIBOR change from their current form, there may be adverse impacts on the financial markets generally and interest rates on borrowings under our 2020 Term Loan and 2020 Revolver may be adversely affected.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5" w:name="page66"/>
    <w:bookmarkEnd w:id="65"/>
    <w:p>
      <w:pPr>
        <w:ind w:right="200"/>
        <w:spacing w:after="0" w:line="359" w:lineRule="auto"/>
        <w:rPr>
          <w:sz w:val="20"/>
          <w:szCs w:val="20"/>
          <w:color w:val="auto"/>
        </w:rPr>
      </w:pPr>
      <w:r>
        <w:rPr>
          <w:rFonts w:ascii="Arial" w:cs="Arial" w:eastAsia="Arial" w:hAnsi="Arial"/>
          <w:sz w:val="16"/>
          <w:szCs w:val="16"/>
          <w:b w:val="1"/>
          <w:bCs w:val="1"/>
          <w:i w:val="1"/>
          <w:iCs w:val="1"/>
          <w:color w:val="auto"/>
        </w:rPr>
        <w:t>We may acquire other companies or technologies, which could fail to result in a commercial product or net sales, divert our management’s attention, result in additional dilution to our stockholders and otherwise disrupt our business and adversely affect our results of operations.</w:t>
      </w:r>
    </w:p>
    <w:p>
      <w:pPr>
        <w:spacing w:after="0" w:line="17" w:lineRule="exact"/>
        <w:rPr>
          <w:sz w:val="20"/>
          <w:szCs w:val="20"/>
          <w:color w:val="auto"/>
        </w:rPr>
      </w:pPr>
    </w:p>
    <w:p>
      <w:pPr>
        <w:ind w:firstLine="509"/>
        <w:spacing w:after="0" w:line="309" w:lineRule="auto"/>
        <w:rPr>
          <w:sz w:val="20"/>
          <w:szCs w:val="20"/>
          <w:color w:val="auto"/>
        </w:rPr>
      </w:pPr>
      <w:r>
        <w:rPr>
          <w:rFonts w:ascii="Arial" w:cs="Arial" w:eastAsia="Arial" w:hAnsi="Arial"/>
          <w:sz w:val="16"/>
          <w:szCs w:val="16"/>
          <w:color w:val="auto"/>
        </w:rPr>
        <w:t>Although we currently have no agreements or commitments to complete any such transactions and are not involved in negotiations to do so, we may in the future seek to acquire or invest in businesses, applications or technologies that we believe could complement or expand our portfolio, enhance our technical capabilities or otherwise offer growth opportunities. However, we cannot assure you that we would be able to successfully complete any acquisition we choose to pursue, or that we would be able to successfully integrate any acquired business, product or technology in a cost-effective and non-disruptive manner.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64" w:lineRule="exact"/>
        <w:rPr>
          <w:sz w:val="20"/>
          <w:szCs w:val="20"/>
          <w:color w:val="auto"/>
        </w:rPr>
      </w:pPr>
    </w:p>
    <w:p>
      <w:pPr>
        <w:ind w:right="180" w:firstLine="509"/>
        <w:spacing w:after="0" w:line="314" w:lineRule="auto"/>
        <w:rPr>
          <w:sz w:val="20"/>
          <w:szCs w:val="20"/>
          <w:color w:val="auto"/>
        </w:rPr>
      </w:pPr>
      <w:r>
        <w:rPr>
          <w:rFonts w:ascii="Arial" w:cs="Arial" w:eastAsia="Arial" w:hAnsi="Arial"/>
          <w:sz w:val="16"/>
          <w:szCs w:val="16"/>
          <w:color w:val="auto"/>
        </w:rPr>
        <w:t>To date, the growth of our operations has been largely organic, and we have limited experience in acquiring other businesses or technologies. Furthermore, the anticipated benefit of any strategic alliance, joint venture or acquisition may not materialize, or such strategic alliance, joint venture or acquisition may be prohibited. In November 2020, we amended and restated our credit facilities and entered into the 2020 Term Loan and 2020 Revolver and then further amended the 2020 Term Loan and 2020 Revolver in October 2021. The 2020 Term Loan and the 2020 Revolver restrict our ability to pursue certain mergers, acquisitions, amalgamations or consolidations that we may believe to be in our best interest.</w:t>
      </w:r>
    </w:p>
    <w:p>
      <w:pPr>
        <w:spacing w:after="0" w:line="160" w:lineRule="exact"/>
        <w:rPr>
          <w:sz w:val="20"/>
          <w:szCs w:val="20"/>
          <w:color w:val="auto"/>
        </w:rPr>
      </w:pPr>
    </w:p>
    <w:p>
      <w:pPr>
        <w:ind w:right="180" w:firstLine="509"/>
        <w:spacing w:after="0" w:line="296" w:lineRule="auto"/>
        <w:rPr>
          <w:sz w:val="20"/>
          <w:szCs w:val="20"/>
          <w:color w:val="auto"/>
        </w:rPr>
      </w:pPr>
      <w:r>
        <w:rPr>
          <w:rFonts w:ascii="Arial" w:cs="Arial" w:eastAsia="Arial" w:hAnsi="Arial"/>
          <w:sz w:val="17"/>
          <w:szCs w:val="17"/>
          <w:color w:val="auto"/>
        </w:rPr>
        <w:t>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business, financial condition and results of operations may be negatively affected. Additional risks we may face in connection with acquisitions include:</w:t>
      </w:r>
    </w:p>
    <w:p>
      <w:pPr>
        <w:spacing w:after="0" w:line="197" w:lineRule="exact"/>
        <w:rPr>
          <w:sz w:val="20"/>
          <w:szCs w:val="20"/>
          <w:color w:val="auto"/>
        </w:rPr>
      </w:pPr>
    </w:p>
    <w:p>
      <w:pPr>
        <w:ind w:left="1040" w:hanging="452"/>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Coordination of research and development and sales and marketing functions;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Integration of product and service offerings;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Retention of key employees from the acquired company;</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relationships with strategic partners as a result of product acquisitions or strategic positioning resulting from the acquisition;</w:t>
      </w:r>
    </w:p>
    <w:p>
      <w:pPr>
        <w:spacing w:after="0" w:line="200" w:lineRule="exact"/>
        <w:rPr>
          <w:rFonts w:ascii="Arial" w:cs="Arial" w:eastAsia="Arial" w:hAnsi="Arial"/>
          <w:sz w:val="17"/>
          <w:szCs w:val="17"/>
          <w:color w:val="auto"/>
        </w:rPr>
      </w:pPr>
    </w:p>
    <w:p>
      <w:pPr>
        <w:spacing w:after="0" w:line="320" w:lineRule="exact"/>
        <w:rPr>
          <w:rFonts w:ascii="Arial" w:cs="Arial" w:eastAsia="Arial" w:hAnsi="Arial"/>
          <w:sz w:val="17"/>
          <w:szCs w:val="17"/>
          <w:color w:val="auto"/>
        </w:rPr>
      </w:pPr>
    </w:p>
    <w:p>
      <w:pPr>
        <w:ind w:left="1040" w:hanging="452"/>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Integration of the acquired company’s accounting, management information, human resources and other administrative systems;</w:t>
      </w:r>
    </w:p>
    <w:p>
      <w:pPr>
        <w:spacing w:after="0" w:line="200" w:lineRule="exact"/>
        <w:rPr>
          <w:rFonts w:ascii="Arial" w:cs="Arial" w:eastAsia="Arial" w:hAnsi="Arial"/>
          <w:sz w:val="17"/>
          <w:szCs w:val="17"/>
          <w:color w:val="auto"/>
        </w:rPr>
      </w:pPr>
    </w:p>
    <w:p>
      <w:pPr>
        <w:spacing w:after="0" w:line="320" w:lineRule="exact"/>
        <w:rPr>
          <w:rFonts w:ascii="Arial" w:cs="Arial" w:eastAsia="Arial" w:hAnsi="Arial"/>
          <w:sz w:val="17"/>
          <w:szCs w:val="17"/>
          <w:color w:val="auto"/>
        </w:rPr>
      </w:pPr>
    </w:p>
    <w:p>
      <w:pPr>
        <w:ind w:left="1040" w:right="160" w:hanging="452"/>
        <w:spacing w:after="0" w:line="293"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sufficiently effective controls, procedures and policies;</w:t>
      </w:r>
    </w:p>
    <w:p>
      <w:pPr>
        <w:spacing w:after="0" w:line="210" w:lineRule="exact"/>
        <w:rPr>
          <w:rFonts w:ascii="Arial" w:cs="Arial" w:eastAsia="Arial" w:hAnsi="Arial"/>
          <w:sz w:val="18"/>
          <w:szCs w:val="18"/>
          <w:color w:val="auto"/>
        </w:rPr>
      </w:pPr>
    </w:p>
    <w:p>
      <w:pPr>
        <w:ind w:left="1040" w:right="120" w:hanging="452"/>
        <w:spacing w:after="0" w:line="293"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reporting, revenue recognition or other financial or control deficiencies of the acquired company that we don’t adequately address and that cause our reported results to be incorrect;</w:t>
      </w:r>
    </w:p>
    <w:p>
      <w:pPr>
        <w:spacing w:after="0" w:line="210" w:lineRule="exact"/>
        <w:rPr>
          <w:rFonts w:ascii="Arial" w:cs="Arial" w:eastAsia="Arial" w:hAnsi="Arial"/>
          <w:sz w:val="18"/>
          <w:szCs w:val="18"/>
          <w:color w:val="auto"/>
        </w:rPr>
      </w:pPr>
    </w:p>
    <w:p>
      <w:pPr>
        <w:ind w:left="1040" w:right="100" w:hanging="452"/>
        <w:spacing w:after="0" w:line="324"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Liability for activities of the acquired company before the acquisition, including intellectual property infringement claims, misappropriation or other violation, violations of laws, commercial disputes, tax liabilities and other known and unknown liabilities;</w:t>
      </w:r>
    </w:p>
    <w:p>
      <w:pPr>
        <w:spacing w:after="0" w:line="187" w:lineRule="exact"/>
        <w:rPr>
          <w:rFonts w:ascii="Arial" w:cs="Arial" w:eastAsia="Arial" w:hAnsi="Arial"/>
          <w:sz w:val="17"/>
          <w:szCs w:val="17"/>
          <w:color w:val="auto"/>
        </w:rPr>
      </w:pPr>
    </w:p>
    <w:p>
      <w:pPr>
        <w:ind w:left="1040" w:hanging="452"/>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write-offs or charges; and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66" w:name="page67"/>
    <w:bookmarkEnd w:id="66"/>
    <w:p>
      <w:pPr>
        <w:ind w:left="1040" w:right="640" w:hanging="452"/>
        <w:spacing w:after="0" w:line="293"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83" w:lineRule="exact"/>
        <w:rPr>
          <w:sz w:val="20"/>
          <w:szCs w:val="20"/>
          <w:color w:val="auto"/>
        </w:rPr>
      </w:pPr>
    </w:p>
    <w:p>
      <w:pPr>
        <w:ind w:right="60" w:firstLine="509"/>
        <w:spacing w:after="0" w:line="324" w:lineRule="auto"/>
        <w:rPr>
          <w:sz w:val="20"/>
          <w:szCs w:val="20"/>
          <w:color w:val="auto"/>
        </w:rPr>
      </w:pPr>
      <w:r>
        <w:rPr>
          <w:rFonts w:ascii="Arial" w:cs="Arial" w:eastAsia="Arial" w:hAnsi="Arial"/>
          <w:sz w:val="17"/>
          <w:szCs w:val="17"/>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255"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b w:val="1"/>
          <w:bCs w:val="1"/>
          <w:i w:val="1"/>
          <w:iCs w:val="1"/>
          <w:color w:val="auto"/>
        </w:rPr>
        <w:t>Taxing authorities may successfully assert that we should have collected or in the future should collect sales and use, gross receipts, value added or similar taxes and may successfully impose additional obligations on us.</w:t>
      </w:r>
    </w:p>
    <w:p>
      <w:pPr>
        <w:spacing w:after="0" w:line="62" w:lineRule="exact"/>
        <w:rPr>
          <w:sz w:val="20"/>
          <w:szCs w:val="20"/>
          <w:color w:val="auto"/>
        </w:rPr>
      </w:pPr>
    </w:p>
    <w:p>
      <w:pPr>
        <w:ind w:right="120" w:firstLine="509"/>
        <w:spacing w:after="0" w:line="275" w:lineRule="auto"/>
        <w:rPr>
          <w:sz w:val="20"/>
          <w:szCs w:val="20"/>
          <w:color w:val="auto"/>
        </w:rPr>
      </w:pPr>
      <w:r>
        <w:rPr>
          <w:rFonts w:ascii="Arial" w:cs="Arial" w:eastAsia="Arial" w:hAnsi="Arial"/>
          <w:sz w:val="18"/>
          <w:szCs w:val="18"/>
          <w:color w:val="auto"/>
        </w:rPr>
        <w:t>One or more jurisdictions may seek to impose additional tax collection obligations on us, including for past sales.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products, or otherwise harm our business, results of operations and financial condition.</w:t>
      </w:r>
    </w:p>
    <w:p>
      <w:pPr>
        <w:spacing w:after="0" w:line="293"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disallowed interest expense carryforwards and research and development carryforwards may be limited.</w:t>
      </w:r>
    </w:p>
    <w:p>
      <w:pPr>
        <w:spacing w:after="0" w:line="62"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As of December 31, 2020, we had U.S. federal and state net operating loss carryforwards, or NOLs, of $85.3 million and $83.5 million, respectively, and U.S. federal and state research and development credit carryforwards of $0.8 million and $0.9 million, respectively. In general, under Sections 382 and 383 of the Internal Revenue Code of 1986, as amended, or the Code, a corporation that undergoes an “ownership change,” generally defined as a greater than 50 percentage point change by value in its equity ownership over a rolling three-year period, is subject to limitations on its ability to utilize its pre-change net operating losses, or NOLs, and its research and development credit carryforwards to offset future taxable income. Our existing NOLs and research and development credit carryforwards could be subject to limitation under Sections 382 and 383 of the Code if we have undergone, or undergo in the future, any ownership changes for purposes of these provisions. If our NOLs and research and development credit carryforwards are subject to these limitations, we may not be able to utilize a material portion of the NOLs and research and development credit carryforwards, even if we attain profitability. In addition, our ability to deduct net interest expense may be limited if we have insufficient taxable income for the year during which the interest is incurred, and any carryovers of such disallowed interest would be subject to the limitation rules similar to those applicable to NOLs and other attributes.</w:t>
      </w:r>
    </w:p>
    <w:p>
      <w:pPr>
        <w:spacing w:after="0" w:line="165" w:lineRule="exact"/>
        <w:rPr>
          <w:sz w:val="20"/>
          <w:szCs w:val="20"/>
          <w:color w:val="auto"/>
        </w:rPr>
      </w:pPr>
    </w:p>
    <w:p>
      <w:pPr>
        <w:ind w:right="160" w:firstLine="509"/>
        <w:spacing w:after="0" w:line="275" w:lineRule="auto"/>
        <w:rPr>
          <w:sz w:val="20"/>
          <w:szCs w:val="20"/>
          <w:color w:val="auto"/>
        </w:rPr>
      </w:pPr>
      <w:r>
        <w:rPr>
          <w:rFonts w:ascii="Arial" w:cs="Arial" w:eastAsia="Arial" w:hAnsi="Arial"/>
          <w:sz w:val="18"/>
          <w:szCs w:val="18"/>
          <w:color w:val="auto"/>
        </w:rPr>
        <w:t>In addition, the tax benefit of NOLs, temporary differences and credit carryforwards are required to be recorded as an asset to the extent that we assess that realization is more likely than not. We believe that recognition of the deferred tax asset arising from these future tax benefits is not likely to be realized and, accordingly, have provided a valuation allowance of $14.4 million and $24.5 million for the years ended December 31, 2019 and 2020, respectively.</w:t>
      </w:r>
    </w:p>
    <w:p>
      <w:pPr>
        <w:spacing w:after="0" w:line="293" w:lineRule="exact"/>
        <w:rPr>
          <w:sz w:val="20"/>
          <w:szCs w:val="20"/>
          <w:color w:val="auto"/>
        </w:rPr>
      </w:pPr>
    </w:p>
    <w:p>
      <w:pPr>
        <w:spacing w:after="0" w:line="293" w:lineRule="auto"/>
        <w:rPr>
          <w:sz w:val="20"/>
          <w:szCs w:val="20"/>
          <w:color w:val="auto"/>
        </w:rPr>
      </w:pPr>
      <w:r>
        <w:rPr>
          <w:rFonts w:ascii="Arial" w:cs="Arial" w:eastAsia="Arial" w:hAnsi="Arial"/>
          <w:sz w:val="18"/>
          <w:szCs w:val="18"/>
          <w:b w:val="1"/>
          <w:bCs w:val="1"/>
          <w:i w:val="1"/>
          <w:iCs w:val="1"/>
          <w:color w:val="auto"/>
        </w:rPr>
        <w:t>The impact of the Tax Cuts and Jobs Act and the CARES Act on our financial results is not entirely clear and could differ materially from the financial statements provided herein.</w:t>
      </w:r>
    </w:p>
    <w:p>
      <w:pPr>
        <w:spacing w:after="0" w:line="62" w:lineRule="exact"/>
        <w:rPr>
          <w:sz w:val="20"/>
          <w:szCs w:val="20"/>
          <w:color w:val="auto"/>
        </w:rPr>
      </w:pPr>
    </w:p>
    <w:p>
      <w:pPr>
        <w:ind w:right="60" w:firstLine="509"/>
        <w:spacing w:after="0" w:line="292" w:lineRule="auto"/>
        <w:rPr>
          <w:sz w:val="20"/>
          <w:szCs w:val="20"/>
          <w:color w:val="auto"/>
        </w:rPr>
      </w:pPr>
      <w:r>
        <w:rPr>
          <w:rFonts w:ascii="Arial" w:cs="Arial" w:eastAsia="Arial" w:hAnsi="Arial"/>
          <w:sz w:val="17"/>
          <w:szCs w:val="17"/>
          <w:color w:val="auto"/>
        </w:rPr>
        <w:t>On December 22, 2017, the United States enacted the Tax Cuts and Jobs Act, or the TCJA, that significantly reformed the Code. The TCJA, among other things, contained significant changes to corporate taxation, including reduction of the corporate tax rate from a top marginal rate of 35% to a flat rate of 21%; limitation of the tax deduction for interest expense; limitation (as modified by the CARES Act as discussed below) of the deduction for NOLs and elimination of NOL carrybacks, in each case, for losses arising in taxable years beginning after December 31, 2017 (though any such tax losses may be carried forward indefinitely); and modifying or repealing many business deductions and credits.</w:t>
      </w:r>
    </w:p>
    <w:p>
      <w:pPr>
        <w:spacing w:after="0" w:line="174" w:lineRule="exact"/>
        <w:rPr>
          <w:sz w:val="20"/>
          <w:szCs w:val="20"/>
          <w:color w:val="auto"/>
        </w:rPr>
      </w:pPr>
    </w:p>
    <w:p>
      <w:pPr>
        <w:jc w:val="both"/>
        <w:ind w:right="20" w:firstLine="509"/>
        <w:spacing w:after="0" w:line="329" w:lineRule="auto"/>
        <w:rPr>
          <w:sz w:val="20"/>
          <w:szCs w:val="20"/>
          <w:color w:val="auto"/>
        </w:rPr>
      </w:pPr>
      <w:r>
        <w:rPr>
          <w:rFonts w:ascii="Arial" w:cs="Arial" w:eastAsia="Arial" w:hAnsi="Arial"/>
          <w:sz w:val="16"/>
          <w:szCs w:val="16"/>
          <w:color w:val="auto"/>
        </w:rPr>
        <w:t>On March 27, 2020, President Trump signed the Coronavirus Aid, Relief, and Economic Security Act (the CARES Act), aimed at helping American workers and businesses impacted by the COVID-19 pandemic. The CARES Act, among other things, temporarily removes the current-law taxable income limitation established under the Tax Cuts and Jobs Act of 2017, and permits NOL carryovers and carrybacks to offset 100% of taxable income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67" w:name="page68"/>
    <w:bookmarkEnd w:id="67"/>
    <w:p>
      <w:pPr>
        <w:jc w:val="both"/>
        <w:ind w:right="60"/>
        <w:spacing w:after="0" w:line="279" w:lineRule="auto"/>
        <w:rPr>
          <w:sz w:val="20"/>
          <w:szCs w:val="20"/>
          <w:color w:val="auto"/>
        </w:rPr>
      </w:pPr>
      <w:r>
        <w:rPr>
          <w:rFonts w:ascii="Arial" w:cs="Arial" w:eastAsia="Arial" w:hAnsi="Arial"/>
          <w:sz w:val="18"/>
          <w:szCs w:val="18"/>
          <w:color w:val="auto"/>
        </w:rPr>
        <w:t>for taxable years beginning before 2021. In addition, the CARES Act allows NOLs incurred in 2018, 2019 and 2020 to be carried back to each of the five preceding taxable years. The NOL provisions of the CARES Act are not expected to result in a cash benefit to the Company nor did they impact our NOL balance upon enactment.</w:t>
      </w:r>
    </w:p>
    <w:p>
      <w:pPr>
        <w:spacing w:after="0" w:line="183"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The financial statements contained herein reflect the effects of the TCJA and the CARES Act based on current guidance. However, there remain uncertainties and ambiguities in the application of certain provisions of the TCJA and the CARES Act, and, as a result, we made certain judgments and assumptions in the interpretation thereof. The U.S. Treasury Department and the Internal Revenue Service may issue further guidance on how the provisions of the TCJA and the CARES Act will be applied or otherwise administered that differs from our current interpretation. In addition, the TCJA and the CARES Act could be subject to potential amendments and technical corrections, any of which could materially lessen or increase certain adverse impacts of the legislation on us.</w:t>
      </w:r>
    </w:p>
    <w:p>
      <w:pPr>
        <w:spacing w:after="0" w:line="299"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b w:val="1"/>
          <w:bCs w:val="1"/>
          <w:i w:val="1"/>
          <w:iCs w:val="1"/>
          <w:color w:val="auto"/>
        </w:rPr>
        <w:t>The planned international expansion of our business will expose us to market, legal, regulatory, political, operational, financial and economic risks associated with doing business outside of the United States.</w:t>
      </w:r>
    </w:p>
    <w:p>
      <w:pPr>
        <w:spacing w:after="0" w:line="62"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We intend to increase our international presence, including securing additional regulatory approvals in targeted countries outside the United States. This strategy may include establishing and maintaining physician outreach and education capabilities outside of the United States and expanding our relationships with international payors. Doing business internationally involves a number of risks, including:</w:t>
      </w:r>
    </w:p>
    <w:p>
      <w:pPr>
        <w:spacing w:after="0" w:line="210" w:lineRule="exact"/>
        <w:rPr>
          <w:sz w:val="20"/>
          <w:szCs w:val="20"/>
          <w:color w:val="auto"/>
        </w:rPr>
      </w:pPr>
    </w:p>
    <w:p>
      <w:pPr>
        <w:ind w:left="1040" w:hanging="452"/>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staffing and managing our international operations;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right="260" w:hanging="452"/>
        <w:spacing w:after="0" w:line="293"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210" w:lineRule="exact"/>
        <w:rPr>
          <w:rFonts w:ascii="Arial" w:cs="Arial" w:eastAsia="Arial" w:hAnsi="Arial"/>
          <w:sz w:val="18"/>
          <w:szCs w:val="18"/>
          <w:color w:val="auto"/>
        </w:rPr>
      </w:pPr>
    </w:p>
    <w:p>
      <w:pPr>
        <w:ind w:left="1040" w:hanging="452"/>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regulatory clearance, certification or approval where required for our products in various countries;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Requirements to maintain data and the processing of that data on servers located within such countries;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Complexities associated with managing multiple payor reimbursement regimes, government payors or patient self-pay systems;</w:t>
      </w:r>
    </w:p>
    <w:p>
      <w:pPr>
        <w:spacing w:after="0" w:line="200" w:lineRule="exact"/>
        <w:rPr>
          <w:rFonts w:ascii="Arial" w:cs="Arial" w:eastAsia="Arial" w:hAnsi="Arial"/>
          <w:sz w:val="17"/>
          <w:szCs w:val="17"/>
          <w:color w:val="auto"/>
        </w:rPr>
      </w:pPr>
    </w:p>
    <w:p>
      <w:pPr>
        <w:spacing w:after="0" w:line="320" w:lineRule="exact"/>
        <w:rPr>
          <w:rFonts w:ascii="Arial" w:cs="Arial" w:eastAsia="Arial" w:hAnsi="Arial"/>
          <w:sz w:val="17"/>
          <w:szCs w:val="17"/>
          <w:color w:val="auto"/>
        </w:rPr>
      </w:pPr>
    </w:p>
    <w:p>
      <w:pPr>
        <w:ind w:left="1040" w:hanging="452"/>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we are required to manufacture our products locally;</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right="60" w:hanging="452"/>
        <w:spacing w:after="0" w:line="279"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foreign tax laws and complexities of foreign value-added tax systems, the effect of local and regional financial pressures on demand and payment for our products and exposure to foreign currency exchange rate fluctuations;</w:t>
      </w:r>
    </w:p>
    <w:p>
      <w:pPr>
        <w:spacing w:after="0" w:line="223" w:lineRule="exact"/>
        <w:rPr>
          <w:rFonts w:ascii="Arial" w:cs="Arial" w:eastAsia="Arial" w:hAnsi="Arial"/>
          <w:sz w:val="18"/>
          <w:szCs w:val="18"/>
          <w:color w:val="auto"/>
        </w:rPr>
      </w:pPr>
    </w:p>
    <w:p>
      <w:pPr>
        <w:ind w:left="1040" w:hanging="452"/>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Restrictions on the site-of-service for use of our products and the economics related thereto for physicians, providers and payors;</w:t>
      </w:r>
    </w:p>
    <w:p>
      <w:pPr>
        <w:spacing w:after="0" w:line="200" w:lineRule="exact"/>
        <w:rPr>
          <w:rFonts w:ascii="Arial" w:cs="Arial" w:eastAsia="Arial" w:hAnsi="Arial"/>
          <w:sz w:val="17"/>
          <w:szCs w:val="17"/>
          <w:color w:val="auto"/>
        </w:rPr>
      </w:pPr>
    </w:p>
    <w:p>
      <w:pPr>
        <w:spacing w:after="0" w:line="320" w:lineRule="exact"/>
        <w:rPr>
          <w:rFonts w:ascii="Arial" w:cs="Arial" w:eastAsia="Arial" w:hAnsi="Arial"/>
          <w:sz w:val="17"/>
          <w:szCs w:val="17"/>
          <w:color w:val="auto"/>
        </w:rPr>
      </w:pPr>
    </w:p>
    <w:p>
      <w:pPr>
        <w:ind w:left="1040" w:hanging="452"/>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foreign currency exchange rates and costs associated with hedging against such changes;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right="80" w:hanging="452"/>
        <w:spacing w:after="0" w:line="293"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political unrest, outbreak of disease, boycotts, curtailment of trade and other market restrictions; and</w:t>
      </w:r>
    </w:p>
    <w:p>
      <w:pPr>
        <w:spacing w:after="0" w:line="210" w:lineRule="exact"/>
        <w:rPr>
          <w:rFonts w:ascii="Arial" w:cs="Arial" w:eastAsia="Arial" w:hAnsi="Arial"/>
          <w:sz w:val="18"/>
          <w:szCs w:val="18"/>
          <w:color w:val="auto"/>
        </w:rPr>
      </w:pPr>
    </w:p>
    <w:p>
      <w:pPr>
        <w:ind w:left="1040" w:right="220" w:hanging="452"/>
        <w:spacing w:after="0" w:line="279"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activities subject to regulation under the United States Foreign Corrupt Practices Act of 1977, or FCPA, U.K. Bribery Act of 2010 and comparable laws and regulations in other countries.</w:t>
      </w:r>
    </w:p>
    <w:p>
      <w:pPr>
        <w:spacing w:after="0" w:line="196"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have a material adverse effect on our business, financial condition and results of operations.</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68" w:name="page69"/>
    <w:bookmarkEnd w:id="68"/>
    <w:p>
      <w:pPr>
        <w:ind w:right="540"/>
        <w:spacing w:after="0" w:line="359" w:lineRule="auto"/>
        <w:rPr>
          <w:sz w:val="20"/>
          <w:szCs w:val="20"/>
          <w:color w:val="auto"/>
        </w:rPr>
      </w:pPr>
      <w:r>
        <w:rPr>
          <w:rFonts w:ascii="Arial" w:cs="Arial" w:eastAsia="Arial" w:hAnsi="Arial"/>
          <w:sz w:val="16"/>
          <w:szCs w:val="16"/>
          <w:b w:val="1"/>
          <w:bCs w:val="1"/>
          <w:i w:val="1"/>
          <w:iCs w:val="1"/>
          <w:color w:val="auto"/>
        </w:rPr>
        <w:t>We could be adversely affected by violations of the FCPA and similar worldwide anti-bribery laws and any investigation, and the outcome of any investigation, by government agencies of possible violations by us of the FCPA could have a material adverse effect on our business.</w:t>
      </w:r>
    </w:p>
    <w:p>
      <w:pPr>
        <w:spacing w:after="0" w:line="17" w:lineRule="exact"/>
        <w:rPr>
          <w:sz w:val="20"/>
          <w:szCs w:val="20"/>
          <w:color w:val="auto"/>
        </w:rPr>
      </w:pPr>
    </w:p>
    <w:p>
      <w:pPr>
        <w:ind w:firstLine="509"/>
        <w:spacing w:after="0" w:line="305" w:lineRule="auto"/>
        <w:rPr>
          <w:sz w:val="20"/>
          <w:szCs w:val="20"/>
          <w:color w:val="auto"/>
        </w:rPr>
      </w:pPr>
      <w:r>
        <w:rPr>
          <w:rFonts w:ascii="Arial" w:cs="Arial" w:eastAsia="Arial" w:hAnsi="Arial"/>
          <w:sz w:val="16"/>
          <w:szCs w:val="16"/>
          <w:color w:val="auto"/>
        </w:rPr>
        <w:t>The FCPA and similar worldwide anti-bribery and anti-corruption laws prohibit companies and their intermediaries from corruptly providing any payments or other benefits to government officials for the purpose of obtaining or retaining business. The U.S. Departments of Justice, Commerce, State and Treasury and other federal agencies and authorities have a broad range of civil and criminal penalties they may seek to impose against corporations and individuals for violations of economic sanctions laws, export control laws, the FCPA, and other federal statutes and regulations, including those established by the Office of Foreign Assets Control, or OFAC. In addition, the U.K. Bribery Act of 2010, or the Bribery Act, prohibits both domestic and international bribery, as well as bribery across both private and public sectors. An organization that fails to prevent bribery by anyone associated with the organization can be charged under the Bribery Act unless the organization can establish the defense of having implemented adequate procedures to prevent bribery. Under these laws and regulations, as well as other anti-corruption laws, anti-money laundering laws, export control laws, customs laws, sanctions laws and other laws governing our operations, various government agencies may require export licenses, may seek to impose modifications to business practices, including cessation of business activities in sanctioned countries or with sanctioned persons or entities and modifications to compliance programs, which may increase compliance costs, and may subject us to fines, penalties and other sanctions.</w:t>
      </w:r>
    </w:p>
    <w:p>
      <w:pPr>
        <w:spacing w:after="0" w:line="169"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We have commenced commercial sales of OMNI in certain European countries through a combination of direct sales personnel and independent distributors, and we are also in the process of conducting an EU-based clinical investigation. Further, a portion of our business with respect to our manufacturing is conducted outside of the United States. We expect our international activities to increase in the future. Though we maintain policies, internal controls and other measures reasonably designed to promote compliance with applicable anticorruption and anti-bribery laws and regulations, and certain safeguards designed to ensure compliance with U.S. trade control laws, our employees or agents may nevertheless engage in improper conduct for which we might be held responsible. Any violations of these anti-corruption or trade controls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be subject to criminal and civil enforcement action, suffer severe fines and penalties, profit disgorgement, injunctions on future conduct, securities litigation, bans on transacting government business, delisting from securities exchanges and other consequences that may have a material adverse effect on our business, financial condition and results of operations. In addition, our reputation, our net sales or our stock price could be adversely affected if we become the subject of any negative publicity related to actual or potential violations of anti-corruption, anti-bribery or trade control laws and regulations.</w:t>
      </w:r>
    </w:p>
    <w:p>
      <w:pPr>
        <w:spacing w:after="0" w:line="290"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b w:val="1"/>
          <w:bCs w:val="1"/>
          <w:i w:val="1"/>
          <w:iCs w:val="1"/>
          <w:color w:val="auto"/>
        </w:rPr>
        <w:t>Changes in government trade policies, including the imposition of tariffs and export restrictions, could have a negative impact on our manufacturing process, which may materially and adversely affect our sales and results of operations.</w:t>
      </w:r>
    </w:p>
    <w:p>
      <w:pPr>
        <w:spacing w:after="0" w:line="62"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Certain public officials, including members of the current U.S. Congress, have made public statements indicating the possibility of significant changes in U.S. trade policy and have taken certain actions that may impact U.S. trade policy, including imposing new or increased tariffs on certain goods imported into the United States during the Trump administration. For example, the United States and China have imposed a number of tariffs and other restrictions on items imported or exported between the United States and China, and have proposed to impose a number of additional tariffs. We cannot predict what actions may ultimately be taken with respect to tariffs or trade relations between the United States and China or other countries, what products may be subject to such actions, or what actions may be taken by the other countries in retaliation.</w:t>
      </w:r>
    </w:p>
    <w:p>
      <w:pPr>
        <w:spacing w:after="0" w:line="176" w:lineRule="exact"/>
        <w:rPr>
          <w:sz w:val="20"/>
          <w:szCs w:val="20"/>
          <w:color w:val="auto"/>
        </w:rPr>
      </w:pPr>
    </w:p>
    <w:p>
      <w:pPr>
        <w:ind w:right="300" w:firstLine="509"/>
        <w:spacing w:after="0" w:line="296" w:lineRule="auto"/>
        <w:rPr>
          <w:sz w:val="20"/>
          <w:szCs w:val="20"/>
          <w:color w:val="auto"/>
        </w:rPr>
      </w:pPr>
      <w:r>
        <w:rPr>
          <w:rFonts w:ascii="Arial" w:cs="Arial" w:eastAsia="Arial" w:hAnsi="Arial"/>
          <w:sz w:val="17"/>
          <w:szCs w:val="17"/>
          <w:color w:val="auto"/>
        </w:rPr>
        <w:t>Since certain of our critical product and product component manufacturers are located outside the United States, such changes, if adopted, could have a negative impact on our business and make our products more expensive and less competitive in domestic markets. Furthermore, changes in U.S. trade policy could trigger retaliatory actions by affected countries, which could impose restrictions on our ability to do business in or with affected countries or prohibit, reduce or discourage purchases of our products by foreign customers. Changes in, and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69" w:name="page70"/>
    <w:bookmarkEnd w:id="69"/>
    <w:p>
      <w:pPr>
        <w:ind w:right="460"/>
        <w:spacing w:after="0" w:line="293" w:lineRule="auto"/>
        <w:rPr>
          <w:sz w:val="20"/>
          <w:szCs w:val="20"/>
          <w:color w:val="auto"/>
        </w:rPr>
      </w:pPr>
      <w:r>
        <w:rPr>
          <w:rFonts w:ascii="Arial" w:cs="Arial" w:eastAsia="Arial" w:hAnsi="Arial"/>
          <w:sz w:val="18"/>
          <w:szCs w:val="18"/>
          <w:color w:val="auto"/>
        </w:rPr>
        <w:t>responses to, U.S. trade policy could reduce the competitiveness of our products and cause our sales to decline, which could materially and adversely impact our business, financial condition and results of operations.</w:t>
      </w:r>
    </w:p>
    <w:p>
      <w:pPr>
        <w:spacing w:after="0" w:line="278"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62" w:lineRule="exact"/>
        <w:rPr>
          <w:sz w:val="20"/>
          <w:szCs w:val="20"/>
          <w:color w:val="auto"/>
        </w:rPr>
      </w:pPr>
    </w:p>
    <w:p>
      <w:pPr>
        <w:ind w:right="100" w:firstLine="509"/>
        <w:spacing w:after="0" w:line="311" w:lineRule="auto"/>
        <w:rPr>
          <w:sz w:val="20"/>
          <w:szCs w:val="20"/>
          <w:color w:val="auto"/>
        </w:rPr>
      </w:pPr>
      <w:r>
        <w:rPr>
          <w:rFonts w:ascii="Arial" w:cs="Arial" w:eastAsia="Arial" w:hAnsi="Arial"/>
          <w:sz w:val="16"/>
          <w:szCs w:val="16"/>
          <w:color w:val="auto"/>
        </w:rPr>
        <w:t>Following a national referendum and enactment of legislation by the government of the United Kingdom, the United Kingdom formally withdrew from the European Union and ratified a trade and cooperation agreement governing its future relationship with the European Union. The agreement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163"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Following the end of the “Brexit” Transition Period, from January 1, 2021 onwards, the Medicines and Healthcare Products Regulatory Agency, or the MHRA, will be responsible for the UK medical device market. The new regulations will require medical devices to be registered with the MHRA (but manufacturers will be given a grace period of four to 12 months to comply with the new registration process). Manufacturers based outside the UK will need to appoint a UK Responsible Person to register devices with the MHRA in line with the grace periods. By July 1, 2023, in the UK (England, Scotland, and Wales), all medical devices will require a UKCA (UK Conformity Assessed) mark but CE marks issued by EU Notified Bodies will remain valid until this period. However, UKCA marking alone will not be recognized in the EU. The rules for placing medical devices on the Northern Ireland market will differ from those in the UK. These modifications may have an effect on the way we conduct our business.</w:t>
      </w:r>
    </w:p>
    <w:p>
      <w:pPr>
        <w:spacing w:after="0" w:line="181" w:lineRule="exact"/>
        <w:rPr>
          <w:sz w:val="20"/>
          <w:szCs w:val="20"/>
          <w:color w:val="auto"/>
        </w:rPr>
      </w:pPr>
    </w:p>
    <w:p>
      <w:pPr>
        <w:ind w:right="120" w:firstLine="509"/>
        <w:spacing w:after="0" w:line="292" w:lineRule="auto"/>
        <w:rPr>
          <w:sz w:val="20"/>
          <w:szCs w:val="20"/>
          <w:color w:val="auto"/>
        </w:rPr>
      </w:pPr>
      <w:r>
        <w:rPr>
          <w:rFonts w:ascii="Arial" w:cs="Arial" w:eastAsia="Arial" w:hAnsi="Arial"/>
          <w:sz w:val="17"/>
          <w:szCs w:val="17"/>
          <w:color w:val="auto"/>
        </w:rPr>
        <w:t>These developments, or the perception that any related developments could occur, have had and may continue to have a material adverse effect on global economic conditions and financial markets, and could significantly reduce global market liquidity and restrict the ability of key market participants to operate in certain financial markets. Asset valuations, currency exchange rates and credit ratings have been and may continue to be subject to increased market volatility. Lack of clarity about future United Kingdom laws and regulations as the United Kingdom determines which European Union laws to replace or replicate could depress economic activity and investment in healthcare technology products.</w:t>
      </w:r>
    </w:p>
    <w:p>
      <w:pPr>
        <w:spacing w:after="0" w:line="174"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The withdrawal has also given rise to calls for the governments of other EU member states to consider withdrawal. These developments, or the perception that any of them could occur,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have a material adverse effect on our business, financial condition and results of operations and reduce the price of our common stock. Any of these factors could have a material adverse effect on our business, financial condition and results of operations.</w:t>
      </w:r>
    </w:p>
    <w:p>
      <w:pPr>
        <w:spacing w:after="0" w:line="299" w:lineRule="exact"/>
        <w:rPr>
          <w:sz w:val="20"/>
          <w:szCs w:val="20"/>
          <w:color w:val="auto"/>
        </w:rPr>
      </w:pPr>
    </w:p>
    <w:p>
      <w:pPr>
        <w:ind w:right="380"/>
        <w:spacing w:after="0" w:line="394" w:lineRule="auto"/>
        <w:rPr>
          <w:sz w:val="20"/>
          <w:szCs w:val="20"/>
          <w:color w:val="auto"/>
        </w:rPr>
      </w:pPr>
      <w:r>
        <w:rPr>
          <w:rFonts w:ascii="Arial" w:cs="Arial" w:eastAsia="Arial" w:hAnsi="Arial"/>
          <w:sz w:val="15"/>
          <w:szCs w:val="15"/>
          <w:b w:val="1"/>
          <w:bCs w:val="1"/>
          <w:i w:val="1"/>
          <w:iCs w:val="1"/>
          <w:color w:val="auto"/>
        </w:rPr>
        <w:t>Security breaches, loss of data and other disruptions could compromise sensitive information related to our business or our customer’s patients, or prevent us from accessing critical information and expose us to liability, which could adversely affect our business and our reputation.</w:t>
      </w:r>
    </w:p>
    <w:p>
      <w:pPr>
        <w:spacing w:after="0" w:line="1" w:lineRule="exact"/>
        <w:rPr>
          <w:sz w:val="20"/>
          <w:szCs w:val="20"/>
          <w:color w:val="auto"/>
        </w:rPr>
      </w:pPr>
    </w:p>
    <w:p>
      <w:pPr>
        <w:ind w:right="180" w:firstLine="509"/>
        <w:spacing w:after="0" w:line="309" w:lineRule="auto"/>
        <w:rPr>
          <w:sz w:val="20"/>
          <w:szCs w:val="20"/>
          <w:color w:val="auto"/>
        </w:rPr>
      </w:pPr>
      <w:r>
        <w:rPr>
          <w:rFonts w:ascii="Arial" w:cs="Arial" w:eastAsia="Arial" w:hAnsi="Arial"/>
          <w:sz w:val="16"/>
          <w:szCs w:val="16"/>
          <w:color w:val="auto"/>
        </w:rPr>
        <w:t>In the ordinary course of our business, we may become exposed to, or collect and store, sensitive data, including procedure-based information and legally-protected health information, credit card, and other financial information, insurance information, and other potentially personally identifiable information. We also store sensitive intellectual property and other proprietary business information. We are taking measures to implement policies and procedures designed to ensure compliance with applicable data security and privacy-related laws and regulations and protect sensitive information from unauthorized access or disclosure. However, our information technology, or IT, and infrastructure, and that of our third-party billing and collections provider and other technology partners and providers, may be vulnerable to cyber-attacks by hackers or viruses or breaches due to employee error, malfeasance or other disruptions. We rely extensively on IT systems, networks and services, including internet sites, data hosting</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0" w:name="page71"/>
    <w:bookmarkEnd w:id="70"/>
    <w:p>
      <w:pPr>
        <w:spacing w:after="0" w:line="303" w:lineRule="auto"/>
        <w:rPr>
          <w:sz w:val="20"/>
          <w:szCs w:val="20"/>
          <w:color w:val="auto"/>
        </w:rPr>
      </w:pPr>
      <w:r>
        <w:rPr>
          <w:rFonts w:ascii="Arial" w:cs="Arial" w:eastAsia="Arial" w:hAnsi="Arial"/>
          <w:sz w:val="16"/>
          <w:szCs w:val="16"/>
          <w:color w:val="auto"/>
        </w:rPr>
        <w:t>and processing facilities and tools, physical security systems and other hardware, software and technical applications and platforms, some of which are managed, hosted, provided and/or used by third parties or their vendors, to assist in conducting our business. A significant breakdown, invasion, corruption, destruction or interruption of critical information technology systems or infrastructure, by our workforce, others with authorized access to our systems or unauthorized persons could negatively impact operations. The ever-increasing use and evolution of technology, including cloud-based computing, creates opportunities for the unintentional dissemination or intentional destruction of confidential information stored in our or our third-party providers’ systems, portable media or storage devices. For example, companies have experienced an increase in phishing and social engineering attacks from third parties in connection with the COVID-19 pandemic. We could also experience a business interruption, theft of confidential information or reputational damage from industrial espionage attacks, malware or other cyber-attacks, which may compromise our system infrastructure or lead to data leakage, either internally or at our third-party providers. Although the aggregate impact on our operations and financial condition has not been material to date, we have been the target of events of this nature and expect them to continue as cybersecurity threats have been rapidly evolving in sophistication and becoming more prevalent in the industry. We are investing in protections and monitoring practices of our data and IT to reduce these risks and continue to monitor our systems on an ongoing basis for any current or potential threats. There can be no assurance, however, that our efforts will prevent breakdowns or breaches to our or our third-party providers’ databases or systems, and such breakdowns or breaches could adversely affect our business, financial condition and reputation. We also intend to mitigate the risks related to these risks by purchasing cybersecurity insurance. However, such insurance, if purchased, will not necessarily cover all costs and impacts related to these risks.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will depend on our, and any of our future licensors’, ability to obtain, maintain and protect our intellectual property rights.</w:t>
      </w:r>
    </w:p>
    <w:p>
      <w:pPr>
        <w:spacing w:after="0" w:line="142"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Our commercial success will depend in part on our, and any of our future licensors’, success in obtaining and maintaining issued patents, trademarks and other intellectual property rights in the United States and elsewhere and protecting our proprietary technology. If we, or any of our future licensors, do not adequately protect our intellectual property and proprietary technology, competitors may be able to use our technologies or the goodwill we have acquired in the marketplace and erode or negate any competitive advantage we may have, which could harm our business and ability to achieve profitability.</w:t>
      </w:r>
    </w:p>
    <w:p>
      <w:pPr>
        <w:spacing w:after="0" w:line="191" w:lineRule="exact"/>
        <w:rPr>
          <w:sz w:val="20"/>
          <w:szCs w:val="20"/>
          <w:color w:val="auto"/>
        </w:rPr>
      </w:pPr>
    </w:p>
    <w:p>
      <w:pPr>
        <w:ind w:right="200" w:firstLine="509"/>
        <w:spacing w:after="0" w:line="314" w:lineRule="auto"/>
        <w:rPr>
          <w:sz w:val="20"/>
          <w:szCs w:val="20"/>
          <w:color w:val="auto"/>
        </w:rPr>
      </w:pPr>
      <w:r>
        <w:rPr>
          <w:rFonts w:ascii="Arial" w:cs="Arial" w:eastAsia="Arial" w:hAnsi="Arial"/>
          <w:sz w:val="16"/>
          <w:szCs w:val="16"/>
          <w:color w:val="auto"/>
        </w:rPr>
        <w:t>We rely on a combination of contractual provisions, confidentiality procedures and patent, copyright, trademark, trade secret and other intellectual property laws to protect the proprietary aspects of our products, brands, technologies and data. These legal measures afford only limited protection, and competitors or others may gain access to or use our intellectual property and proprietary information. Our success will depend, in part, on preserving our trade secrets, maintaining the security of our data and know-how and obtaining and maintaining other intellectual property rights. We may not be able to obtain or maintain intellectual property or other proprietary rights necessary to our business or in a form that provides us with a competitive advantage.</w:t>
      </w:r>
    </w:p>
    <w:p>
      <w:pPr>
        <w:spacing w:after="0" w:line="160"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In addition, despite our efforts to enter into confidentiality agreements with our employees, consultants, suppliers, clients and other vendors who have access to information that we regard as proprietary, our trade secrets, data, know-how and other proprietary information and technology could be subject to unauthorized access, use, misappropriation, or disclosure to unauthorized parties, and could otherwise become known or be independently discovered by third parties. Our intellectual property, including trademarks, could be challenged, invalidated, infringed, misappropriated, violated and circumvented by third parties, and our trademarks could also be diluted, declared generic or found to be infringing on other marks. If any of the foregoing occurs, we could be forced to re-brand our products, resulting in loss of brand recognition and requiring us to devote resources to advertising and marketing new brands and causing us to suffer other competitive harm. Third parties may also adopt trademarks similar to ours, which could harm our brand identity and lead to market confusion.</w:t>
      </w:r>
    </w:p>
    <w:p>
      <w:pPr>
        <w:spacing w:after="0" w:line="196" w:lineRule="exact"/>
        <w:rPr>
          <w:sz w:val="20"/>
          <w:szCs w:val="20"/>
          <w:color w:val="auto"/>
        </w:rPr>
      </w:pPr>
    </w:p>
    <w:p>
      <w:pPr>
        <w:ind w:right="320" w:firstLine="509"/>
        <w:spacing w:after="0" w:line="329" w:lineRule="auto"/>
        <w:rPr>
          <w:sz w:val="20"/>
          <w:szCs w:val="20"/>
          <w:color w:val="auto"/>
        </w:rPr>
      </w:pPr>
      <w:r>
        <w:rPr>
          <w:rFonts w:ascii="Arial" w:cs="Arial" w:eastAsia="Arial" w:hAnsi="Arial"/>
          <w:sz w:val="16"/>
          <w:szCs w:val="16"/>
          <w:color w:val="auto"/>
        </w:rPr>
        <w:t>Failure to obtain and maintain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1" w:name="page72"/>
    <w:bookmarkEnd w:id="71"/>
    <w:p>
      <w:pPr>
        <w:ind w:right="260"/>
        <w:spacing w:after="0" w:line="359" w:lineRule="auto"/>
        <w:rPr>
          <w:sz w:val="20"/>
          <w:szCs w:val="20"/>
          <w:color w:val="auto"/>
        </w:rPr>
      </w:pPr>
      <w:r>
        <w:rPr>
          <w:rFonts w:ascii="Arial" w:cs="Arial" w:eastAsia="Arial" w:hAnsi="Arial"/>
          <w:sz w:val="16"/>
          <w:szCs w:val="16"/>
          <w:color w:val="auto"/>
        </w:rPr>
        <w:t>the future to prevent the infringement, use, violation or misappropriation of our patents, trademarks, data, technology and other intellectual property and services, and may not provide an adequate remedy if our intellectual property rights are infringed, misappropriated or otherwise violated.</w:t>
      </w:r>
    </w:p>
    <w:p>
      <w:pPr>
        <w:spacing w:after="0" w:line="125" w:lineRule="exact"/>
        <w:rPr>
          <w:sz w:val="20"/>
          <w:szCs w:val="20"/>
          <w:color w:val="auto"/>
        </w:rPr>
      </w:pPr>
    </w:p>
    <w:p>
      <w:pPr>
        <w:ind w:firstLine="509"/>
        <w:spacing w:after="0" w:line="284" w:lineRule="auto"/>
        <w:rPr>
          <w:sz w:val="20"/>
          <w:szCs w:val="20"/>
          <w:color w:val="auto"/>
        </w:rPr>
      </w:pPr>
      <w:r>
        <w:rPr>
          <w:rFonts w:ascii="Arial" w:cs="Arial" w:eastAsia="Arial" w:hAnsi="Arial"/>
          <w:sz w:val="17"/>
          <w:szCs w:val="17"/>
          <w:color w:val="auto"/>
        </w:rPr>
        <w:t>Our business relies, in part, on our ability to obtain, maintain, expand, enforce, and defend the scope of our intellectual property portfolio or other proprietary rights, including making any payments required in connection with the licensing, filing, defense and enforcement of any patents or other intellectual property rights. The process of applying for and obtaining a patent is expensive, time consuming and complex, and we may not be able to prepare, file, prosecute, maintain, enforce or license all necessary or desirable patent applications and patents at a reasonable cost, in a timely manner, or in all jurisdictions where protection may be commercially advantageous, or we may not be able to protect our proprietary rights at all. It is also possible that we may fail to identify patentable aspects of inventions made in the course of development and commercialization activities before it is too late to obtain patent protection on them.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maintained, and/or enforced in a manner consistent with the best interests of our business. Despite our efforts to protect our proprietary rights, unauthorized parties may be able to obtain and use information that we regard as proprietary. Additionally, if there are material defects in the form, preparation or prosecution of our patents or patent applications, such patents or applications may be invalid and unenforceable. Any of these outcomes could impair our ability to prevent competition from third parties, which may have an adverse impact on our business.</w:t>
      </w:r>
    </w:p>
    <w:p>
      <w:pPr>
        <w:spacing w:after="0" w:line="182" w:lineRule="exact"/>
        <w:rPr>
          <w:sz w:val="20"/>
          <w:szCs w:val="20"/>
          <w:color w:val="auto"/>
        </w:rPr>
      </w:pPr>
    </w:p>
    <w:p>
      <w:pPr>
        <w:ind w:right="120" w:firstLine="509"/>
        <w:spacing w:after="0" w:line="308" w:lineRule="auto"/>
        <w:rPr>
          <w:sz w:val="20"/>
          <w:szCs w:val="20"/>
          <w:color w:val="auto"/>
        </w:rPr>
      </w:pPr>
      <w:r>
        <w:rPr>
          <w:rFonts w:ascii="Arial" w:cs="Arial" w:eastAsia="Arial" w:hAnsi="Arial"/>
          <w:sz w:val="16"/>
          <w:szCs w:val="16"/>
          <w:color w:val="auto"/>
        </w:rPr>
        <w:t>The patent positions of medical device companies may involve complex legal and factual questions and have been the subject of much litigation in recent years, and therefore, the scope, validity and enforceability of any patent claims that we have or may obtain cannot be predicted with certainty. We cannot offer any assurances about which of our patent applications will issue, the breadth of any resulting patent or whether any of the issued patents will be found to be infringed, invalid or unenforceable or will be threatened or challenged by third parties. The coverage claimed in a patent application can be significantly reduced before the patent is issued, and its scope can be reinterpreted after issuance. We cannot offer any assurances that the breadth of our granted patents will be sufficient to stop a competitor from developing and commercializing a product in a non-infringing manner that would be competitive with one or more of our products, or otherwise provide us with any competitive advantage. Furthermore, any successful challenge to these patents or any other patents owned by or licensed to us after patent issuance could deprive us of rights necessary for our commercial success.</w:t>
      </w:r>
    </w:p>
    <w:p>
      <w:pPr>
        <w:spacing w:after="0" w:line="163" w:lineRule="exact"/>
        <w:rPr>
          <w:sz w:val="20"/>
          <w:szCs w:val="20"/>
          <w:color w:val="auto"/>
        </w:rPr>
      </w:pPr>
    </w:p>
    <w:p>
      <w:pPr>
        <w:ind w:right="40" w:firstLine="509"/>
        <w:spacing w:after="0" w:line="272" w:lineRule="auto"/>
        <w:rPr>
          <w:sz w:val="20"/>
          <w:szCs w:val="20"/>
          <w:color w:val="auto"/>
        </w:rPr>
      </w:pPr>
      <w:r>
        <w:rPr>
          <w:rFonts w:ascii="Arial" w:cs="Arial" w:eastAsia="Arial" w:hAnsi="Arial"/>
          <w:sz w:val="18"/>
          <w:szCs w:val="18"/>
          <w:color w:val="auto"/>
        </w:rPr>
        <w:t>Patents have a limited lifespan. In the United States, the natural expiration of a utility patent is generally 20 years. Further, if we encounter delays in any future regulatory approvals, the period of time during which we could market a product under patent protection could be reduced, and, given the amount of time required for the development, testing and regulatory review of planned or future products, patents protecting such products might expire before or shortly after such products are commercialized. As a result, our intellectual property may not provide us with sufficient rights to exclude others from commercializing products similar or identical to ours.</w:t>
      </w:r>
    </w:p>
    <w:p>
      <w:pPr>
        <w:spacing w:after="0" w:line="191"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Though an issued patent is presumed valid and enforceable, its issuance is not conclusive as to its validity or its enforceability and it may not provide us with adequate proprietary protection or competitive advantages against competitors with similar products.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2" w:name="page73"/>
    <w:bookmarkEnd w:id="72"/>
    <w:p>
      <w:pPr>
        <w:spacing w:after="0" w:line="269" w:lineRule="auto"/>
        <w:rPr>
          <w:sz w:val="20"/>
          <w:szCs w:val="20"/>
          <w:color w:val="auto"/>
        </w:rPr>
      </w:pPr>
      <w:r>
        <w:rPr>
          <w:rFonts w:ascii="Arial" w:cs="Arial" w:eastAsia="Arial" w:hAnsi="Arial"/>
          <w:sz w:val="18"/>
          <w:szCs w:val="18"/>
          <w:color w:val="auto"/>
        </w:rPr>
        <w:t>may be costly. Thus, any patents that we may own may not provide the anticipated level of, or any, protection against competitors. Furthermore, an adverse decision may result in a third party receiving a patent right sought by us, which in turn could affect our ability to commercialize our products. Competitors could purchase our products and attempt to replicate or reverse engineer some or all of the competitive advantages we derive from our development efforts, willfully infringe, misappropriate or otherwise violate our intellectual property rights, design around our patents, or develop and obtain patent protection for more effective technologies, designs or methods. We may be unable to prevent the unauthorized disclosure or use of our technical knowledge or trade secrets by consultants, suppliers, vendors, former employees and current employees. Further, the laws of some foreign countries do not protect our proprietary rights to the same extent as the laws of the United States, and we may encounter significant problems in protecting our proprietary rights in these countries.</w:t>
      </w:r>
    </w:p>
    <w:p>
      <w:pPr>
        <w:spacing w:after="0" w:line="196" w:lineRule="exact"/>
        <w:rPr>
          <w:sz w:val="20"/>
          <w:szCs w:val="20"/>
          <w:color w:val="auto"/>
        </w:rPr>
      </w:pPr>
    </w:p>
    <w:p>
      <w:pPr>
        <w:ind w:right="120" w:firstLine="509"/>
        <w:spacing w:after="0" w:line="272" w:lineRule="auto"/>
        <w:rPr>
          <w:sz w:val="20"/>
          <w:szCs w:val="20"/>
          <w:color w:val="auto"/>
        </w:rPr>
      </w:pPr>
      <w:r>
        <w:rPr>
          <w:rFonts w:ascii="Arial" w:cs="Arial" w:eastAsia="Arial" w:hAnsi="Arial"/>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products are invalidated, found unenforceable or interpreted narrowly, or if a court found that valid, enforceable patents held by third parties covered one or more of our products, our competitive position could be harmed or we could be required to incur significant expenses to enforce or defend our rights.</w:t>
      </w:r>
    </w:p>
    <w:p>
      <w:pPr>
        <w:spacing w:after="0" w:line="191" w:lineRule="exact"/>
        <w:rPr>
          <w:sz w:val="20"/>
          <w:szCs w:val="20"/>
          <w:color w:val="auto"/>
        </w:rPr>
      </w:pPr>
    </w:p>
    <w:p>
      <w:pPr>
        <w:ind w:right="20" w:firstLine="509"/>
        <w:spacing w:after="0" w:line="296" w:lineRule="auto"/>
        <w:rPr>
          <w:sz w:val="20"/>
          <w:szCs w:val="20"/>
          <w:color w:val="auto"/>
        </w:rPr>
      </w:pPr>
      <w:r>
        <w:rPr>
          <w:rFonts w:ascii="Arial" w:cs="Arial" w:eastAsia="Arial" w:hAnsi="Arial"/>
          <w:sz w:val="17"/>
          <w:szCs w:val="17"/>
          <w:color w:val="auto"/>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66" w:lineRule="exact"/>
        <w:rPr>
          <w:sz w:val="20"/>
          <w:szCs w:val="20"/>
          <w:color w:val="auto"/>
        </w:rPr>
      </w:pPr>
    </w:p>
    <w:p>
      <w:pPr>
        <w:ind w:left="1040" w:hanging="452"/>
        <w:spacing w:after="0"/>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of our patents, or any of our pending patent applications, if issued, will include claims having a scope sufficient to protect our products;</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040" w:hanging="452"/>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right="440" w:hanging="452"/>
        <w:spacing w:after="0" w:line="293"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products on a substantial scale, if approved, before our relevant patents we may have expire;</w:t>
      </w:r>
    </w:p>
    <w:p>
      <w:pPr>
        <w:spacing w:after="0" w:line="210" w:lineRule="exact"/>
        <w:rPr>
          <w:rFonts w:ascii="Arial" w:cs="Arial" w:eastAsia="Arial" w:hAnsi="Arial"/>
          <w:sz w:val="18"/>
          <w:szCs w:val="18"/>
          <w:color w:val="auto"/>
        </w:rPr>
      </w:pPr>
    </w:p>
    <w:p>
      <w:pPr>
        <w:ind w:left="1040" w:hanging="452"/>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of our challenged patents will be found to ultimately be valid and enforceable;</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right="700" w:hanging="452"/>
        <w:spacing w:after="0" w:line="293"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210" w:lineRule="exact"/>
        <w:rPr>
          <w:rFonts w:ascii="Arial" w:cs="Arial" w:eastAsia="Arial" w:hAnsi="Arial"/>
          <w:sz w:val="18"/>
          <w:szCs w:val="18"/>
          <w:color w:val="auto"/>
        </w:rPr>
      </w:pPr>
    </w:p>
    <w:p>
      <w:pPr>
        <w:ind w:left="1040" w:hanging="452"/>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products that are separately patentable; or</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of others.</w:t>
      </w:r>
    </w:p>
    <w:p>
      <w:pPr>
        <w:spacing w:after="0" w:line="200" w:lineRule="exact"/>
        <w:rPr>
          <w:sz w:val="20"/>
          <w:szCs w:val="20"/>
          <w:color w:val="auto"/>
        </w:rPr>
      </w:pPr>
    </w:p>
    <w:p>
      <w:pPr>
        <w:spacing w:after="0" w:line="282" w:lineRule="exact"/>
        <w:rPr>
          <w:sz w:val="20"/>
          <w:szCs w:val="20"/>
          <w:color w:val="auto"/>
        </w:rPr>
      </w:pPr>
    </w:p>
    <w:p>
      <w:pPr>
        <w:ind w:firstLine="545"/>
        <w:spacing w:after="0" w:line="288" w:lineRule="auto"/>
        <w:rPr>
          <w:sz w:val="20"/>
          <w:szCs w:val="20"/>
          <w:color w:val="auto"/>
        </w:rPr>
      </w:pPr>
      <w:r>
        <w:rPr>
          <w:rFonts w:ascii="Arial" w:cs="Arial" w:eastAsia="Arial" w:hAnsi="Arial"/>
          <w:sz w:val="17"/>
          <w:szCs w:val="17"/>
          <w:color w:val="auto"/>
        </w:rPr>
        <w:t>Even if we are able to obtain patent protection, such patent protection may be of insufficient scope to achieve our business objectives. Issued patents may be challenged, narrowed, invalidated or circumvented. Decisions by courts and governmental patent agencies may introduce uncertainty in the enforceability or scope of patents owned by or that are in the future licensed to us. Furthermore, the issuance of a patent does not give us the right to practice the patented invention. Third parties may have blocking patents that could prevent us from marketing our own products and practicing our own technology. Alternatively,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agency with jurisdiction may find our patents invalid, unenforceable or not infringed;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3" w:name="page74"/>
    <w:bookmarkEnd w:id="73"/>
    <w:p>
      <w:pPr>
        <w:jc w:val="both"/>
        <w:ind w:right="360"/>
        <w:spacing w:after="0" w:line="279" w:lineRule="auto"/>
        <w:rPr>
          <w:sz w:val="20"/>
          <w:szCs w:val="20"/>
          <w:color w:val="auto"/>
        </w:rPr>
      </w:pPr>
      <w:r>
        <w:rPr>
          <w:rFonts w:ascii="Arial" w:cs="Arial" w:eastAsia="Arial" w:hAnsi="Arial"/>
          <w:sz w:val="18"/>
          <w:szCs w:val="18"/>
          <w:color w:val="auto"/>
        </w:rPr>
        <w:t>competitors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spacing w:after="0" w:line="183"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In addition, 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patent owner or successors in title to the patent to grant a “nonexclusive, partially exclusive, or exclusive license” to a “responsible applicant or applicants.” If the patent owner refuses to do so, the government may grant the license to itself. We cannot be sure that if we acquired intellectual property in the future it will be free from government rights or regulations pursuant to the Bayh-Dole Act. If, in the future, we own, co-own or license in technology which is critical to our business that is developed in whole or in part with federal funds subject to the Bayh-Dole Act, our ability to enforce or otherwise exploit patents covering such technology may be adversely affected. Any of the foregoing could have a material adverse effect on our business, financial condition and results of operations.</w:t>
      </w:r>
    </w:p>
    <w:p>
      <w:pPr>
        <w:spacing w:after="0" w:line="271" w:lineRule="exact"/>
        <w:rPr>
          <w:sz w:val="20"/>
          <w:szCs w:val="20"/>
          <w:color w:val="auto"/>
        </w:rPr>
      </w:pPr>
    </w:p>
    <w:p>
      <w:pPr>
        <w:ind w:right="500"/>
        <w:spacing w:after="0" w:line="279"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5"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The U.S. Patent and Trademark Office, or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often must be paid to the USPTO and foreign patent agencies over the lifetime of the patent and/or applications and any patent rights we may obtain in the future.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we may not be able to stop a competitor from marketing products that are the same as or similar to our products, which would have a material adverse effect on our business, financial condition and results of operations.</w:t>
      </w:r>
    </w:p>
    <w:p>
      <w:pPr>
        <w:spacing w:after="0" w:line="273" w:lineRule="exact"/>
        <w:rPr>
          <w:sz w:val="20"/>
          <w:szCs w:val="20"/>
          <w:color w:val="auto"/>
        </w:rPr>
      </w:pPr>
    </w:p>
    <w:p>
      <w:pPr>
        <w:ind w:right="520"/>
        <w:spacing w:after="0" w:line="293" w:lineRule="auto"/>
        <w:rPr>
          <w:sz w:val="20"/>
          <w:szCs w:val="20"/>
          <w:color w:val="auto"/>
        </w:rPr>
      </w:pPr>
      <w:r>
        <w:rPr>
          <w:rFonts w:ascii="Arial" w:cs="Arial" w:eastAsia="Arial" w:hAnsi="Arial"/>
          <w:sz w:val="18"/>
          <w:szCs w:val="18"/>
          <w:b w:val="1"/>
          <w:bCs w:val="1"/>
          <w:i w:val="1"/>
          <w:iCs w:val="1"/>
          <w:color w:val="auto"/>
        </w:rPr>
        <w:t>We may be unsuccessful in licensing or acquiring intellectual property from third parties that may be required to develop and commercialize our current and/or future products.</w:t>
      </w:r>
    </w:p>
    <w:p>
      <w:pPr>
        <w:spacing w:after="0" w:line="62" w:lineRule="exact"/>
        <w:rPr>
          <w:sz w:val="20"/>
          <w:szCs w:val="20"/>
          <w:color w:val="auto"/>
        </w:rPr>
      </w:pPr>
    </w:p>
    <w:p>
      <w:pPr>
        <w:ind w:right="20" w:firstLine="509"/>
        <w:spacing w:after="0" w:line="306" w:lineRule="auto"/>
        <w:rPr>
          <w:sz w:val="20"/>
          <w:szCs w:val="20"/>
          <w:color w:val="auto"/>
        </w:rPr>
      </w:pPr>
      <w:r>
        <w:rPr>
          <w:rFonts w:ascii="Arial" w:cs="Arial" w:eastAsia="Arial" w:hAnsi="Arial"/>
          <w:sz w:val="16"/>
          <w:szCs w:val="16"/>
          <w:color w:val="auto"/>
        </w:rPr>
        <w:t>A third party may hold intellectual property rights, including patent rights that are important or necessary to the development and commercialization of our current and/or future products. It may be necessary for us to use the patented or proprietary technology of third parties to commercialize our current and/or future products,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we may not be able to develop, manufacture or market a product or future product, which could have a material adverse effect on our business, financial condition and results of operations.</w:t>
      </w:r>
    </w:p>
    <w:p>
      <w:pPr>
        <w:spacing w:after="0" w:line="273"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existing and future products, and could increase the uncertainties and costs surrounding the prosecution of our patent applications and the enforcement or defense of our patents or our future patents.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4" w:name="page75"/>
    <w:bookmarkEnd w:id="74"/>
    <w:p>
      <w:pPr>
        <w:ind w:right="220" w:firstLine="509"/>
        <w:spacing w:after="0" w:line="275" w:lineRule="auto"/>
        <w:rPr>
          <w:sz w:val="20"/>
          <w:szCs w:val="20"/>
          <w:color w:val="auto"/>
        </w:rPr>
      </w:pPr>
      <w:r>
        <w:rPr>
          <w:rFonts w:ascii="Arial" w:cs="Arial" w:eastAsia="Arial" w:hAnsi="Arial"/>
          <w:sz w:val="18"/>
          <w:szCs w:val="18"/>
          <w:color w:val="auto"/>
        </w:rPr>
        <w:t>Our ability to obtain patents and the breadth of any patents obtained is uncertain in part because, to date, some legal principles remain unresolved, and there has not been a consistent policy regarding the breadth or interpretation of claims allowed in patents in the United States and other countries. Furthermore, changes in either patent laws or interpretations of patent laws in the United States and other countries may diminish the value of our intellectual property or narrow the scope of our patent protection.</w:t>
      </w:r>
    </w:p>
    <w:p>
      <w:pPr>
        <w:spacing w:after="0" w:line="185" w:lineRule="exact"/>
        <w:rPr>
          <w:sz w:val="20"/>
          <w:szCs w:val="20"/>
          <w:color w:val="auto"/>
        </w:rPr>
      </w:pPr>
    </w:p>
    <w:p>
      <w:pPr>
        <w:ind w:right="100" w:firstLine="509"/>
        <w:spacing w:after="0" w:line="306" w:lineRule="auto"/>
        <w:rPr>
          <w:sz w:val="20"/>
          <w:szCs w:val="20"/>
          <w:color w:val="auto"/>
        </w:rPr>
      </w:pPr>
      <w:r>
        <w:rPr>
          <w:rFonts w:ascii="Arial" w:cs="Arial" w:eastAsia="Arial" w:hAnsi="Arial"/>
          <w:sz w:val="16"/>
          <w:szCs w:val="16"/>
          <w:color w:val="auto"/>
        </w:rPr>
        <w:t>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own or that we might obtain or license in the future. An inability to obtain, enforce, and defend patents covering our proprietary technologies would materially and adversely affect our business prospects and financial condition.</w:t>
      </w:r>
    </w:p>
    <w:p>
      <w:pPr>
        <w:spacing w:after="0" w:line="170"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other countries,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 Any of the foregoing could have a material adverse effect on our business, financial condition and results of operations.</w:t>
      </w:r>
    </w:p>
    <w:p>
      <w:pPr>
        <w:spacing w:after="0" w:line="290"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b w:val="1"/>
          <w:bCs w:val="1"/>
          <w:i w:val="1"/>
          <w:iCs w:val="1"/>
          <w:color w:val="auto"/>
        </w:rPr>
        <w:t>We may become a party to intellectual property litigation or administrative proceedings that could be costly, time-consuming, unsuccessful, and could interfere with our ability to sell and market our products.</w:t>
      </w:r>
    </w:p>
    <w:p>
      <w:pPr>
        <w:spacing w:after="0" w:line="62"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Our commercial success depends, in part, upon our ability and the ability of future collaborators, if any, to develop, manufacture, market and sell our products and use our proprietary technologies without infringing, misappropriating or otherwise violating the proprietary rights and intellectual property of third parties. The medical device industry has been characterized by extensive litigation regarding patents, trademarks, trade secrets, and other intellectual property rights, and companies in the industry have used intellectual property litigation to gain a competitive advantage.</w:t>
      </w:r>
    </w:p>
    <w:p>
      <w:pPr>
        <w:spacing w:after="0" w:line="170" w:lineRule="exact"/>
        <w:rPr>
          <w:sz w:val="20"/>
          <w:szCs w:val="20"/>
          <w:color w:val="auto"/>
        </w:rPr>
      </w:pPr>
    </w:p>
    <w:p>
      <w:pPr>
        <w:ind w:right="60" w:firstLine="509"/>
        <w:spacing w:after="0" w:line="309" w:lineRule="auto"/>
        <w:rPr>
          <w:sz w:val="20"/>
          <w:szCs w:val="20"/>
          <w:color w:val="auto"/>
        </w:rPr>
      </w:pPr>
      <w:r>
        <w:rPr>
          <w:rFonts w:ascii="Arial" w:cs="Arial" w:eastAsia="Arial" w:hAnsi="Arial"/>
          <w:sz w:val="16"/>
          <w:szCs w:val="16"/>
          <w:color w:val="auto"/>
        </w:rPr>
        <w:t xml:space="preserve">Third parties may initiate legal proceedings alleging that we are infringing, misappropriating or otherwise violating their intellectual property rights, the outcome of which would be uncertain and could have a negative impact on the success of our business. It is possible that U.S. and foreign patents and pending patent applications controlled by third parties may be alleged to cover our products, or that we may be accused of misappropriating third parties’ trade secrets or infringing third parties’ trademarks. We may in the future become party to, or be threatened with, adversarial proceedings or litigation regarding intellectual property rights with respect to our products and technology, including interference proceedings, post grant review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before the USPTO or equivalent foreign regulatory authority. Third parties may assert infringement claims against us based on existing patents or patents that may be granted in the future, regardless of their merit. Because patent applications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5" w:name="page76"/>
    <w:bookmarkEnd w:id="75"/>
    <w:p>
      <w:pPr>
        <w:spacing w:after="0" w:line="269" w:lineRule="auto"/>
        <w:rPr>
          <w:sz w:val="20"/>
          <w:szCs w:val="20"/>
          <w:color w:val="auto"/>
        </w:rPr>
      </w:pPr>
      <w:r>
        <w:rPr>
          <w:rFonts w:ascii="Arial" w:cs="Arial" w:eastAsia="Arial" w:hAnsi="Arial"/>
          <w:sz w:val="18"/>
          <w:szCs w:val="18"/>
          <w:color w:val="auto"/>
        </w:rPr>
        <w:t>can take many years to issue and because publication schedules for pending applications vary by jurisdiction, there may be applications now pending of which we are unaware and which may result in issued patents, which our current or future products infringe. Also, because the claims of published patent applications can change between publication and patent grant, there may be published patent applications that may ultimately issue with claims that we infringe.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the commercial success of our current and any future products.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third-party claim of patent infringement.</w:t>
      </w:r>
    </w:p>
    <w:p>
      <w:pPr>
        <w:spacing w:after="0" w:line="191"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If we are found to infringe, misappropriate or otherwise violate a third party’s valid and enforceable intellectual property rights, we could be required to obtain a license from such third party to continue developing, manufacturing and marketing our products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70"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and/or export our products or to use our technologies or product names. As the number of competitors in our market grows and the number of patents issued in this area increases, the possibility of patent infringement claims against us may increase. Moreover, individuals and groups that are non-practicing entities, commonly referred to as “patent trolls,” purchase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misappropriate or otherwise violate the intellectual property rights of others. The defense of these matters can be time consuming, costly to defend in litigation, divert management’s attention and resources, damage our reputation and brand and cause us to incur significant expenses or make substantial payments. In addition, vendors from whom we purchase hardware or software may not indemnify us in the event that such hardware or software is accused of infringing a third-party’s patent or trademark or of misappropriating a third-party’s trade secret.</w:t>
      </w:r>
    </w:p>
    <w:p>
      <w:pPr>
        <w:spacing w:after="0" w:line="185"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We cannot be certain that we were the first to file any patent application related to our products, in part because patent applications are confidential for a period of time after filing. Competitors may also contest our patents, if issued, by demonstrating that the claimed invention was not original, was not novel or was obvious. In litigation, a competitor could claim that our patents are not valid for a number of reasons. If a court agrees, we would lose our rights to those challenged patents.</w:t>
      </w:r>
    </w:p>
    <w:p>
      <w:pPr>
        <w:spacing w:after="0" w:line="185" w:lineRule="exact"/>
        <w:rPr>
          <w:sz w:val="20"/>
          <w:szCs w:val="20"/>
          <w:color w:val="auto"/>
        </w:rPr>
      </w:pPr>
    </w:p>
    <w:p>
      <w:pPr>
        <w:ind w:right="280" w:firstLine="509"/>
        <w:spacing w:after="0" w:line="296" w:lineRule="auto"/>
        <w:rPr>
          <w:sz w:val="20"/>
          <w:szCs w:val="20"/>
          <w:color w:val="auto"/>
        </w:rPr>
      </w:pPr>
      <w:r>
        <w:rPr>
          <w:rFonts w:ascii="Arial" w:cs="Arial" w:eastAsia="Arial" w:hAnsi="Arial"/>
          <w:sz w:val="17"/>
          <w:szCs w:val="17"/>
          <w:color w:val="auto"/>
        </w:rPr>
        <w:t>In addition, we may in the future be subject to claims by our former employees or consultants asserting an ownership right in our patents, patent applications or other intellectual property, as a result of the work they performed on our behalf. Although we generally require all of our employees and consultants and any other partners or collaborators who have access to our proprietary know-how, information or technology to assign or grant similar rights to their inventions to us, we cannot be certain that we have executed such agreements with all parties who</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76" w:name="page77"/>
    <w:bookmarkEnd w:id="76"/>
    <w:p>
      <w:pPr>
        <w:ind w:right="480"/>
        <w:spacing w:after="0" w:line="293" w:lineRule="auto"/>
        <w:rPr>
          <w:sz w:val="20"/>
          <w:szCs w:val="20"/>
          <w:color w:val="auto"/>
        </w:rPr>
      </w:pPr>
      <w:r>
        <w:rPr>
          <w:rFonts w:ascii="Arial" w:cs="Arial" w:eastAsia="Arial" w:hAnsi="Arial"/>
          <w:sz w:val="18"/>
          <w:szCs w:val="18"/>
          <w:color w:val="auto"/>
        </w:rPr>
        <w:t>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70" w:lineRule="exact"/>
        <w:rPr>
          <w:sz w:val="20"/>
          <w:szCs w:val="20"/>
          <w:color w:val="auto"/>
        </w:rPr>
      </w:pPr>
    </w:p>
    <w:p>
      <w:pPr>
        <w:ind w:right="260" w:firstLine="509"/>
        <w:spacing w:after="0" w:line="293" w:lineRule="auto"/>
        <w:rPr>
          <w:sz w:val="20"/>
          <w:szCs w:val="20"/>
          <w:color w:val="auto"/>
        </w:rPr>
      </w:pPr>
      <w:r>
        <w:rPr>
          <w:rFonts w:ascii="Arial" w:cs="Arial" w:eastAsia="Arial" w:hAnsi="Arial"/>
          <w:sz w:val="18"/>
          <w:szCs w:val="18"/>
          <w:color w:val="auto"/>
        </w:rPr>
        <w:t>Any lawsuits relating to intellectual property rights could subject us to significant liability for damages and invalidate our intellectual property or proprietary rights. Any potential intellectual property litigation also could force us to do one or more of the following:</w:t>
      </w:r>
    </w:p>
    <w:p>
      <w:pPr>
        <w:spacing w:after="0" w:line="197" w:lineRule="exact"/>
        <w:rPr>
          <w:sz w:val="20"/>
          <w:szCs w:val="20"/>
          <w:color w:val="auto"/>
        </w:rPr>
      </w:pPr>
    </w:p>
    <w:p>
      <w:pPr>
        <w:ind w:left="1040" w:right="240" w:hanging="452"/>
        <w:spacing w:after="0" w:line="293"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Stop making, selling or using products or technologies that allegedly infringe, misappropriate or otherwise violate the asserted intellectual property;</w:t>
      </w:r>
    </w:p>
    <w:p>
      <w:pPr>
        <w:spacing w:after="0" w:line="210" w:lineRule="exact"/>
        <w:rPr>
          <w:rFonts w:ascii="Arial" w:cs="Arial" w:eastAsia="Arial" w:hAnsi="Arial"/>
          <w:sz w:val="18"/>
          <w:szCs w:val="18"/>
          <w:color w:val="auto"/>
        </w:rPr>
      </w:pPr>
    </w:p>
    <w:p>
      <w:pPr>
        <w:ind w:left="1040" w:right="580" w:hanging="452"/>
        <w:spacing w:after="0" w:line="293"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Lose the opportunity to license our intellectual property to others or to collect royalty payments based upon successful protection and assertion of our intellectual property rights against others;</w:t>
      </w:r>
    </w:p>
    <w:p>
      <w:pPr>
        <w:spacing w:after="0" w:line="210" w:lineRule="exact"/>
        <w:rPr>
          <w:rFonts w:ascii="Arial" w:cs="Arial" w:eastAsia="Arial" w:hAnsi="Arial"/>
          <w:sz w:val="18"/>
          <w:szCs w:val="18"/>
          <w:color w:val="auto"/>
        </w:rPr>
      </w:pPr>
    </w:p>
    <w:p>
      <w:pPr>
        <w:ind w:left="1040" w:hanging="452"/>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right="280" w:hanging="452"/>
        <w:spacing w:after="0" w:line="293"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substantial damages or royalties to the party whose intellectual property rights we may be found to be infringing, misappropriating or otherwise violating;</w:t>
      </w:r>
    </w:p>
    <w:p>
      <w:pPr>
        <w:spacing w:after="0" w:line="210" w:lineRule="exact"/>
        <w:rPr>
          <w:rFonts w:ascii="Arial" w:cs="Arial" w:eastAsia="Arial" w:hAnsi="Arial"/>
          <w:sz w:val="18"/>
          <w:szCs w:val="18"/>
          <w:color w:val="auto"/>
        </w:rPr>
      </w:pPr>
    </w:p>
    <w:p>
      <w:pPr>
        <w:ind w:left="1040" w:right="1140" w:hanging="452"/>
        <w:spacing w:after="0" w:line="293"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the attorney’s fees and costs of litigation to the party whose intellectual property rights we may be found to be infringing, misappropriating or otherwise violating;</w:t>
      </w:r>
    </w:p>
    <w:p>
      <w:pPr>
        <w:spacing w:after="0" w:line="210" w:lineRule="exact"/>
        <w:rPr>
          <w:rFonts w:ascii="Arial" w:cs="Arial" w:eastAsia="Arial" w:hAnsi="Arial"/>
          <w:sz w:val="18"/>
          <w:szCs w:val="18"/>
          <w:color w:val="auto"/>
        </w:rPr>
      </w:pPr>
    </w:p>
    <w:p>
      <w:pPr>
        <w:ind w:left="1040" w:right="400" w:hanging="452"/>
        <w:spacing w:after="0" w:line="293"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Redesign those products or technologies that contain the allegedly infringing intellectual property, which could be costly, disruptive and infeasible; and</w:t>
      </w:r>
    </w:p>
    <w:p>
      <w:pPr>
        <w:spacing w:after="0" w:line="210" w:lineRule="exact"/>
        <w:rPr>
          <w:rFonts w:ascii="Arial" w:cs="Arial" w:eastAsia="Arial" w:hAnsi="Arial"/>
          <w:sz w:val="18"/>
          <w:szCs w:val="18"/>
          <w:color w:val="auto"/>
        </w:rPr>
      </w:pPr>
    </w:p>
    <w:p>
      <w:pPr>
        <w:ind w:left="1040" w:right="180" w:hanging="452"/>
        <w:spacing w:after="0" w:line="293"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 or from third parties who may attempt to license rights that they do not have.</w:t>
      </w:r>
    </w:p>
    <w:p>
      <w:pPr>
        <w:spacing w:after="0" w:line="183" w:lineRule="exact"/>
        <w:rPr>
          <w:sz w:val="20"/>
          <w:szCs w:val="20"/>
          <w:color w:val="auto"/>
        </w:rPr>
      </w:pPr>
    </w:p>
    <w:p>
      <w:pPr>
        <w:ind w:right="160" w:firstLine="509"/>
        <w:spacing w:after="0" w:line="285" w:lineRule="auto"/>
        <w:rPr>
          <w:sz w:val="20"/>
          <w:szCs w:val="20"/>
          <w:color w:val="auto"/>
        </w:rPr>
      </w:pPr>
      <w:r>
        <w:rPr>
          <w:rFonts w:ascii="Arial" w:cs="Arial" w:eastAsia="Arial" w:hAnsi="Arial"/>
          <w:sz w:val="18"/>
          <w:szCs w:val="18"/>
          <w:color w:val="auto"/>
        </w:rPr>
        <w:t>In addition, if we are found to willfully infringe third-party patents or trademarks or to have misappropriated trade secrets, we could be required to pay treble damages in addition to other penalties. Although patent, trademark, trade secret, and other intellectual property disputes in the medical device area have often been settled through licensing or similar arrangements, costs associated with such arrangements may be substantial and could include ongoing royalties.</w:t>
      </w:r>
    </w:p>
    <w:p>
      <w:pPr>
        <w:spacing w:after="0" w:line="191"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Any litigation or claim against us, even those without merit and even those where we prevail, may cause us to incur substantial costs, and could place a significant strain on our financial resources, divert the attention of management from our core business and harm our reputation.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We could encounter delays in product introductions while we attempt to develop alternative methods or products. If we fail to obtain any required licenses or make any necessary changes to our products or technologies, we may have to withdraw existing products from the market or may be unable to commercialize one or more of our products.</w:t>
      </w:r>
    </w:p>
    <w:p>
      <w:pPr>
        <w:spacing w:after="0" w:line="163" w:lineRule="exact"/>
        <w:rPr>
          <w:sz w:val="20"/>
          <w:szCs w:val="20"/>
          <w:color w:val="auto"/>
        </w:rPr>
      </w:pPr>
    </w:p>
    <w:p>
      <w:pPr>
        <w:ind w:right="380" w:firstLine="509"/>
        <w:spacing w:after="0" w:line="319" w:lineRule="auto"/>
        <w:rPr>
          <w:sz w:val="20"/>
          <w:szCs w:val="20"/>
          <w:color w:val="auto"/>
        </w:rPr>
      </w:pPr>
      <w:r>
        <w:rPr>
          <w:rFonts w:ascii="Arial" w:cs="Arial" w:eastAsia="Arial" w:hAnsi="Arial"/>
          <w:sz w:val="16"/>
          <w:szCs w:val="16"/>
          <w:color w:val="auto"/>
        </w:rPr>
        <w:t>If third parties assert infringement, misappropriation or other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spacing w:after="0" w:line="156" w:lineRule="exact"/>
        <w:rPr>
          <w:sz w:val="20"/>
          <w:szCs w:val="20"/>
          <w:color w:val="auto"/>
        </w:rPr>
      </w:pPr>
    </w:p>
    <w:p>
      <w:pPr>
        <w:ind w:right="100" w:firstLine="509"/>
        <w:spacing w:after="0" w:line="296" w:lineRule="auto"/>
        <w:rPr>
          <w:sz w:val="20"/>
          <w:szCs w:val="20"/>
          <w:color w:val="auto"/>
        </w:rPr>
      </w:pPr>
      <w:r>
        <w:rPr>
          <w:rFonts w:ascii="Arial" w:cs="Arial" w:eastAsia="Arial" w:hAnsi="Arial"/>
          <w:sz w:val="17"/>
          <w:szCs w:val="17"/>
          <w:color w:val="auto"/>
        </w:rPr>
        <w:t xml:space="preserve">Similarly, interference or derivation proceedings provoked by third parties or brought by the USPTO may be necessary to determine priority with respect to our patents or patent applications. An unfavorable outcome could require us to cease using the related technology or force us to take a license under the patent rights of the prevailing party, if available. Furthermore, our business could be harmed if the prevailing party does not offer us a license on commercially reasonable terms. We may also become involved in other proceedings, such as reexamination, </w:t>
      </w:r>
      <w:r>
        <w:rPr>
          <w:rFonts w:ascii="Arial" w:cs="Arial" w:eastAsia="Arial" w:hAnsi="Arial"/>
          <w:sz w:val="17"/>
          <w:szCs w:val="17"/>
          <w:i w:val="1"/>
          <w:iCs w:val="1"/>
          <w:color w:val="auto"/>
        </w:rPr>
        <w:t>inter</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7" w:name="page78"/>
    <w:bookmarkEnd w:id="77"/>
    <w:p>
      <w:pPr>
        <w:ind w:right="240"/>
        <w:spacing w:after="0" w:line="272" w:lineRule="auto"/>
        <w:rPr>
          <w:sz w:val="20"/>
          <w:szCs w:val="20"/>
          <w:color w:val="auto"/>
        </w:rPr>
      </w:pPr>
      <w:r>
        <w:rPr>
          <w:rFonts w:ascii="Arial" w:cs="Arial" w:eastAsia="Arial" w:hAnsi="Arial"/>
          <w:sz w:val="18"/>
          <w:szCs w:val="18"/>
          <w:i w:val="1"/>
          <w:iCs w:val="1"/>
          <w:color w:val="auto"/>
        </w:rPr>
        <w:t xml:space="preserve">partes </w:t>
      </w:r>
      <w:r>
        <w:rPr>
          <w:rFonts w:ascii="Arial" w:cs="Arial" w:eastAsia="Arial" w:hAnsi="Arial"/>
          <w:sz w:val="18"/>
          <w:szCs w:val="18"/>
          <w:color w:val="auto"/>
        </w:rPr>
        <w:t>review, derivation or opposition proceedings before the USPTO or other jurisdictional body relating to our intellectual property rights or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intellectual property rights of others. Our defense of any litigation or interference proceedings may fail and, even if successful, may result in substantial costs and distract our management and other employees.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spacing w:after="0" w:line="191" w:lineRule="exact"/>
        <w:rPr>
          <w:sz w:val="20"/>
          <w:szCs w:val="20"/>
          <w:color w:val="auto"/>
        </w:rPr>
      </w:pPr>
    </w:p>
    <w:p>
      <w:pPr>
        <w:ind w:right="220" w:firstLine="509"/>
        <w:spacing w:after="0" w:line="308" w:lineRule="auto"/>
        <w:rPr>
          <w:sz w:val="20"/>
          <w:szCs w:val="20"/>
          <w:color w:val="auto"/>
        </w:rPr>
      </w:pPr>
      <w:r>
        <w:rPr>
          <w:rFonts w:ascii="Arial" w:cs="Arial" w:eastAsia="Arial" w:hAnsi="Arial"/>
          <w:sz w:val="16"/>
          <w:szCs w:val="16"/>
          <w:color w:val="auto"/>
        </w:rPr>
        <w:t>Additionally, competitors or other third parties may currently, or in the future, infringe, misappropriate or otherwise violate our issued patents or other intellectual property, and we may file lawsuits or initiate other proceedings to protect or enforce our patents or other intellectual property rights, which could be expensive, time consuming and unsuccessful.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w:t>
      </w:r>
    </w:p>
    <w:p>
      <w:pPr>
        <w:spacing w:after="0" w:line="163"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If we initiate legal proceedings against a third party to enforce a patent covering one of our products, the defendant could counterclaim that the patent covering our product is invalid and/or unenforceable. In patent litigation in the United States, counterclaims alleging invalidity and/or unenforceability are common, and there are numerous grounds upon which a third party can assert invalidity or unenforceability of a patent. Any claims we assert against perceived infringers could also provoke these parties to assert counterclaims against us alleging that we infringe, misappropriate or otherwise violate their intellectual property. In a patent or other intellectual property infringement proceeding, a court may decide that a patent or other intellectual property of ours is invalid or unenforceable, in whole or in part, construe the patent’s claims or other intellectual property narrowly or refuse to stop the other party from using the technology at issue on the grounds that our patents or other intellectual property do not cover the technology in question. Furthermore, even if our patents or other intellectual property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administrative proceeding could put one or more of our patents or other intellectual property at risk of being invalidated or interpreted narrowly, which could adversely affect our competitive business position, financial condition and results of operations. Moreover, even if we are successful in any litigation, we may incur significant expense in connection with such proceedings, and the amount of any monetary damages may be inadequate to compensate us for damage as a result of the infringement and the proceedings.</w:t>
      </w:r>
    </w:p>
    <w:p>
      <w:pPr>
        <w:spacing w:after="0" w:line="179" w:lineRule="exact"/>
        <w:rPr>
          <w:sz w:val="20"/>
          <w:szCs w:val="20"/>
          <w:color w:val="auto"/>
        </w:rPr>
      </w:pPr>
    </w:p>
    <w:p>
      <w:pPr>
        <w:ind w:right="180" w:firstLine="509"/>
        <w:spacing w:after="0" w:line="311" w:lineRule="auto"/>
        <w:rPr>
          <w:sz w:val="20"/>
          <w:szCs w:val="20"/>
          <w:color w:val="auto"/>
        </w:rPr>
      </w:pPr>
      <w:r>
        <w:rPr>
          <w:rFonts w:ascii="Arial" w:cs="Arial" w:eastAsia="Arial" w:hAnsi="Arial"/>
          <w:sz w:val="16"/>
          <w:szCs w:val="16"/>
          <w:color w:val="auto"/>
        </w:rPr>
        <w:t xml:space="preserve">Third parties may also raise similar claims before administrative bodies in the United States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(for example, opposition proceedings). Such proceedings could result in revocation of or amendment to our patents in such a way that they no longer cover our products.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may lose some, and perhaps all, of the patent protection on our products.</w:t>
      </w:r>
    </w:p>
    <w:p>
      <w:pPr>
        <w:spacing w:after="0" w:line="163" w:lineRule="exact"/>
        <w:rPr>
          <w:sz w:val="20"/>
          <w:szCs w:val="20"/>
          <w:color w:val="auto"/>
        </w:rPr>
      </w:pPr>
    </w:p>
    <w:p>
      <w:pPr>
        <w:ind w:right="80" w:firstLine="509"/>
        <w:spacing w:after="0" w:line="292"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may cause us to incur substantial costs, and could place a significant strain on our financial resources, divert the attention of management from our core business and harm our reputation.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other proprietary information, our business and competitive position may be harmed.</w:t>
      </w:r>
    </w:p>
    <w:p>
      <w:pPr>
        <w:spacing w:after="0" w:line="142"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In addition to patent protection, we also rely on other proprietary rights, including protection of trade secrets, know-how, and/or other proprietary information that is not patentable or that we elect not to patent. However, trade secrets can be difficult to protect and some courts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74" w:lineRule="exact"/>
        <w:rPr>
          <w:sz w:val="20"/>
          <w:szCs w:val="20"/>
          <w:color w:val="auto"/>
        </w:rPr>
      </w:pPr>
    </w:p>
    <w:p>
      <w:pPr>
        <w:ind w:right="20" w:firstLine="509"/>
        <w:spacing w:after="0" w:line="304" w:lineRule="auto"/>
        <w:rPr>
          <w:sz w:val="20"/>
          <w:szCs w:val="20"/>
          <w:color w:val="auto"/>
        </w:rPr>
      </w:pPr>
      <w:r>
        <w:rPr>
          <w:rFonts w:ascii="Arial" w:cs="Arial" w:eastAsia="Arial" w:hAnsi="Arial"/>
          <w:sz w:val="16"/>
          <w:szCs w:val="16"/>
          <w:color w:val="auto"/>
        </w:rPr>
        <w:t>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 To the extent our intellectual property or other proprietary information protection is inadequate or incomplete, we are exposed to a greater risk of direct competition. A third party could, without authorization, copy or otherwise obtain and use our products or technology, or develop similar technology. Our competitors may independently develop knowledge, methods and know-how equivalent to our trade secrets. Our competitors could also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spacing w:after="0" w:line="170"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Costly and time consuming litigation could be necessary to enforce and determine the scope of our trade secret rights and related confidentiality and nondisclosure provisions. Further, it is possible that others will independently develop the same or similar technology or products or otherwise obtain access to our unpatented technology, and in such cases we could not assert any trade secret rights against such parties. If we fail to obtain or maintain trade secret protection, or if our competitors obtain our trade secrets or independently develop technology or products similar to ours or competing technologies or products,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spacing w:after="0" w:line="163" w:lineRule="exact"/>
        <w:rPr>
          <w:sz w:val="20"/>
          <w:szCs w:val="20"/>
          <w:color w:val="auto"/>
        </w:rPr>
      </w:pPr>
    </w:p>
    <w:p>
      <w:pPr>
        <w:ind w:right="400" w:firstLine="509"/>
        <w:spacing w:after="0" w:line="293" w:lineRule="auto"/>
        <w:rPr>
          <w:sz w:val="20"/>
          <w:szCs w:val="20"/>
          <w:color w:val="auto"/>
        </w:rPr>
      </w:pPr>
      <w:r>
        <w:rPr>
          <w:rFonts w:ascii="Arial" w:cs="Arial" w:eastAsia="Arial" w:hAnsi="Arial"/>
          <w:sz w:val="18"/>
          <w:szCs w:val="18"/>
          <w:color w:val="auto"/>
        </w:rPr>
        <w:t>We also seek to preserve the integrity and confidentiality of our data and other confidential information by maintaining physical security of our premises and physical and electronic security of our information technology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79" w:name="page80"/>
    <w:bookmarkEnd w:id="79"/>
    <w:p>
      <w:pPr>
        <w:ind w:right="60"/>
        <w:spacing w:after="0" w:line="314" w:lineRule="auto"/>
        <w:rPr>
          <w:sz w:val="20"/>
          <w:szCs w:val="20"/>
          <w:color w:val="auto"/>
        </w:rPr>
      </w:pPr>
      <w:r>
        <w:rPr>
          <w:rFonts w:ascii="Arial" w:cs="Arial" w:eastAsia="Arial" w:hAnsi="Arial"/>
          <w:sz w:val="16"/>
          <w:szCs w:val="16"/>
          <w:color w:val="auto"/>
        </w:rPr>
        <w:t>systems. While we have confidence in these security measures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Also, if the steps taken to maintain our trade secrets we may have are deemed inadequate, we may have insufficient recourse against third parties for misappropriating the trade secret. In addition, others may independently develop our trade secrets and proprietary information.</w:t>
      </w:r>
    </w:p>
    <w:p>
      <w:pPr>
        <w:spacing w:after="0" w:line="268"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b w:val="1"/>
          <w:bCs w:val="1"/>
          <w:i w:val="1"/>
          <w:iCs w:val="1"/>
          <w:color w:val="auto"/>
        </w:rPr>
        <w:t>We may enjoy only limited geographical protection with respect to certain patents and we may not be able to protect our intellectual property rights throughout the world.</w:t>
      </w:r>
    </w:p>
    <w:p>
      <w:pPr>
        <w:spacing w:after="0" w:line="62"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A company may attempt to commercialize competing products utilizing our proprietary technology, design, trademarks or tradenames in foreign countries where we do not have any patents or patent applications, trademarks, and/or other forms of intellectual property and where legal recourse may be limited. This may have a significant commercial impact on our foreign business operations.</w:t>
      </w:r>
    </w:p>
    <w:p>
      <w:pPr>
        <w:spacing w:after="0" w:line="183" w:lineRule="exact"/>
        <w:rPr>
          <w:sz w:val="20"/>
          <w:szCs w:val="20"/>
          <w:color w:val="auto"/>
        </w:rPr>
      </w:pPr>
    </w:p>
    <w:p>
      <w:pPr>
        <w:ind w:right="60" w:firstLine="509"/>
        <w:spacing w:after="0" w:line="287" w:lineRule="auto"/>
        <w:rPr>
          <w:sz w:val="20"/>
          <w:szCs w:val="20"/>
          <w:color w:val="auto"/>
        </w:rPr>
      </w:pPr>
      <w:r>
        <w:rPr>
          <w:rFonts w:ascii="Arial" w:cs="Arial" w:eastAsia="Arial" w:hAnsi="Arial"/>
          <w:sz w:val="17"/>
          <w:szCs w:val="17"/>
          <w:color w:val="auto"/>
        </w:rPr>
        <w:t>Filing, prosecuting and defending patents or trademarks on our current and future products in all countries throughout the world would be prohibitively expensive. The requirements for patentability and trademark protection may differ in certain countries, particularly developing countries. The laws of some foreign countries do not protect intellectual property rights to the same extent as laws in the United States. Consequently, we may not be able to prevent third parties from utilizing our inventions and trademarks in all countries outside the United States. Competitors may use our technologies or trademarks in jurisdictions where we have not obtained patent or trademark protection to develop or market their own products and further, may export otherwise infringing products to territories where we have patent and trademark protection, but enforcement on infringing activities is inadequate. These products or trademarks may compete with our products or trademarks, and our patents, trademarks or other intellectual property rights may not be effective or sufficient to prevent them from competing.</w:t>
      </w:r>
    </w:p>
    <w:p>
      <w:pPr>
        <w:spacing w:after="0" w:line="182"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or technology. For example, certain jurisdictions do not allow for patent protection with respect to method of treatment.</w:t>
      </w:r>
    </w:p>
    <w:p>
      <w:pPr>
        <w:spacing w:after="0" w:line="191"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While we seek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which may have an adverse effect on our ability to successfully commercialize our products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91"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or rules and regulations in the United States and many companies have encountered significant problems in protecting and defending intellectual property rights in foreign jurisdictions. The legal systems of certain countries, particularly certain developing countries, do not favor the enforcement of patents, trademarks and other intellectual property protection, which could make it difficult for us to stop the infringement of our patents and trademarks or marketing of competing products in violation of our proprietary rights generally. Proceedings to enforce our patent and trademarks rights in foreign jurisdictions, whether or not successful, could result in substantial costs and divert our efforts and attention from other aspects of our business, could put our patents and trademarks in those jurisdictions, as well as elsewhere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0" w:name="page81"/>
    <w:bookmarkEnd w:id="80"/>
    <w:p>
      <w:pPr>
        <w:ind w:right="180"/>
        <w:spacing w:after="0" w:line="271" w:lineRule="auto"/>
        <w:rPr>
          <w:sz w:val="20"/>
          <w:szCs w:val="20"/>
          <w:color w:val="auto"/>
        </w:rPr>
      </w:pPr>
      <w:r>
        <w:rPr>
          <w:rFonts w:ascii="Arial" w:cs="Arial" w:eastAsia="Arial" w:hAnsi="Arial"/>
          <w:sz w:val="18"/>
          <w:szCs w:val="18"/>
          <w:color w:val="auto"/>
        </w:rPr>
        <w:t>which could materially diminish the value of those patents. This could limit our potential revenue opportunities and our competitive position may be impaired. In addition, some countries limit the enforceability of patents against government agencies or government contractors. In those countries, the patent owner may have limited remedies, which could materially diminish the value of such patents.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spacing w:after="0" w:line="299"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w:t>
      </w:r>
    </w:p>
    <w:p>
      <w:pPr>
        <w:spacing w:after="0" w:line="62" w:lineRule="exact"/>
        <w:rPr>
          <w:sz w:val="20"/>
          <w:szCs w:val="20"/>
          <w:color w:val="auto"/>
        </w:rPr>
      </w:pPr>
    </w:p>
    <w:p>
      <w:pPr>
        <w:ind w:firstLine="509"/>
        <w:spacing w:after="0" w:line="305" w:lineRule="auto"/>
        <w:rPr>
          <w:sz w:val="20"/>
          <w:szCs w:val="20"/>
          <w:color w:val="auto"/>
        </w:rPr>
      </w:pPr>
      <w:r>
        <w:rPr>
          <w:rFonts w:ascii="Arial" w:cs="Arial" w:eastAsia="Arial" w:hAnsi="Arial"/>
          <w:sz w:val="16"/>
          <w:szCs w:val="16"/>
          <w:color w:val="auto"/>
        </w:rPr>
        <w:t>We may be subject to claims that our employees, consultants, or independent contractors have wrongfully used or disclosed confidential information of third parties. 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or other third parties. In addition, we may be subject to claims that we are infringing, misappropriating or otherwise violating other intellectual property rights, such as trademarks or copyrights. To the extent that our employees, consultants or contractors use intellectual property or proprietary information owned by others in their work for us, disputes may arise as to the rights in related or resulting know-how and inventions. Litigation may be necessary to defend against these claims. There is no guarantee of success in defending these claims, and even if we are successful, litigation could result in substantial cost and be a distraction to our management and other employees.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31" w:lineRule="exact"/>
        <w:rPr>
          <w:sz w:val="20"/>
          <w:szCs w:val="20"/>
          <w:color w:val="auto"/>
        </w:rPr>
      </w:pPr>
    </w:p>
    <w:p>
      <w:pPr>
        <w:ind w:right="60" w:firstLine="509"/>
        <w:spacing w:after="0" w:line="304" w:lineRule="auto"/>
        <w:rPr>
          <w:sz w:val="20"/>
          <w:szCs w:val="20"/>
          <w:color w:val="auto"/>
        </w:rPr>
      </w:pPr>
      <w:r>
        <w:rPr>
          <w:rFonts w:ascii="Arial" w:cs="Arial" w:eastAsia="Arial" w:hAnsi="Arial"/>
          <w:sz w:val="16"/>
          <w:szCs w:val="16"/>
          <w:color w:val="auto"/>
        </w:rPr>
        <w:t>We may also be subject to claims that former employees, collaborators, or other third parties have an ownership interest in our current or future patents, patent applications, or other intellectual property, including as an inventor or co-inventor. We may be subject to ownership or inventorship disputes in the future arising, for example, from conflicting obligations of consultants, contractors or others who are involved in developing our products.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and other owners may be able to license their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w:t>
      </w:r>
    </w:p>
    <w:p>
      <w:pPr>
        <w:spacing w:after="0" w:line="173"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1" w:name="page82"/>
    <w:bookmarkEnd w:id="81"/>
    <w:p>
      <w:pPr>
        <w:spacing w:after="0" w:line="271" w:lineRule="auto"/>
        <w:rPr>
          <w:sz w:val="20"/>
          <w:szCs w:val="20"/>
          <w:color w:val="auto"/>
        </w:rPr>
      </w:pPr>
      <w:r>
        <w:rPr>
          <w:rFonts w:ascii="Arial" w:cs="Arial" w:eastAsia="Arial" w:hAnsi="Arial"/>
          <w:sz w:val="18"/>
          <w:szCs w:val="18"/>
          <w:color w:val="auto"/>
        </w:rPr>
        <w:t>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spacing w:after="0" w:line="299"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b w:val="1"/>
          <w:bCs w:val="1"/>
          <w:i w:val="1"/>
          <w:iCs w:val="1"/>
          <w:color w:val="auto"/>
        </w:rPr>
        <w:t>If our trademarks and tradenames are not adequately protected, then we may not be able to build name recognition in our markets and our business may be adversely affected.</w:t>
      </w:r>
    </w:p>
    <w:p>
      <w:pPr>
        <w:spacing w:after="0" w:line="62"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We use our trademarks, service marks, tradenames and brand names to distinguish our products from the products of our competitors, and have registered or applied to register these trademarks. Our trademarks or trade names may be challenged, infringed, circumvented, declared generic or determined to be violating or infringing on other marks. We cannot assure you that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applications and to seek to cancel trademark registrations. Opposition or cancellation proceedings may be filed against our trademark filings in these agencies, and such filings may not survive such proceedings. Our competitors may also infringe or otherwise violate our trademarks and we may not have adequate resources to enforce our trademarks, which may have a material adverse effect on our business.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 In the event that our trademarks are successfully challenged, we could be forced to rebrand our products, which could result in loss of brand recognition and could require us to devote resources towards advertising and marketing new brands.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financial condition and results of operations may be adversely affected.</w:t>
      </w:r>
    </w:p>
    <w:p>
      <w:pPr>
        <w:spacing w:after="0" w:line="171" w:lineRule="exact"/>
        <w:rPr>
          <w:sz w:val="20"/>
          <w:szCs w:val="20"/>
          <w:color w:val="auto"/>
        </w:rPr>
      </w:pPr>
    </w:p>
    <w:p>
      <w:pPr>
        <w:ind w:right="220" w:firstLine="509"/>
        <w:spacing w:after="0" w:line="279" w:lineRule="auto"/>
        <w:rPr>
          <w:sz w:val="20"/>
          <w:szCs w:val="20"/>
          <w:color w:val="auto"/>
        </w:rPr>
      </w:pPr>
      <w:r>
        <w:rPr>
          <w:rFonts w:ascii="Arial" w:cs="Arial" w:eastAsia="Arial" w:hAnsi="Arial"/>
          <w:sz w:val="18"/>
          <w:szCs w:val="18"/>
          <w:color w:val="auto"/>
        </w:rPr>
        <w:t>We have become aware of a third party’s use of and pending U.S. application for the TEARCLEAR trademark in connection with ophthalmic pharmaceuticals, which we believe may be an infringement of our TEARCARE trademark. We are currently considering taking action against this third-party, which may include filing a complaint for trademark infringement in federal court.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31"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97" w:lineRule="exact"/>
        <w:rPr>
          <w:sz w:val="20"/>
          <w:szCs w:val="20"/>
          <w:color w:val="auto"/>
        </w:rPr>
      </w:pPr>
    </w:p>
    <w:p>
      <w:pPr>
        <w:ind w:left="1040" w:right="260" w:hanging="452"/>
        <w:spacing w:after="0" w:line="293"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current or future collaborators, might not have been the first to make the inventions covered by the issued patent or pending patent application that we license or may own in the future;</w:t>
      </w:r>
    </w:p>
    <w:p>
      <w:pPr>
        <w:spacing w:after="0" w:line="210" w:lineRule="exact"/>
        <w:rPr>
          <w:rFonts w:ascii="Arial" w:cs="Arial" w:eastAsia="Arial" w:hAnsi="Arial"/>
          <w:sz w:val="18"/>
          <w:szCs w:val="18"/>
          <w:color w:val="auto"/>
        </w:rPr>
      </w:pPr>
    </w:p>
    <w:p>
      <w:pPr>
        <w:ind w:left="1040" w:hanging="452"/>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or current or future collaborators, might not have been the first to file patent applications covering certain of our or their inventions;</w:t>
      </w:r>
    </w:p>
    <w:p>
      <w:pPr>
        <w:spacing w:after="0" w:line="200" w:lineRule="exact"/>
        <w:rPr>
          <w:rFonts w:ascii="Arial" w:cs="Arial" w:eastAsia="Arial" w:hAnsi="Arial"/>
          <w:sz w:val="17"/>
          <w:szCs w:val="17"/>
          <w:color w:val="auto"/>
        </w:rPr>
      </w:pPr>
    </w:p>
    <w:p>
      <w:pPr>
        <w:spacing w:after="0" w:line="320" w:lineRule="exact"/>
        <w:rPr>
          <w:rFonts w:ascii="Arial" w:cs="Arial" w:eastAsia="Arial" w:hAnsi="Arial"/>
          <w:sz w:val="17"/>
          <w:szCs w:val="17"/>
          <w:color w:val="auto"/>
        </w:rPr>
      </w:pPr>
    </w:p>
    <w:p>
      <w:pPr>
        <w:ind w:left="1040" w:right="1120" w:hanging="452"/>
        <w:spacing w:after="0" w:line="293"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210" w:lineRule="exact"/>
        <w:rPr>
          <w:rFonts w:ascii="Arial" w:cs="Arial" w:eastAsia="Arial" w:hAnsi="Arial"/>
          <w:sz w:val="18"/>
          <w:szCs w:val="18"/>
          <w:color w:val="auto"/>
        </w:rPr>
      </w:pPr>
    </w:p>
    <w:p>
      <w:pPr>
        <w:ind w:left="1040" w:hanging="452"/>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82" w:name="page83"/>
    <w:bookmarkEnd w:id="82"/>
    <w:p>
      <w:pPr>
        <w:ind w:left="1040" w:hanging="452"/>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200" w:lineRule="exact"/>
        <w:rPr>
          <w:rFonts w:ascii="Arial" w:cs="Arial" w:eastAsia="Arial" w:hAnsi="Arial"/>
          <w:sz w:val="17"/>
          <w:szCs w:val="17"/>
          <w:color w:val="auto"/>
        </w:rPr>
      </w:pPr>
    </w:p>
    <w:p>
      <w:pPr>
        <w:spacing w:after="0" w:line="320" w:lineRule="exact"/>
        <w:rPr>
          <w:rFonts w:ascii="Arial" w:cs="Arial" w:eastAsia="Arial" w:hAnsi="Arial"/>
          <w:sz w:val="17"/>
          <w:szCs w:val="17"/>
          <w:color w:val="auto"/>
        </w:rPr>
      </w:pPr>
    </w:p>
    <w:p>
      <w:pPr>
        <w:ind w:left="1040" w:right="680" w:hanging="452"/>
        <w:spacing w:after="0" w:line="324" w:lineRule="auto"/>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87" w:lineRule="exact"/>
        <w:rPr>
          <w:rFonts w:ascii="Arial" w:cs="Arial" w:eastAsia="Arial" w:hAnsi="Arial"/>
          <w:sz w:val="17"/>
          <w:szCs w:val="17"/>
          <w:color w:val="auto"/>
        </w:rPr>
      </w:pPr>
    </w:p>
    <w:p>
      <w:pPr>
        <w:ind w:left="1040" w:hanging="452"/>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right="260" w:hanging="452"/>
        <w:spacing w:after="0" w:line="293"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products, business practices, and operations are subject to extensive government regulation and oversight in the United States and elsewhere.</w:t>
      </w:r>
    </w:p>
    <w:p>
      <w:pPr>
        <w:spacing w:after="0" w:line="154" w:lineRule="exact"/>
        <w:rPr>
          <w:sz w:val="20"/>
          <w:szCs w:val="20"/>
          <w:color w:val="auto"/>
        </w:rPr>
      </w:pPr>
    </w:p>
    <w:p>
      <w:pPr>
        <w:ind w:right="240" w:firstLine="509"/>
        <w:spacing w:after="0" w:line="288" w:lineRule="auto"/>
        <w:rPr>
          <w:sz w:val="20"/>
          <w:szCs w:val="20"/>
          <w:color w:val="auto"/>
        </w:rPr>
      </w:pPr>
      <w:r>
        <w:rPr>
          <w:rFonts w:ascii="Arial" w:cs="Arial" w:eastAsia="Arial" w:hAnsi="Arial"/>
          <w:sz w:val="17"/>
          <w:szCs w:val="17"/>
          <w:color w:val="auto"/>
        </w:rPr>
        <w:t>Our products are regulated as medical devices by the FDA. We and our products are subject to extensive regulation in the United States and elsewhere, including by state agencies, the FDA and the FDA’s foreign counterparts. The FDA and foreign regulatory agencies regulate, among other things, with respect to medical devices: design, development, manufacturing and release; laboratory, preclinical and clinical testing; labeling, packaging, content and language of instructions for use and storage; product safety and efficacy; establishment registration and device listing; marketing, sales and distribution; pre-market clearance and approval; service operations; record keeping procedures; advertising and promotion; recalls and field safety corrective actions; post-market surveillance, including reporting of deaths or serious injuries and malfunctions that, if they were to recur, could lead to death or serious injury; post-market studies; and product import and export.</w:t>
      </w:r>
    </w:p>
    <w:p>
      <w:pPr>
        <w:spacing w:after="0" w:line="181" w:lineRule="exact"/>
        <w:rPr>
          <w:sz w:val="20"/>
          <w:szCs w:val="20"/>
          <w:color w:val="auto"/>
        </w:rPr>
      </w:pPr>
    </w:p>
    <w:p>
      <w:pPr>
        <w:ind w:right="120" w:firstLine="509"/>
        <w:spacing w:after="0" w:line="308" w:lineRule="auto"/>
        <w:rPr>
          <w:sz w:val="20"/>
          <w:szCs w:val="20"/>
          <w:color w:val="auto"/>
        </w:rPr>
      </w:pPr>
      <w:r>
        <w:rPr>
          <w:rFonts w:ascii="Arial" w:cs="Arial" w:eastAsia="Arial" w:hAnsi="Arial"/>
          <w:sz w:val="16"/>
          <w:szCs w:val="16"/>
          <w:color w:val="auto"/>
        </w:rPr>
        <w:t>The law and regulations to which we are subject are complex, burdensome to understand and apply and have tended to become more stringent over time. Legal and regulatory changes could result in restrictions on our ability to carry on or expand our operations, higher than anticipated costs or lower than anticipated sales. The FDA enforces these regulatory requirements through, among other means, periodic (unannounced) inspections and periodic reviews of public marketing and promotion materials. We do not know whether we will be found compliant in connection with any future FDA or foreign inspections or reviews. Failure to comply with applicable regulations could jeopardize our ability to sell our products and result in enforcement actions such as: warning letters; untitled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approvals, resulting in prohibitions on sales of our products; and in the most serious cases, criminal penalties.</w:t>
      </w:r>
    </w:p>
    <w:p>
      <w:pPr>
        <w:spacing w:after="0" w:line="271" w:lineRule="exact"/>
        <w:rPr>
          <w:sz w:val="20"/>
          <w:szCs w:val="20"/>
          <w:color w:val="auto"/>
        </w:rPr>
      </w:pPr>
    </w:p>
    <w:p>
      <w:pPr>
        <w:spacing w:after="0" w:line="279" w:lineRule="auto"/>
        <w:rPr>
          <w:sz w:val="20"/>
          <w:szCs w:val="20"/>
          <w:color w:val="auto"/>
        </w:rPr>
      </w:pPr>
      <w:r>
        <w:rPr>
          <w:rFonts w:ascii="Arial" w:cs="Arial" w:eastAsia="Arial" w:hAnsi="Arial"/>
          <w:sz w:val="18"/>
          <w:szCs w:val="18"/>
          <w:b w:val="1"/>
          <w:bCs w:val="1"/>
          <w:i w:val="1"/>
          <w:iCs w:val="1"/>
          <w:color w:val="auto"/>
        </w:rPr>
        <w:t>We may not receive, or may be delayed in receiving, the necessary clearances, certifications or approvals for our future products or modifications to our current products, and failure to timely obtain necessary clearances, certifications or approvals for our future products or modifications to our current products would adversely affect our ability to grow our business.</w:t>
      </w:r>
    </w:p>
    <w:p>
      <w:pPr>
        <w:spacing w:after="0" w:line="75" w:lineRule="exact"/>
        <w:rPr>
          <w:sz w:val="20"/>
          <w:szCs w:val="20"/>
          <w:color w:val="auto"/>
        </w:rPr>
      </w:pPr>
    </w:p>
    <w:p>
      <w:pPr>
        <w:ind w:right="160" w:firstLine="509"/>
        <w:spacing w:after="0" w:line="288" w:lineRule="auto"/>
        <w:rPr>
          <w:sz w:val="20"/>
          <w:szCs w:val="20"/>
          <w:color w:val="auto"/>
        </w:rPr>
      </w:pPr>
      <w:r>
        <w:rPr>
          <w:rFonts w:ascii="Arial" w:cs="Arial" w:eastAsia="Arial" w:hAnsi="Arial"/>
          <w:sz w:val="17"/>
          <w:szCs w:val="17"/>
          <w:color w:val="auto"/>
        </w:rPr>
        <w:t>In the U.S., before we can market a new medical device, or a new use of, new claim for or significant modification to an existing product, we must first receive either clearance under Section 510(k) of the FDCA or approval of a pre-market approval application, or PMA,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83" w:name="page84"/>
    <w:bookmarkEnd w:id="83"/>
    <w:p>
      <w:pPr>
        <w:jc w:val="both"/>
        <w:spacing w:after="0" w:line="319" w:lineRule="auto"/>
        <w:rPr>
          <w:sz w:val="20"/>
          <w:szCs w:val="20"/>
          <w:color w:val="auto"/>
        </w:rPr>
      </w:pPr>
      <w:r>
        <w:rPr>
          <w:rFonts w:ascii="Arial" w:cs="Arial" w:eastAsia="Arial" w:hAnsi="Arial"/>
          <w:sz w:val="16"/>
          <w:szCs w:val="16"/>
          <w:color w:val="auto"/>
        </w:rPr>
        <w:t>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w:t>
      </w:r>
    </w:p>
    <w:p>
      <w:pPr>
        <w:spacing w:after="0" w:line="156"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Modifications to products that are approved through a PMA application generally require FDA approval. Similarly, certain modifications made to products cleared through a 510(k) may require a new 510(k) clearance. Both the PMA approval and the 510(k) clearance process can be expensive, lengthy and uncertain.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submitted to the FDA.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181"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In the U.S., we have obtained clearance from the FDA of OMNI through the 510(k) clearance process. We also market TearCare as a 510(k)-exempt device and have submitted a 510(k) premarket notification seeking an expanded label for the device. Any further modification to these products or their intended uses may require us to submit a new 510(k) premarket notification and obtain clearance, or submit a PMA and obtain FDA approval prior to implementing the change. Specifically,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510(k)-cleared products in the past and have determined based on our review of the applicable FDA regulations and guidance that in certain instances new 510(k) clearances or PMA approvals were not required. We may make modifications or add additional features in the future that we believe do not require a new 510(k) clearance or approval of a PMA. If the FDA disagrees with our determination and requires us to submit new 510(k) notifications or PMA applications for modifications to our products for which we have concluded that new clearances or approvals are unnecessary, we may be required to cease marketing or to recall the modified product until we obtain clearance or approval,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266" w:lineRule="exact"/>
        <w:rPr>
          <w:sz w:val="20"/>
          <w:szCs w:val="20"/>
          <w:color w:val="auto"/>
        </w:rPr>
      </w:pPr>
    </w:p>
    <w:p>
      <w:pPr>
        <w:ind w:left="1040" w:hanging="45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that our products are safe or effective for their intended uses;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right="100" w:hanging="452"/>
        <w:spacing w:after="0" w:line="293"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disagreement of the FDA with the design or conduct of our clinical trials or the interpretation of data from preclinical studies or clinical trials;</w:t>
      </w:r>
    </w:p>
    <w:p>
      <w:pPr>
        <w:spacing w:after="0" w:line="210" w:lineRule="exact"/>
        <w:rPr>
          <w:rFonts w:ascii="Arial" w:cs="Arial" w:eastAsia="Arial" w:hAnsi="Arial"/>
          <w:sz w:val="18"/>
          <w:szCs w:val="18"/>
          <w:color w:val="auto"/>
        </w:rPr>
      </w:pPr>
    </w:p>
    <w:p>
      <w:pPr>
        <w:ind w:left="1040" w:hanging="45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our clinical trials;</w:t>
      </w:r>
    </w:p>
    <w:p>
      <w:pPr>
        <w:spacing w:after="0" w:line="387" w:lineRule="exact"/>
        <w:rPr>
          <w:rFonts w:ascii="Arial" w:cs="Arial" w:eastAsia="Arial" w:hAnsi="Arial"/>
          <w:sz w:val="18"/>
          <w:szCs w:val="18"/>
          <w:color w:val="auto"/>
        </w:rPr>
      </w:pPr>
    </w:p>
    <w:p>
      <w:pPr>
        <w:ind w:left="1040" w:hanging="45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clearance or approval, where required;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40" w:hanging="45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demonstrate that the clinical and other benefits of the device outweigh the risks;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 and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right="300" w:hanging="452"/>
        <w:spacing w:after="0" w:line="293"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to change significantly in a manner rendering our clinical data or regulatory filings insufficient for clearance or approval.</w:t>
      </w:r>
    </w:p>
    <w:p>
      <w:pPr>
        <w:spacing w:after="0" w:line="183" w:lineRule="exact"/>
        <w:rPr>
          <w:sz w:val="20"/>
          <w:szCs w:val="20"/>
          <w:color w:val="auto"/>
        </w:rPr>
      </w:pPr>
    </w:p>
    <w:p>
      <w:pPr>
        <w:ind w:right="440" w:firstLine="509"/>
        <w:spacing w:after="0" w:line="293" w:lineRule="auto"/>
        <w:rPr>
          <w:sz w:val="20"/>
          <w:szCs w:val="20"/>
          <w:color w:val="auto"/>
        </w:rPr>
      </w:pPr>
      <w:r>
        <w:rPr>
          <w:rFonts w:ascii="Arial" w:cs="Arial" w:eastAsia="Arial" w:hAnsi="Arial"/>
          <w:sz w:val="18"/>
          <w:szCs w:val="18"/>
          <w:color w:val="auto"/>
        </w:rPr>
        <w:t>In order to sell our products in member states of the EU, our products must comply with the essential requirements of the EU Medical Devices Directive (Council Directive 93/42/EEC). Compliance with these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84" w:name="page85"/>
    <w:bookmarkEnd w:id="84"/>
    <w:p>
      <w:pPr>
        <w:ind w:right="60"/>
        <w:spacing w:after="0" w:line="286" w:lineRule="auto"/>
        <w:rPr>
          <w:sz w:val="20"/>
          <w:szCs w:val="20"/>
          <w:color w:val="auto"/>
        </w:rPr>
      </w:pPr>
      <w:r>
        <w:rPr>
          <w:rFonts w:ascii="Arial" w:cs="Arial" w:eastAsia="Arial" w:hAnsi="Arial"/>
          <w:sz w:val="17"/>
          <w:szCs w:val="17"/>
          <w:color w:val="auto"/>
        </w:rPr>
        <w:t>requirements is a prerequisite to be able to affix the CE mark to our products, without which they cannot be sold or marketed in the EU. To demonstrate compliance with the essential requirements we must undergo a conformity assessment procedure, which varies according to the type of medical device and its (risk) classification. Except for low-risk medical devices (Class I non-sterile, non-measuring devices), where the manufacturer can issue an EC Declaration of Conformity based on a self-assessment of the conformity of its products with the essential requirements of the EU Medical Devices Directive, a conformity assessment procedure requires the intervention of an organization accredited or designated by a member state of the EU to conduct conformity assessments, or a Notified Body. Depending on the relevant conformity assessment procedure, the Notified Body would typically audit and examine the technical file and the quality system for the manufacture, design and final inspection of our devices. The Notified Body issues a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spacing w:after="0" w:line="182" w:lineRule="exact"/>
        <w:rPr>
          <w:sz w:val="20"/>
          <w:szCs w:val="20"/>
          <w:color w:val="auto"/>
        </w:rPr>
      </w:pPr>
    </w:p>
    <w:p>
      <w:pPr>
        <w:ind w:right="60" w:firstLine="509"/>
        <w:spacing w:after="0" w:line="270" w:lineRule="auto"/>
        <w:rPr>
          <w:sz w:val="20"/>
          <w:szCs w:val="20"/>
          <w:color w:val="auto"/>
        </w:rPr>
      </w:pPr>
      <w:r>
        <w:rPr>
          <w:rFonts w:ascii="Arial" w:cs="Arial" w:eastAsia="Arial" w:hAnsi="Arial"/>
          <w:sz w:val="18"/>
          <w:szCs w:val="18"/>
          <w:color w:val="auto"/>
        </w:rPr>
        <w:t>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If we fail to remain in compliance with applicable European laws and directives and corresponding EU member state laws, we would be unable to continue to affix the CE mark to our products, which would prevent us from selling them within the EU.</w:t>
      </w:r>
    </w:p>
    <w:p>
      <w:pPr>
        <w:spacing w:after="0" w:line="193" w:lineRule="exact"/>
        <w:rPr>
          <w:sz w:val="20"/>
          <w:szCs w:val="20"/>
          <w:color w:val="auto"/>
        </w:rPr>
      </w:pPr>
    </w:p>
    <w:p>
      <w:pPr>
        <w:ind w:right="100" w:firstLine="509"/>
        <w:spacing w:after="0" w:line="359" w:lineRule="auto"/>
        <w:rPr>
          <w:sz w:val="20"/>
          <w:szCs w:val="20"/>
          <w:color w:val="auto"/>
        </w:rPr>
      </w:pPr>
      <w:r>
        <w:rPr>
          <w:rFonts w:ascii="Arial" w:cs="Arial" w:eastAsia="Arial" w:hAnsi="Arial"/>
          <w:sz w:val="16"/>
          <w:szCs w:val="16"/>
          <w:color w:val="auto"/>
        </w:rPr>
        <w:t>The aforementioned EU rules are generally applicable in the European Economic Area, or EEA, which consists of the 27 EU member states plus Norway, Liechtenstein and Iceland. Non-compliance with the above requirements would also prevent us from selling our products in these three countries.</w:t>
      </w:r>
    </w:p>
    <w:p>
      <w:pPr>
        <w:spacing w:after="0" w:line="125"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Following the end of the “Brexit” Transition Period, from January 1, 2021 onwards, the MHRA will be responsible for the UK medical device market. The new regulations will require medical devices to be registered with the MHRA (but manufacturers will be given a grace period of four to 12 months to comply with the new registration process). Manufacturers based outside the UK will need to appoint a UK Responsible Person to register devices with the MHRA in line with the grace periods. By July 1, 2023, in the UK (England, Scotland, and Wales), all medical devices will require a UKCA (UK Conformity Assessed) mark but CE marks issued by EU Notified Bodies will remain valid until this time. However, UKCA marking alone will not be recognized in the EU. The rules for placing medical devices on the Northern Ireland market will differ from those in the UK. Compliance with this legislation is a prerequisite to be able to affix the UKCA mark to our products, without which they cannot be sold or marketed in the UK.</w:t>
      </w:r>
    </w:p>
    <w:p>
      <w:pPr>
        <w:spacing w:after="0" w:line="289"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We may incur significant liability if it is determined that we are promoting off-label uses of our products in violation of federal and state regulations in the United States or elsewhere.</w:t>
      </w:r>
    </w:p>
    <w:p>
      <w:pPr>
        <w:spacing w:after="0" w:line="62" w:lineRule="exact"/>
        <w:rPr>
          <w:sz w:val="20"/>
          <w:szCs w:val="20"/>
          <w:color w:val="auto"/>
        </w:rPr>
      </w:pPr>
    </w:p>
    <w:p>
      <w:pPr>
        <w:ind w:right="200" w:firstLine="509"/>
        <w:spacing w:after="0" w:line="296" w:lineRule="auto"/>
        <w:rPr>
          <w:sz w:val="20"/>
          <w:szCs w:val="20"/>
          <w:color w:val="auto"/>
        </w:rPr>
      </w:pPr>
      <w:r>
        <w:rPr>
          <w:rFonts w:ascii="Arial" w:cs="Arial" w:eastAsia="Arial" w:hAnsi="Arial"/>
          <w:sz w:val="17"/>
          <w:szCs w:val="17"/>
          <w:color w:val="auto"/>
        </w:rPr>
        <w:t>The FDA and other regulatory authorities strictly regulate the promotional claims that may be made about medical devices. In particular, the FDA requires that medical devices be labeled, advertised and promoted only in accordance with their approved or cleared indications for use (or, in the case of products which are exempt from premarket review, in accordance with the regulations pertaining to such premarket clearance-exempt product classification). Similar limitations are imposed through certain national and international requirements outside of the U.S.</w:t>
      </w:r>
    </w:p>
    <w:p>
      <w:pPr>
        <w:spacing w:after="0" w:line="170"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We currently market TearCare as a Class II, 510(k)-exempt powered heating pad. We are seeking clearance from the FDA for an expanded indication for use for TearCare through a 510(k) premarket notification. However, the FDA may determine that the clinical data we have provided or will provide is insufficient to support this indication and therefore not grant or delay clearance. For example, in January 2021, the FDA requested that we provide additional information in connection with the TearCare 510(k) premarket notification we submitted in November 2020. We withdrew this submission in May 2021 and submitted a revised 510(k) premarket notification in September 2021 that included the additional information requested by the FDA. Further, the FDA may disagree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5" w:name="page86"/>
    <w:bookmarkEnd w:id="85"/>
    <w:p>
      <w:pPr>
        <w:ind w:right="240"/>
        <w:spacing w:after="0" w:line="279" w:lineRule="auto"/>
        <w:rPr>
          <w:sz w:val="20"/>
          <w:szCs w:val="20"/>
          <w:color w:val="auto"/>
        </w:rPr>
      </w:pPr>
      <w:r>
        <w:rPr>
          <w:rFonts w:ascii="Arial" w:cs="Arial" w:eastAsia="Arial" w:hAnsi="Arial"/>
          <w:sz w:val="18"/>
          <w:szCs w:val="18"/>
          <w:color w:val="auto"/>
        </w:rPr>
        <w:t>with our belief that our existing indication is broad enough to include the delivery of localized heat where the current medical community recommends application of a warm compress, such as MGD, DED, and blepharitis, in which case the FDA could assert that we are marketing the product in a manner that causes the product not to be exempt from premarket clearance.</w:t>
      </w:r>
    </w:p>
    <w:p>
      <w:pPr>
        <w:spacing w:after="0" w:line="183"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The FDA does not generally regulate the behavior of physicians in their choice of treatments. While physicians may choose to use medical devices for uses that are not described in the product’s labeling and for uses that differ from those authorized by the FDA, our promotional materials, promotional activities and training methods must comply with applicable FDA regulations and other applicable federal, state and foreign laws and regulations, including the prohibition on the promotion of off-label uses of our products.</w:t>
      </w:r>
    </w:p>
    <w:p>
      <w:pPr>
        <w:spacing w:after="0" w:line="185"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If the FDA or equivalent foreign authorities determine that our labeling, promotional materials or other communications (including communications by our employees or other agents) constitute promotion of an off-label use, they could request or require that we modify our promotional materials or subject us to regulatory or enforcement actions, including the issuance of a warning letter or untitled letter, suspension or withdrawal of a product from the market, or requiring a recall or institution of fines, which could result in the disgorgement of money, operating restrictions, injunctions, civil fines and criminal penalties. It is also possible that other federal, state or foreign enforcement authorities might take action if they consider our promotional or training materials to constitute promotion of an off-label use, which could result in significant fines or penalties, such as laws prohibiting false or fraudulent claims for payment of government funds, such as the U.S. federal False Claims Act. In that event, our reputation could be damaged and adoption of our products could be impaired.</w:t>
      </w:r>
    </w:p>
    <w:p>
      <w:pPr>
        <w:spacing w:after="0" w:line="196" w:lineRule="exact"/>
        <w:rPr>
          <w:sz w:val="20"/>
          <w:szCs w:val="20"/>
          <w:color w:val="auto"/>
        </w:rPr>
      </w:pPr>
    </w:p>
    <w:p>
      <w:pPr>
        <w:ind w:right="240" w:firstLine="509"/>
        <w:spacing w:after="0" w:line="319" w:lineRule="auto"/>
        <w:rPr>
          <w:sz w:val="20"/>
          <w:szCs w:val="20"/>
          <w:color w:val="auto"/>
        </w:rPr>
      </w:pPr>
      <w:r>
        <w:rPr>
          <w:rFonts w:ascii="Arial" w:cs="Arial" w:eastAsia="Arial" w:hAnsi="Arial"/>
          <w:sz w:val="16"/>
          <w:szCs w:val="16"/>
          <w:color w:val="auto"/>
        </w:rPr>
        <w:t>Notwithstanding the regulatory restrictions on off-label promotion, the FDA and other regulatory authorities allow medical device companies to engage in truthful, non-misleading and non-promotional scientific exchange concerning their products. If the FDA or other regulatory or enforcement authorities determine that our communications regarding our marketed products are not in compliance with the relevant regulatory requirements and that we have improperly promoted off-label uses, we may be subject to significant liability, including civil, criminal and administrative penalties.</w:t>
      </w:r>
    </w:p>
    <w:p>
      <w:pPr>
        <w:spacing w:after="0" w:line="264"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b w:val="1"/>
          <w:bCs w:val="1"/>
          <w:i w:val="1"/>
          <w:iCs w:val="1"/>
          <w:color w:val="auto"/>
        </w:rPr>
        <w:t>Failure to comply with post-marketing regulatory requirements could subject us to enforcement actions, including substantial penalties, and might require us to recall or withdraw a product from the market.</w:t>
      </w:r>
    </w:p>
    <w:p>
      <w:pPr>
        <w:spacing w:after="0" w:line="62"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Even though we have obtained FDA clearance for OMNI and currently market TearCare in the U.S. pursuant to a 510(k) exemption, we are subject to ongoing and pervasive regulatory requirements governing, among other things, the manufacture, marketing, advertising, medical device reporting, sale, promotion, import, export, registration, and listing of devices. For example, we must submit periodic reports to the FDA as a condition of 510(k) clearance. These reports include information about failures and certain adverse events associated with the device after its clearance. Failure to submit such reports, or failure to submit the reports in a timely manner, could result in enforcement action by the FDA. Following its review of the periodic reports, the FDA might ask for additional information or initiate further investigation. In addition, we must maintain an active registration of our facilities and listing of our products in order to legally market them in the United States. If the FDA were to disagree with our product listing or otherwise take issue with our registration and listing compliance, it could result in delisting of our products or other enforcement action resulting in potential inability to market our products. For example, in October 2020, the FDA communicated to us that TearCare may not be eligible for an exemption from 510(k) clearance. In response to that communication, among other things, we submitted a 510(k) premarket notification seeking clearance for TearCare in November 2020. The FDA requested several safety tests and modifications to this submission which we believe would have required additional time to complete beyond the designated review process. We voluntarily withdrew this submission in May 2021 to allow us to comply with the FDA’s requests in a comprehensive manner. We completed the additional testing and modifications requested by the FDA and submitted a new 510(k) for an expanded indication for use in September 2021.</w:t>
      </w:r>
    </w:p>
    <w:p>
      <w:pPr>
        <w:spacing w:after="0" w:line="179" w:lineRule="exact"/>
        <w:rPr>
          <w:sz w:val="20"/>
          <w:szCs w:val="20"/>
          <w:color w:val="auto"/>
        </w:rPr>
      </w:pPr>
    </w:p>
    <w:p>
      <w:pPr>
        <w:ind w:right="160" w:firstLine="509"/>
        <w:spacing w:after="0" w:line="296" w:lineRule="auto"/>
        <w:rPr>
          <w:sz w:val="20"/>
          <w:szCs w:val="20"/>
          <w:color w:val="auto"/>
        </w:rPr>
      </w:pPr>
      <w:r>
        <w:rPr>
          <w:rFonts w:ascii="Arial" w:cs="Arial" w:eastAsia="Arial" w:hAnsi="Arial"/>
          <w:sz w:val="17"/>
          <w:szCs w:val="17"/>
          <w:color w:val="auto"/>
        </w:rPr>
        <w:t>The regulations to which we are subject are complex and have become more stringent over time. Regulatory changes could result in restrictions on our ability to continue or expand our operations, higher than anticipated costs, or lower than anticipated sales. Even after we have obtained the proper regulatory clearance to market a device, we have ongoing responsibilities under FDA regulations and applicable foreign laws and regulations. The FDA, state and foreign regulatory authorities have broad enforcement powers. Our failure to comply with applicable regulatory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color w:val="auto"/>
        </w:rPr>
        <w:t>requirements could result in enforcement action by the FDA, state or foreign regulatory authorities, which may include any of the following sanctions:</w:t>
      </w:r>
    </w:p>
    <w:p>
      <w:pPr>
        <w:spacing w:after="0" w:line="277" w:lineRule="exact"/>
        <w:rPr>
          <w:sz w:val="20"/>
          <w:szCs w:val="20"/>
          <w:color w:val="auto"/>
        </w:rPr>
      </w:pPr>
    </w:p>
    <w:p>
      <w:pPr>
        <w:ind w:left="1040" w:hanging="45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Untitled letters, warning letters or adverse publicity;</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injunctions, consent decrees and civil penalties;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Recalls, termination of distribution, administrative detention, or seizure of our products;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Customer notifications or repair, replacement or refunds;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right="240" w:hanging="452"/>
        <w:spacing w:after="0" w:line="293"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or refusal to grant our requests for future clearances or approvals or foreign clearance, certification or approval of new products, new intended uses, or modifications to existing products;</w:t>
      </w:r>
    </w:p>
    <w:p>
      <w:pPr>
        <w:spacing w:after="0" w:line="210" w:lineRule="exact"/>
        <w:rPr>
          <w:rFonts w:ascii="Arial" w:cs="Arial" w:eastAsia="Arial" w:hAnsi="Arial"/>
          <w:sz w:val="18"/>
          <w:szCs w:val="18"/>
          <w:color w:val="auto"/>
        </w:rPr>
      </w:pPr>
    </w:p>
    <w:p>
      <w:pPr>
        <w:ind w:left="1040" w:right="620" w:hanging="452"/>
        <w:spacing w:after="0" w:line="293"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Withdrawals or suspensions of 510(k) clearances, or requirements for new 510(k) clearances, resulting in prohibitions on sales of our products pending such further clearance;</w:t>
      </w:r>
    </w:p>
    <w:p>
      <w:pPr>
        <w:spacing w:after="0" w:line="210" w:lineRule="exact"/>
        <w:rPr>
          <w:rFonts w:ascii="Arial" w:cs="Arial" w:eastAsia="Arial" w:hAnsi="Arial"/>
          <w:sz w:val="18"/>
          <w:szCs w:val="18"/>
          <w:color w:val="auto"/>
        </w:rPr>
      </w:pPr>
    </w:p>
    <w:p>
      <w:pPr>
        <w:ind w:left="1040" w:hanging="45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FDA refusal to issue certificates to foreign governments needed to export products for sale in other countries; and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00" w:lineRule="exact"/>
        <w:rPr>
          <w:sz w:val="20"/>
          <w:szCs w:val="20"/>
          <w:color w:val="auto"/>
        </w:rPr>
      </w:pPr>
    </w:p>
    <w:p>
      <w:pPr>
        <w:spacing w:after="0" w:line="282"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Any of these sanctions could result in higher than anticipated costs or lower than anticipated sales and have a material adverse effect on our reputation, business, financial condition and results of operations. In addition, the FDA may change its clearance policies, adopt additional regulations or revise existing regulations, or take other actions, which may prevent or delay clearance or approval of our future products under development or impact our ability to modify our currently cleared or 510(k)-exempt products on a timely basis. Such policy or regulatory changes could impose additional requirements upon us that could delay our ability to obtain new clearances or approvals, increase the costs of compliance or restrict our ability to maintain our clearances of our current products.</w:t>
      </w:r>
    </w:p>
    <w:p>
      <w:pPr>
        <w:spacing w:after="0" w:line="299" w:lineRule="exact"/>
        <w:rPr>
          <w:sz w:val="20"/>
          <w:szCs w:val="20"/>
          <w:color w:val="auto"/>
        </w:rPr>
      </w:pPr>
    </w:p>
    <w:p>
      <w:pPr>
        <w:spacing w:after="0" w:line="293" w:lineRule="auto"/>
        <w:rPr>
          <w:sz w:val="20"/>
          <w:szCs w:val="20"/>
          <w:color w:val="auto"/>
        </w:rPr>
      </w:pPr>
      <w:r>
        <w:rPr>
          <w:rFonts w:ascii="Arial" w:cs="Arial" w:eastAsia="Arial" w:hAnsi="Arial"/>
          <w:sz w:val="18"/>
          <w:szCs w:val="18"/>
          <w:b w:val="1"/>
          <w:bCs w:val="1"/>
          <w:i w:val="1"/>
          <w:iCs w:val="1"/>
          <w:color w:val="auto"/>
        </w:rPr>
        <w:t>Our products must be manufactured in accordance with federal, state and foreign regulations, and we could be forced to recall our devices or terminate production if we fail to comply with these regulations.</w:t>
      </w:r>
    </w:p>
    <w:p>
      <w:pPr>
        <w:spacing w:after="0" w:line="62" w:lineRule="exact"/>
        <w:rPr>
          <w:sz w:val="20"/>
          <w:szCs w:val="20"/>
          <w:color w:val="auto"/>
        </w:rPr>
      </w:pPr>
    </w:p>
    <w:p>
      <w:pPr>
        <w:ind w:right="80" w:firstLine="509"/>
        <w:spacing w:after="0" w:line="285" w:lineRule="auto"/>
        <w:rPr>
          <w:sz w:val="20"/>
          <w:szCs w:val="20"/>
          <w:color w:val="auto"/>
        </w:rPr>
      </w:pPr>
      <w:r>
        <w:rPr>
          <w:rFonts w:ascii="Arial" w:cs="Arial" w:eastAsia="Arial" w:hAnsi="Arial"/>
          <w:sz w:val="17"/>
          <w:szCs w:val="17"/>
          <w:color w:val="auto"/>
        </w:rPr>
        <w:t>The methods used in, and the facilities used for, the manufacture of our products must comply with the FDA’s QSR and the European Union Medical Devices Directive (Council Directive 93/42/EEC), both of which are complex regulatory schemes that cover the procedures and documentation of the design, testing, production, process controls, quality assurance, labeling, packaging, handling, storage, distribution, installation, servicing and shipping of medical devices. Furthermore, we are required to maintain, and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various laws and regulations of foreign countries governing manufacturing and a requirement for adherence to industry standards of the International Standards Organization, or ISO, in connection with our medical device operations outside of the United States.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clearances or approvals; seizures or recalls of our products; total or partial suspension of production or distribution; administrative or judicially imposed sanctions; the FDA’s refusal to grant pending or future clearances or approvals for our products; clinical holds; refusal to permit the import or export of our products; and criminal prosecution of us, our suppliers, or our employees.</w:t>
      </w:r>
    </w:p>
    <w:p>
      <w:pPr>
        <w:spacing w:after="0" w:line="182" w:lineRule="exact"/>
        <w:rPr>
          <w:sz w:val="20"/>
          <w:szCs w:val="20"/>
          <w:color w:val="auto"/>
        </w:rPr>
      </w:pPr>
    </w:p>
    <w:p>
      <w:pPr>
        <w:ind w:right="80" w:firstLine="509"/>
        <w:spacing w:after="0" w:line="293" w:lineRule="auto"/>
        <w:rPr>
          <w:sz w:val="20"/>
          <w:szCs w:val="20"/>
          <w:color w:val="auto"/>
        </w:rPr>
      </w:pPr>
      <w:r>
        <w:rPr>
          <w:rFonts w:ascii="Arial" w:cs="Arial" w:eastAsia="Arial" w:hAnsi="Arial"/>
          <w:sz w:val="18"/>
          <w:szCs w:val="18"/>
          <w:color w:val="auto"/>
        </w:rPr>
        <w:t>We have received ISO 13485:2016 certification for our quality management system. ISO certification generally includes recertification audits every third year, scheduled annual surveillance audits and periodic unannounced audits.</w:t>
      </w:r>
    </w:p>
    <w:p>
      <w:pPr>
        <w:spacing w:after="0" w:line="170"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We can provide no assurance that we will be found to remain in compliance with the QSR or ISO standards upon a regulator’s review. If the FDA or other regulator, inspects any of our manufacturers’ facilities and discovers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7" w:name="page88"/>
    <w:bookmarkEnd w:id="87"/>
    <w:p>
      <w:pPr>
        <w:spacing w:after="0" w:line="275" w:lineRule="auto"/>
        <w:rPr>
          <w:sz w:val="20"/>
          <w:szCs w:val="20"/>
          <w:color w:val="auto"/>
        </w:rPr>
      </w:pPr>
      <w:r>
        <w:rPr>
          <w:rFonts w:ascii="Arial" w:cs="Arial" w:eastAsia="Arial" w:hAnsi="Arial"/>
          <w:sz w:val="18"/>
          <w:szCs w:val="18"/>
          <w:color w:val="auto"/>
        </w:rPr>
        <w:t>compliance problems, we may have to cease manufacturing and product distribution until we can take the appropriate remedial steps to correct the audit findings. Any of the actions noted above could significantly and negatively affect supply of our products. Taking corrective action may be expensive, time-consuming and a distraction for management. If any of these events occurs, our reputation could be harmed, we could be exposed to product liability claims and we could lose customers and experience reduced sales and increased costs.</w:t>
      </w:r>
    </w:p>
    <w:p>
      <w:pPr>
        <w:spacing w:after="0" w:line="293" w:lineRule="exact"/>
        <w:rPr>
          <w:sz w:val="20"/>
          <w:szCs w:val="20"/>
          <w:color w:val="auto"/>
        </w:rPr>
      </w:pPr>
    </w:p>
    <w:p>
      <w:pPr>
        <w:ind w:right="120"/>
        <w:spacing w:after="0" w:line="296" w:lineRule="auto"/>
        <w:rPr>
          <w:sz w:val="20"/>
          <w:szCs w:val="20"/>
          <w:color w:val="auto"/>
        </w:rPr>
      </w:pPr>
      <w:r>
        <w:rPr>
          <w:rFonts w:ascii="Arial" w:cs="Arial" w:eastAsia="Arial" w:hAnsi="Arial"/>
          <w:sz w:val="17"/>
          <w:szCs w:val="17"/>
          <w:b w:val="1"/>
          <w:bCs w:val="1"/>
          <w:i w:val="1"/>
          <w:iCs w:val="1"/>
          <w:color w:val="auto"/>
        </w:rPr>
        <w:t>Our products may cause or contribute to adverse medical events or be subject to failures or malfunctions that we are required to report to the FDA (or similar foreign authorities), and if we fail to do so, we would be subject to sanctions that could negatively affect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62"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We are subject to the FDA’s medical device reporting regulations and similar foreign regulations, which require us to report to the FDA (and other foreign regulatory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based on the date we become aware of the adverse event as well as on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its foreign counterparts could take action, including warning letters, untitled letters, administrative actions, criminal prosecution, imposition of civil monetary penalties, revocation of device clearance or approval, seizure of our products or delay in clearance or approval of future products, which could have a negative impact on us.</w:t>
      </w:r>
    </w:p>
    <w:p>
      <w:pPr>
        <w:spacing w:after="0" w:line="170" w:lineRule="exact"/>
        <w:rPr>
          <w:sz w:val="20"/>
          <w:szCs w:val="20"/>
          <w:color w:val="auto"/>
        </w:rPr>
      </w:pPr>
    </w:p>
    <w:p>
      <w:pPr>
        <w:ind w:right="40" w:firstLine="509"/>
        <w:spacing w:after="0" w:line="290" w:lineRule="auto"/>
        <w:rPr>
          <w:sz w:val="20"/>
          <w:szCs w:val="20"/>
          <w:color w:val="auto"/>
        </w:rPr>
      </w:pPr>
      <w:r>
        <w:rPr>
          <w:rFonts w:ascii="Arial" w:cs="Arial" w:eastAsia="Arial" w:hAnsi="Arial"/>
          <w:sz w:val="17"/>
          <w:szCs w:val="17"/>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76" w:lineRule="exact"/>
        <w:rPr>
          <w:sz w:val="20"/>
          <w:szCs w:val="20"/>
          <w:color w:val="auto"/>
        </w:rPr>
      </w:pPr>
    </w:p>
    <w:p>
      <w:pPr>
        <w:ind w:right="20" w:firstLine="509"/>
        <w:spacing w:after="0" w:line="292" w:lineRule="auto"/>
        <w:rPr>
          <w:sz w:val="20"/>
          <w:szCs w:val="20"/>
          <w:color w:val="auto"/>
        </w:rPr>
      </w:pPr>
      <w:r>
        <w:rPr>
          <w:rFonts w:ascii="Arial" w:cs="Arial" w:eastAsia="Arial" w:hAnsi="Arial"/>
          <w:sz w:val="17"/>
          <w:szCs w:val="17"/>
          <w:color w:val="auto"/>
        </w:rPr>
        <w:t>If we initiate a correction or removal for our products to reduce a risk to health posed by them or to remedy a violation of law that may present a risk to health, we would be required to submit a report to the FDA and may be required to submit similar notifications to other regulatory authorities. This report could lead to increased scrutiny by the FDA, other foreign regulatory agencies and our customers regarding the quality and safety of our products. Furthermore, the submission of these reports, to the extent made publicly available in accordance with FDA regulations, could be used by competitors against us or otherwise publicized and cause physicians to delay or cancel product orders, which will harm our reputation.</w:t>
      </w:r>
    </w:p>
    <w:p>
      <w:pPr>
        <w:spacing w:after="0" w:line="174"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If we assess a potential quality issue or complaint as not requiring either a field action or regulatory notification, regulators may review documentation of that decision during a subsequent audit. If regulators disagree with our decision, or take issue with either our investigation process or the resulting documentation, regulatory agencies may impose sanctions and we may be subject to regulatory enforcement actions, including warning letters, all of which will negatively affect our business, financial condition and results of operations.</w:t>
      </w:r>
    </w:p>
    <w:p>
      <w:pPr>
        <w:spacing w:after="0" w:line="185" w:lineRule="exact"/>
        <w:rPr>
          <w:sz w:val="20"/>
          <w:szCs w:val="20"/>
          <w:color w:val="auto"/>
        </w:rPr>
      </w:pPr>
    </w:p>
    <w:p>
      <w:pPr>
        <w:ind w:right="40" w:firstLine="509"/>
        <w:spacing w:after="0" w:line="272" w:lineRule="auto"/>
        <w:rPr>
          <w:sz w:val="20"/>
          <w:szCs w:val="20"/>
          <w:color w:val="auto"/>
        </w:rPr>
      </w:pPr>
      <w:r>
        <w:rPr>
          <w:rFonts w:ascii="Arial" w:cs="Arial" w:eastAsia="Arial" w:hAnsi="Arial"/>
          <w:sz w:val="18"/>
          <w:szCs w:val="18"/>
          <w:color w:val="auto"/>
        </w:rPr>
        <w:t>Depending on the corrective action we take to redress a product’s deficiencies or defects, the FDA or FDA’s foreign counterparts may require, or we may decide, that we will need to obtain new clearances, certifications or approvals for the device before we may market or distribute the corrected device. Seeking such clearances, certifications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8" w:name="page89"/>
    <w:bookmarkEnd w:id="88"/>
    <w:p>
      <w:pPr>
        <w:ind w:right="100" w:firstLine="509"/>
        <w:spacing w:after="0" w:line="290" w:lineRule="auto"/>
        <w:rPr>
          <w:sz w:val="20"/>
          <w:szCs w:val="20"/>
          <w:color w:val="auto"/>
        </w:rPr>
      </w:pPr>
      <w:r>
        <w:rPr>
          <w:rFonts w:ascii="Arial" w:cs="Arial" w:eastAsia="Arial" w:hAnsi="Arial"/>
          <w:sz w:val="17"/>
          <w:szCs w:val="17"/>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will negatively affect our reputation, business, financial condition and results of operations.</w:t>
      </w:r>
    </w:p>
    <w:p>
      <w:pPr>
        <w:spacing w:after="0" w:line="284" w:lineRule="exact"/>
        <w:rPr>
          <w:sz w:val="20"/>
          <w:szCs w:val="20"/>
          <w:color w:val="auto"/>
        </w:rPr>
      </w:pPr>
    </w:p>
    <w:p>
      <w:pPr>
        <w:ind w:right="460"/>
        <w:spacing w:after="0" w:line="293" w:lineRule="auto"/>
        <w:rPr>
          <w:sz w:val="20"/>
          <w:szCs w:val="20"/>
          <w:color w:val="auto"/>
        </w:rPr>
      </w:pPr>
      <w:r>
        <w:rPr>
          <w:rFonts w:ascii="Arial" w:cs="Arial" w:eastAsia="Arial" w:hAnsi="Arial"/>
          <w:sz w:val="18"/>
          <w:szCs w:val="18"/>
          <w:b w:val="1"/>
          <w:bCs w:val="1"/>
          <w:i w:val="1"/>
          <w:iCs w:val="1"/>
          <w:color w:val="auto"/>
        </w:rPr>
        <w:t>If we do not obtain and maintain applicable regulatory registrations, clearances, certifications or approvals for our products, we will be unable to market and sell our products outside of the U.S.</w:t>
      </w:r>
    </w:p>
    <w:p>
      <w:pPr>
        <w:spacing w:after="0" w:line="62"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We intend to expand our sales operations outside of the U.S. Sales of our products outside of the U.S. are subject to foreign regulatory requirements that vary widely from country to country. In addition, the FDA regulates exports of medical devices from the U.S. While the regulations of some countries may not impose barriers to marketing and selling our products or only require notification, others require that we obtain the clearance or approval of a specified regulatory body. Complying with foreign regulatory requirements, including obtaining registrations, clearances, certifications or approvals, can be expensive and time-consuming, and we may not receive regulatory clearances, certifications or approvals in each country in which we plan to market our products or we may be unable to do so on a timely basis. The time required to obtain registrations, clearances, certifications or approvals, if required by other countries, may be longer than that required for FDA clearance or approval, and requirements for such registrations, clearances, certifications or approvals may significantly differ from FDA requirements. If we modify our products, we may need to apply for regulatory clearances or approvals before we are permitted to sell the modified product.</w:t>
      </w:r>
    </w:p>
    <w:p>
      <w:pPr>
        <w:spacing w:after="0" w:line="178" w:lineRule="exact"/>
        <w:rPr>
          <w:sz w:val="20"/>
          <w:szCs w:val="20"/>
          <w:color w:val="auto"/>
        </w:rPr>
      </w:pPr>
    </w:p>
    <w:p>
      <w:pPr>
        <w:ind w:right="260" w:firstLine="509"/>
        <w:spacing w:after="0" w:line="324" w:lineRule="auto"/>
        <w:rPr>
          <w:sz w:val="20"/>
          <w:szCs w:val="20"/>
          <w:color w:val="auto"/>
        </w:rPr>
      </w:pPr>
      <w:r>
        <w:rPr>
          <w:rFonts w:ascii="Arial" w:cs="Arial" w:eastAsia="Arial" w:hAnsi="Arial"/>
          <w:sz w:val="17"/>
          <w:szCs w:val="17"/>
          <w:color w:val="auto"/>
        </w:rPr>
        <w:t>In addition, we may not continue to meet the quality and safety standards required to maintain the authorizations that we have received. If we are unable to maintain our authorizations in a particular country, we will no longer be able to sell the applicable product in that country.</w:t>
      </w:r>
    </w:p>
    <w:p>
      <w:pPr>
        <w:spacing w:after="0" w:line="147" w:lineRule="exact"/>
        <w:rPr>
          <w:sz w:val="20"/>
          <w:szCs w:val="20"/>
          <w:color w:val="auto"/>
        </w:rPr>
      </w:pPr>
    </w:p>
    <w:p>
      <w:pPr>
        <w:ind w:right="380" w:firstLine="509"/>
        <w:spacing w:after="0" w:line="296" w:lineRule="auto"/>
        <w:rPr>
          <w:sz w:val="20"/>
          <w:szCs w:val="20"/>
          <w:color w:val="auto"/>
        </w:rPr>
      </w:pPr>
      <w:r>
        <w:rPr>
          <w:rFonts w:ascii="Arial" w:cs="Arial" w:eastAsia="Arial" w:hAnsi="Arial"/>
          <w:sz w:val="17"/>
          <w:szCs w:val="17"/>
          <w:color w:val="auto"/>
        </w:rPr>
        <w:t>Regulatory clearance or approval by the FDA does not ensure registration, clearance, certification or approval by regulatory authorities in other countries, and registration, clearance, certification or approval by one or more foreign regulatory authorities does not ensure registration, clearance, certification or approval by regulatory authorities in other foreign countries or by the FDA. However, a failure or delay in obtaining registration or regulatory clearance, certification or approval in one country may have a negative effect on the regulatory process in others.</w:t>
      </w:r>
    </w:p>
    <w:p>
      <w:pPr>
        <w:spacing w:after="0" w:line="278"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i w:val="1"/>
          <w:iCs w:val="1"/>
          <w:color w:val="auto"/>
        </w:rPr>
        <w:t>The clinical trial or investigation process is lengthy and expensive with uncertain outcomes. Results of earlier studies may not be predictive of future clinical trial or investigation results, or the safety or efficacy profile for such products for such uses. Further, we may incur significant fines, penalties and other liabilities if it is determined that we are failing or have failed to comply with applicable regulatory requirements for the conduct of our clinical trials.</w:t>
      </w:r>
    </w:p>
    <w:p>
      <w:pPr>
        <w:spacing w:after="0" w:line="77"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color w:val="auto"/>
        </w:rPr>
        <w:t>Clinical testing is difficult to design and implement, can take many years, can be expensive and carries uncertain outcomes. The results of preclinical studies and clinical trials and investigations of our products conducted to date and ongoing or future studies, trials and investigations of our current, planned or future products may not be predictive of the results of later clinical trials or investigations, and interim results of a clinical trial or investigation do not necessarily predict final results. Our interpretation of data and results from our clinical trials or investigations does not ensure that we will achieve similar results in future clinical trials or investigations. In addition, preclinical and clinical data are often susceptible to various interpretations and analyses, and many companies that have believed their products performed satisfactorily in preclinical studies and earlier clinical trials or investigations have nonetheless failed to produce strong results in later clinical trials or investigations. Products in later stages of clinical trials or investigations may fail to show the desired safety and efficacy despite having progressed through nonclinical studies and earlier clinical trials or investigations. We incur substantial expense for, and devote significant time to, clinical trials or investigations but cannot be certain that such trials will yield positive results relating to our products. Failure can occur at any stage of clinical testing. Our clinical trials or investigations may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9" w:name="page90"/>
    <w:bookmarkEnd w:id="89"/>
    <w:p>
      <w:pPr>
        <w:spacing w:after="0" w:line="293" w:lineRule="auto"/>
        <w:rPr>
          <w:sz w:val="20"/>
          <w:szCs w:val="20"/>
          <w:color w:val="auto"/>
        </w:rPr>
      </w:pPr>
      <w:r>
        <w:rPr>
          <w:rFonts w:ascii="Arial" w:cs="Arial" w:eastAsia="Arial" w:hAnsi="Arial"/>
          <w:sz w:val="18"/>
          <w:szCs w:val="18"/>
          <w:color w:val="auto"/>
        </w:rPr>
        <w:t>produce negative or inconclusive results, and we may decide, or regulators may require us, to conduct additional clinical and non-clinical testing in addition to those we have planned.</w:t>
      </w:r>
    </w:p>
    <w:p>
      <w:pPr>
        <w:spacing w:after="0" w:line="170" w:lineRule="exact"/>
        <w:rPr>
          <w:sz w:val="20"/>
          <w:szCs w:val="20"/>
          <w:color w:val="auto"/>
        </w:rPr>
      </w:pPr>
    </w:p>
    <w:p>
      <w:pPr>
        <w:jc w:val="both"/>
        <w:ind w:right="140" w:firstLine="509"/>
        <w:spacing w:after="0" w:line="279" w:lineRule="auto"/>
        <w:rPr>
          <w:sz w:val="20"/>
          <w:szCs w:val="20"/>
          <w:color w:val="auto"/>
        </w:rPr>
      </w:pPr>
      <w:r>
        <w:rPr>
          <w:rFonts w:ascii="Arial" w:cs="Arial" w:eastAsia="Arial" w:hAnsi="Arial"/>
          <w:sz w:val="18"/>
          <w:szCs w:val="18"/>
          <w:color w:val="auto"/>
        </w:rPr>
        <w:t>The initiation and completion of any of our clinical trials may be prevented, delayed, or halted for numerous reasons. We may experience delays in our ongoing clinical trials for a number of reasons, which could adversely affect the costs, timing or successful completion of our clinical trials, including related to the following:</w:t>
      </w:r>
    </w:p>
    <w:p>
      <w:pPr>
        <w:spacing w:after="0" w:line="210" w:lineRule="exact"/>
        <w:rPr>
          <w:sz w:val="20"/>
          <w:szCs w:val="20"/>
          <w:color w:val="auto"/>
        </w:rPr>
      </w:pPr>
    </w:p>
    <w:p>
      <w:pPr>
        <w:ind w:left="1040" w:right="220" w:hanging="452"/>
        <w:spacing w:after="0" w:line="279"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submit an Investigational Device Exemption, or IDE, application to the FDA, which must become effective prior to commencing certain human clinical trials of medical devices, and the FDA may reject our IDE application and notify us that we may not begin clinical trials;</w:t>
      </w:r>
    </w:p>
    <w:p>
      <w:pPr>
        <w:spacing w:after="0" w:line="223" w:lineRule="exact"/>
        <w:rPr>
          <w:rFonts w:ascii="Arial" w:cs="Arial" w:eastAsia="Arial" w:hAnsi="Arial"/>
          <w:sz w:val="18"/>
          <w:szCs w:val="18"/>
          <w:color w:val="auto"/>
        </w:rPr>
      </w:pPr>
    </w:p>
    <w:p>
      <w:pPr>
        <w:ind w:left="1040" w:right="1040" w:hanging="452"/>
        <w:spacing w:after="0" w:line="293"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Regulators and other comparable foreign regulatory authorities may disagree as to the design or conduct of our clinical trials or investigations;</w:t>
      </w:r>
    </w:p>
    <w:p>
      <w:pPr>
        <w:spacing w:after="0" w:line="210" w:lineRule="exact"/>
        <w:rPr>
          <w:rFonts w:ascii="Arial" w:cs="Arial" w:eastAsia="Arial" w:hAnsi="Arial"/>
          <w:sz w:val="18"/>
          <w:szCs w:val="18"/>
          <w:color w:val="auto"/>
        </w:rPr>
      </w:pPr>
    </w:p>
    <w:p>
      <w:pPr>
        <w:ind w:left="1040" w:right="240" w:hanging="452"/>
        <w:spacing w:after="0" w:line="324"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Regulators and/or institutional review boards, or IRBs, or other reviewing bodies may not authorize us or our investigators to commence a clinical trial or investigation, or to conduct or continue a clinical trial or investigation at a prospective or specific trial site;</w:t>
      </w:r>
    </w:p>
    <w:p>
      <w:pPr>
        <w:spacing w:after="0" w:line="187" w:lineRule="exact"/>
        <w:rPr>
          <w:rFonts w:ascii="Arial" w:cs="Arial" w:eastAsia="Arial" w:hAnsi="Arial"/>
          <w:sz w:val="17"/>
          <w:szCs w:val="17"/>
          <w:color w:val="auto"/>
        </w:rPr>
      </w:pPr>
    </w:p>
    <w:p>
      <w:pPr>
        <w:ind w:left="1040" w:right="20" w:hanging="452"/>
        <w:spacing w:after="0" w:line="324"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not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187" w:lineRule="exact"/>
        <w:rPr>
          <w:rFonts w:ascii="Arial" w:cs="Arial" w:eastAsia="Arial" w:hAnsi="Arial"/>
          <w:sz w:val="17"/>
          <w:szCs w:val="17"/>
          <w:color w:val="auto"/>
        </w:rPr>
      </w:pPr>
    </w:p>
    <w:p>
      <w:pPr>
        <w:ind w:left="1040" w:right="260" w:hanging="452"/>
        <w:spacing w:after="0" w:line="293"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trials or investigations may produce negative or inconclusive results, and we may decide, or regulators may require us, to conduct additional clinical trials or investigations or abandon product development programs;</w:t>
      </w:r>
    </w:p>
    <w:p>
      <w:pPr>
        <w:spacing w:after="0" w:line="210" w:lineRule="exact"/>
        <w:rPr>
          <w:rFonts w:ascii="Arial" w:cs="Arial" w:eastAsia="Arial" w:hAnsi="Arial"/>
          <w:sz w:val="18"/>
          <w:szCs w:val="18"/>
          <w:color w:val="auto"/>
        </w:rPr>
      </w:pPr>
    </w:p>
    <w:p>
      <w:pPr>
        <w:ind w:left="1040" w:right="280" w:hanging="452"/>
        <w:spacing w:after="0" w:line="275"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subjects or patients required for clinical trials may be larger than we anticipate, enrollment in these clinical trials or investigations may be insufficient or slower than we anticipate, and the number of clinical trials or investigations being conducted at any given time may be high and result in fewer available patients for any given clinical trial, or patients may drop out of these clinical trials or investigations at a higher rate than we anticipate;</w:t>
      </w:r>
    </w:p>
    <w:p>
      <w:pPr>
        <w:spacing w:after="0" w:line="225" w:lineRule="exact"/>
        <w:rPr>
          <w:rFonts w:ascii="Arial" w:cs="Arial" w:eastAsia="Arial" w:hAnsi="Arial"/>
          <w:sz w:val="18"/>
          <w:szCs w:val="18"/>
          <w:color w:val="auto"/>
        </w:rPr>
      </w:pPr>
    </w:p>
    <w:p>
      <w:pPr>
        <w:ind w:left="1040" w:right="180" w:hanging="452"/>
        <w:spacing w:after="0" w:line="293"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third-party contractors, including those manufacturing products or conducting clinical trials or investigations on our behalf, may fail to comply with regulatory requirements or meet their contractual obligations to us in a timely manner, or at all;</w:t>
      </w:r>
    </w:p>
    <w:p>
      <w:pPr>
        <w:spacing w:after="0" w:line="210" w:lineRule="exact"/>
        <w:rPr>
          <w:rFonts w:ascii="Arial" w:cs="Arial" w:eastAsia="Arial" w:hAnsi="Arial"/>
          <w:sz w:val="18"/>
          <w:szCs w:val="18"/>
          <w:color w:val="auto"/>
        </w:rPr>
      </w:pPr>
    </w:p>
    <w:p>
      <w:pPr>
        <w:ind w:left="1040" w:right="300" w:hanging="452"/>
        <w:spacing w:after="0" w:line="293"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might have to suspend or terminate clinical trials or investigations for various reasons, including difficulties in patient enrollment or a finding that the subjects are being exposed to unacceptable health risks;</w:t>
      </w:r>
    </w:p>
    <w:p>
      <w:pPr>
        <w:spacing w:after="0" w:line="210" w:lineRule="exact"/>
        <w:rPr>
          <w:rFonts w:ascii="Arial" w:cs="Arial" w:eastAsia="Arial" w:hAnsi="Arial"/>
          <w:sz w:val="18"/>
          <w:szCs w:val="18"/>
          <w:color w:val="auto"/>
        </w:rPr>
      </w:pPr>
    </w:p>
    <w:p>
      <w:pPr>
        <w:ind w:left="1040" w:right="140" w:hanging="452"/>
        <w:spacing w:after="0" w:line="359" w:lineRule="auto"/>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may have to amend clinical trial or investigation protocols or conduct additional studies to reflect changes in regulatory requirements or guidance, which we may be required to submit to an IRB or other reviewing bodies and/or regulatory authorities for re-examination;</w:t>
      </w:r>
    </w:p>
    <w:p>
      <w:pPr>
        <w:spacing w:after="0" w:line="165" w:lineRule="exact"/>
        <w:rPr>
          <w:rFonts w:ascii="Arial" w:cs="Arial" w:eastAsia="Arial" w:hAnsi="Arial"/>
          <w:sz w:val="16"/>
          <w:szCs w:val="16"/>
          <w:color w:val="auto"/>
        </w:rPr>
      </w:pPr>
    </w:p>
    <w:p>
      <w:pPr>
        <w:ind w:left="1040" w:right="340" w:hanging="452"/>
        <w:spacing w:after="0" w:line="324"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Regulators, IRBs or other reviewing bodies, or other parties may require or recommend that we or our investigators suspend or terminate clinical research for various reasons, including safety signals or noncompliance with regulatory requirements;</w:t>
      </w:r>
    </w:p>
    <w:p>
      <w:pPr>
        <w:spacing w:after="0" w:line="187" w:lineRule="exact"/>
        <w:rPr>
          <w:rFonts w:ascii="Arial" w:cs="Arial" w:eastAsia="Arial" w:hAnsi="Arial"/>
          <w:sz w:val="17"/>
          <w:szCs w:val="17"/>
          <w:color w:val="auto"/>
        </w:rPr>
      </w:pPr>
    </w:p>
    <w:p>
      <w:pPr>
        <w:ind w:left="1040" w:hanging="45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clinical trials or investigations may be greater than we anticipate;</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sites may not adhere to our clinical protocol or may drop out of a clinical trial or investigation;</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recruit a sufficient number of clinical trial or investigation sites;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right="140" w:hanging="452"/>
        <w:spacing w:after="0" w:line="275"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or investigations may be insufficient, inadequate or not available at an acceptable cost, or we may experience interruptions in supply;</w:t>
      </w:r>
    </w:p>
    <w:p>
      <w:pPr>
        <w:spacing w:after="0" w:line="225" w:lineRule="exact"/>
        <w:rPr>
          <w:rFonts w:ascii="Arial" w:cs="Arial" w:eastAsia="Arial" w:hAnsi="Arial"/>
          <w:sz w:val="18"/>
          <w:szCs w:val="18"/>
          <w:color w:val="auto"/>
        </w:rPr>
      </w:pPr>
    </w:p>
    <w:p>
      <w:pPr>
        <w:ind w:left="1040" w:right="280" w:hanging="452"/>
        <w:spacing w:after="0" w:line="293"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Approval policies or regulations of the FDA or applicable foreign regulatory agencies may change in a manner rendering our clinical data insufficient for approval; and</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0" w:name="page91"/>
    <w:bookmarkEnd w:id="90"/>
    <w:p>
      <w:pPr>
        <w:ind w:left="1040" w:hanging="452"/>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current or future products may have undesirable side effects or other unexpected characteristics.</w:t>
      </w:r>
    </w:p>
    <w:p>
      <w:pPr>
        <w:spacing w:after="0" w:line="200" w:lineRule="exact"/>
        <w:rPr>
          <w:sz w:val="20"/>
          <w:szCs w:val="20"/>
          <w:color w:val="auto"/>
        </w:rPr>
      </w:pPr>
    </w:p>
    <w:p>
      <w:pPr>
        <w:spacing w:after="0" w:line="28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our planned and ongoing clinical trials or investigations. If COVID-19 continues to spread, we may experience disruptions that could have a material adverse impact on our clinical trial plans and timelines, including:</w:t>
      </w:r>
    </w:p>
    <w:p>
      <w:pPr>
        <w:spacing w:after="0" w:line="210" w:lineRule="exact"/>
        <w:rPr>
          <w:sz w:val="20"/>
          <w:szCs w:val="20"/>
          <w:color w:val="auto"/>
        </w:rPr>
      </w:pPr>
    </w:p>
    <w:p>
      <w:pPr>
        <w:ind w:left="1040" w:hanging="452"/>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receiving authorizations from local regulatory authorities to initiate planned clinical trials or investigations;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 or investigations;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right="220" w:hanging="452"/>
        <w:spacing w:after="0" w:line="293"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 including interruptions in global shipping that may affect the transport of clinical trial materials;</w:t>
      </w:r>
    </w:p>
    <w:p>
      <w:pPr>
        <w:spacing w:after="0" w:line="210" w:lineRule="exact"/>
        <w:rPr>
          <w:rFonts w:ascii="Arial" w:cs="Arial" w:eastAsia="Arial" w:hAnsi="Arial"/>
          <w:sz w:val="18"/>
          <w:szCs w:val="18"/>
          <w:color w:val="auto"/>
        </w:rPr>
      </w:pPr>
    </w:p>
    <w:p>
      <w:pPr>
        <w:ind w:left="1040" w:right="20" w:hanging="452"/>
        <w:spacing w:after="0" w:line="359" w:lineRule="auto"/>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Changes in local regulations as part of a response to the COVID-19 pandemic which may require us to change the ways in which our clinical trials or investigations are conducted, which may result in unexpected costs, or to discontinue the clinical trials or investigations altogether;</w:t>
      </w:r>
    </w:p>
    <w:p>
      <w:pPr>
        <w:spacing w:after="0" w:line="165" w:lineRule="exact"/>
        <w:rPr>
          <w:rFonts w:ascii="Arial" w:cs="Arial" w:eastAsia="Arial" w:hAnsi="Arial"/>
          <w:sz w:val="16"/>
          <w:szCs w:val="16"/>
          <w:color w:val="auto"/>
        </w:rPr>
      </w:pPr>
    </w:p>
    <w:p>
      <w:pPr>
        <w:ind w:left="1040" w:right="240" w:hanging="452"/>
        <w:spacing w:after="0" w:line="293"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or investigations, including the diversion of hospitals serving as our clinical trial sites and hospital staff supporting the conduct of our clinical trials or investigations;</w:t>
      </w:r>
    </w:p>
    <w:p>
      <w:pPr>
        <w:spacing w:after="0" w:line="210" w:lineRule="exact"/>
        <w:rPr>
          <w:rFonts w:ascii="Arial" w:cs="Arial" w:eastAsia="Arial" w:hAnsi="Arial"/>
          <w:sz w:val="18"/>
          <w:szCs w:val="18"/>
          <w:color w:val="auto"/>
        </w:rPr>
      </w:pPr>
    </w:p>
    <w:p>
      <w:pPr>
        <w:ind w:left="1040" w:right="100" w:hanging="452"/>
        <w:spacing w:after="0" w:line="279"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Interruption of key clinical trial or investigation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223" w:lineRule="exact"/>
        <w:rPr>
          <w:rFonts w:ascii="Arial" w:cs="Arial" w:eastAsia="Arial" w:hAnsi="Arial"/>
          <w:sz w:val="18"/>
          <w:szCs w:val="18"/>
          <w:color w:val="auto"/>
        </w:rPr>
      </w:pPr>
    </w:p>
    <w:p>
      <w:pPr>
        <w:ind w:left="1040" w:right="80" w:hanging="452"/>
        <w:spacing w:after="0" w:line="359" w:lineRule="auto"/>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Risk that participants enrolled in our clinical trials or investigations will contract COVID-19 while the clinical trial or investigation is ongoing, which could impact the results of the clinical trial or investigation, including by increasing the number of observed adverse events;</w:t>
      </w:r>
    </w:p>
    <w:p>
      <w:pPr>
        <w:spacing w:after="0" w:line="165" w:lineRule="exact"/>
        <w:rPr>
          <w:rFonts w:ascii="Arial" w:cs="Arial" w:eastAsia="Arial" w:hAnsi="Arial"/>
          <w:sz w:val="16"/>
          <w:szCs w:val="16"/>
          <w:color w:val="auto"/>
        </w:rPr>
      </w:pPr>
    </w:p>
    <w:p>
      <w:pPr>
        <w:ind w:left="1040" w:right="680" w:hanging="452"/>
        <w:spacing w:after="0" w:line="293"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third parties and contractors due to limitations in employee resources or forced furlough of government employees;</w:t>
      </w:r>
    </w:p>
    <w:p>
      <w:pPr>
        <w:spacing w:after="0" w:line="210" w:lineRule="exact"/>
        <w:rPr>
          <w:rFonts w:ascii="Arial" w:cs="Arial" w:eastAsia="Arial" w:hAnsi="Arial"/>
          <w:sz w:val="18"/>
          <w:szCs w:val="18"/>
          <w:color w:val="auto"/>
        </w:rPr>
      </w:pPr>
    </w:p>
    <w:p>
      <w:pPr>
        <w:ind w:left="1040" w:right="120" w:hanging="452"/>
        <w:spacing w:after="0" w:line="324"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Limitations in employee resources that would otherwise be focused on the conduct of our clinical trials or investigations, including because of sickness of employees or their families or the desire of employees to avoid contact with large groups of people; and</w:t>
      </w:r>
    </w:p>
    <w:p>
      <w:pPr>
        <w:spacing w:after="0" w:line="187" w:lineRule="exact"/>
        <w:rPr>
          <w:rFonts w:ascii="Arial" w:cs="Arial" w:eastAsia="Arial" w:hAnsi="Arial"/>
          <w:sz w:val="17"/>
          <w:szCs w:val="17"/>
          <w:color w:val="auto"/>
        </w:rPr>
      </w:pPr>
    </w:p>
    <w:p>
      <w:pPr>
        <w:ind w:left="1040" w:hanging="452"/>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or investigations in affected geographies.</w:t>
      </w:r>
    </w:p>
    <w:p>
      <w:pPr>
        <w:spacing w:after="0" w:line="200" w:lineRule="exact"/>
        <w:rPr>
          <w:sz w:val="20"/>
          <w:szCs w:val="20"/>
          <w:color w:val="auto"/>
        </w:rPr>
      </w:pPr>
    </w:p>
    <w:p>
      <w:pPr>
        <w:spacing w:after="0" w:line="282"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Any of these factors may significantly harm our business, financial condition and prospects. In addition, many of the factors that cause, or lead to, a delay in the commencement or completion of clinical trials or investigations may also ultimately lead to the denial of regulatory approval of our product candidates, which may also significantly harm our business, financial condition and prospects.</w:t>
      </w:r>
    </w:p>
    <w:p>
      <w:pPr>
        <w:spacing w:after="0" w:line="183"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Patient enrollment in clinical trials or investigations and completion of patient follow-up depend on many factors, including the size of the patient population, the nature of the trial protocol, the proximity of patients to clinical sites, the eligibility criteria for the clinical trial or investigation, patient compliance, competing clinical trials or investigations and clinicians’ and patients’ perceptions as to the potential advantages of the product being studied in relation to other available therapies, including any new treatments that may be approved for the indications we are investigating. For example, patients may be discouraged from enrolling in our clinical trials or investigations if the trial protocol requires them to undergo extensive post-treatment procedures, monitoring or follow-up to assess the safety and efficacy of a product, or they may be persuaded to participate in contemporaneous clinical trials of a competitor’s product. In addition, patients participating in our clinical trials or investigations may drop out before completion of the trial or experience adverse medical events unrelated to our products. Delays in patient enrollment</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11" w:right="379" w:bottom="1440" w:gutter="0" w:footer="0" w:header="0"/>
        </w:sectPr>
      </w:pPr>
    </w:p>
    <w:bookmarkStart w:id="91" w:name="page92"/>
    <w:bookmarkEnd w:id="91"/>
    <w:p>
      <w:pPr>
        <w:ind w:right="940"/>
        <w:spacing w:after="0" w:line="324" w:lineRule="auto"/>
        <w:rPr>
          <w:sz w:val="20"/>
          <w:szCs w:val="20"/>
          <w:color w:val="auto"/>
        </w:rPr>
      </w:pPr>
      <w:r>
        <w:rPr>
          <w:rFonts w:ascii="Arial" w:cs="Arial" w:eastAsia="Arial" w:hAnsi="Arial"/>
          <w:sz w:val="17"/>
          <w:szCs w:val="17"/>
          <w:color w:val="auto"/>
        </w:rPr>
        <w:t>or failure of patients to continue to participate in a clinical trial or investigation may delay commencement or completion of the clinical trial or investigation, cause an increase in the costs of the clinical trial or investigation and delays, or result in the failure of the clinical trial.</w:t>
      </w:r>
    </w:p>
    <w:p>
      <w:pPr>
        <w:spacing w:after="0" w:line="147" w:lineRule="exact"/>
        <w:rPr>
          <w:sz w:val="20"/>
          <w:szCs w:val="20"/>
          <w:color w:val="auto"/>
        </w:rPr>
      </w:pPr>
    </w:p>
    <w:p>
      <w:pPr>
        <w:ind w:right="60" w:firstLine="509"/>
        <w:spacing w:after="0" w:line="290" w:lineRule="auto"/>
        <w:rPr>
          <w:sz w:val="20"/>
          <w:szCs w:val="20"/>
          <w:color w:val="auto"/>
        </w:rPr>
      </w:pPr>
      <w:r>
        <w:rPr>
          <w:rFonts w:ascii="Arial" w:cs="Arial" w:eastAsia="Arial" w:hAnsi="Arial"/>
          <w:sz w:val="17"/>
          <w:szCs w:val="17"/>
          <w:color w:val="auto"/>
        </w:rPr>
        <w:t>Clinical trials and investigations must be conducted in accordance with the regulations of the FDA and other applicable regulatory authorities’ legal requirements, regulations or guidelines, and are subject to oversight by these governmental agencies and IRBs or other regulatory bodies at the medical institutions where the clinical trials or investigations are conducted. In addition, clinical trials and investigations must be conducted with supplies of our devices produced under QSR requirements and other regulations. Further, clinical trials of medical devices for investigational uses must be conducted in accordance with the FDA’s IDE regulations, which govern investigational device labeling, prohibit promotion of the device for investigational uses, and specify an array of recordkeeping, reporting and monitoring responsibilities of study sponsors and study investigators.</w:t>
      </w:r>
    </w:p>
    <w:p>
      <w:pPr>
        <w:spacing w:after="0" w:line="176" w:lineRule="exact"/>
        <w:rPr>
          <w:sz w:val="20"/>
          <w:szCs w:val="20"/>
          <w:color w:val="auto"/>
        </w:rPr>
      </w:pPr>
    </w:p>
    <w:p>
      <w:pPr>
        <w:ind w:right="60" w:firstLine="509"/>
        <w:spacing w:after="0" w:line="303" w:lineRule="auto"/>
        <w:rPr>
          <w:sz w:val="20"/>
          <w:szCs w:val="20"/>
          <w:color w:val="auto"/>
        </w:rPr>
      </w:pPr>
      <w:r>
        <w:rPr>
          <w:rFonts w:ascii="Arial" w:cs="Arial" w:eastAsia="Arial" w:hAnsi="Arial"/>
          <w:sz w:val="16"/>
          <w:szCs w:val="16"/>
          <w:color w:val="auto"/>
        </w:rPr>
        <w:t>For certain devices which present a “significant risk” to human health, as defined by the FDA, the FDA requires the device sponsor to submit an IDE application to the FDA, which must become effective prior to commencing clinical trials. The FDA’s IDE regulations, among other things, govern investigational device labeling, prohibit promotion of the investigational device, and specify an array of recordkeeping, reporting and monitoring responsibilities of study sponsors and study investigators. Further, clinical trials of investigational devices which are non-significant risk devices must still comply with applicable regulatory requirements, including abbreviated IDE requirements, such as ensuring that investigators obtain informed consent, and labeling and record-keeping requirements. Regardless of the degree of risk presented by the medical device, clinical studies must be approved by, and conducted under the oversight of, an Institutional Review Board, or IRB, for each clinical site. We have in the past, and may in the future, conduct clinical trials and investigations that do not comply with all applicable regulations of the FDA and other applicable regulatory authorities’ legal requirements, regulations or guidelines. For example, we did not seek an IDE from the FDA for the conduct of the GEMINI trial, but instead submitted a justification to the IRB that OMNI was a non-significant risk device. The non-significant risk justification and informed consent documents for the GEMINI trial both initially described the trial as a post-market trial. Subsequently, we amended the study protocol and obtained informed consent for a revised description of the trial. Even if we conclude that the conduct of any of our clinical trials or investigations comply with the applicable requirements, regulations or guidelines, there can be no guarantee that the FDA or other applicable regulatory authorities will agree with such conclusion. The FDA may conclude that our ongoing or planned clinical studies require the submission and approval of an IDE, which would require us to devote additional resources to ensuring compliance with IDE requirements in the conduct of our clinical programs.</w:t>
      </w:r>
    </w:p>
    <w:p>
      <w:pPr>
        <w:spacing w:after="0" w:line="174"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If the FDA determines that we have failed to comply with applicable regulatory requirements for the conduct of our clinical trials and investigations, the FDA may refuse to accept any data generated from such clinical trials and investigations in any future premarket applications, and may take a variety of other compliance or enforcement actions, which may result in, among other things, warning letters, untitled letters, fines, injunctions, consent decrees, civil penalties, unanticipated expenditures, repairs, replacements, refunds, recalls or seizures of products, operating restrictions, total or partial suspension of production, the FDA’s refusal to issue certificates to foreign governments needed to export products for sale in other countries, the FDA’s refusal to grant future premarket clearances or approvals, suspensions of current product clearances or approvals and criminal prosecution.</w:t>
      </w:r>
    </w:p>
    <w:p>
      <w:pPr>
        <w:spacing w:after="0" w:line="163"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Furthermore, we may rely on CROs, and clinical trial sites to ensure the proper and timely conduct of our clinical trials or investigations and we may have limited influence over their actual performance. We depend on our collaborators and on medical institutions and CROs to conduct our clinical trials or investigations in compliance with good clinical practice, or GCP, requirements. To the extent our collaborators or the CROs fail to enroll participants for our clinical trials and investigations, fail to conduct the study to GCP standards or are delayed for a significant time in the execution of trials, including achieving full enrollment, we may be affected by increased costs, program delays or both. In addition, clinical trials and investigations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w:t>
      </w:r>
    </w:p>
    <w:p>
      <w:pPr>
        <w:spacing w:after="0" w:line="182" w:lineRule="exact"/>
        <w:rPr>
          <w:sz w:val="20"/>
          <w:szCs w:val="20"/>
          <w:color w:val="auto"/>
        </w:rPr>
      </w:pPr>
    </w:p>
    <w:p>
      <w:pPr>
        <w:ind w:right="360" w:firstLine="509"/>
        <w:spacing w:after="0" w:line="293" w:lineRule="auto"/>
        <w:rPr>
          <w:sz w:val="20"/>
          <w:szCs w:val="20"/>
          <w:color w:val="auto"/>
        </w:rPr>
      </w:pPr>
      <w:r>
        <w:rPr>
          <w:rFonts w:ascii="Arial" w:cs="Arial" w:eastAsia="Arial" w:hAnsi="Arial"/>
          <w:sz w:val="18"/>
          <w:szCs w:val="18"/>
          <w:color w:val="auto"/>
        </w:rPr>
        <w:t>Even if our future products are cleared or approved in the U.S., commercialization of our products in foreign countries would require clearance, certification or approval by regulatory authorities in those countries. Clearance,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2" w:name="page93"/>
    <w:bookmarkEnd w:id="92"/>
    <w:p>
      <w:pPr>
        <w:ind w:right="120"/>
        <w:spacing w:after="0" w:line="279" w:lineRule="auto"/>
        <w:rPr>
          <w:sz w:val="20"/>
          <w:szCs w:val="20"/>
          <w:color w:val="auto"/>
        </w:rPr>
      </w:pPr>
      <w:r>
        <w:rPr>
          <w:rFonts w:ascii="Arial" w:cs="Arial" w:eastAsia="Arial" w:hAnsi="Arial"/>
          <w:sz w:val="18"/>
          <w:szCs w:val="18"/>
          <w:color w:val="auto"/>
        </w:rPr>
        <w:t>certification or approval procedures vary among jurisdictions and can involve requirements and administrative review periods different from, and greater than, those in the U.S., including additional preclinical studies or clinical trials or investigations. Any of these occurrences could have an adverse effect on our business, financial condition and results of operations.</w:t>
      </w:r>
    </w:p>
    <w:p>
      <w:pPr>
        <w:spacing w:after="0" w:line="291"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b w:val="1"/>
          <w:bCs w:val="1"/>
          <w:i w:val="1"/>
          <w:iCs w:val="1"/>
          <w:color w:val="auto"/>
        </w:rPr>
        <w:t>Changes in funding for, or disruptions caused by global health concerns impacting, the FDA and other government agencies could hinder their ability to hire and retain key leadership and other personnel, or otherwise prevent new products and services from being developed, cleared or approved or commercialized in a timely manner, which could negatively impact our business.</w:t>
      </w:r>
    </w:p>
    <w:p>
      <w:pPr>
        <w:spacing w:after="0" w:line="75" w:lineRule="exact"/>
        <w:rPr>
          <w:sz w:val="20"/>
          <w:szCs w:val="20"/>
          <w:color w:val="auto"/>
        </w:rPr>
      </w:pPr>
    </w:p>
    <w:p>
      <w:pPr>
        <w:ind w:right="40" w:firstLine="509"/>
        <w:spacing w:after="0" w:line="272"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91"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Disruptions at the FDA and other agencies may also slow the time necessary for new devices to be reviewed and/or approved or cleared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Separately, in response to the COVID-19 pandemic, on March 10, 2020, the FDA announced its intention to postpone inspections of foreign manufacturing facilities and products, and subsequently,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Other regulatory authorities may adopt similar restrictions or other policy measures in response to the COVID-19 pandemic. If a prolonged government shutdown occurs, or if global health concerns continue to prevent the FDA or other regulatory authorities from conducting business as usual or conducting inspections, reviews or other regulatory activities, it could significantly impact the ability of the FDA to timely review and process our regulatory submissions, which could have a material adverse effect on our business.</w:t>
      </w:r>
    </w:p>
    <w:p>
      <w:pPr>
        <w:spacing w:after="0" w:line="173"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In the European Union, Notified Bodies must be officially designated to certify products and services in accordance with the EU Medical Devices Regulation. Notified Bodies which have applied for designation under the EU Medical Devices Regulation are currently undergoing such designation assessments. Only a few Notified Bodies have been designated so far and the COVID-19 pandemic has significantly slowed down their designation process. Without EU Medical Devices Regulation designation, Notified Bodies may not yet start certifying devices in accordance with the new Regulation. This situation could impact the way we are conducting our business and lead to delays in recertification and compliance with the EU Medical Devices Regulation.</w:t>
      </w:r>
    </w:p>
    <w:p>
      <w:pPr>
        <w:spacing w:after="0" w:line="191"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Under normal circumstances, medical devices manufacturers must undergo on-site audits by Notified Bodies in order to maintain their CE-mark certifications per the requirements of the EU Medical Devices Directive. As many CE-mark certifications will become void as part of the transition to the EU Medical Devices Regulation, Notified Bodies also have to start certifying medical devices in accordance with the EU Medical Devices Regulation. As another consequence of the COVID-19 pandemic, on-site Notified Bodies’ audits have not been feasible due to quarantine and travel restrictions and most of them have been postponed. Even though some specific measures have been implemented to determine whether remote audits can be conducted or be supplemented with an on-site audit once travel restrictions are lifted, this situation could significantly impact the ability of Notified Bodies to timely review and process our regulatory submissions, which could have a material adverse effect on our business.</w:t>
      </w:r>
    </w:p>
    <w:p>
      <w:pPr>
        <w:spacing w:after="0" w:line="289"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b w:val="1"/>
          <w:bCs w:val="1"/>
          <w:i w:val="1"/>
          <w:iCs w:val="1"/>
          <w:color w:val="auto"/>
        </w:rPr>
        <w:t>We are subject to certain federal, state and foreign fraud and abuse laws, health information privacy and security laws and transparency laws that could subject us to substantial penalties. Additionally, any challenge to or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i w:val="1"/>
          <w:iCs w:val="1"/>
          <w:color w:val="auto"/>
        </w:rPr>
        <w:t>investigation into our practices under these laws could cause adverse publicity and be costly to respond to, and thus could harm our business.</w:t>
      </w:r>
    </w:p>
    <w:p>
      <w:pPr>
        <w:spacing w:after="0" w:line="154" w:lineRule="exact"/>
        <w:rPr>
          <w:sz w:val="20"/>
          <w:szCs w:val="20"/>
          <w:color w:val="auto"/>
        </w:rPr>
      </w:pPr>
    </w:p>
    <w:p>
      <w:pPr>
        <w:ind w:right="120" w:firstLine="509"/>
        <w:spacing w:after="0" w:line="272" w:lineRule="auto"/>
        <w:rPr>
          <w:sz w:val="20"/>
          <w:szCs w:val="20"/>
          <w:color w:val="auto"/>
        </w:rPr>
      </w:pPr>
      <w:r>
        <w:rPr>
          <w:rFonts w:ascii="Arial" w:cs="Arial" w:eastAsia="Arial" w:hAnsi="Arial"/>
          <w:sz w:val="18"/>
          <w:szCs w:val="18"/>
          <w:color w:val="auto"/>
        </w:rPr>
        <w:t>There are numerous U.S. federal and state, as well as foreign, laws pertaining to healthcare fraud and abuse, including anti-kickback, false claims and physician transparency laws. Our business practices and relationships with providers are subject to scrutiny under these laws. We may also be subject to privacy and security regulation related to patient, customer, employee and other third-party information by both the federal government and the states and foreign jurisdictions in which we conduct our business. The healthcare laws and regulations that may affect our ability to operate include, but are not limited to:</w:t>
      </w:r>
    </w:p>
    <w:p>
      <w:pPr>
        <w:spacing w:after="0" w:line="218" w:lineRule="exact"/>
        <w:rPr>
          <w:sz w:val="20"/>
          <w:szCs w:val="20"/>
          <w:color w:val="auto"/>
        </w:rPr>
      </w:pPr>
    </w:p>
    <w:p>
      <w:pPr>
        <w:ind w:left="1040" w:hanging="452"/>
        <w:spacing w:after="0" w:line="306" w:lineRule="auto"/>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and entities from knowingly and willfully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A person or entity does not need to have actual knowledge of the statute or specific intent to violate it to have committed a violation. The U.S. government has interpreted this law broadly and has historically applied the law to the marketing and sales activities of manufacturers. Moreover, the government may assert that a claim including items or services resulting from a violation of the federal Anti-Kickback Statute constitutes a false or fraudulent claim for purposes of the federal civil False Claims Act. Violations of the federal False Claims Act may result in significant civil monetary penalties, plus up to three times the remuneration involved. Violations of the Anti-Kickback Statute can result in criminal penalties, including significant criminal fines and imprisonment of up to 10 years. Similarly, violations can result in exclusion from participation in government healthcare programs, including Medicare and Medicaid;</w:t>
      </w:r>
    </w:p>
    <w:p>
      <w:pPr>
        <w:spacing w:after="0" w:line="205" w:lineRule="exact"/>
        <w:rPr>
          <w:rFonts w:ascii="Arial" w:cs="Arial" w:eastAsia="Arial" w:hAnsi="Arial"/>
          <w:sz w:val="16"/>
          <w:szCs w:val="16"/>
          <w:color w:val="auto"/>
        </w:rPr>
      </w:pPr>
    </w:p>
    <w:p>
      <w:pPr>
        <w:ind w:left="1040" w:hanging="452"/>
        <w:spacing w:after="0" w:line="287" w:lineRule="auto"/>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federal civil and criminal false claims laws and civil monetary penalties laws, including the federal civil False Claims Act, which prohibit, among other things, individuals or entities from knowingly presenting, or causing to be presented, claims for payment from Medicare, Medicaid or other federal healthcare programs that are false or fraudulent. These laws can apply to manufacturers who provide information on coverage, coding, and reimbursement of their products to persons who bill third-party payors. Private individuals can bring False Claims Act “qui tam” actions, on behalf of the government and such individuals, commonly known as “whistleblowers,” may share in amounts paid by the entity to the government in fines or settlement. When an entity is determined to have violated the federal civil False Claims Act, the government may impose significant civil fines and penalties for each false claim, plus treble damages, and exclude the entity from participation in Medicare, Medicaid and other federal healthcare programs;</w:t>
      </w:r>
    </w:p>
    <w:p>
      <w:pPr>
        <w:spacing w:after="0" w:line="222" w:lineRule="exact"/>
        <w:rPr>
          <w:rFonts w:ascii="Arial" w:cs="Arial" w:eastAsia="Arial" w:hAnsi="Arial"/>
          <w:sz w:val="17"/>
          <w:szCs w:val="17"/>
          <w:color w:val="auto"/>
        </w:rPr>
      </w:pPr>
    </w:p>
    <w:p>
      <w:pPr>
        <w:ind w:left="1040" w:right="40" w:hanging="452"/>
        <w:spacing w:after="0" w:line="279"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223" w:lineRule="exact"/>
        <w:rPr>
          <w:rFonts w:ascii="Arial" w:cs="Arial" w:eastAsia="Arial" w:hAnsi="Arial"/>
          <w:sz w:val="18"/>
          <w:szCs w:val="18"/>
          <w:color w:val="auto"/>
        </w:rPr>
      </w:pPr>
    </w:p>
    <w:p>
      <w:pPr>
        <w:ind w:left="1040" w:right="40" w:hanging="452"/>
        <w:spacing w:after="0" w:line="275"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or HIPAA, which created additional federal criminal statutes that prohibit,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94" w:name="page95"/>
    <w:bookmarkEnd w:id="94"/>
    <w:p>
      <w:pPr>
        <w:ind w:left="1040" w:right="100" w:hanging="452"/>
        <w:spacing w:after="0" w:line="285" w:lineRule="auto"/>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Physician Payments Sunshine Act which requires certain applicable manufacturers of drugs, devices, biologics and medical supplies for which payment is available under Medicare, Medicaid or the Children’s Health Insurance Program, or CHIP, to report annually to the DHHS Centers for Medicare and Medicaid Services, or CMS, information related to payments and other transfers of value to physicians, which is defined broadly to include other healthcare providers and teaching hospitals, and applicable manufacturers and group purchasing organizations, to report annually ownership and investment interests held by physicians and their immediate family members. Additionally, on October 25, 2018, President Trump signed into law the “Substance Use-Disorder Prevention that Promoted Opioid Recovery and Treatment for Patients and Communities Act” which in part (under a provision entitled “Fighting the Opioid Epidemic with Sunshine”) extends the reporting and transparency requirements for physicians in the Physician Payments Sunshine Act to physician assistants, nurse practitioners, and other mid-level practitioners (with reporting requirements going into effect in 2022 for payments made in 2021). Applicable manufacturers are required to submit annual reports to CMS. Failure to submit required information may result in significant civil monetary penalties (and additional penalties for “knowing failures”), for all payments, transfers of value or ownership or investment interests that are not timely, accurately, and completely reported in an annual submission, and may result in liability under other federal laws or regulations;</w:t>
      </w:r>
    </w:p>
    <w:p>
      <w:pPr>
        <w:spacing w:after="0" w:line="222" w:lineRule="exact"/>
        <w:rPr>
          <w:rFonts w:ascii="Arial" w:cs="Arial" w:eastAsia="Arial" w:hAnsi="Arial"/>
          <w:sz w:val="17"/>
          <w:szCs w:val="17"/>
          <w:color w:val="auto"/>
        </w:rPr>
      </w:pPr>
    </w:p>
    <w:p>
      <w:pPr>
        <w:ind w:left="1040" w:hanging="452"/>
        <w:spacing w:after="0" w:line="269"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Act, and their respective implementing regulations, which impose requirements on certain covered healthcare providers, health plans and healthcare clearinghouses as well as their business associates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 Failure to comply with the HIPAA privacy and security standards can result in significant civil monetary penalties, and, in certain circumstances, criminal penalties with fines and/or imprisonment. State attorneys general can also bring a civil action to enjoin a HIPAA violation or to obtain statutory damages on behalf of residents of his or her state;</w:t>
      </w:r>
    </w:p>
    <w:p>
      <w:pPr>
        <w:spacing w:after="0" w:line="236" w:lineRule="exact"/>
        <w:rPr>
          <w:rFonts w:ascii="Arial" w:cs="Arial" w:eastAsia="Arial" w:hAnsi="Arial"/>
          <w:sz w:val="18"/>
          <w:szCs w:val="18"/>
          <w:color w:val="auto"/>
        </w:rPr>
      </w:pPr>
    </w:p>
    <w:p>
      <w:pPr>
        <w:ind w:left="1040" w:hanging="452"/>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right="300" w:hanging="452"/>
        <w:spacing w:after="0" w:line="293"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and state laws and regulations regarding billing and claims payment applicable to our products and regulatory agencies enforcing those laws and regulations; and</w:t>
      </w:r>
    </w:p>
    <w:p>
      <w:pPr>
        <w:spacing w:after="0" w:line="210" w:lineRule="exact"/>
        <w:rPr>
          <w:rFonts w:ascii="Arial" w:cs="Arial" w:eastAsia="Arial" w:hAnsi="Arial"/>
          <w:sz w:val="18"/>
          <w:szCs w:val="18"/>
          <w:color w:val="auto"/>
        </w:rPr>
      </w:pPr>
    </w:p>
    <w:p>
      <w:pPr>
        <w:ind w:left="1040" w:right="20" w:hanging="452"/>
        <w:spacing w:after="0" w:line="286" w:lineRule="auto"/>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Analogous state and foreign law equivalents of each of the above federal laws, such as anti-kickback and false claims laws, which may apply to items or services reimbursed by any third-party payor, including commercial insurers or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consumer protection and unfair competition laws, which broadly regulate marketplace activities and activities that potentially harm customers, foreign and state laws, including the EU General Data Protection Regulation, or GDPR, governing the privacy and security of personal (including health) information in certain circumstances, many of which differ from each other in significant ways and may not have the same effect, thus complicating compliance efforts; and state laws related to insurance fraud in the case of claims involving private insurers.</w:t>
      </w:r>
    </w:p>
    <w:p>
      <w:pPr>
        <w:spacing w:after="0" w:line="195" w:lineRule="exact"/>
        <w:rPr>
          <w:sz w:val="20"/>
          <w:szCs w:val="20"/>
          <w:color w:val="auto"/>
        </w:rPr>
      </w:pPr>
    </w:p>
    <w:p>
      <w:pPr>
        <w:ind w:right="80" w:firstLine="509"/>
        <w:spacing w:after="0" w:line="270" w:lineRule="auto"/>
        <w:rPr>
          <w:sz w:val="20"/>
          <w:szCs w:val="20"/>
          <w:color w:val="auto"/>
        </w:rPr>
      </w:pPr>
      <w:r>
        <w:rPr>
          <w:rFonts w:ascii="Arial" w:cs="Arial" w:eastAsia="Arial" w:hAnsi="Arial"/>
          <w:sz w:val="18"/>
          <w:szCs w:val="18"/>
          <w:color w:val="auto"/>
        </w:rPr>
        <w:t>These laws and regulations, among other things, constrain our business, marketing and other promotional and research activities by limiting the kinds of financial arrangements, including sales programs, we may have with hospitals, ambulatory surgery centers, physicians or other potential purchasers of our products. We have entered into consulting agreements with physicians, including some who have ownership interests in us, which could be viewed as influencing the purchase of or use of our products in procedures they perform. Compensation under some of these arrangements includes the provision of stock or stock options.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95" w:name="page96"/>
    <w:bookmarkEnd w:id="95"/>
    <w:p>
      <w:pPr>
        <w:ind w:right="320" w:firstLine="509"/>
        <w:spacing w:after="0" w:line="275" w:lineRule="auto"/>
        <w:rPr>
          <w:sz w:val="20"/>
          <w:szCs w:val="20"/>
          <w:color w:val="auto"/>
        </w:rPr>
      </w:pPr>
      <w:r>
        <w:rPr>
          <w:rFonts w:ascii="Arial" w:cs="Arial" w:eastAsia="Arial" w:hAnsi="Arial"/>
          <w:sz w:val="18"/>
          <w:szCs w:val="18"/>
          <w:color w:val="auto"/>
        </w:rPr>
        <w:t>Any action brought against us for violations of these laws or regulations, even if successfully defended, could cause us to incur significant legal expenses and divert our management’s attention from the operation of our business. We may be subject to private qui tam actions brought by individual whistleblowers on behalf of the federal or state governments, with potential liability under the federal False Claims Act including mandatory treble damages and significant per-claim penalties.</w:t>
      </w:r>
    </w:p>
    <w:p>
      <w:pPr>
        <w:spacing w:after="0" w:line="185"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Additionally, as a result of these investigations, healthcare providers and entities may have to agree to additional compliance and reporting requirements as part of a consent decree or corporate integrity agreement. Any such investigation or settlement could increase our costs or otherwise have an adverse effect on our business, financial condition and results of operations. Even an unsuccessful challenge or investigation into our practices could cause adverse publicity, and be costly to respond to.</w:t>
      </w:r>
    </w:p>
    <w:p>
      <w:pPr>
        <w:spacing w:after="0" w:line="193" w:lineRule="exact"/>
        <w:rPr>
          <w:sz w:val="20"/>
          <w:szCs w:val="20"/>
          <w:color w:val="auto"/>
        </w:rPr>
      </w:pPr>
    </w:p>
    <w:p>
      <w:pPr>
        <w:ind w:right="20" w:firstLine="509"/>
        <w:spacing w:after="0" w:line="306" w:lineRule="auto"/>
        <w:rPr>
          <w:sz w:val="20"/>
          <w:szCs w:val="20"/>
          <w:color w:val="auto"/>
        </w:rPr>
      </w:pPr>
      <w:r>
        <w:rPr>
          <w:rFonts w:ascii="Arial" w:cs="Arial" w:eastAsia="Arial" w:hAnsi="Arial"/>
          <w:sz w:val="16"/>
          <w:szCs w:val="16"/>
          <w:color w:val="auto"/>
        </w:rPr>
        <w:t>Our activities, including those relating to providing billing, coding, coverage and reimbursement information about procedures using our products to our customers and the sale and marketing of our products, may be subject to scrutiny under these laws. The growth of our business and sales organization and our expansion outside of the United States may increase the potential of violating these laws or our internal policies and procedures.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state and foreign laws described above or any other current or future fraud and abuse or other healthcare laws and regulations that apply to us, we may be subject to significant penalties, including significant criminal, civil, and administrative penalties, damages, fines, exclusion from participation in government programs, such as Medicare and Medicaid, imprisonment, contractual damages, reputation harm and disgorgement and we could be required to curtail, restructure or cease our operations. Any of the foregoing consequences will negatively affect our business, financial condition and results of operations.</w:t>
      </w:r>
    </w:p>
    <w:p>
      <w:pPr>
        <w:spacing w:after="0" w:line="278" w:lineRule="exact"/>
        <w:rPr>
          <w:sz w:val="20"/>
          <w:szCs w:val="20"/>
          <w:color w:val="auto"/>
        </w:rPr>
      </w:pPr>
    </w:p>
    <w:p>
      <w:pPr>
        <w:spacing w:after="0" w:line="296" w:lineRule="auto"/>
        <w:rPr>
          <w:sz w:val="20"/>
          <w:szCs w:val="20"/>
          <w:color w:val="auto"/>
        </w:rPr>
      </w:pPr>
      <w:r>
        <w:rPr>
          <w:rFonts w:ascii="Arial" w:cs="Arial" w:eastAsia="Arial" w:hAnsi="Arial"/>
          <w:sz w:val="17"/>
          <w:szCs w:val="17"/>
          <w:b w:val="1"/>
          <w:bCs w:val="1"/>
          <w:i w:val="1"/>
          <w:iCs w:val="1"/>
          <w:color w:val="auto"/>
        </w:rPr>
        <w:t>We are subject to governmental regulations and other legal obligations, particularly related to privacy, data protection and information security, and we are subject to consumer protection laws that regulate our marketing practices and prohibit unfair or deceptive acts or practices. Our actual or perceived failure to comply with such obligations could harm our business. Ensuring compliance with such laws could also impair our efforts to maintain and expand our customer base, and thereby decrease our revenue.</w:t>
      </w:r>
    </w:p>
    <w:p>
      <w:pPr>
        <w:spacing w:after="0" w:line="62" w:lineRule="exact"/>
        <w:rPr>
          <w:sz w:val="20"/>
          <w:szCs w:val="20"/>
          <w:color w:val="auto"/>
        </w:rPr>
      </w:pPr>
    </w:p>
    <w:p>
      <w:pPr>
        <w:ind w:right="120" w:firstLine="509"/>
        <w:spacing w:after="0" w:line="287" w:lineRule="auto"/>
        <w:rPr>
          <w:sz w:val="20"/>
          <w:szCs w:val="20"/>
          <w:color w:val="auto"/>
        </w:rPr>
      </w:pPr>
      <w:r>
        <w:rPr>
          <w:rFonts w:ascii="Arial" w:cs="Arial" w:eastAsia="Arial" w:hAnsi="Arial"/>
          <w:sz w:val="17"/>
          <w:szCs w:val="17"/>
          <w:color w:val="auto"/>
        </w:rPr>
        <w:t>In the conduct of our business, we may at times process personal data, including health-related personal data. The U.S. federal government and various states have adopted or proposed laws, regulations, guidelines and rules for the collection, distribution, use and storage of personal information of individuals. We may also be subject to U.S. federal rules, regulations and guidance concerning data security for medical devices, including guidance from the FDA. According to the Federal Trade Commission, or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State privacy and security laws vary from state to state and, in some cases, can impose more restrictive requirements than U.S. federal law.</w:t>
      </w:r>
    </w:p>
    <w:p>
      <w:pPr>
        <w:spacing w:after="0" w:line="178"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In addition, certain state and non-U.S. laws, such as the European Union General Data Protection Regulation (2016/679), or GDPR, govern the privacy and security of personal (including health) data in certain circumstances, some of which are more stringent than U.S. federal law and many of which differ from each other in significant ways and may not have the same effect, thus complicating compliance efforts. The GDPR is directly applicable in each member state and is extended to the EEA. Failure to comply with these laws, where applicable, can result in the imposition of significant civil and/or criminal penalties and private litigation. Where state laws are more protective, we must comply with the stricter provisions. In addition to fines and penalties that may be imposed for failure to comply with state law, some states also provide for private rights of action to individuals for misuse of personal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6" w:name="page97"/>
    <w:bookmarkEnd w:id="96"/>
    <w:p>
      <w:pPr>
        <w:spacing w:after="0" w:line="272" w:lineRule="auto"/>
        <w:rPr>
          <w:sz w:val="20"/>
          <w:szCs w:val="20"/>
          <w:color w:val="auto"/>
        </w:rPr>
      </w:pPr>
      <w:r>
        <w:rPr>
          <w:rFonts w:ascii="Arial" w:cs="Arial" w:eastAsia="Arial" w:hAnsi="Arial"/>
          <w:sz w:val="18"/>
          <w:szCs w:val="18"/>
          <w:color w:val="auto"/>
        </w:rPr>
        <w:t>information. For example, California enacted the California Consumer Privacy Act, or CCPA, on June 28, 2018, which went into effect on January 1, 2020. The CCPA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w:t>
      </w:r>
    </w:p>
    <w:p>
      <w:pPr>
        <w:spacing w:after="0" w:line="191"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In Europe, the GDPR went into effect on May 25, 2018 and introduces strict requirements for processing the personal data of European Union data subjects. Companies that must comply with the GDPR face increased compliance obligations and risk, including more robust regulatory enforcement of data protection requirements and potential fines for noncompliance of up to €20 million or 4% of the annual global revenues of the preceding financial year of the noncompliant company, whichever is greater.</w:t>
      </w:r>
    </w:p>
    <w:p>
      <w:pPr>
        <w:spacing w:after="0" w:line="185" w:lineRule="exact"/>
        <w:rPr>
          <w:sz w:val="20"/>
          <w:szCs w:val="20"/>
          <w:color w:val="auto"/>
        </w:rPr>
      </w:pPr>
    </w:p>
    <w:p>
      <w:pPr>
        <w:ind w:right="160" w:firstLine="509"/>
        <w:spacing w:after="0" w:line="319" w:lineRule="auto"/>
        <w:rPr>
          <w:sz w:val="20"/>
          <w:szCs w:val="20"/>
          <w:color w:val="auto"/>
        </w:rPr>
      </w:pPr>
      <w:r>
        <w:rPr>
          <w:rFonts w:ascii="Arial" w:cs="Arial" w:eastAsia="Arial" w:hAnsi="Arial"/>
          <w:sz w:val="16"/>
          <w:szCs w:val="16"/>
          <w:color w:val="auto"/>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w:t>
      </w:r>
    </w:p>
    <w:p>
      <w:pPr>
        <w:spacing w:after="0" w:line="156"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Further, from January 1, 2021, companies have to comply with the GDPR and also the United Kingdom General Data Protection Regulation, or the UK GDPR, which, together with the amended UK Data Protection Act 2018, retains the GDPR in UK national law. The UK GDPR mirrors the fines under the GDPR, i.e., fines up to the greater of €20 million (£17.5 million) or 4% of global turnover. The relationship between the United Kingdom and the European Union in relation to certain aspects of data protection law remains unclear, and it is also unclear how United Kingdom data protection laws and regulations will develop in the medium to longer term, and how data transfers to and from the United Kingdom will be regulated in the long term. These changes will lead to additional costs and increase our overall risk exposure. Currently there is a four to six month grace period agreed in the EU and United Kingdom Trade and Cooperation Agreement, ended June 30, 2021 at the latest, whilst the parties discuss an adequacy decision. The European Commission published a draft adequacy decision on February 19, 2021. If adopted, the decision will enable data transfers from EU member states to the United Kingdom for a four-year period, subject to subsequent extensions.</w:t>
      </w:r>
    </w:p>
    <w:p>
      <w:pPr>
        <w:spacing w:after="0" w:line="178"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Any actual or perceived failure by us or the third parties with whom we work to comply with privacy or security laws, policies, legal obligations or industry standards, or any security incident that results in the unauthorized release or transfer of personally identifiable information, may result in governmental enforcement actions and investigations including by European Data Protection Authorities and U.S. federal and state regulatory authorities, fines and penalties, litigation and/or adverse publicity, including by consumer advocacy groups, and could cause our customers, their patients and other healthcare professionals to lose trust in us, which could harm our reputation and have a material adverse effect on our business, financial condition and results of operations.</w:t>
      </w:r>
    </w:p>
    <w:p>
      <w:pPr>
        <w:spacing w:after="0" w:line="191" w:lineRule="exact"/>
        <w:rPr>
          <w:sz w:val="20"/>
          <w:szCs w:val="20"/>
          <w:color w:val="auto"/>
        </w:rPr>
      </w:pPr>
    </w:p>
    <w:p>
      <w:pPr>
        <w:ind w:right="80" w:firstLine="509"/>
        <w:spacing w:after="0" w:line="288" w:lineRule="auto"/>
        <w:rPr>
          <w:sz w:val="20"/>
          <w:szCs w:val="20"/>
          <w:color w:val="auto"/>
        </w:rPr>
      </w:pPr>
      <w:r>
        <w:rPr>
          <w:rFonts w:ascii="Arial" w:cs="Arial" w:eastAsia="Arial" w:hAnsi="Arial"/>
          <w:sz w:val="17"/>
          <w:szCs w:val="17"/>
          <w:color w:val="auto"/>
        </w:rPr>
        <w:t>We cannot assure you that any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storage and transmission of such information. Increasing use of social media could also give rise to liability, breaches of data security or reputational damage.</w:t>
      </w:r>
    </w:p>
    <w:p>
      <w:pPr>
        <w:spacing w:after="0" w:line="181" w:lineRule="exact"/>
        <w:rPr>
          <w:sz w:val="20"/>
          <w:szCs w:val="20"/>
          <w:color w:val="auto"/>
        </w:rPr>
      </w:pPr>
    </w:p>
    <w:p>
      <w:pPr>
        <w:ind w:right="160" w:firstLine="509"/>
        <w:spacing w:after="0" w:line="296" w:lineRule="auto"/>
        <w:rPr>
          <w:sz w:val="20"/>
          <w:szCs w:val="20"/>
          <w:color w:val="auto"/>
        </w:rPr>
      </w:pPr>
      <w:r>
        <w:rPr>
          <w:rFonts w:ascii="Arial" w:cs="Arial" w:eastAsia="Arial" w:hAnsi="Arial"/>
          <w:sz w:val="17"/>
          <w:szCs w:val="17"/>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7" w:name="page98"/>
    <w:bookmarkEnd w:id="97"/>
    <w:p>
      <w:pPr>
        <w:ind w:right="620"/>
        <w:spacing w:after="0" w:line="293" w:lineRule="auto"/>
        <w:rPr>
          <w:sz w:val="20"/>
          <w:szCs w:val="20"/>
          <w:color w:val="auto"/>
        </w:rPr>
      </w:pPr>
      <w:r>
        <w:rPr>
          <w:rFonts w:ascii="Arial" w:cs="Arial" w:eastAsia="Arial" w:hAnsi="Arial"/>
          <w:sz w:val="18"/>
          <w:szCs w:val="18"/>
          <w:color w:val="auto"/>
        </w:rPr>
        <w:t>privacy and security concerns, even if unfounded, could result in additional cost and liability to us, damage our reputation, and adversely affect our business and results of operations.</w:t>
      </w:r>
    </w:p>
    <w:p>
      <w:pPr>
        <w:spacing w:after="0" w:line="278"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b w:val="1"/>
          <w:bCs w:val="1"/>
          <w:i w:val="1"/>
          <w:iCs w:val="1"/>
          <w:color w:val="auto"/>
        </w:rPr>
        <w:t>Our employees, consultants, and other commercial partners may engage in misconduct or other improper activities, including non-compliance with regulatory standards and requirements.</w:t>
      </w:r>
    </w:p>
    <w:p>
      <w:pPr>
        <w:spacing w:after="0" w:line="62" w:lineRule="exact"/>
        <w:rPr>
          <w:sz w:val="20"/>
          <w:szCs w:val="20"/>
          <w:color w:val="auto"/>
        </w:rPr>
      </w:pPr>
    </w:p>
    <w:p>
      <w:pPr>
        <w:ind w:right="60" w:firstLine="509"/>
        <w:spacing w:after="0" w:line="303" w:lineRule="auto"/>
        <w:rPr>
          <w:sz w:val="20"/>
          <w:szCs w:val="20"/>
          <w:color w:val="auto"/>
        </w:rPr>
      </w:pPr>
      <w:r>
        <w:rPr>
          <w:rFonts w:ascii="Arial" w:cs="Arial" w:eastAsia="Arial" w:hAnsi="Arial"/>
          <w:sz w:val="16"/>
          <w:szCs w:val="16"/>
          <w:color w:val="auto"/>
        </w:rPr>
        <w:t>We are exposed to the risk that our employees, consultants, distributors and other commercial partners and business associates may engage in fraudulent or other illegal activity. Misconduct by these parties could include intentional, reckless or negligent conduct or other unauthorized activities that violate federal and/or state laws and regulations, such as laws or regulations requiring the reporting of true, complete and accurate information to such regulators, manufacturing standards, healthcare fraud and abuse laws and regulations in the U.S. and internationally or laws that require the true, complete and accurate reporting of financial information or data. In particular, sales, marketing and business arrangements in the healthcare industry, including the sale of medical devices,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consultants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operations, any of which could adversely affect our business, financial condition and results of operations. Whether or not we are successful in defending against such actions or investigations, we could incur substantial costs, including legal fees and reputational harm, and divert the attention of management in defending ourselves against any of these claims or investigations.</w:t>
      </w:r>
    </w:p>
    <w:p>
      <w:pPr>
        <w:spacing w:after="0" w:line="279"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Compliance with environmental laws and regulations could be expensive, and the failure to comply with these laws and regulations could subject us to significant liability.</w:t>
      </w:r>
    </w:p>
    <w:p>
      <w:pPr>
        <w:spacing w:after="0" w:line="62"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Our research and development operations involve the use of hazardous substances, such as isopropyl alcohol and various adhesives. We are subject to a variety of federal, state, local and foreign environmental laws and regulations relating to the storage, use, handling, generation, manufacture, treatment, discharge and disposal of, hazardous substances. Our products may also contain hazardous substances, and they are subject to laws and regulations relating to labelling requirements and to their sale, collection, recycling, treatment, storage and disposal. Compliance with these laws and regulations may be expensive and noncompliance could result in substantial fines and penalties. Environmental laws and regulations also impose liability for the remediation of releases of hazardous substances into the environment and for personal injuries resulting from exposure to hazardous substances, and they can give rise to substantial remediation costs and to third-party claims, including for property damage and personal injury. Liability under environmental laws and regulations can be joint and several and without regard to fault or negligence, and they tend to become more stringent over time, imposing greater compliance costs and increased risks and penalties associated with violations. We cannot assure you that violations of these laws and regulations, or releases of or exposure to hazardous substances, will not occur in the future or have not occurred in the past, including as a result of human error, accidents, equipment failure or other causes. The costs of complying with environmental laws and regulations, and liabilities that may be imposed for violating them, or for remediation obligations or responding to third-party claims, could negatively affect our business, financial condition and results of operations.</w:t>
      </w:r>
    </w:p>
    <w:p>
      <w:pPr>
        <w:spacing w:after="0" w:line="281"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b w:val="1"/>
          <w:bCs w:val="1"/>
          <w:i w:val="1"/>
          <w:iCs w:val="1"/>
          <w:color w:val="auto"/>
        </w:rPr>
        <w:t>Healthcare policy changes, including recently enacted legislation reforming the U.S. healthcare system, could harm our business, financial condition and results of operations.</w:t>
      </w:r>
    </w:p>
    <w:p>
      <w:pPr>
        <w:spacing w:after="0" w:line="62" w:lineRule="exact"/>
        <w:rPr>
          <w:sz w:val="20"/>
          <w:szCs w:val="20"/>
          <w:color w:val="auto"/>
        </w:rPr>
      </w:pPr>
    </w:p>
    <w:p>
      <w:pPr>
        <w:ind w:right="100" w:firstLine="509"/>
        <w:spacing w:after="0" w:line="329" w:lineRule="auto"/>
        <w:rPr>
          <w:sz w:val="20"/>
          <w:szCs w:val="20"/>
          <w:color w:val="auto"/>
        </w:rPr>
      </w:pPr>
      <w:r>
        <w:rPr>
          <w:rFonts w:ascii="Arial" w:cs="Arial" w:eastAsia="Arial" w:hAnsi="Arial"/>
          <w:sz w:val="16"/>
          <w:szCs w:val="16"/>
          <w:color w:val="auto"/>
        </w:rPr>
        <w:t>In the U.S., there have been and continue to be a number of legislative initiatives to contain healthcare costs.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8" w:name="page99"/>
    <w:bookmarkEnd w:id="98"/>
    <w:p>
      <w:pPr>
        <w:ind w:right="100"/>
        <w:spacing w:after="0" w:line="275" w:lineRule="auto"/>
        <w:rPr>
          <w:sz w:val="20"/>
          <w:szCs w:val="20"/>
          <w:color w:val="auto"/>
        </w:rPr>
      </w:pPr>
      <w:r>
        <w:rPr>
          <w:rFonts w:ascii="Arial" w:cs="Arial" w:eastAsia="Arial" w:hAnsi="Arial"/>
          <w:sz w:val="18"/>
          <w:szCs w:val="18"/>
          <w:color w:val="auto"/>
        </w:rPr>
        <w:t>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 The Affordable Care Act, or ACA, made a number of substantial changes in the way healthcare is financed by both governmental and private insurers. Among other ways in which it may affect our business, the ACA:</w:t>
      </w:r>
    </w:p>
    <w:p>
      <w:pPr>
        <w:spacing w:after="0" w:line="212" w:lineRule="exact"/>
        <w:rPr>
          <w:sz w:val="20"/>
          <w:szCs w:val="20"/>
          <w:color w:val="auto"/>
        </w:rPr>
      </w:pPr>
    </w:p>
    <w:p>
      <w:pPr>
        <w:ind w:left="1040" w:right="180" w:hanging="452"/>
        <w:spacing w:after="0" w:line="293"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Imposed a new federal excise tax on the sale of certain medical devices, which was suspended, effective January 1, 2016, and permanently repealed in December 2019;</w:t>
      </w:r>
    </w:p>
    <w:p>
      <w:pPr>
        <w:spacing w:after="0" w:line="210" w:lineRule="exact"/>
        <w:rPr>
          <w:rFonts w:ascii="Arial" w:cs="Arial" w:eastAsia="Arial" w:hAnsi="Arial"/>
          <w:sz w:val="18"/>
          <w:szCs w:val="18"/>
          <w:color w:val="auto"/>
        </w:rPr>
      </w:pPr>
    </w:p>
    <w:p>
      <w:pPr>
        <w:ind w:left="1040" w:right="440" w:hanging="452"/>
        <w:spacing w:after="0" w:line="293"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Established a new Patient-Centered Outcomes Research Institute to oversee and identify priorities in comparative clinical effectiveness research in an effort to coordinate and develop such research;</w:t>
      </w:r>
    </w:p>
    <w:p>
      <w:pPr>
        <w:spacing w:after="0" w:line="210" w:lineRule="exact"/>
        <w:rPr>
          <w:rFonts w:ascii="Arial" w:cs="Arial" w:eastAsia="Arial" w:hAnsi="Arial"/>
          <w:sz w:val="18"/>
          <w:szCs w:val="18"/>
          <w:color w:val="auto"/>
        </w:rPr>
      </w:pPr>
    </w:p>
    <w:p>
      <w:pPr>
        <w:ind w:left="1040" w:right="100" w:hanging="452"/>
        <w:spacing w:after="0" w:line="359" w:lineRule="auto"/>
        <w:tabs>
          <w:tab w:leader="none" w:pos="10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Implemented payment system reforms including a national pilot program on payment bundling to encourage hospitals, physicians and other providers to improve the coordination, quality and efficiency of certain healthcare services through bundled payment models; and</w:t>
      </w:r>
    </w:p>
    <w:p>
      <w:pPr>
        <w:spacing w:after="0" w:line="165" w:lineRule="exact"/>
        <w:rPr>
          <w:rFonts w:ascii="Arial" w:cs="Arial" w:eastAsia="Arial" w:hAnsi="Arial"/>
          <w:sz w:val="16"/>
          <w:szCs w:val="16"/>
          <w:color w:val="auto"/>
        </w:rPr>
      </w:pPr>
    </w:p>
    <w:p>
      <w:pPr>
        <w:ind w:left="1040" w:hanging="452"/>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Expanded the eligibility criteria for Medicaid programs.</w:t>
      </w:r>
    </w:p>
    <w:p>
      <w:pPr>
        <w:spacing w:after="0" w:line="200" w:lineRule="exact"/>
        <w:rPr>
          <w:sz w:val="20"/>
          <w:szCs w:val="20"/>
          <w:color w:val="auto"/>
        </w:rPr>
      </w:pPr>
    </w:p>
    <w:p>
      <w:pPr>
        <w:spacing w:after="0" w:line="282" w:lineRule="exact"/>
        <w:rPr>
          <w:sz w:val="20"/>
          <w:szCs w:val="20"/>
          <w:color w:val="auto"/>
        </w:rPr>
      </w:pPr>
    </w:p>
    <w:p>
      <w:pPr>
        <w:ind w:right="60" w:firstLine="509"/>
        <w:spacing w:after="0" w:line="269"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and we expect there will be additional challenges and amendments to the ACA in the future. By way of example, the Tax Cuts and Jobs Act of 2017, or TCJA, was enacted, which, among other things, removes penalties for not complying with the individual mandate to carry health insurance. On June 17, 2021, the U.S. Supreme Court dismissed the most recent judicial challenge to the ACA brought by several states without specifically ruling on the constitutionality of the ACA. It is unclear how healthcare reform measures of the Biden administration or other efforts, if any, to challenge, repeal or replace the ACA will impact the law and our business. Any expansion in the government’s role in the U.S. healthcare industry may result in decreased profits to us, lower reimbursement by payors for procedures using OMNI, and/or reduced medical procedure volumes, any of which may have a material adverse effect on our business, financial condition or results of operations.</w:t>
      </w:r>
    </w:p>
    <w:p>
      <w:pPr>
        <w:spacing w:after="0" w:line="196"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The Budget Control Act of 2011, among other things, reduced Medicare payments to providers by 2% per fiscal year, effective on April 1, 2013 and, due to subsequent legislative amendments to the statute, will remain in effect through 2030, with the exception of a temporary suspension from May 1, 2020 through March 31, 2021, unless additional Congressional action is taken. Additionally, the American Taxpayer Relief Act of 2012, among other things, reduced Medicare payments to several providers, including hospitals, and increased the statute of limitations period for the government to recover overpayments to providers from three to five years. The Medicare Access and CHIP Reauthorization Act of 2015, or MACRA, enacted on April 16, 2015, repealed the formula by which Medicare made annual payment adjustments to physicians and replaced the former formula with fixed annual updates and a new system of incentive payments that are based on various performance measures and physicians’ participation in alternative payment models such as accountable care organizations. It is unclear what effect new quality and payment programs, such as MACRA, may have on our business, financial condition, results of operations or cash flows.</w:t>
      </w:r>
    </w:p>
    <w:p>
      <w:pPr>
        <w:spacing w:after="0" w:line="18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We expect additional state and federal healthcare policies and reform measures to be adopted in the future, any of which could limit reimbursement for healthcare products and services or otherwise result in reduced demand for our products or additional pricing pressure and have a material adverse effect on our industry generally and on our customers. We cannot predict what other healthcare programs and regulations will ultimately be implemented at the federal or state level or the effect of any future legislation or regulation in the U.S. may negatively affect our business, financial condition and results of operations. The continuing efforts of the government, insurance companies, managed care organizations and other payors of healthcare services to contain or reduce costs of healthcare may adversely affect:</w:t>
      </w:r>
    </w:p>
    <w:p>
      <w:pPr>
        <w:spacing w:after="0" w:line="218" w:lineRule="exact"/>
        <w:rPr>
          <w:sz w:val="20"/>
          <w:szCs w:val="20"/>
          <w:color w:val="auto"/>
        </w:rPr>
      </w:pPr>
    </w:p>
    <w:p>
      <w:pPr>
        <w:ind w:left="1040" w:hanging="452"/>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99" w:name="page100"/>
    <w:bookmarkEnd w:id="99"/>
    <w:p>
      <w:pPr>
        <w:jc w:val="both"/>
        <w:ind w:right="80" w:firstLine="509"/>
        <w:spacing w:after="0" w:line="279" w:lineRule="auto"/>
        <w:rPr>
          <w:sz w:val="20"/>
          <w:szCs w:val="20"/>
          <w:color w:val="auto"/>
        </w:rPr>
      </w:pPr>
      <w:r>
        <w:rPr>
          <w:rFonts w:ascii="Arial" w:cs="Arial" w:eastAsia="Arial" w:hAnsi="Arial"/>
          <w:sz w:val="18"/>
          <w:szCs w:val="18"/>
          <w:color w:val="auto"/>
        </w:rPr>
        <w:t>Any changes of, or uncertainty with respect to, future coverage or reimbursement rates could affect demand for our products, which in turn could impact our ability to successfully commercialize these devices and could have a material adverse effect on our business, financial condition and results of operations.</w:t>
      </w:r>
    </w:p>
    <w:p>
      <w:pPr>
        <w:spacing w:after="0" w:line="291"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b w:val="1"/>
          <w:bCs w:val="1"/>
          <w:i w:val="1"/>
          <w:iCs w:val="1"/>
          <w:color w:val="auto"/>
        </w:rPr>
        <w:t>Our ability to continue sales of our products in the European Union may be materially impaired if we do not take necessary steps to comply with the certification requirements of the new EU Medical Devices Regulation.</w:t>
      </w:r>
    </w:p>
    <w:p>
      <w:pPr>
        <w:spacing w:after="0" w:line="62"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On May 25, 2017, the EU Medical Devices Regulation (Regulation 2017/745) entered into force, which repeals and replaces the EU Medical Devices Directive.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The Medical Devices Regulation, among other things, is intended to establish a uniform, transparent, predictable and sustainable regulatory framework across the EU for medical devices and ensure a high level of safety and health while supporting innovation.</w:t>
      </w:r>
    </w:p>
    <w:p>
      <w:pPr>
        <w:spacing w:after="0" w:line="191" w:lineRule="exact"/>
        <w:rPr>
          <w:sz w:val="20"/>
          <w:szCs w:val="20"/>
          <w:color w:val="auto"/>
        </w:rPr>
      </w:pPr>
    </w:p>
    <w:p>
      <w:pPr>
        <w:ind w:right="160" w:firstLine="509"/>
        <w:spacing w:after="0" w:line="275" w:lineRule="auto"/>
        <w:rPr>
          <w:sz w:val="20"/>
          <w:szCs w:val="20"/>
          <w:color w:val="auto"/>
        </w:rPr>
      </w:pPr>
      <w:r>
        <w:rPr>
          <w:rFonts w:ascii="Arial" w:cs="Arial" w:eastAsia="Arial" w:hAnsi="Arial"/>
          <w:sz w:val="18"/>
          <w:szCs w:val="18"/>
          <w:color w:val="auto"/>
        </w:rPr>
        <w:t>The Medical Devices Regulation was originally intended to become effective three years after publication, but in April 2020 the transition period was extended by the European Parliament and the Council of the EU by an additional year, until May 26, 2021. Devices lawfully placed on the market pursuant to the EU Medical Devices Directive prior to May 26, 2021 may generally continue to be made available on the market or put into service until May 26, 2025. Once effective, the new regulations will among other things:</w:t>
      </w:r>
    </w:p>
    <w:p>
      <w:pPr>
        <w:spacing w:after="0" w:line="212" w:lineRule="exact"/>
        <w:rPr>
          <w:sz w:val="20"/>
          <w:szCs w:val="20"/>
          <w:color w:val="auto"/>
        </w:rPr>
      </w:pPr>
    </w:p>
    <w:p>
      <w:pPr>
        <w:ind w:left="1040" w:hanging="452"/>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Strengthen the rules on placing devices on the market and reinforce surveillance once they are available;</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040" w:hanging="452"/>
        <w:spacing w:after="0" w:line="293"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210" w:lineRule="exact"/>
        <w:rPr>
          <w:rFonts w:ascii="Arial" w:cs="Arial" w:eastAsia="Arial" w:hAnsi="Arial"/>
          <w:sz w:val="18"/>
          <w:szCs w:val="18"/>
          <w:color w:val="auto"/>
        </w:rPr>
      </w:pPr>
    </w:p>
    <w:p>
      <w:pPr>
        <w:ind w:left="1040" w:hanging="452"/>
        <w:spacing w:after="0"/>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Improve the traceability of medical devices throughout the supply chain to the end-user or patient through a unique identification number;</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040" w:right="80" w:hanging="452"/>
        <w:spacing w:after="0" w:line="293"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Set up a central database to provide patients, healthcare professionals and the public with comprehensive information on products available in the EU; and</w:t>
      </w:r>
    </w:p>
    <w:p>
      <w:pPr>
        <w:spacing w:after="0" w:line="210" w:lineRule="exact"/>
        <w:rPr>
          <w:rFonts w:ascii="Arial" w:cs="Arial" w:eastAsia="Arial" w:hAnsi="Arial"/>
          <w:sz w:val="18"/>
          <w:szCs w:val="18"/>
          <w:color w:val="auto"/>
        </w:rPr>
      </w:pPr>
    </w:p>
    <w:p>
      <w:pPr>
        <w:ind w:left="1040" w:right="120" w:hanging="452"/>
        <w:spacing w:after="0" w:line="293"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Strengthen the rules for the assessment of certain high-risk devices, which may have to undergo an additional check by experts before they are placed on the market.</w:t>
      </w:r>
    </w:p>
    <w:p>
      <w:pPr>
        <w:spacing w:after="0" w:line="264" w:lineRule="exact"/>
        <w:rPr>
          <w:sz w:val="20"/>
          <w:szCs w:val="20"/>
          <w:color w:val="auto"/>
        </w:rPr>
      </w:pPr>
    </w:p>
    <w:p>
      <w:pPr>
        <w:ind w:right="500" w:firstLine="509"/>
        <w:spacing w:after="0" w:line="329" w:lineRule="auto"/>
        <w:rPr>
          <w:sz w:val="20"/>
          <w:szCs w:val="20"/>
          <w:color w:val="auto"/>
        </w:rPr>
      </w:pPr>
      <w:r>
        <w:rPr>
          <w:rFonts w:ascii="Arial" w:cs="Arial" w:eastAsia="Arial" w:hAnsi="Arial"/>
          <w:sz w:val="16"/>
          <w:szCs w:val="16"/>
          <w:color w:val="auto"/>
        </w:rPr>
        <w:t>These modifications may have an effect on the way we design and manufacture products and conduct our business in the EU and EEA (also including Norway, Liechtenstein and Iceland). For example, as a result of the transition towards the new regime, notified body review times have lengthened, and product introductions or modifications could be delayed or canceled, which could adversely affect our ability to grow our business.</w:t>
      </w:r>
    </w:p>
    <w:p>
      <w:pPr>
        <w:spacing w:after="0" w:line="148"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The EU-UK Trade and Cooperation Agreement, or TCA, came into effect on January 1, 2021. The TCA does not specifically refer to medical devices. However, as a result of Brexit, the EU Medical Devices Regulation will not be implemented in the UK, and previous legislation that mirrored the EU Medical Devices Regulation in the UK law has been revoked. The regulatory regime for medical devices in the UK will continue to be based on the requirements derived from current EU legislation, and the UK may choose to retain regulatory flexibility or align with the EU MDR going forward. CE markings will continue to be recognized in the UK, and certificates issued by EU-recognized Notified Bodies will be valid in the UK, until June 30, 2023. For medical devices placed on the UK market after this period, the UK Conformity Assessment (UKCA) marking will be mandatory. In contrast, UKCA marking and certificates issued by UK Notified Bodies will not be recognized on the EU market. The TCA does provide for cooperation and exchange of information in the area of product safety and compliance, including market surveillance, enforcement activities and measures, standardization related activities, exchanges of officials, and coordinated product recalls (or other similar actions). For medical devices that are locally manufactured but use components from other countries, the “rules of origin” criteria will need to be reviewed. Depending on which countries products will be ultimately sold in, manufacturers may start seeking alternative sources for components if this would allow them to benefit from no tariffs. The rules for placing medical devices on the Northern Ireland market will differ from those in the UK. These modifications may have an effect on the way we design and manufacture products and we conduct our business in these countries.</w:t>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231F20"/>
        </w:rPr>
        <w:t>Risks Related to Our Common Stock</w:t>
      </w:r>
    </w:p>
    <w:p>
      <w:pPr>
        <w:spacing w:after="0" w:line="162" w:lineRule="exact"/>
        <w:rPr>
          <w:sz w:val="20"/>
          <w:szCs w:val="20"/>
          <w:color w:val="auto"/>
        </w:rPr>
      </w:pPr>
    </w:p>
    <w:p>
      <w:pPr>
        <w:ind w:right="220"/>
        <w:spacing w:after="0" w:line="308" w:lineRule="auto"/>
        <w:rPr>
          <w:sz w:val="20"/>
          <w:szCs w:val="20"/>
          <w:color w:val="auto"/>
        </w:rPr>
      </w:pPr>
      <w:r>
        <w:rPr>
          <w:rFonts w:ascii="Arial" w:cs="Arial" w:eastAsia="Arial" w:hAnsi="Arial"/>
          <w:sz w:val="18"/>
          <w:szCs w:val="18"/>
          <w:b w:val="1"/>
          <w:bCs w:val="1"/>
          <w:i w:val="1"/>
          <w:iCs w:val="1"/>
          <w:color w:val="auto"/>
        </w:rPr>
        <w:t>The price of our common stock may fluctuate substantially or may decline regardless of our operating performance and you could lose all or part of your investment</w:t>
      </w:r>
    </w:p>
    <w:p>
      <w:pPr>
        <w:spacing w:after="0" w:line="90" w:lineRule="exact"/>
        <w:rPr>
          <w:sz w:val="20"/>
          <w:szCs w:val="20"/>
          <w:color w:val="auto"/>
        </w:rPr>
      </w:pPr>
    </w:p>
    <w:p>
      <w:pPr>
        <w:ind w:right="220" w:firstLine="419"/>
        <w:spacing w:after="0" w:line="308" w:lineRule="auto"/>
        <w:rPr>
          <w:sz w:val="20"/>
          <w:szCs w:val="20"/>
          <w:color w:val="auto"/>
        </w:rPr>
      </w:pPr>
      <w:r>
        <w:rPr>
          <w:rFonts w:ascii="Arial" w:cs="Arial" w:eastAsia="Arial" w:hAnsi="Arial"/>
          <w:sz w:val="18"/>
          <w:szCs w:val="18"/>
          <w:color w:val="231F20"/>
        </w:rPr>
        <w:t>The market price of our common stock may be highly volatile and may fluctuate or decline substantially as a result of a variety of factors, some of which are beyond our control or are related in complex ways, including:</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6"/>
          <w:szCs w:val="16"/>
          <w:color w:val="231F20"/>
        </w:rPr>
        <w:t>Changes in analysts’ estimates, investors’ perceptions, recommendations by securities analysts or our failure to achieve analysts’ estimates;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231F20"/>
        </w:rPr>
        <w:t>Quarterly variations in our or our competitors’ results of operations;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231F20"/>
        </w:rPr>
        <w:t>Periodic fluctuations in our revenue, which could be due in part to the way in which we recognize revenue;</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231F20"/>
        </w:rPr>
        <w:t>The financial projections we may provide to the public, any changes in these projections or our failure to meet these projections;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6"/>
          <w:szCs w:val="16"/>
          <w:color w:val="231F20"/>
        </w:rPr>
        <w:t>Future sales of our common stock or other securities, by us or our stockholders, as well as the anticipation of lock-up releases or lock-up waivers;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231F20"/>
        </w:rPr>
        <w:t>The trading volume of our common stock;</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7"/>
          <w:szCs w:val="17"/>
          <w:color w:val="231F20"/>
        </w:rPr>
        <w:t>General market conditions and other factors unrelated to our operating performance or the operating performance of our competitors;</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231F20"/>
        </w:rPr>
        <w:t>Changes in reimbursement by current or potential payors;</w:t>
      </w:r>
    </w:p>
    <w:p>
      <w:pPr>
        <w:spacing w:after="0" w:line="131" w:lineRule="exact"/>
        <w:rPr>
          <w:sz w:val="20"/>
          <w:szCs w:val="20"/>
          <w:color w:val="auto"/>
        </w:rPr>
      </w:pPr>
    </w:p>
    <w:p>
      <w:pPr>
        <w:ind w:left="700" w:right="100"/>
        <w:spacing w:after="0" w:line="293" w:lineRule="auto"/>
        <w:rPr>
          <w:sz w:val="20"/>
          <w:szCs w:val="20"/>
          <w:color w:val="auto"/>
        </w:rPr>
      </w:pPr>
      <w:r>
        <w:rPr>
          <w:rFonts w:ascii="Arial" w:cs="Arial" w:eastAsia="Arial" w:hAnsi="Arial"/>
          <w:sz w:val="18"/>
          <w:szCs w:val="18"/>
          <w:color w:val="231F20"/>
        </w:rPr>
        <w:t>Changes in operating performance and stock market valuations of other technology companies generally, or those in the medical device industry in particular;</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231F20"/>
        </w:rPr>
        <w:t>Actual or anticipated changes in regulatory oversight of our products;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231F20"/>
        </w:rPr>
        <w:t>The results of our clinical trials;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231F20"/>
        </w:rPr>
        <w:t>The loss of key personnel, including changes in our board of directors and management;</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231F20"/>
        </w:rPr>
        <w:t>Product recalls or other problems associated with our products;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231F20"/>
        </w:rPr>
        <w:t>Legislation or regulation of our market;</w:t>
      </w:r>
    </w:p>
    <w:p>
      <w:pPr>
        <w:spacing w:after="0" w:line="131" w:lineRule="exact"/>
        <w:rPr>
          <w:sz w:val="20"/>
          <w:szCs w:val="20"/>
          <w:color w:val="auto"/>
        </w:rPr>
      </w:pPr>
    </w:p>
    <w:p>
      <w:pPr>
        <w:ind w:left="700" w:right="260"/>
        <w:spacing w:after="0" w:line="293" w:lineRule="auto"/>
        <w:rPr>
          <w:sz w:val="20"/>
          <w:szCs w:val="20"/>
          <w:color w:val="auto"/>
        </w:rPr>
      </w:pPr>
      <w:r>
        <w:rPr>
          <w:rFonts w:ascii="Arial" w:cs="Arial" w:eastAsia="Arial" w:hAnsi="Arial"/>
          <w:sz w:val="18"/>
          <w:szCs w:val="18"/>
          <w:color w:val="231F20"/>
        </w:rPr>
        <w:t>Lawsuits threatened or filed against us, including litigation by current or former employees alleging wrongful termination, sexual harassment, whistleblower or other claims;</w:t>
      </w:r>
    </w:p>
    <w:p>
      <w:pPr>
        <w:spacing w:after="0" w:line="62" w:lineRule="exact"/>
        <w:rPr>
          <w:sz w:val="20"/>
          <w:szCs w:val="20"/>
          <w:color w:val="auto"/>
        </w:rPr>
      </w:pPr>
    </w:p>
    <w:p>
      <w:pPr>
        <w:ind w:left="700" w:right="3760"/>
        <w:spacing w:after="0" w:line="400" w:lineRule="auto"/>
        <w:rPr>
          <w:sz w:val="20"/>
          <w:szCs w:val="20"/>
          <w:color w:val="auto"/>
        </w:rPr>
      </w:pPr>
      <w:r>
        <w:rPr>
          <w:rFonts w:ascii="Arial" w:cs="Arial" w:eastAsia="Arial" w:hAnsi="Arial"/>
          <w:sz w:val="18"/>
          <w:szCs w:val="18"/>
          <w:color w:val="231F20"/>
        </w:rPr>
        <w:t>The announcement of new products or product enhancements by us or our competitors; Announced or completed acquisitions of businesses or technologies by us or our competitors; Announcements related to patents issued to us or our competitors and related litigation; and Developments in our industry.</w:t>
      </w:r>
    </w:p>
    <w:p>
      <w:pPr>
        <w:spacing w:after="0" w:line="78" w:lineRule="exact"/>
        <w:rPr>
          <w:sz w:val="20"/>
          <w:szCs w:val="20"/>
          <w:color w:val="auto"/>
        </w:rPr>
      </w:pPr>
    </w:p>
    <w:p>
      <w:pPr>
        <w:ind w:firstLine="419"/>
        <w:spacing w:after="0" w:line="295" w:lineRule="auto"/>
        <w:rPr>
          <w:sz w:val="20"/>
          <w:szCs w:val="20"/>
          <w:color w:val="auto"/>
        </w:rPr>
      </w:pPr>
      <w:r>
        <w:rPr>
          <w:rFonts w:ascii="Arial" w:cs="Arial" w:eastAsia="Arial" w:hAnsi="Arial"/>
          <w:sz w:val="18"/>
          <w:szCs w:val="18"/>
          <w:color w:val="231F20"/>
        </w:rPr>
        <w:t>In addition, the trading prices for common stock of other medical device companies have been highly volatile as a result of the COVID-19 pandemic. The COVID-19 outbreak continues to rapidly evolve. The extent to which the outbreak may impact our business will depend on future developments, which are highly uncertain and cannot be predicted with confidence.</w:t>
      </w:r>
    </w:p>
    <w:p>
      <w:pPr>
        <w:spacing w:after="0" w:line="182" w:lineRule="exact"/>
        <w:rPr>
          <w:sz w:val="20"/>
          <w:szCs w:val="20"/>
          <w:color w:val="auto"/>
        </w:rPr>
      </w:pPr>
    </w:p>
    <w:p>
      <w:pPr>
        <w:ind w:right="420" w:firstLine="419"/>
        <w:spacing w:after="0" w:line="295" w:lineRule="auto"/>
        <w:rPr>
          <w:sz w:val="20"/>
          <w:szCs w:val="20"/>
          <w:color w:val="auto"/>
        </w:rPr>
      </w:pPr>
      <w:r>
        <w:rPr>
          <w:rFonts w:ascii="Arial" w:cs="Arial" w:eastAsia="Arial" w:hAnsi="Arial"/>
          <w:sz w:val="18"/>
          <w:szCs w:val="18"/>
          <w:color w:val="231F20"/>
        </w:rPr>
        <w:t>In recent years, the stock markets generally have experienced extreme price and volume fluctuations that have often been unrelated or disproportionate to the operating performance of listed companies. Broad market and industry factors may significantly affect the market price of our common stock, regardless of our actual operating performance.</w:t>
      </w:r>
    </w:p>
    <w:p>
      <w:pPr>
        <w:spacing w:after="0" w:line="182" w:lineRule="exact"/>
        <w:rPr>
          <w:sz w:val="20"/>
          <w:szCs w:val="20"/>
          <w:color w:val="auto"/>
        </w:rPr>
      </w:pPr>
    </w:p>
    <w:p>
      <w:pPr>
        <w:ind w:right="360" w:firstLine="419"/>
        <w:spacing w:after="0" w:line="308" w:lineRule="auto"/>
        <w:rPr>
          <w:sz w:val="20"/>
          <w:szCs w:val="20"/>
          <w:color w:val="auto"/>
        </w:rPr>
      </w:pPr>
      <w:r>
        <w:rPr>
          <w:rFonts w:ascii="Arial" w:cs="Arial" w:eastAsia="Arial" w:hAnsi="Arial"/>
          <w:sz w:val="18"/>
          <w:szCs w:val="18"/>
          <w:color w:val="231F20"/>
        </w:rPr>
        <w:t>In addition, in the past, stockholders have instituted securities class action litigation following periods of market volatility. If we were to become involved in securities litigation, it could subject us to substantial costs,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101" w:name="page102"/>
    <w:bookmarkEnd w:id="101"/>
    <w:p>
      <w:pPr>
        <w:ind w:right="100"/>
        <w:spacing w:after="0" w:line="308" w:lineRule="auto"/>
        <w:rPr>
          <w:sz w:val="20"/>
          <w:szCs w:val="20"/>
          <w:color w:val="auto"/>
        </w:rPr>
      </w:pPr>
      <w:r>
        <w:rPr>
          <w:rFonts w:ascii="Arial" w:cs="Arial" w:eastAsia="Arial" w:hAnsi="Arial"/>
          <w:sz w:val="18"/>
          <w:szCs w:val="18"/>
          <w:color w:val="231F20"/>
        </w:rPr>
        <w:t>divert resources and the attention of management from our business and harm our business, results of operations, financial condition and reputation. These factors may materially and adversely affect the market price of our common stock.</w:t>
      </w:r>
    </w:p>
    <w:p>
      <w:pPr>
        <w:spacing w:after="0" w:line="279" w:lineRule="exact"/>
        <w:rPr>
          <w:sz w:val="20"/>
          <w:szCs w:val="20"/>
          <w:color w:val="auto"/>
        </w:rPr>
      </w:pPr>
    </w:p>
    <w:p>
      <w:pPr>
        <w:ind w:right="40"/>
        <w:spacing w:after="0" w:line="308" w:lineRule="auto"/>
        <w:rPr>
          <w:sz w:val="20"/>
          <w:szCs w:val="20"/>
          <w:color w:val="auto"/>
        </w:rPr>
      </w:pPr>
      <w:r>
        <w:rPr>
          <w:rFonts w:ascii="Arial" w:cs="Arial" w:eastAsia="Arial" w:hAnsi="Arial"/>
          <w:sz w:val="18"/>
          <w:szCs w:val="18"/>
          <w:b w:val="1"/>
          <w:bCs w:val="1"/>
          <w:i w:val="1"/>
          <w:iCs w:val="1"/>
          <w:color w:val="231F20"/>
        </w:rPr>
        <w:t>Securities analysts may not publish favorable research or reports about our business or may publish no information at all, which could cause our stock price or trading volume to decline.</w:t>
      </w:r>
    </w:p>
    <w:p>
      <w:pPr>
        <w:spacing w:after="0" w:line="63" w:lineRule="exact"/>
        <w:rPr>
          <w:sz w:val="20"/>
          <w:szCs w:val="20"/>
          <w:color w:val="auto"/>
        </w:rPr>
      </w:pPr>
    </w:p>
    <w:p>
      <w:pPr>
        <w:ind w:right="180" w:firstLine="419"/>
        <w:spacing w:after="0" w:line="319" w:lineRule="auto"/>
        <w:rPr>
          <w:sz w:val="20"/>
          <w:szCs w:val="20"/>
          <w:color w:val="auto"/>
        </w:rPr>
      </w:pPr>
      <w:r>
        <w:rPr>
          <w:rFonts w:ascii="Arial" w:cs="Arial" w:eastAsia="Arial" w:hAnsi="Arial"/>
          <w:sz w:val="17"/>
          <w:szCs w:val="17"/>
          <w:color w:val="231F20"/>
        </w:rPr>
        <w:t>Our stock price and trading volume may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166" w:lineRule="exact"/>
        <w:rPr>
          <w:sz w:val="20"/>
          <w:szCs w:val="20"/>
          <w:color w:val="auto"/>
        </w:rPr>
      </w:pPr>
    </w:p>
    <w:p>
      <w:pPr>
        <w:ind w:right="140" w:firstLine="419"/>
        <w:spacing w:after="0" w:line="304" w:lineRule="auto"/>
        <w:rPr>
          <w:sz w:val="20"/>
          <w:szCs w:val="20"/>
          <w:color w:val="auto"/>
        </w:rPr>
      </w:pPr>
      <w:r>
        <w:rPr>
          <w:rFonts w:ascii="Arial" w:cs="Arial" w:eastAsia="Arial" w:hAnsi="Arial"/>
          <w:sz w:val="17"/>
          <w:szCs w:val="17"/>
          <w:color w:val="231F20"/>
        </w:rPr>
        <w:t>If a trading market for our common stock develops, the trading market will be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common stock will have had relatively little experience with us or our industry,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We may also fail to meet the expectations of these analysts, leading to a reduction in the market price of our common stock. If one or more of these analysts cease coverage of us or fail to publish reports covering us regularly, we could lose visibility in the market, which in turn could cause our stock price or trading volume to decline.</w:t>
      </w:r>
    </w:p>
    <w:p>
      <w:pPr>
        <w:spacing w:after="0" w:line="179" w:lineRule="exact"/>
        <w:rPr>
          <w:sz w:val="20"/>
          <w:szCs w:val="20"/>
          <w:color w:val="auto"/>
        </w:rPr>
      </w:pPr>
    </w:p>
    <w:p>
      <w:pPr>
        <w:ind w:firstLine="419"/>
        <w:spacing w:after="0" w:line="295" w:lineRule="auto"/>
        <w:rPr>
          <w:sz w:val="20"/>
          <w:szCs w:val="20"/>
          <w:color w:val="auto"/>
        </w:rPr>
      </w:pPr>
      <w:r>
        <w:rPr>
          <w:rFonts w:ascii="Arial" w:cs="Arial" w:eastAsia="Arial" w:hAnsi="Arial"/>
          <w:sz w:val="18"/>
          <w:szCs w:val="18"/>
          <w:color w:val="231F20"/>
        </w:rPr>
        <w:t>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lead to forecasts that differ significantly from our own.</w:t>
      </w:r>
    </w:p>
    <w:p>
      <w:pPr>
        <w:spacing w:after="0" w:line="290" w:lineRule="exact"/>
        <w:rPr>
          <w:sz w:val="20"/>
          <w:szCs w:val="20"/>
          <w:color w:val="auto"/>
        </w:rPr>
      </w:pPr>
    </w:p>
    <w:p>
      <w:pPr>
        <w:ind w:right="180"/>
        <w:spacing w:after="0" w:line="308" w:lineRule="auto"/>
        <w:rPr>
          <w:sz w:val="20"/>
          <w:szCs w:val="20"/>
          <w:color w:val="auto"/>
        </w:rPr>
      </w:pPr>
      <w:r>
        <w:rPr>
          <w:rFonts w:ascii="Arial" w:cs="Arial" w:eastAsia="Arial" w:hAnsi="Arial"/>
          <w:sz w:val="18"/>
          <w:szCs w:val="18"/>
          <w:b w:val="1"/>
          <w:bCs w:val="1"/>
          <w:i w:val="1"/>
          <w:iCs w:val="1"/>
          <w:color w:val="231F20"/>
        </w:rPr>
        <w:t>We are an emerging growth company and a smaller reporting company and we cannot be certain if the reduced disclosure requirements applicable to us will make our common stock less attractive to investors.</w:t>
      </w:r>
    </w:p>
    <w:p>
      <w:pPr>
        <w:spacing w:after="0" w:line="63" w:lineRule="exact"/>
        <w:rPr>
          <w:sz w:val="20"/>
          <w:szCs w:val="20"/>
          <w:color w:val="auto"/>
        </w:rPr>
      </w:pPr>
    </w:p>
    <w:p>
      <w:pPr>
        <w:ind w:right="40" w:firstLine="419"/>
        <w:spacing w:after="0" w:line="305" w:lineRule="auto"/>
        <w:rPr>
          <w:sz w:val="20"/>
          <w:szCs w:val="20"/>
          <w:color w:val="auto"/>
        </w:rPr>
      </w:pPr>
      <w:r>
        <w:rPr>
          <w:rFonts w:ascii="Arial" w:cs="Arial" w:eastAsia="Arial" w:hAnsi="Arial"/>
          <w:sz w:val="17"/>
          <w:szCs w:val="17"/>
          <w:color w:val="231F20"/>
        </w:rPr>
        <w:t>We are an “emerging growth company,” as defined in the JOBS Act, and we take advantage of certain exemptions and relief from various reporting requirements that are applicable to other public companies that are not emerging growth companies. In particular, while we are an emerging growth company, we are not required to comply with the auditor attestation requirements of Section 404(b) of the Sarbanes-Oxley Act of 2002, or the Sarbanes-Oxley Act; we are exempt from any rules that could be adopted by the Public Company Accounting Oversight Board requiring mandatory audit firm rotations or a supplement to the auditor’s report on financial statements; we are subject to reduced disclosure obligations regarding executive compensation in our periodic reports and proxy statements; and we are not required to hold nonbinding advisory votes on executive compensation or stockholder approval of any golden parachute payments not previously approved.</w:t>
      </w:r>
    </w:p>
    <w:p>
      <w:pPr>
        <w:spacing w:after="0" w:line="178" w:lineRule="exact"/>
        <w:rPr>
          <w:sz w:val="20"/>
          <w:szCs w:val="20"/>
          <w:color w:val="auto"/>
        </w:rPr>
      </w:pPr>
    </w:p>
    <w:p>
      <w:pPr>
        <w:ind w:right="40" w:firstLine="419"/>
        <w:spacing w:after="0" w:line="288" w:lineRule="auto"/>
        <w:rPr>
          <w:sz w:val="20"/>
          <w:szCs w:val="20"/>
          <w:color w:val="auto"/>
        </w:rPr>
      </w:pPr>
      <w:r>
        <w:rPr>
          <w:rFonts w:ascii="Arial" w:cs="Arial" w:eastAsia="Arial" w:hAnsi="Arial"/>
          <w:sz w:val="18"/>
          <w:szCs w:val="18"/>
          <w:color w:val="231F20"/>
        </w:rPr>
        <w:t>In addition, while we are an emerging growth company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take advantage of this extended transition period and, as a result, our operating results and financial statements may not be comparable to the operating results and financial statements of companies who have adopted the new or revised accounting standards.</w:t>
      </w:r>
    </w:p>
    <w:p>
      <w:pPr>
        <w:spacing w:after="0" w:line="189" w:lineRule="exact"/>
        <w:rPr>
          <w:sz w:val="20"/>
          <w:szCs w:val="20"/>
          <w:color w:val="auto"/>
        </w:rPr>
      </w:pPr>
    </w:p>
    <w:p>
      <w:pPr>
        <w:ind w:right="80" w:firstLine="419"/>
        <w:spacing w:after="0" w:line="290" w:lineRule="auto"/>
        <w:rPr>
          <w:sz w:val="20"/>
          <w:szCs w:val="20"/>
          <w:color w:val="auto"/>
        </w:rPr>
      </w:pPr>
      <w:r>
        <w:rPr>
          <w:rFonts w:ascii="Arial" w:cs="Arial" w:eastAsia="Arial" w:hAnsi="Arial"/>
          <w:sz w:val="18"/>
          <w:szCs w:val="18"/>
          <w:color w:val="231F20"/>
        </w:rPr>
        <w:t>We will remain an emerging growth company until the earlier of (1) December 31, 2026, (2) the last day of the fiscal year in which we have total annual gross revenue of at least $1.07 billion, (3) the last day of the fiscal year in which we are deemed to be a large accelerated filer, which requires the market value of our common stock that is held by non-affiliates to exceed $700.0 million as of the prior June 30th, or (4) the date on which we have issued more than $1.0 billion in non-convertible debt during the prior three-year period.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2" w:name="page103"/>
    <w:bookmarkEnd w:id="102"/>
    <w:p>
      <w:pPr>
        <w:ind w:right="20" w:firstLine="419"/>
        <w:spacing w:after="0" w:line="271"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91" w:lineRule="exact"/>
        <w:rPr>
          <w:sz w:val="20"/>
          <w:szCs w:val="20"/>
          <w:color w:val="auto"/>
        </w:rPr>
      </w:pPr>
    </w:p>
    <w:p>
      <w:pPr>
        <w:jc w:val="both"/>
        <w:ind w:right="40" w:firstLine="419"/>
        <w:spacing w:after="0" w:line="295" w:lineRule="auto"/>
        <w:rPr>
          <w:sz w:val="20"/>
          <w:szCs w:val="20"/>
          <w:color w:val="auto"/>
        </w:rPr>
      </w:pPr>
      <w:r>
        <w:rPr>
          <w:rFonts w:ascii="Arial" w:cs="Arial" w:eastAsia="Arial" w:hAnsi="Arial"/>
          <w:sz w:val="18"/>
          <w:szCs w:val="18"/>
          <w:color w:val="231F20"/>
        </w:rPr>
        <w:t>Investors may find our common stock less attractive to the extent we rely on the exemptions and relief granted by the JOBS Act. We have elected to take advantage of these exemptions and relief. If some investors find our common stock less attractive as a result, there may be a less active trading market for our common stock and our stock price may decline or become more volatile.</w:t>
      </w:r>
    </w:p>
    <w:p>
      <w:pPr>
        <w:spacing w:after="0" w:line="290" w:lineRule="exact"/>
        <w:rPr>
          <w:sz w:val="20"/>
          <w:szCs w:val="20"/>
          <w:color w:val="auto"/>
        </w:rPr>
      </w:pPr>
    </w:p>
    <w:p>
      <w:pPr>
        <w:spacing w:after="0" w:line="308" w:lineRule="auto"/>
        <w:rPr>
          <w:sz w:val="20"/>
          <w:szCs w:val="20"/>
          <w:color w:val="auto"/>
        </w:rPr>
      </w:pPr>
      <w:r>
        <w:rPr>
          <w:rFonts w:ascii="Arial" w:cs="Arial" w:eastAsia="Arial" w:hAnsi="Arial"/>
          <w:sz w:val="18"/>
          <w:szCs w:val="18"/>
          <w:b w:val="1"/>
          <w:bCs w:val="1"/>
          <w:i w:val="1"/>
          <w:iCs w:val="1"/>
          <w:color w:val="231F20"/>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63" w:lineRule="exact"/>
        <w:rPr>
          <w:sz w:val="20"/>
          <w:szCs w:val="20"/>
          <w:color w:val="auto"/>
        </w:rPr>
      </w:pPr>
    </w:p>
    <w:p>
      <w:pPr>
        <w:ind w:firstLine="419"/>
        <w:spacing w:after="0" w:line="286" w:lineRule="auto"/>
        <w:rPr>
          <w:sz w:val="20"/>
          <w:szCs w:val="20"/>
          <w:color w:val="auto"/>
        </w:rPr>
      </w:pPr>
      <w:r>
        <w:rPr>
          <w:rFonts w:ascii="Arial" w:cs="Arial" w:eastAsia="Arial" w:hAnsi="Arial"/>
          <w:sz w:val="18"/>
          <w:szCs w:val="18"/>
          <w:color w:val="231F20"/>
        </w:rPr>
        <w:t>Sales of a substantial number of shares of our common stock in the public market could occur at any time. These sales, or the perception in the market that the holders of a large number of shares intend to sell their shares, could result in a decrease in the market price of our common stock. We have 47,292,022 shares of common stock outstanding based on the number of shares outstanding as of September 30, 2021. 35,749,990 shares are currently restricted as a result of vesting restrictions, securities laws or 180-day lock-up agreements (which may be waived, with or without notice, by Morgan Stanley &amp; Co. LLC and BofA Securities, Inc.). Moreover, holders of an aggregate of up to 17,213,910 shares of our common stock will have rights, subject to some conditions, to require us to file registration statements covering their shares or to include their shares in registration statements that we may file for ourselves or other stockholders.</w:t>
      </w:r>
    </w:p>
    <w:p>
      <w:pPr>
        <w:spacing w:after="0" w:line="190" w:lineRule="exact"/>
        <w:rPr>
          <w:sz w:val="20"/>
          <w:szCs w:val="20"/>
          <w:color w:val="auto"/>
        </w:rPr>
      </w:pPr>
    </w:p>
    <w:p>
      <w:pPr>
        <w:ind w:right="100" w:firstLine="419"/>
        <w:spacing w:after="0" w:line="308" w:lineRule="auto"/>
        <w:rPr>
          <w:sz w:val="20"/>
          <w:szCs w:val="20"/>
          <w:color w:val="auto"/>
        </w:rPr>
      </w:pPr>
      <w:r>
        <w:rPr>
          <w:rFonts w:ascii="Arial" w:cs="Arial" w:eastAsia="Arial" w:hAnsi="Arial"/>
          <w:sz w:val="18"/>
          <w:szCs w:val="18"/>
          <w:color w:val="231F20"/>
        </w:rPr>
        <w:t>We have also registered all shares of common stock that we may issue under our equity compensation plans. Once we register these shares, they can be freely sold in the public market, subject to volume limitations applicable to affiliates and the lock-up agreements”</w:t>
      </w:r>
    </w:p>
    <w:p>
      <w:pPr>
        <w:spacing w:after="0" w:line="171" w:lineRule="exact"/>
        <w:rPr>
          <w:sz w:val="20"/>
          <w:szCs w:val="20"/>
          <w:color w:val="auto"/>
        </w:rPr>
      </w:pPr>
    </w:p>
    <w:p>
      <w:pPr>
        <w:ind w:right="60" w:firstLine="419"/>
        <w:spacing w:after="0" w:line="295" w:lineRule="auto"/>
        <w:rPr>
          <w:sz w:val="20"/>
          <w:szCs w:val="20"/>
          <w:color w:val="auto"/>
        </w:rPr>
      </w:pPr>
      <w:r>
        <w:rPr>
          <w:rFonts w:ascii="Arial" w:cs="Arial" w:eastAsia="Arial" w:hAnsi="Arial"/>
          <w:sz w:val="18"/>
          <w:szCs w:val="18"/>
          <w:color w:val="231F20"/>
        </w:rPr>
        <w:t>Sales of our common stock as restrictions end or pursuant to registration rights may make it more difficult for us to sell equity securities in the future at a time and at a price that we deem appropriate. These sales also could cause the price of our common stock to fall and make it more difficult for you to sell shares of our common stock.</w:t>
      </w:r>
    </w:p>
    <w:p>
      <w:pPr>
        <w:spacing w:after="0" w:line="290" w:lineRule="exact"/>
        <w:rPr>
          <w:sz w:val="20"/>
          <w:szCs w:val="20"/>
          <w:color w:val="auto"/>
        </w:rPr>
      </w:pPr>
    </w:p>
    <w:p>
      <w:pPr>
        <w:ind w:right="100"/>
        <w:spacing w:after="0" w:line="308" w:lineRule="auto"/>
        <w:rPr>
          <w:sz w:val="20"/>
          <w:szCs w:val="20"/>
          <w:color w:val="auto"/>
        </w:rPr>
      </w:pPr>
      <w:r>
        <w:rPr>
          <w:rFonts w:ascii="Arial" w:cs="Arial" w:eastAsia="Arial" w:hAnsi="Arial"/>
          <w:sz w:val="18"/>
          <w:szCs w:val="18"/>
          <w:b w:val="1"/>
          <w:bCs w:val="1"/>
          <w:i w:val="1"/>
          <w:iCs w:val="1"/>
          <w:color w:val="231F20"/>
        </w:rPr>
        <w:t>Our directors, executive officers and principal stockholders have significant voting power and may take actions that may not be in the best interests of our other stockholders.</w:t>
      </w:r>
    </w:p>
    <w:p>
      <w:pPr>
        <w:spacing w:after="0" w:line="63" w:lineRule="exact"/>
        <w:rPr>
          <w:sz w:val="20"/>
          <w:szCs w:val="20"/>
          <w:color w:val="auto"/>
        </w:rPr>
      </w:pPr>
    </w:p>
    <w:p>
      <w:pPr>
        <w:ind w:right="100" w:firstLine="524"/>
        <w:spacing w:after="0" w:line="314" w:lineRule="auto"/>
        <w:rPr>
          <w:sz w:val="20"/>
          <w:szCs w:val="20"/>
          <w:color w:val="auto"/>
        </w:rPr>
      </w:pPr>
      <w:r>
        <w:rPr>
          <w:rFonts w:ascii="Arial" w:cs="Arial" w:eastAsia="Arial" w:hAnsi="Arial"/>
          <w:sz w:val="16"/>
          <w:szCs w:val="16"/>
          <w:color w:val="231F20"/>
        </w:rPr>
        <w:t>As of September 30, 2021, our executive officers, directors and principal stockholders each holding more than 5% of our common stock will collectively control approximately 64.8% of our outstanding common stock. As a result, 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268" w:lineRule="exact"/>
        <w:rPr>
          <w:sz w:val="20"/>
          <w:szCs w:val="20"/>
          <w:color w:val="auto"/>
        </w:rPr>
      </w:pPr>
    </w:p>
    <w:p>
      <w:pPr>
        <w:ind w:right="160"/>
        <w:spacing w:after="0" w:line="308" w:lineRule="auto"/>
        <w:rPr>
          <w:sz w:val="20"/>
          <w:szCs w:val="20"/>
          <w:color w:val="auto"/>
        </w:rPr>
      </w:pPr>
      <w:r>
        <w:rPr>
          <w:rFonts w:ascii="Arial" w:cs="Arial" w:eastAsia="Arial" w:hAnsi="Arial"/>
          <w:sz w:val="18"/>
          <w:szCs w:val="18"/>
          <w:b w:val="1"/>
          <w:bCs w:val="1"/>
          <w:i w:val="1"/>
          <w:iCs w:val="1"/>
          <w:color w:val="231F20"/>
        </w:rPr>
        <w:t>We incur significant additional costs as a result of being a public company, and our management is required to devote substantial time to compliance with our public company responsibilities and corporate governance practices.</w:t>
      </w:r>
    </w:p>
    <w:p>
      <w:pPr>
        <w:spacing w:after="0" w:line="63" w:lineRule="exact"/>
        <w:rPr>
          <w:sz w:val="20"/>
          <w:szCs w:val="20"/>
          <w:color w:val="auto"/>
        </w:rPr>
      </w:pPr>
    </w:p>
    <w:p>
      <w:pPr>
        <w:ind w:right="340" w:firstLine="419"/>
        <w:spacing w:after="0" w:line="347" w:lineRule="auto"/>
        <w:rPr>
          <w:sz w:val="20"/>
          <w:szCs w:val="20"/>
          <w:color w:val="auto"/>
        </w:rPr>
      </w:pPr>
      <w:r>
        <w:rPr>
          <w:rFonts w:ascii="Arial" w:cs="Arial" w:eastAsia="Arial" w:hAnsi="Arial"/>
          <w:sz w:val="16"/>
          <w:szCs w:val="16"/>
          <w:color w:val="231F20"/>
        </w:rPr>
        <w:t>As a public company, we incur costs associated with corporate governance requirements, including rules and regulations of the SEC, under the Sarbanes-Oxley Act, the Dodd-Frank Wall Street Reform and Consumer Protection Act of 2010, and the Exchange Act, as well as the rules of Nasdaq. These rules and regulations are expected to significantly increase our accounting, legal and financial compliance costs and make some activities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03" w:name="page104"/>
    <w:bookmarkEnd w:id="103"/>
    <w:p>
      <w:pPr>
        <w:ind w:right="40"/>
        <w:spacing w:after="0" w:line="306" w:lineRule="auto"/>
        <w:rPr>
          <w:sz w:val="20"/>
          <w:szCs w:val="20"/>
          <w:color w:val="auto"/>
        </w:rPr>
      </w:pPr>
      <w:r>
        <w:rPr>
          <w:rFonts w:ascii="Arial" w:cs="Arial" w:eastAsia="Arial" w:hAnsi="Arial"/>
          <w:sz w:val="17"/>
          <w:szCs w:val="17"/>
          <w:color w:val="231F20"/>
        </w:rPr>
        <w:t>more time-consuming. We expect such expenses to further increase after we are no longer an emerging growth company. We also expect these rules and regulations to make it more expensive for us to maintain directors’ and officers’ liability insurance. As a result, it may be more difficult for us to attract and retain qualified persons to serve on our board of directors or as executive officers. Furthermore, these rules and regulations will increase our legal and financial compliance costs and will make some activities more time-consuming and costly. We cannot predict or estimate the amount of additional costs we will incur as a public company or the timing of such costs. Accordingly, increases in costs incurred as a result of becoming a publicly traded company may adversely affect our business, financial condition and results of operations.</w:t>
      </w:r>
    </w:p>
    <w:p>
      <w:pPr>
        <w:spacing w:after="0" w:line="179" w:lineRule="exact"/>
        <w:rPr>
          <w:sz w:val="20"/>
          <w:szCs w:val="20"/>
          <w:color w:val="auto"/>
        </w:rPr>
      </w:pPr>
    </w:p>
    <w:p>
      <w:pPr>
        <w:ind w:right="60" w:firstLine="419"/>
        <w:spacing w:after="0" w:line="321" w:lineRule="auto"/>
        <w:rPr>
          <w:sz w:val="20"/>
          <w:szCs w:val="20"/>
          <w:color w:val="auto"/>
        </w:rPr>
      </w:pPr>
      <w:r>
        <w:rPr>
          <w:rFonts w:ascii="Arial" w:cs="Arial" w:eastAsia="Arial" w:hAnsi="Arial"/>
          <w:sz w:val="16"/>
          <w:szCs w:val="16"/>
          <w:color w:val="231F20"/>
        </w:rPr>
        <w:t>We may also be subject to more stringent state law requirements. For example, on September 30, 2018, California signed into law Senate Bill 826, which generally requires public companies with principal executive offices in California to have a minimum number of females on the company’s board of directors. By December 31, 2019, each public company with principal executive offices in California was required to have at least one female on its board of directors. By December 31, 2021, each public company is required to have at least two females on its board of directors if the company has at least five directors, and at least three females on its board of directors if the company has at least six directors. The new law does not provide a transition period for newly listed companies. We are currently compliant with the requirements, but there are no assurances that we will be compliant in the future. If we fail to comply with this new law, we could be fined by the California Secretary of State, with a $100,000 fine for the first violation and a $300,000 fine for each subsequent violation, and our reputation may be adversely affected. Further, in September 2020, California enacted AB 979 requiring public companies headquartered in California to maintain minimum representation on their boards of directors from members of underrepresented communities as follow: by the end of 2021, at least one director from an underrepresented community, by end of 2022, public company boards with more than four but fewer than nine members will be required to have at least two directors from underrepresented communities, and public company boards with nine or more members will be required to have at least three directors from underrepresented communities. Failure to achieve designated minimum levels in a timely manner exposes such companies to financial penalties and reputational harm. If we are unable to recruit, attract and/or retain qualified members of the board and meet the requirements of the California laws it may expose us to penalties and/or reputational harm.</w:t>
      </w:r>
    </w:p>
    <w:p>
      <w:pPr>
        <w:spacing w:after="0" w:line="281" w:lineRule="exact"/>
        <w:rPr>
          <w:sz w:val="20"/>
          <w:szCs w:val="20"/>
          <w:color w:val="auto"/>
        </w:rPr>
      </w:pPr>
    </w:p>
    <w:p>
      <w:pPr>
        <w:ind w:right="680"/>
        <w:spacing w:after="0" w:line="413" w:lineRule="auto"/>
        <w:rPr>
          <w:sz w:val="20"/>
          <w:szCs w:val="20"/>
          <w:color w:val="auto"/>
        </w:rPr>
      </w:pPr>
      <w:r>
        <w:rPr>
          <w:rFonts w:ascii="Arial" w:cs="Arial" w:eastAsia="Arial" w:hAnsi="Arial"/>
          <w:sz w:val="15"/>
          <w:szCs w:val="15"/>
          <w:b w:val="1"/>
          <w:bCs w:val="1"/>
          <w:i w:val="1"/>
          <w:iCs w:val="1"/>
          <w:color w:val="231F20"/>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ind w:firstLine="419"/>
        <w:spacing w:after="0" w:line="325" w:lineRule="auto"/>
        <w:rPr>
          <w:sz w:val="20"/>
          <w:szCs w:val="20"/>
          <w:color w:val="auto"/>
        </w:rPr>
      </w:pPr>
      <w:r>
        <w:rPr>
          <w:rFonts w:ascii="Arial" w:cs="Arial" w:eastAsia="Arial" w:hAnsi="Arial"/>
          <w:sz w:val="16"/>
          <w:szCs w:val="16"/>
          <w:color w:val="231F20"/>
        </w:rPr>
        <w:t>As a public company, 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 Although we will be required to disclose changes made in our internal controls and procedures on a quarterly basis, we are not required to make our first annual assessment of our internal control over financial reporting pursuant to Section 404 until the year following our first annual report required to be filed with the SEC. As an emerging growth company, our independent registered public accounting firm will not be required to attest to the effectiveness of our internal control over financial reporting pursuant to Section 404 until the later of the year following our first annual report required to be filed with the SEC or the date we are no longer an emerging growth company. At such time, our independent registered public accounting firm may issue a report that is adverse in the event material weaknesses have been identified in our internal control over financial reporting.</w:t>
      </w:r>
    </w:p>
    <w:p>
      <w:pPr>
        <w:spacing w:after="0" w:line="167" w:lineRule="exact"/>
        <w:rPr>
          <w:sz w:val="20"/>
          <w:szCs w:val="20"/>
          <w:color w:val="auto"/>
        </w:rPr>
      </w:pPr>
    </w:p>
    <w:p>
      <w:pPr>
        <w:ind w:right="20" w:firstLine="419"/>
        <w:spacing w:after="0" w:line="305" w:lineRule="auto"/>
        <w:rPr>
          <w:sz w:val="20"/>
          <w:szCs w:val="20"/>
          <w:color w:val="auto"/>
        </w:rPr>
      </w:pPr>
      <w:r>
        <w:rPr>
          <w:rFonts w:ascii="Arial" w:cs="Arial" w:eastAsia="Arial" w:hAnsi="Arial"/>
          <w:sz w:val="17"/>
          <w:szCs w:val="17"/>
          <w:color w:val="231F20"/>
        </w:rPr>
        <w:t>To comply with the requirements of being a public company, we need to undertake actions, such as implementing new internal controls and procedures and hiring additional accounting or internal audit staff. Testing and maintaining internal control can divert our management’s attention from other matters that are important to the operation of our business. In addition,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controls over financial reporting or we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4" w:name="page105"/>
    <w:bookmarkEnd w:id="104"/>
    <w:p>
      <w:pPr>
        <w:ind w:right="120"/>
        <w:spacing w:after="0" w:line="308" w:lineRule="auto"/>
        <w:rPr>
          <w:sz w:val="20"/>
          <w:szCs w:val="20"/>
          <w:color w:val="auto"/>
        </w:rPr>
      </w:pPr>
      <w:r>
        <w:rPr>
          <w:rFonts w:ascii="Arial" w:cs="Arial" w:eastAsia="Arial" w:hAnsi="Arial"/>
          <w:sz w:val="18"/>
          <w:szCs w:val="18"/>
          <w:color w:val="231F20"/>
        </w:rPr>
        <w:t>once we are no longer an emerging growth company, investors may lose confidence in the accuracy and completeness of our financial reports. As a result, the market price of our common stock could be materially adversely affected.</w:t>
      </w:r>
    </w:p>
    <w:p>
      <w:pPr>
        <w:spacing w:after="0" w:line="279" w:lineRule="exact"/>
        <w:rPr>
          <w:sz w:val="20"/>
          <w:szCs w:val="20"/>
          <w:color w:val="auto"/>
        </w:rPr>
      </w:pPr>
    </w:p>
    <w:p>
      <w:pPr>
        <w:ind w:right="100"/>
        <w:spacing w:after="0" w:line="308" w:lineRule="auto"/>
        <w:rPr>
          <w:sz w:val="20"/>
          <w:szCs w:val="20"/>
          <w:color w:val="auto"/>
        </w:rPr>
      </w:pPr>
      <w:r>
        <w:rPr>
          <w:rFonts w:ascii="Arial" w:cs="Arial" w:eastAsia="Arial" w:hAnsi="Arial"/>
          <w:sz w:val="18"/>
          <w:szCs w:val="18"/>
          <w:b w:val="1"/>
          <w:bCs w:val="1"/>
          <w:i w:val="1"/>
          <w:iCs w:val="1"/>
          <w:color w:val="231F20"/>
        </w:rPr>
        <w:t>Material weaknesses in our internal control over financial reporting may cause us to fail to timely and accurately report our financial results or result in a material misstatement of our financial statements.</w:t>
      </w:r>
    </w:p>
    <w:p>
      <w:pPr>
        <w:spacing w:after="0" w:line="63" w:lineRule="exact"/>
        <w:rPr>
          <w:sz w:val="20"/>
          <w:szCs w:val="20"/>
          <w:color w:val="auto"/>
        </w:rPr>
      </w:pPr>
    </w:p>
    <w:p>
      <w:pPr>
        <w:ind w:firstLine="419"/>
        <w:spacing w:after="0" w:line="275" w:lineRule="auto"/>
        <w:rPr>
          <w:sz w:val="20"/>
          <w:szCs w:val="20"/>
          <w:color w:val="auto"/>
        </w:rPr>
      </w:pPr>
      <w:r>
        <w:rPr>
          <w:rFonts w:ascii="Arial" w:cs="Arial" w:eastAsia="Arial" w:hAnsi="Arial"/>
          <w:sz w:val="18"/>
          <w:szCs w:val="18"/>
          <w:color w:val="auto"/>
        </w:rPr>
        <w:t>In connection with the audit of our financial statements for the year ended December 31, 2020, we identified a material weakness in our internal controls due to a lack of sufficient full-time accounting personnel with requisite experience and deep technical accounting knowledge to (i) identify and resolve complex accounting issues under generally accepted accounting principles in the United States, or GAAP, and (ii) enable appropriate segregation of duties and reviews over the financial reviews over the financial close and reporting process.</w:t>
      </w:r>
    </w:p>
    <w:p>
      <w:pPr>
        <w:spacing w:after="0" w:line="185" w:lineRule="exact"/>
        <w:rPr>
          <w:sz w:val="20"/>
          <w:szCs w:val="20"/>
          <w:color w:val="auto"/>
        </w:rPr>
      </w:pPr>
    </w:p>
    <w:p>
      <w:pPr>
        <w:ind w:firstLine="419"/>
        <w:spacing w:after="0" w:line="271" w:lineRule="auto"/>
        <w:rPr>
          <w:sz w:val="20"/>
          <w:szCs w:val="20"/>
          <w:color w:val="auto"/>
        </w:rPr>
      </w:pPr>
      <w:r>
        <w:rPr>
          <w:rFonts w:ascii="Arial" w:cs="Arial" w:eastAsia="Arial" w:hAnsi="Arial"/>
          <w:sz w:val="18"/>
          <w:szCs w:val="18"/>
          <w:color w:val="auto"/>
        </w:rPr>
        <w:t>We are evaluating and implementing additional internal controls and procedures to remediate this material weakness, however, we cannot assure you that these or other measures will fully remediate the material weakness in a timely manner or prevent future material weaknesses from occurring. As part of our remediation plan to address the material weakness identified above, we are actively working to hire additional accounting employees with specific technical accounting and financial reporting experience necessary for a public company. We will continue to assess the adequacy of our accounting personnel and resources, and will add additional personnel, as well as adjust our resources, as necessary, commensurate with any increase in the size and complexity of our business.</w:t>
      </w:r>
    </w:p>
    <w:p>
      <w:pPr>
        <w:spacing w:after="0" w:line="191" w:lineRule="exact"/>
        <w:rPr>
          <w:sz w:val="20"/>
          <w:szCs w:val="20"/>
          <w:color w:val="auto"/>
        </w:rPr>
      </w:pPr>
    </w:p>
    <w:p>
      <w:pPr>
        <w:ind w:right="80" w:firstLine="419"/>
        <w:spacing w:after="0" w:line="309" w:lineRule="auto"/>
        <w:rPr>
          <w:sz w:val="20"/>
          <w:szCs w:val="20"/>
          <w:color w:val="auto"/>
        </w:rPr>
      </w:pPr>
      <w:r>
        <w:rPr>
          <w:rFonts w:ascii="Arial" w:cs="Arial" w:eastAsia="Arial" w:hAnsi="Arial"/>
          <w:sz w:val="17"/>
          <w:szCs w:val="17"/>
          <w:color w:val="231F20"/>
        </w:rPr>
        <w:t>If we identify future material weaknesses in our internal controls over financial reporting or fail to meet the demands that will be placed upon us as a public company, including the requirements of the Sarbanes-Oxley Act, we may be unable to accurately report our financial results or report them within the timeframes required by law or stock exchange regulations. Failure to comply with Section 404 could also potentially subject us to sanctions or investigations by the SEC or other regulatory authorities. If additional material weaknesses exist or are discovered in the future, and we are unable to remediate any such material weaknesses, our reputation, financial condition, and operating results could suffer.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31" w:lineRule="exact"/>
        <w:rPr>
          <w:sz w:val="20"/>
          <w:szCs w:val="20"/>
          <w:color w:val="auto"/>
        </w:rPr>
      </w:pPr>
    </w:p>
    <w:p>
      <w:pPr>
        <w:ind w:right="120" w:firstLine="419"/>
        <w:spacing w:after="0" w:line="325" w:lineRule="auto"/>
        <w:rPr>
          <w:sz w:val="20"/>
          <w:szCs w:val="20"/>
          <w:color w:val="auto"/>
        </w:rPr>
      </w:pPr>
      <w:r>
        <w:rPr>
          <w:rFonts w:ascii="Arial" w:cs="Arial" w:eastAsia="Arial" w:hAnsi="Arial"/>
          <w:sz w:val="16"/>
          <w:szCs w:val="16"/>
          <w:color w:val="auto"/>
        </w:rPr>
        <w:t>Upon the closing of the initial public offering of our common stock, we became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75" w:lineRule="exact"/>
        <w:rPr>
          <w:sz w:val="20"/>
          <w:szCs w:val="20"/>
          <w:color w:val="auto"/>
        </w:rPr>
      </w:pPr>
    </w:p>
    <w:p>
      <w:pPr>
        <w:ind w:right="300"/>
        <w:spacing w:after="0" w:line="377" w:lineRule="auto"/>
        <w:rPr>
          <w:sz w:val="20"/>
          <w:szCs w:val="20"/>
          <w:color w:val="auto"/>
        </w:rPr>
      </w:pPr>
      <w:r>
        <w:rPr>
          <w:rFonts w:ascii="Arial" w:cs="Arial" w:eastAsia="Arial" w:hAnsi="Arial"/>
          <w:sz w:val="16"/>
          <w:szCs w:val="16"/>
          <w:b w:val="1"/>
          <w:bCs w:val="1"/>
          <w:i w:val="1"/>
          <w:iCs w:val="1"/>
          <w:color w:val="231F20"/>
        </w:rPr>
        <w:t>Provisions in our corporate charter documents and under Delaware law could make an acquisition of our company,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80" w:firstLine="419"/>
        <w:spacing w:after="0" w:line="288" w:lineRule="auto"/>
        <w:rPr>
          <w:sz w:val="20"/>
          <w:szCs w:val="20"/>
          <w:color w:val="auto"/>
        </w:rPr>
      </w:pPr>
      <w:r>
        <w:rPr>
          <w:rFonts w:ascii="Arial" w:cs="Arial" w:eastAsia="Arial" w:hAnsi="Arial"/>
          <w:sz w:val="18"/>
          <w:szCs w:val="18"/>
          <w:color w:val="231F20"/>
        </w:rPr>
        <w:t>Provisions in our restated certificate of incorporation and our restated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05" w:name="page106"/>
    <w:bookmarkEnd w:id="105"/>
    <w:p>
      <w:pPr>
        <w:ind w:right="60"/>
        <w:spacing w:after="0" w:line="308" w:lineRule="auto"/>
        <w:rPr>
          <w:sz w:val="20"/>
          <w:szCs w:val="20"/>
          <w:color w:val="auto"/>
        </w:rPr>
      </w:pPr>
      <w:r>
        <w:rPr>
          <w:rFonts w:ascii="Arial" w:cs="Arial" w:eastAsia="Arial" w:hAnsi="Arial"/>
          <w:sz w:val="18"/>
          <w:szCs w:val="18"/>
          <w:color w:val="231F20"/>
        </w:rPr>
        <w:t>replace or remove our current management by making it more difficult for stockholders to replace members of our board of directors. Among other things, these provisions include those establishing:</w:t>
      </w:r>
    </w:p>
    <w:p>
      <w:pPr>
        <w:spacing w:after="0" w:line="63" w:lineRule="exact"/>
        <w:rPr>
          <w:sz w:val="20"/>
          <w:szCs w:val="20"/>
          <w:color w:val="auto"/>
        </w:rPr>
      </w:pPr>
    </w:p>
    <w:p>
      <w:pPr>
        <w:ind w:left="700" w:right="500"/>
        <w:spacing w:after="0" w:line="293" w:lineRule="auto"/>
        <w:rPr>
          <w:sz w:val="20"/>
          <w:szCs w:val="20"/>
          <w:color w:val="auto"/>
        </w:rPr>
      </w:pPr>
      <w:r>
        <w:rPr>
          <w:rFonts w:ascii="Arial" w:cs="Arial" w:eastAsia="Arial" w:hAnsi="Arial"/>
          <w:sz w:val="18"/>
          <w:szCs w:val="18"/>
          <w:color w:val="231F20"/>
        </w:rPr>
        <w:t>A classified board of directors with three-year staggered terms, which may delay the ability of stockholders to change the membership of a majority of our board of directors;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231F20"/>
        </w:rPr>
        <w:t>No cumulative voting in the election of directors, which limits the ability of minority stockholders to elect director candidates;</w:t>
      </w:r>
    </w:p>
    <w:p>
      <w:pPr>
        <w:spacing w:after="0" w:line="131" w:lineRule="exact"/>
        <w:rPr>
          <w:sz w:val="20"/>
          <w:szCs w:val="20"/>
          <w:color w:val="auto"/>
        </w:rPr>
      </w:pPr>
    </w:p>
    <w:p>
      <w:pPr>
        <w:ind w:left="700" w:right="740"/>
        <w:spacing w:after="0" w:line="324" w:lineRule="auto"/>
        <w:rPr>
          <w:sz w:val="20"/>
          <w:szCs w:val="20"/>
          <w:color w:val="auto"/>
        </w:rPr>
      </w:pPr>
      <w:r>
        <w:rPr>
          <w:rFonts w:ascii="Arial" w:cs="Arial" w:eastAsia="Arial" w:hAnsi="Arial"/>
          <w:sz w:val="17"/>
          <w:szCs w:val="17"/>
          <w:color w:val="231F20"/>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39" w:lineRule="exact"/>
        <w:rPr>
          <w:sz w:val="20"/>
          <w:szCs w:val="20"/>
          <w:color w:val="auto"/>
        </w:rPr>
      </w:pPr>
    </w:p>
    <w:p>
      <w:pPr>
        <w:ind w:left="700" w:right="240"/>
        <w:spacing w:after="0" w:line="359" w:lineRule="auto"/>
        <w:rPr>
          <w:sz w:val="20"/>
          <w:szCs w:val="20"/>
          <w:color w:val="auto"/>
        </w:rPr>
      </w:pPr>
      <w:r>
        <w:rPr>
          <w:rFonts w:ascii="Arial" w:cs="Arial" w:eastAsia="Arial" w:hAnsi="Arial"/>
          <w:sz w:val="16"/>
          <w:szCs w:val="16"/>
          <w:color w:val="231F20"/>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18"/>
          <w:szCs w:val="18"/>
          <w:color w:val="231F20"/>
        </w:rPr>
        <w:t>The ability of our board of directors to alter our bylaws without obtaining stockholder approval;</w:t>
      </w:r>
    </w:p>
    <w:p>
      <w:pPr>
        <w:spacing w:after="0" w:line="131" w:lineRule="exact"/>
        <w:rPr>
          <w:sz w:val="20"/>
          <w:szCs w:val="20"/>
          <w:color w:val="auto"/>
        </w:rPr>
      </w:pPr>
    </w:p>
    <w:p>
      <w:pPr>
        <w:ind w:left="700" w:right="220"/>
        <w:spacing w:after="0" w:line="324" w:lineRule="auto"/>
        <w:rPr>
          <w:sz w:val="20"/>
          <w:szCs w:val="20"/>
          <w:color w:val="auto"/>
        </w:rPr>
      </w:pPr>
      <w:r>
        <w:rPr>
          <w:rFonts w:ascii="Arial" w:cs="Arial" w:eastAsia="Arial" w:hAnsi="Arial"/>
          <w:sz w:val="17"/>
          <w:szCs w:val="17"/>
          <w:color w:val="231F20"/>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39" w:lineRule="exact"/>
        <w:rPr>
          <w:sz w:val="20"/>
          <w:szCs w:val="20"/>
          <w:color w:val="auto"/>
        </w:rPr>
      </w:pPr>
    </w:p>
    <w:p>
      <w:pPr>
        <w:ind w:left="700" w:right="580"/>
        <w:spacing w:after="0" w:line="293" w:lineRule="auto"/>
        <w:rPr>
          <w:sz w:val="20"/>
          <w:szCs w:val="20"/>
          <w:color w:val="auto"/>
        </w:rPr>
      </w:pPr>
      <w:r>
        <w:rPr>
          <w:rFonts w:ascii="Arial" w:cs="Arial" w:eastAsia="Arial" w:hAnsi="Arial"/>
          <w:sz w:val="18"/>
          <w:szCs w:val="18"/>
          <w:color w:val="231F20"/>
        </w:rPr>
        <w:t>A prohibition on stockholder action by written consent, which forces stockholder action to be taken at an annual or special meeting of our stockholders;</w:t>
      </w:r>
    </w:p>
    <w:p>
      <w:pPr>
        <w:spacing w:after="0" w:line="62" w:lineRule="exact"/>
        <w:rPr>
          <w:sz w:val="20"/>
          <w:szCs w:val="20"/>
          <w:color w:val="auto"/>
        </w:rPr>
      </w:pPr>
    </w:p>
    <w:p>
      <w:pPr>
        <w:ind w:left="700" w:right="140"/>
        <w:spacing w:after="0" w:line="279" w:lineRule="auto"/>
        <w:rPr>
          <w:sz w:val="20"/>
          <w:szCs w:val="20"/>
          <w:color w:val="auto"/>
        </w:rPr>
      </w:pPr>
      <w:r>
        <w:rPr>
          <w:rFonts w:ascii="Arial" w:cs="Arial" w:eastAsia="Arial" w:hAnsi="Arial"/>
          <w:sz w:val="18"/>
          <w:szCs w:val="18"/>
          <w:color w:val="231F20"/>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75" w:lineRule="exact"/>
        <w:rPr>
          <w:sz w:val="20"/>
          <w:szCs w:val="20"/>
          <w:color w:val="auto"/>
        </w:rPr>
      </w:pPr>
    </w:p>
    <w:p>
      <w:pPr>
        <w:jc w:val="both"/>
        <w:ind w:left="700"/>
        <w:spacing w:after="0" w:line="279" w:lineRule="auto"/>
        <w:rPr>
          <w:sz w:val="20"/>
          <w:szCs w:val="20"/>
          <w:color w:val="auto"/>
        </w:rPr>
      </w:pPr>
      <w:r>
        <w:rPr>
          <w:rFonts w:ascii="Arial" w:cs="Arial" w:eastAsia="Arial" w:hAnsi="Arial"/>
          <w:sz w:val="18"/>
          <w:szCs w:val="18"/>
          <w:color w:val="231F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3" w:lineRule="exact"/>
        <w:rPr>
          <w:sz w:val="20"/>
          <w:szCs w:val="20"/>
          <w:color w:val="auto"/>
        </w:rPr>
      </w:pPr>
    </w:p>
    <w:p>
      <w:pPr>
        <w:ind w:firstLine="419"/>
        <w:spacing w:after="0" w:line="290" w:lineRule="auto"/>
        <w:rPr>
          <w:sz w:val="20"/>
          <w:szCs w:val="20"/>
          <w:color w:val="auto"/>
        </w:rPr>
      </w:pPr>
      <w:r>
        <w:rPr>
          <w:rFonts w:ascii="Arial" w:cs="Arial" w:eastAsia="Arial" w:hAnsi="Arial"/>
          <w:sz w:val="18"/>
          <w:szCs w:val="18"/>
          <w:color w:val="231F20"/>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6" w:lineRule="exact"/>
        <w:rPr>
          <w:sz w:val="20"/>
          <w:szCs w:val="20"/>
          <w:color w:val="auto"/>
        </w:rPr>
      </w:pPr>
    </w:p>
    <w:p>
      <w:pPr>
        <w:ind w:right="960"/>
        <w:spacing w:after="0" w:line="377" w:lineRule="auto"/>
        <w:rPr>
          <w:sz w:val="20"/>
          <w:szCs w:val="20"/>
          <w:color w:val="auto"/>
        </w:rPr>
      </w:pPr>
      <w:r>
        <w:rPr>
          <w:rFonts w:ascii="Arial" w:cs="Arial" w:eastAsia="Arial" w:hAnsi="Arial"/>
          <w:sz w:val="16"/>
          <w:szCs w:val="16"/>
          <w:b w:val="1"/>
          <w:bCs w:val="1"/>
          <w:i w:val="1"/>
          <w:iCs w:val="1"/>
          <w:color w:val="231F20"/>
        </w:rPr>
        <w:t>Our restated certificate of incorporation designates specific courts as the exclusive forum for certain litigation that may be initiated by our stockholders, which could limit our stockholders’ ability to obtain a favorable judicial forum for disputes with us.</w:t>
      </w:r>
    </w:p>
    <w:p>
      <w:pPr>
        <w:spacing w:after="0" w:line="16" w:lineRule="exact"/>
        <w:rPr>
          <w:sz w:val="20"/>
          <w:szCs w:val="20"/>
          <w:color w:val="auto"/>
        </w:rPr>
      </w:pPr>
    </w:p>
    <w:p>
      <w:pPr>
        <w:ind w:firstLine="416"/>
        <w:spacing w:after="0" w:line="303" w:lineRule="auto"/>
        <w:rPr>
          <w:sz w:val="20"/>
          <w:szCs w:val="20"/>
          <w:color w:val="auto"/>
        </w:rPr>
      </w:pPr>
      <w:r>
        <w:rPr>
          <w:rFonts w:ascii="Arial" w:cs="Arial" w:eastAsia="Arial" w:hAnsi="Arial"/>
          <w:sz w:val="17"/>
          <w:szCs w:val="17"/>
          <w:color w:val="231F20"/>
        </w:rPr>
        <w:t>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restated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restated certificate of incorporation described above.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106" w:name="page107"/>
    <w:bookmarkEnd w:id="106"/>
    <w:p>
      <w:pPr>
        <w:ind w:firstLine="419"/>
        <w:spacing w:after="0" w:line="302" w:lineRule="auto"/>
        <w:rPr>
          <w:sz w:val="20"/>
          <w:szCs w:val="20"/>
          <w:color w:val="auto"/>
        </w:rPr>
      </w:pPr>
      <w:r>
        <w:rPr>
          <w:rFonts w:ascii="Arial" w:cs="Arial" w:eastAsia="Arial" w:hAnsi="Arial"/>
          <w:sz w:val="17"/>
          <w:szCs w:val="17"/>
          <w:color w:val="231F20"/>
        </w:rPr>
        <w:t>We believe these provisions benefit us by providing increased consistency in the application of Delaware law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provision may also have the effect of resulting in increased costs to a stockholder seeking to bring a claim against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On July 19, 2021, we completed our IPO. All shares sold were registered pursuant to a registration statement on Form S-1 (File No. 333-257320), as amended, declared effective by the SEC on July 14, 2021.</w:t>
      </w:r>
    </w:p>
    <w:p>
      <w:pPr>
        <w:spacing w:after="0" w:line="170"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The net proceeds from our IPO have been used and will be used, together with our cash and cash equivalents: (i) to fund ongoing and future clinical trials of OMNI and TearCare; (ii) to support the marketing and sales efforts for our products; (iii) for research and development; and (iii) for working capital and other general corporate purposes.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has been no material change in the intended use of proceeds from our IPO as described in our Prospectus.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Item 6. Exhibits.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exhibits are filed or furnished as a part of, or incorporated by reference into, this Quarterly Report on Form 10-Q.</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Arial" w:cs="Arial" w:eastAsia="Arial" w:hAnsi="Arial"/>
                <w:sz w:val="16"/>
                <w:szCs w:val="16"/>
                <w:b w:val="1"/>
                <w:bCs w:val="1"/>
                <w:color w:val="auto"/>
              </w:rPr>
              <w:t>Incorporated by</w:t>
            </w: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0"/>
        </w:trPr>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ind w:left="160"/>
              <w:spacing w:after="0"/>
              <w:rPr>
                <w:sz w:val="20"/>
                <w:szCs w:val="20"/>
                <w:color w:val="auto"/>
              </w:rPr>
            </w:pPr>
            <w:r>
              <w:rPr>
                <w:rFonts w:ascii="Arial" w:cs="Arial" w:eastAsia="Arial" w:hAnsi="Arial"/>
                <w:sz w:val="16"/>
                <w:szCs w:val="16"/>
                <w:b w:val="1"/>
                <w:bCs w:val="1"/>
                <w:color w:val="auto"/>
              </w:rPr>
              <w:t>Reference</w:t>
            </w: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8"/>
        </w:trPr>
        <w:tc>
          <w:tcPr>
            <w:tcW w:w="104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18"/>
          </w:tcPr>
          <w:p>
            <w:pPr>
              <w:ind w:left="260"/>
              <w:spacing w:after="0"/>
              <w:rPr>
                <w:sz w:val="20"/>
                <w:szCs w:val="20"/>
                <w:color w:val="auto"/>
              </w:rPr>
            </w:pPr>
            <w:r>
              <w:rPr>
                <w:rFonts w:ascii="Arial" w:cs="Arial" w:eastAsia="Arial" w:hAnsi="Arial"/>
                <w:sz w:val="16"/>
                <w:szCs w:val="16"/>
                <w:b w:val="1"/>
                <w:bCs w:val="1"/>
                <w:color w:val="auto"/>
              </w:rPr>
              <w:t>Exhibit Description</w:t>
            </w:r>
          </w:p>
        </w:tc>
        <w:tc>
          <w:tcPr>
            <w:tcW w:w="1460" w:type="dxa"/>
            <w:vAlign w:val="bottom"/>
          </w:tcPr>
          <w:p>
            <w:pPr>
              <w:ind w:left="160"/>
              <w:spacing w:after="0"/>
              <w:rPr>
                <w:sz w:val="20"/>
                <w:szCs w:val="20"/>
                <w:color w:val="auto"/>
              </w:rPr>
            </w:pPr>
            <w:r>
              <w:rPr>
                <w:rFonts w:ascii="Arial" w:cs="Arial" w:eastAsia="Arial" w:hAnsi="Arial"/>
                <w:sz w:val="16"/>
                <w:szCs w:val="16"/>
                <w:b w:val="1"/>
                <w:bCs w:val="1"/>
                <w:color w:val="auto"/>
              </w:rPr>
              <w:t>Form</w:t>
            </w:r>
          </w:p>
        </w:tc>
        <w:tc>
          <w:tcPr>
            <w:tcW w:w="1160" w:type="dxa"/>
            <w:vAlign w:val="bottom"/>
          </w:tcPr>
          <w:p>
            <w:pPr>
              <w:ind w:left="160"/>
              <w:spacing w:after="0"/>
              <w:rPr>
                <w:sz w:val="20"/>
                <w:szCs w:val="20"/>
                <w:color w:val="auto"/>
              </w:rPr>
            </w:pPr>
            <w:r>
              <w:rPr>
                <w:rFonts w:ascii="Arial" w:cs="Arial" w:eastAsia="Arial" w:hAnsi="Arial"/>
                <w:sz w:val="16"/>
                <w:szCs w:val="16"/>
                <w:b w:val="1"/>
                <w:bCs w:val="1"/>
                <w:color w:val="auto"/>
              </w:rPr>
              <w:t>File No.</w:t>
            </w:r>
          </w:p>
        </w:tc>
        <w:tc>
          <w:tcPr>
            <w:tcW w:w="920" w:type="dxa"/>
            <w:vAlign w:val="bottom"/>
          </w:tcPr>
          <w:p>
            <w:pPr>
              <w:ind w:left="220"/>
              <w:spacing w:after="0"/>
              <w:rPr>
                <w:sz w:val="20"/>
                <w:szCs w:val="20"/>
                <w:color w:val="auto"/>
              </w:rPr>
            </w:pPr>
            <w:r>
              <w:rPr>
                <w:rFonts w:ascii="Arial" w:cs="Arial" w:eastAsia="Arial" w:hAnsi="Arial"/>
                <w:sz w:val="16"/>
                <w:szCs w:val="16"/>
                <w:b w:val="1"/>
                <w:bCs w:val="1"/>
                <w:color w:val="auto"/>
              </w:rPr>
              <w:t>Exhibit</w:t>
            </w:r>
          </w:p>
        </w:tc>
        <w:tc>
          <w:tcPr>
            <w:tcW w:w="880" w:type="dxa"/>
            <w:vAlign w:val="bottom"/>
          </w:tcPr>
          <w:p>
            <w:pPr>
              <w:ind w:left="200"/>
              <w:spacing w:after="0"/>
              <w:rPr>
                <w:sz w:val="20"/>
                <w:szCs w:val="20"/>
                <w:color w:val="auto"/>
              </w:rPr>
            </w:pPr>
            <w:r>
              <w:rPr>
                <w:rFonts w:ascii="Arial" w:cs="Arial" w:eastAsia="Arial" w:hAnsi="Arial"/>
                <w:sz w:val="16"/>
                <w:szCs w:val="16"/>
                <w:b w:val="1"/>
                <w:bCs w:val="1"/>
                <w:color w:val="auto"/>
              </w:rPr>
              <w:t>Filing</w:t>
            </w:r>
          </w:p>
        </w:tc>
        <w:tc>
          <w:tcPr>
            <w:tcW w:w="1320" w:type="dxa"/>
            <w:vAlign w:val="bottom"/>
          </w:tcPr>
          <w:p>
            <w:pPr>
              <w:ind w:left="200"/>
              <w:spacing w:after="0"/>
              <w:rPr>
                <w:sz w:val="20"/>
                <w:szCs w:val="20"/>
                <w:color w:val="auto"/>
              </w:rPr>
            </w:pPr>
            <w:r>
              <w:rPr>
                <w:rFonts w:ascii="Arial" w:cs="Arial" w:eastAsia="Arial" w:hAnsi="Arial"/>
                <w:sz w:val="16"/>
                <w:szCs w:val="16"/>
                <w:b w:val="1"/>
                <w:bCs w:val="1"/>
                <w:color w:val="auto"/>
                <w:w w:val="92"/>
              </w:rPr>
              <w:t>Filed/Furnished</w:t>
            </w:r>
          </w:p>
        </w:tc>
      </w:tr>
      <w:tr>
        <w:trPr>
          <w:trHeight w:val="210"/>
        </w:trPr>
        <w:tc>
          <w:tcPr>
            <w:tcW w:w="104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6"/>
                <w:szCs w:val="16"/>
                <w:b w:val="1"/>
                <w:bCs w:val="1"/>
                <w:color w:val="auto"/>
              </w:rPr>
              <w:t>Date</w:t>
            </w:r>
          </w:p>
        </w:tc>
        <w:tc>
          <w:tcPr>
            <w:tcW w:w="1320" w:type="dxa"/>
            <w:vAlign w:val="bottom"/>
          </w:tcPr>
          <w:p>
            <w:pPr>
              <w:ind w:left="200"/>
              <w:spacing w:after="0"/>
              <w:rPr>
                <w:sz w:val="20"/>
                <w:szCs w:val="20"/>
                <w:color w:val="auto"/>
              </w:rPr>
            </w:pPr>
            <w:r>
              <w:rPr>
                <w:rFonts w:ascii="Arial" w:cs="Arial" w:eastAsia="Arial" w:hAnsi="Arial"/>
                <w:sz w:val="16"/>
                <w:szCs w:val="16"/>
                <w:b w:val="1"/>
                <w:bCs w:val="1"/>
                <w:color w:val="auto"/>
              </w:rPr>
              <w:t>Herewith</w:t>
            </w:r>
          </w:p>
        </w:tc>
      </w:tr>
      <w:tr>
        <w:trPr>
          <w:trHeight w:val="181"/>
        </w:trPr>
        <w:tc>
          <w:tcPr>
            <w:tcW w:w="1040" w:type="dxa"/>
            <w:vAlign w:val="bottom"/>
          </w:tcPr>
          <w:p>
            <w:pPr>
              <w:spacing w:after="0" w:line="181" w:lineRule="exact"/>
              <w:rPr>
                <w:sz w:val="20"/>
                <w:szCs w:val="20"/>
                <w:color w:val="auto"/>
              </w:rPr>
            </w:pPr>
            <w:r>
              <w:rPr>
                <w:rFonts w:ascii="Arial" w:cs="Arial" w:eastAsia="Arial" w:hAnsi="Arial"/>
                <w:sz w:val="16"/>
                <w:szCs w:val="16"/>
                <w:color w:val="auto"/>
              </w:rPr>
              <w:t>3.1</w:t>
            </w:r>
          </w:p>
        </w:tc>
        <w:tc>
          <w:tcPr>
            <w:tcW w:w="4000" w:type="dxa"/>
            <w:vAlign w:val="bottom"/>
            <w:gridSpan w:val="23"/>
          </w:tcPr>
          <w:p>
            <w:pPr>
              <w:spacing w:after="0" w:line="181" w:lineRule="exact"/>
              <w:rPr>
                <w:rFonts w:ascii="Arial" w:cs="Arial" w:eastAsia="Arial" w:hAnsi="Arial"/>
                <w:sz w:val="16"/>
                <w:szCs w:val="16"/>
                <w:color w:val="auto"/>
                <w:w w:val="94"/>
              </w:rPr>
            </w:pPr>
            <w:hyperlink r:id="rId335">
              <w:r>
                <w:rPr>
                  <w:rFonts w:ascii="Arial" w:cs="Arial" w:eastAsia="Arial" w:hAnsi="Arial"/>
                  <w:sz w:val="16"/>
                  <w:szCs w:val="16"/>
                  <w:color w:val="auto"/>
                  <w:w w:val="94"/>
                </w:rPr>
                <w:t>Restated Certificate of Incorporation of Sight Sciences, Inc.</w:t>
              </w:r>
            </w:hyperlink>
          </w:p>
        </w:tc>
        <w:tc>
          <w:tcPr>
            <w:tcW w:w="1460" w:type="dxa"/>
            <w:vAlign w:val="bottom"/>
          </w:tcPr>
          <w:p>
            <w:pPr>
              <w:ind w:left="160"/>
              <w:spacing w:after="0" w:line="181" w:lineRule="exact"/>
              <w:rPr>
                <w:sz w:val="20"/>
                <w:szCs w:val="20"/>
                <w:color w:val="auto"/>
              </w:rPr>
            </w:pPr>
            <w:r>
              <w:rPr>
                <w:rFonts w:ascii="Arial" w:cs="Arial" w:eastAsia="Arial" w:hAnsi="Arial"/>
                <w:sz w:val="16"/>
                <w:szCs w:val="16"/>
                <w:color w:val="auto"/>
              </w:rPr>
              <w:t>8-K</w:t>
            </w:r>
          </w:p>
        </w:tc>
        <w:tc>
          <w:tcPr>
            <w:tcW w:w="1160" w:type="dxa"/>
            <w:vAlign w:val="bottom"/>
          </w:tcPr>
          <w:p>
            <w:pPr>
              <w:ind w:left="160"/>
              <w:spacing w:after="0" w:line="181" w:lineRule="exact"/>
              <w:rPr>
                <w:sz w:val="20"/>
                <w:szCs w:val="20"/>
                <w:color w:val="auto"/>
              </w:rPr>
            </w:pPr>
            <w:r>
              <w:rPr>
                <w:rFonts w:ascii="Arial" w:cs="Arial" w:eastAsia="Arial" w:hAnsi="Arial"/>
                <w:sz w:val="16"/>
                <w:szCs w:val="16"/>
                <w:color w:val="auto"/>
              </w:rPr>
              <w:t>001-40587</w:t>
            </w:r>
          </w:p>
        </w:tc>
        <w:tc>
          <w:tcPr>
            <w:tcW w:w="920" w:type="dxa"/>
            <w:vAlign w:val="bottom"/>
          </w:tcPr>
          <w:p>
            <w:pPr>
              <w:ind w:left="220"/>
              <w:spacing w:after="0" w:line="181" w:lineRule="exact"/>
              <w:rPr>
                <w:sz w:val="20"/>
                <w:szCs w:val="20"/>
                <w:color w:val="auto"/>
              </w:rPr>
            </w:pPr>
            <w:r>
              <w:rPr>
                <w:rFonts w:ascii="Arial" w:cs="Arial" w:eastAsia="Arial" w:hAnsi="Arial"/>
                <w:sz w:val="16"/>
                <w:szCs w:val="16"/>
                <w:color w:val="auto"/>
              </w:rPr>
              <w:t>3.1</w:t>
            </w:r>
          </w:p>
        </w:tc>
        <w:tc>
          <w:tcPr>
            <w:tcW w:w="880" w:type="dxa"/>
            <w:vAlign w:val="bottom"/>
          </w:tcPr>
          <w:p>
            <w:pPr>
              <w:ind w:left="200"/>
              <w:spacing w:after="0" w:line="181" w:lineRule="exact"/>
              <w:rPr>
                <w:sz w:val="20"/>
                <w:szCs w:val="20"/>
                <w:color w:val="auto"/>
              </w:rPr>
            </w:pPr>
            <w:r>
              <w:rPr>
                <w:rFonts w:ascii="Arial" w:cs="Arial" w:eastAsia="Arial" w:hAnsi="Arial"/>
                <w:sz w:val="16"/>
                <w:szCs w:val="16"/>
                <w:color w:val="auto"/>
              </w:rPr>
              <w:t>7/19/21</w:t>
            </w:r>
          </w:p>
        </w:tc>
        <w:tc>
          <w:tcPr>
            <w:tcW w:w="1320" w:type="dxa"/>
            <w:vAlign w:val="bottom"/>
          </w:tcPr>
          <w:p>
            <w:pPr>
              <w:spacing w:after="0"/>
              <w:rPr>
                <w:sz w:val="15"/>
                <w:szCs w:val="15"/>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3.2</w:t>
            </w:r>
          </w:p>
        </w:tc>
        <w:tc>
          <w:tcPr>
            <w:tcW w:w="3520" w:type="dxa"/>
            <w:vAlign w:val="bottom"/>
            <w:tcBorders>
              <w:top w:val="single" w:sz="8" w:color="0000EE"/>
              <w:bottom w:val="single" w:sz="8" w:color="0000EE"/>
            </w:tcBorders>
            <w:gridSpan w:val="16"/>
          </w:tcPr>
          <w:p>
            <w:pPr>
              <w:spacing w:after="0"/>
              <w:rPr>
                <w:rFonts w:ascii="Arial" w:cs="Arial" w:eastAsia="Arial" w:hAnsi="Arial"/>
                <w:sz w:val="16"/>
                <w:szCs w:val="16"/>
                <w:color w:val="auto"/>
                <w:w w:val="90"/>
              </w:rPr>
            </w:pPr>
            <w:hyperlink r:id="rId336">
              <w:r>
                <w:rPr>
                  <w:rFonts w:ascii="Arial" w:cs="Arial" w:eastAsia="Arial" w:hAnsi="Arial"/>
                  <w:sz w:val="16"/>
                  <w:szCs w:val="16"/>
                  <w:color w:val="auto"/>
                  <w:w w:val="90"/>
                </w:rPr>
                <w:t>Amended and Restated Bylaws of Sight Sciences, Inc.</w:t>
              </w:r>
            </w:hyperlink>
          </w:p>
        </w:tc>
        <w:tc>
          <w:tcPr>
            <w:tcW w:w="340" w:type="dxa"/>
            <w:vAlign w:val="bottom"/>
            <w:tcBorders>
              <w:top w:val="single" w:sz="8" w:color="0000EE"/>
            </w:tcBorders>
            <w:gridSpan w:val="6"/>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Arial" w:cs="Arial" w:eastAsia="Arial" w:hAnsi="Arial"/>
                <w:sz w:val="16"/>
                <w:szCs w:val="16"/>
                <w:color w:val="auto"/>
              </w:rPr>
              <w:t>8-K</w:t>
            </w:r>
          </w:p>
        </w:tc>
        <w:tc>
          <w:tcPr>
            <w:tcW w:w="1160" w:type="dxa"/>
            <w:vAlign w:val="bottom"/>
          </w:tcPr>
          <w:p>
            <w:pPr>
              <w:ind w:left="160"/>
              <w:spacing w:after="0"/>
              <w:rPr>
                <w:sz w:val="20"/>
                <w:szCs w:val="20"/>
                <w:color w:val="auto"/>
              </w:rPr>
            </w:pPr>
            <w:r>
              <w:rPr>
                <w:rFonts w:ascii="Arial" w:cs="Arial" w:eastAsia="Arial" w:hAnsi="Arial"/>
                <w:sz w:val="16"/>
                <w:szCs w:val="16"/>
                <w:color w:val="auto"/>
              </w:rPr>
              <w:t>001-40587</w:t>
            </w:r>
          </w:p>
        </w:tc>
        <w:tc>
          <w:tcPr>
            <w:tcW w:w="920" w:type="dxa"/>
            <w:vAlign w:val="bottom"/>
          </w:tcPr>
          <w:p>
            <w:pPr>
              <w:ind w:left="220"/>
              <w:spacing w:after="0"/>
              <w:rPr>
                <w:sz w:val="20"/>
                <w:szCs w:val="20"/>
                <w:color w:val="auto"/>
              </w:rPr>
            </w:pPr>
            <w:r>
              <w:rPr>
                <w:rFonts w:ascii="Arial" w:cs="Arial" w:eastAsia="Arial" w:hAnsi="Arial"/>
                <w:sz w:val="16"/>
                <w:szCs w:val="16"/>
                <w:color w:val="auto"/>
              </w:rPr>
              <w:t>3.2</w:t>
            </w:r>
          </w:p>
        </w:tc>
        <w:tc>
          <w:tcPr>
            <w:tcW w:w="880" w:type="dxa"/>
            <w:vAlign w:val="bottom"/>
          </w:tcPr>
          <w:p>
            <w:pPr>
              <w:ind w:left="200"/>
              <w:spacing w:after="0"/>
              <w:rPr>
                <w:sz w:val="20"/>
                <w:szCs w:val="20"/>
                <w:color w:val="auto"/>
              </w:rPr>
            </w:pPr>
            <w:r>
              <w:rPr>
                <w:rFonts w:ascii="Arial" w:cs="Arial" w:eastAsia="Arial" w:hAnsi="Arial"/>
                <w:sz w:val="16"/>
                <w:szCs w:val="16"/>
                <w:color w:val="auto"/>
              </w:rPr>
              <w:t>7/19/21</w:t>
            </w:r>
          </w:p>
        </w:tc>
        <w:tc>
          <w:tcPr>
            <w:tcW w:w="1320" w:type="dxa"/>
            <w:vAlign w:val="bottom"/>
          </w:tcPr>
          <w:p>
            <w:pPr>
              <w:spacing w:after="0"/>
              <w:rPr>
                <w:sz w:val="17"/>
                <w:szCs w:val="17"/>
                <w:color w:val="auto"/>
              </w:rPr>
            </w:pPr>
          </w:p>
        </w:tc>
      </w:tr>
      <w:tr>
        <w:trPr>
          <w:trHeight w:val="399"/>
        </w:trPr>
        <w:tc>
          <w:tcPr>
            <w:tcW w:w="1040" w:type="dxa"/>
            <w:vAlign w:val="bottom"/>
          </w:tcPr>
          <w:p>
            <w:pPr>
              <w:spacing w:after="0"/>
              <w:rPr>
                <w:sz w:val="20"/>
                <w:szCs w:val="20"/>
                <w:color w:val="auto"/>
              </w:rPr>
            </w:pPr>
            <w:r>
              <w:rPr>
                <w:rFonts w:ascii="Arial" w:cs="Arial" w:eastAsia="Arial" w:hAnsi="Arial"/>
                <w:sz w:val="16"/>
                <w:szCs w:val="16"/>
                <w:color w:val="auto"/>
              </w:rPr>
              <w:t>4.1</w:t>
            </w:r>
          </w:p>
        </w:tc>
        <w:tc>
          <w:tcPr>
            <w:tcW w:w="4000" w:type="dxa"/>
            <w:vAlign w:val="bottom"/>
            <w:gridSpan w:val="23"/>
          </w:tcPr>
          <w:p>
            <w:pPr>
              <w:spacing w:after="0"/>
              <w:rPr>
                <w:rFonts w:ascii="Arial" w:cs="Arial" w:eastAsia="Arial" w:hAnsi="Arial"/>
                <w:sz w:val="16"/>
                <w:szCs w:val="16"/>
                <w:color w:val="auto"/>
                <w:w w:val="94"/>
              </w:rPr>
            </w:pPr>
            <w:hyperlink r:id="rId337">
              <w:r>
                <w:rPr>
                  <w:rFonts w:ascii="Arial" w:cs="Arial" w:eastAsia="Arial" w:hAnsi="Arial"/>
                  <w:sz w:val="16"/>
                  <w:szCs w:val="16"/>
                  <w:color w:val="auto"/>
                  <w:w w:val="94"/>
                </w:rPr>
                <w:t>Third Amended and Restated Investors’ Rights Agreement,</w:t>
              </w:r>
            </w:hyperlink>
          </w:p>
        </w:tc>
        <w:tc>
          <w:tcPr>
            <w:tcW w:w="1460" w:type="dxa"/>
            <w:vAlign w:val="bottom"/>
          </w:tcPr>
          <w:p>
            <w:pPr>
              <w:ind w:left="160"/>
              <w:spacing w:after="0"/>
              <w:rPr>
                <w:sz w:val="20"/>
                <w:szCs w:val="20"/>
                <w:color w:val="auto"/>
              </w:rPr>
            </w:pPr>
            <w:r>
              <w:rPr>
                <w:rFonts w:ascii="Arial" w:cs="Arial" w:eastAsia="Arial" w:hAnsi="Arial"/>
                <w:sz w:val="16"/>
                <w:szCs w:val="16"/>
                <w:color w:val="auto"/>
              </w:rPr>
              <w:t>S-1/A</w:t>
            </w:r>
          </w:p>
        </w:tc>
        <w:tc>
          <w:tcPr>
            <w:tcW w:w="1160" w:type="dxa"/>
            <w:vAlign w:val="bottom"/>
          </w:tcPr>
          <w:p>
            <w:pPr>
              <w:ind w:left="160"/>
              <w:spacing w:after="0"/>
              <w:rPr>
                <w:sz w:val="20"/>
                <w:szCs w:val="20"/>
                <w:color w:val="auto"/>
              </w:rPr>
            </w:pPr>
            <w:r>
              <w:rPr>
                <w:rFonts w:ascii="Arial" w:cs="Arial" w:eastAsia="Arial" w:hAnsi="Arial"/>
                <w:sz w:val="16"/>
                <w:szCs w:val="16"/>
                <w:color w:val="auto"/>
              </w:rPr>
              <w:t>333-257320</w:t>
            </w:r>
          </w:p>
        </w:tc>
        <w:tc>
          <w:tcPr>
            <w:tcW w:w="920" w:type="dxa"/>
            <w:vAlign w:val="bottom"/>
          </w:tcPr>
          <w:p>
            <w:pPr>
              <w:ind w:left="220"/>
              <w:spacing w:after="0"/>
              <w:rPr>
                <w:sz w:val="20"/>
                <w:szCs w:val="20"/>
                <w:color w:val="auto"/>
              </w:rPr>
            </w:pPr>
            <w:r>
              <w:rPr>
                <w:rFonts w:ascii="Arial" w:cs="Arial" w:eastAsia="Arial" w:hAnsi="Arial"/>
                <w:sz w:val="16"/>
                <w:szCs w:val="16"/>
                <w:color w:val="auto"/>
              </w:rPr>
              <w:t>4.1</w:t>
            </w:r>
          </w:p>
        </w:tc>
        <w:tc>
          <w:tcPr>
            <w:tcW w:w="880" w:type="dxa"/>
            <w:vAlign w:val="bottom"/>
          </w:tcPr>
          <w:p>
            <w:pPr>
              <w:ind w:left="200"/>
              <w:spacing w:after="0"/>
              <w:rPr>
                <w:sz w:val="20"/>
                <w:szCs w:val="20"/>
                <w:color w:val="auto"/>
              </w:rPr>
            </w:pPr>
            <w:r>
              <w:rPr>
                <w:rFonts w:ascii="Arial" w:cs="Arial" w:eastAsia="Arial" w:hAnsi="Arial"/>
                <w:sz w:val="16"/>
                <w:szCs w:val="16"/>
                <w:color w:val="auto"/>
              </w:rPr>
              <w:t>7/8/21</w:t>
            </w:r>
          </w:p>
        </w:tc>
        <w:tc>
          <w:tcPr>
            <w:tcW w:w="13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4000" w:type="dxa"/>
            <w:vAlign w:val="bottom"/>
            <w:gridSpan w:val="23"/>
          </w:tcPr>
          <w:p>
            <w:pPr>
              <w:spacing w:after="0" w:line="183" w:lineRule="exact"/>
              <w:rPr>
                <w:rFonts w:ascii="Arial" w:cs="Arial" w:eastAsia="Arial" w:hAnsi="Arial"/>
                <w:sz w:val="16"/>
                <w:szCs w:val="16"/>
                <w:color w:val="auto"/>
              </w:rPr>
            </w:pPr>
            <w:hyperlink r:id="rId337">
              <w:r>
                <w:rPr>
                  <w:rFonts w:ascii="Arial" w:cs="Arial" w:eastAsia="Arial" w:hAnsi="Arial"/>
                  <w:sz w:val="16"/>
                  <w:szCs w:val="16"/>
                  <w:color w:val="auto"/>
                </w:rPr>
                <w:t>dated as of November 23, 2020, as amended.</w:t>
              </w:r>
            </w:hyperlink>
          </w:p>
        </w:tc>
        <w:tc>
          <w:tcPr>
            <w:tcW w:w="1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4.2</w:t>
            </w:r>
          </w:p>
        </w:tc>
        <w:tc>
          <w:tcPr>
            <w:tcW w:w="4000" w:type="dxa"/>
            <w:vAlign w:val="bottom"/>
            <w:gridSpan w:val="23"/>
          </w:tcPr>
          <w:p>
            <w:pPr>
              <w:spacing w:after="0"/>
              <w:rPr>
                <w:rFonts w:ascii="Arial" w:cs="Arial" w:eastAsia="Arial" w:hAnsi="Arial"/>
                <w:sz w:val="16"/>
                <w:szCs w:val="16"/>
                <w:color w:val="auto"/>
                <w:w w:val="90"/>
              </w:rPr>
            </w:pPr>
            <w:hyperlink r:id="rId338">
              <w:r>
                <w:rPr>
                  <w:rFonts w:ascii="Arial" w:cs="Arial" w:eastAsia="Arial" w:hAnsi="Arial"/>
                  <w:sz w:val="16"/>
                  <w:szCs w:val="16"/>
                  <w:color w:val="auto"/>
                  <w:w w:val="90"/>
                </w:rPr>
                <w:t>Specimen Stock Certificate evidencing the shares of common</w:t>
              </w:r>
            </w:hyperlink>
          </w:p>
        </w:tc>
        <w:tc>
          <w:tcPr>
            <w:tcW w:w="1460" w:type="dxa"/>
            <w:vAlign w:val="bottom"/>
          </w:tcPr>
          <w:p>
            <w:pPr>
              <w:ind w:left="160"/>
              <w:spacing w:after="0"/>
              <w:rPr>
                <w:sz w:val="20"/>
                <w:szCs w:val="20"/>
                <w:color w:val="auto"/>
              </w:rPr>
            </w:pPr>
            <w:r>
              <w:rPr>
                <w:rFonts w:ascii="Arial" w:cs="Arial" w:eastAsia="Arial" w:hAnsi="Arial"/>
                <w:sz w:val="16"/>
                <w:szCs w:val="16"/>
                <w:color w:val="auto"/>
              </w:rPr>
              <w:t>S-1/A</w:t>
            </w:r>
          </w:p>
        </w:tc>
        <w:tc>
          <w:tcPr>
            <w:tcW w:w="1160" w:type="dxa"/>
            <w:vAlign w:val="bottom"/>
          </w:tcPr>
          <w:p>
            <w:pPr>
              <w:ind w:left="160"/>
              <w:spacing w:after="0"/>
              <w:rPr>
                <w:sz w:val="20"/>
                <w:szCs w:val="20"/>
                <w:color w:val="auto"/>
              </w:rPr>
            </w:pPr>
            <w:r>
              <w:rPr>
                <w:rFonts w:ascii="Arial" w:cs="Arial" w:eastAsia="Arial" w:hAnsi="Arial"/>
                <w:sz w:val="16"/>
                <w:szCs w:val="16"/>
                <w:color w:val="auto"/>
              </w:rPr>
              <w:t>333-257320</w:t>
            </w:r>
          </w:p>
        </w:tc>
        <w:tc>
          <w:tcPr>
            <w:tcW w:w="920" w:type="dxa"/>
            <w:vAlign w:val="bottom"/>
          </w:tcPr>
          <w:p>
            <w:pPr>
              <w:ind w:left="220"/>
              <w:spacing w:after="0"/>
              <w:rPr>
                <w:sz w:val="20"/>
                <w:szCs w:val="20"/>
                <w:color w:val="auto"/>
              </w:rPr>
            </w:pPr>
            <w:r>
              <w:rPr>
                <w:rFonts w:ascii="Arial" w:cs="Arial" w:eastAsia="Arial" w:hAnsi="Arial"/>
                <w:sz w:val="16"/>
                <w:szCs w:val="16"/>
                <w:color w:val="auto"/>
              </w:rPr>
              <w:t>4.2</w:t>
            </w:r>
          </w:p>
        </w:tc>
        <w:tc>
          <w:tcPr>
            <w:tcW w:w="880" w:type="dxa"/>
            <w:vAlign w:val="bottom"/>
          </w:tcPr>
          <w:p>
            <w:pPr>
              <w:ind w:left="200"/>
              <w:spacing w:after="0"/>
              <w:rPr>
                <w:sz w:val="20"/>
                <w:szCs w:val="20"/>
                <w:color w:val="auto"/>
              </w:rPr>
            </w:pPr>
            <w:r>
              <w:rPr>
                <w:rFonts w:ascii="Arial" w:cs="Arial" w:eastAsia="Arial" w:hAnsi="Arial"/>
                <w:sz w:val="16"/>
                <w:szCs w:val="16"/>
                <w:color w:val="auto"/>
              </w:rPr>
              <w:t>7/8/21</w:t>
            </w:r>
          </w:p>
        </w:tc>
        <w:tc>
          <w:tcPr>
            <w:tcW w:w="13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60" w:type="dxa"/>
            <w:vAlign w:val="bottom"/>
            <w:tcBorders>
              <w:left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4000" w:type="dxa"/>
            <w:vAlign w:val="bottom"/>
            <w:gridSpan w:val="23"/>
          </w:tcPr>
          <w:p>
            <w:pPr>
              <w:spacing w:after="0" w:line="183" w:lineRule="exact"/>
              <w:rPr>
                <w:rFonts w:ascii="Arial" w:cs="Arial" w:eastAsia="Arial" w:hAnsi="Arial"/>
                <w:sz w:val="16"/>
                <w:szCs w:val="16"/>
                <w:color w:val="auto"/>
              </w:rPr>
            </w:pPr>
            <w:hyperlink r:id="rId338">
              <w:r>
                <w:rPr>
                  <w:rFonts w:ascii="Arial" w:cs="Arial" w:eastAsia="Arial" w:hAnsi="Arial"/>
                  <w:sz w:val="16"/>
                  <w:szCs w:val="16"/>
                  <w:color w:val="auto"/>
                </w:rPr>
                <w:t>stock</w:t>
              </w:r>
            </w:hyperlink>
          </w:p>
        </w:tc>
        <w:tc>
          <w:tcPr>
            <w:tcW w:w="1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4.3</w:t>
            </w:r>
          </w:p>
        </w:tc>
        <w:tc>
          <w:tcPr>
            <w:tcW w:w="2280" w:type="dxa"/>
            <w:vAlign w:val="bottom"/>
            <w:tcBorders>
              <w:bottom w:val="single" w:sz="8" w:color="0000EE"/>
            </w:tcBorders>
            <w:gridSpan w:val="12"/>
          </w:tcPr>
          <w:p>
            <w:pPr>
              <w:spacing w:after="0"/>
              <w:rPr>
                <w:rFonts w:ascii="Arial" w:cs="Arial" w:eastAsia="Arial" w:hAnsi="Arial"/>
                <w:sz w:val="16"/>
                <w:szCs w:val="16"/>
                <w:color w:val="auto"/>
                <w:w w:val="90"/>
              </w:rPr>
            </w:pPr>
            <w:hyperlink r:id="rId339">
              <w:r>
                <w:rPr>
                  <w:rFonts w:ascii="Arial" w:cs="Arial" w:eastAsia="Arial" w:hAnsi="Arial"/>
                  <w:sz w:val="16"/>
                  <w:szCs w:val="16"/>
                  <w:color w:val="auto"/>
                  <w:w w:val="90"/>
                </w:rPr>
                <w:t>Form of Warrant to Purchase Stock</w:t>
              </w:r>
            </w:hyperlink>
          </w:p>
        </w:tc>
        <w:tc>
          <w:tcPr>
            <w:tcW w:w="1720" w:type="dxa"/>
            <w:vAlign w:val="bottom"/>
            <w:gridSpan w:val="11"/>
          </w:tcPr>
          <w:p>
            <w:pPr>
              <w:spacing w:after="0"/>
              <w:rPr>
                <w:sz w:val="17"/>
                <w:szCs w:val="17"/>
                <w:color w:val="auto"/>
              </w:rPr>
            </w:pPr>
          </w:p>
        </w:tc>
        <w:tc>
          <w:tcPr>
            <w:tcW w:w="1460" w:type="dxa"/>
            <w:vAlign w:val="bottom"/>
          </w:tcPr>
          <w:p>
            <w:pPr>
              <w:ind w:left="160"/>
              <w:spacing w:after="0"/>
              <w:rPr>
                <w:sz w:val="20"/>
                <w:szCs w:val="20"/>
                <w:color w:val="auto"/>
              </w:rPr>
            </w:pPr>
            <w:r>
              <w:rPr>
                <w:rFonts w:ascii="Arial" w:cs="Arial" w:eastAsia="Arial" w:hAnsi="Arial"/>
                <w:sz w:val="16"/>
                <w:szCs w:val="16"/>
                <w:color w:val="auto"/>
              </w:rPr>
              <w:t>S-1</w:t>
            </w:r>
          </w:p>
        </w:tc>
        <w:tc>
          <w:tcPr>
            <w:tcW w:w="1160" w:type="dxa"/>
            <w:vAlign w:val="bottom"/>
          </w:tcPr>
          <w:p>
            <w:pPr>
              <w:ind w:left="160"/>
              <w:spacing w:after="0"/>
              <w:rPr>
                <w:sz w:val="20"/>
                <w:szCs w:val="20"/>
                <w:color w:val="auto"/>
              </w:rPr>
            </w:pPr>
            <w:r>
              <w:rPr>
                <w:rFonts w:ascii="Arial" w:cs="Arial" w:eastAsia="Arial" w:hAnsi="Arial"/>
                <w:sz w:val="16"/>
                <w:szCs w:val="16"/>
                <w:color w:val="auto"/>
              </w:rPr>
              <w:t>333-257320</w:t>
            </w:r>
          </w:p>
        </w:tc>
        <w:tc>
          <w:tcPr>
            <w:tcW w:w="920" w:type="dxa"/>
            <w:vAlign w:val="bottom"/>
          </w:tcPr>
          <w:p>
            <w:pPr>
              <w:ind w:left="220"/>
              <w:spacing w:after="0"/>
              <w:rPr>
                <w:sz w:val="20"/>
                <w:szCs w:val="20"/>
                <w:color w:val="auto"/>
              </w:rPr>
            </w:pPr>
            <w:r>
              <w:rPr>
                <w:rFonts w:ascii="Arial" w:cs="Arial" w:eastAsia="Arial" w:hAnsi="Arial"/>
                <w:sz w:val="16"/>
                <w:szCs w:val="16"/>
                <w:color w:val="auto"/>
              </w:rPr>
              <w:t>4.3</w:t>
            </w:r>
          </w:p>
        </w:tc>
        <w:tc>
          <w:tcPr>
            <w:tcW w:w="880" w:type="dxa"/>
            <w:vAlign w:val="bottom"/>
          </w:tcPr>
          <w:p>
            <w:pPr>
              <w:ind w:left="200"/>
              <w:spacing w:after="0"/>
              <w:rPr>
                <w:sz w:val="20"/>
                <w:szCs w:val="20"/>
                <w:color w:val="auto"/>
              </w:rPr>
            </w:pPr>
            <w:r>
              <w:rPr>
                <w:rFonts w:ascii="Arial" w:cs="Arial" w:eastAsia="Arial" w:hAnsi="Arial"/>
                <w:sz w:val="16"/>
                <w:szCs w:val="16"/>
                <w:color w:val="auto"/>
              </w:rPr>
              <w:t>6/23/21</w:t>
            </w:r>
          </w:p>
        </w:tc>
        <w:tc>
          <w:tcPr>
            <w:tcW w:w="1320" w:type="dxa"/>
            <w:vAlign w:val="bottom"/>
          </w:tcPr>
          <w:p>
            <w:pPr>
              <w:spacing w:after="0"/>
              <w:rPr>
                <w:sz w:val="17"/>
                <w:szCs w:val="17"/>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6"/>
                <w:szCs w:val="16"/>
                <w:color w:val="auto"/>
              </w:rPr>
              <w:t>10.1</w:t>
            </w:r>
          </w:p>
        </w:tc>
        <w:tc>
          <w:tcPr>
            <w:tcW w:w="4000" w:type="dxa"/>
            <w:vAlign w:val="bottom"/>
            <w:gridSpan w:val="23"/>
          </w:tcPr>
          <w:p>
            <w:pPr>
              <w:spacing w:after="0"/>
              <w:rPr>
                <w:rFonts w:ascii="Arial" w:cs="Arial" w:eastAsia="Arial" w:hAnsi="Arial"/>
                <w:sz w:val="16"/>
                <w:szCs w:val="16"/>
                <w:color w:val="0000FF"/>
                <w:w w:val="94"/>
              </w:rPr>
            </w:pPr>
            <w:hyperlink w:anchor="page112">
              <w:r>
                <w:rPr>
                  <w:rFonts w:ascii="Arial" w:cs="Arial" w:eastAsia="Arial" w:hAnsi="Arial"/>
                  <w:sz w:val="16"/>
                  <w:szCs w:val="16"/>
                  <w:color w:val="0000FF"/>
                  <w:w w:val="94"/>
                </w:rPr>
                <w:t>First Amendment to the Amended and Restated Credit and</w:t>
              </w:r>
            </w:hyperlink>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ind w:left="200"/>
              <w:spacing w:after="0"/>
              <w:rPr>
                <w:sz w:val="20"/>
                <w:szCs w:val="20"/>
                <w:color w:val="auto"/>
              </w:rPr>
            </w:pPr>
            <w:r>
              <w:rPr>
                <w:rFonts w:ascii="Arial" w:cs="Arial" w:eastAsia="Arial" w:hAnsi="Arial"/>
                <w:sz w:val="16"/>
                <w:szCs w:val="16"/>
                <w:color w:val="auto"/>
              </w:rPr>
              <w:t>*</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4000" w:type="dxa"/>
            <w:vAlign w:val="bottom"/>
            <w:gridSpan w:val="23"/>
          </w:tcPr>
          <w:p>
            <w:pPr>
              <w:spacing w:after="0" w:line="183" w:lineRule="exact"/>
              <w:rPr>
                <w:rFonts w:ascii="Arial" w:cs="Arial" w:eastAsia="Arial" w:hAnsi="Arial"/>
                <w:sz w:val="16"/>
                <w:szCs w:val="16"/>
                <w:color w:val="0000FF"/>
                <w:w w:val="91"/>
              </w:rPr>
            </w:pPr>
            <w:hyperlink w:anchor="page112">
              <w:r>
                <w:rPr>
                  <w:rFonts w:ascii="Arial" w:cs="Arial" w:eastAsia="Arial" w:hAnsi="Arial"/>
                  <w:sz w:val="16"/>
                  <w:szCs w:val="16"/>
                  <w:color w:val="0000FF"/>
                  <w:w w:val="91"/>
                </w:rPr>
                <w:t>Security Agreement (Revolving Loan), dated October 5, 2021</w:t>
              </w:r>
            </w:hyperlink>
          </w:p>
        </w:tc>
        <w:tc>
          <w:tcPr>
            <w:tcW w:w="1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10.2</w:t>
            </w:r>
          </w:p>
        </w:tc>
        <w:tc>
          <w:tcPr>
            <w:tcW w:w="4000" w:type="dxa"/>
            <w:vAlign w:val="bottom"/>
            <w:gridSpan w:val="23"/>
          </w:tcPr>
          <w:p>
            <w:pPr>
              <w:spacing w:after="0"/>
              <w:rPr>
                <w:rFonts w:ascii="Arial" w:cs="Arial" w:eastAsia="Arial" w:hAnsi="Arial"/>
                <w:sz w:val="16"/>
                <w:szCs w:val="16"/>
                <w:color w:val="0000FF"/>
                <w:w w:val="94"/>
              </w:rPr>
            </w:pPr>
            <w:hyperlink w:anchor="page124">
              <w:r>
                <w:rPr>
                  <w:rFonts w:ascii="Arial" w:cs="Arial" w:eastAsia="Arial" w:hAnsi="Arial"/>
                  <w:sz w:val="16"/>
                  <w:szCs w:val="16"/>
                  <w:color w:val="0000FF"/>
                  <w:w w:val="94"/>
                </w:rPr>
                <w:t>First Amendment to the Amended and Restated Credit and</w:t>
              </w:r>
            </w:hyperlink>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ind w:left="200"/>
              <w:spacing w:after="0"/>
              <w:rPr>
                <w:sz w:val="20"/>
                <w:szCs w:val="20"/>
                <w:color w:val="auto"/>
              </w:rPr>
            </w:pPr>
            <w:r>
              <w:rPr>
                <w:rFonts w:ascii="Arial" w:cs="Arial" w:eastAsia="Arial" w:hAnsi="Arial"/>
                <w:sz w:val="16"/>
                <w:szCs w:val="16"/>
                <w:color w:val="auto"/>
              </w:rPr>
              <w:t>*</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4000" w:type="dxa"/>
            <w:vAlign w:val="bottom"/>
            <w:gridSpan w:val="23"/>
          </w:tcPr>
          <w:p>
            <w:pPr>
              <w:spacing w:after="0" w:line="183" w:lineRule="exact"/>
              <w:rPr>
                <w:rFonts w:ascii="Arial" w:cs="Arial" w:eastAsia="Arial" w:hAnsi="Arial"/>
                <w:sz w:val="16"/>
                <w:szCs w:val="16"/>
                <w:color w:val="0000FF"/>
                <w:w w:val="98"/>
              </w:rPr>
            </w:pPr>
            <w:hyperlink w:anchor="page124">
              <w:r>
                <w:rPr>
                  <w:rFonts w:ascii="Arial" w:cs="Arial" w:eastAsia="Arial" w:hAnsi="Arial"/>
                  <w:sz w:val="16"/>
                  <w:szCs w:val="16"/>
                  <w:color w:val="0000FF"/>
                  <w:w w:val="98"/>
                </w:rPr>
                <w:t>Security Agreement (Term Loan), dated October 5, 2021</w:t>
              </w:r>
            </w:hyperlink>
          </w:p>
        </w:tc>
        <w:tc>
          <w:tcPr>
            <w:tcW w:w="1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10.3</w:t>
            </w:r>
          </w:p>
        </w:tc>
        <w:tc>
          <w:tcPr>
            <w:tcW w:w="4000" w:type="dxa"/>
            <w:vAlign w:val="bottom"/>
            <w:gridSpan w:val="23"/>
          </w:tcPr>
          <w:p>
            <w:pPr>
              <w:spacing w:after="0"/>
              <w:rPr>
                <w:rFonts w:ascii="Arial" w:cs="Arial" w:eastAsia="Arial" w:hAnsi="Arial"/>
                <w:sz w:val="16"/>
                <w:szCs w:val="16"/>
                <w:color w:val="auto"/>
                <w:w w:val="95"/>
              </w:rPr>
            </w:pPr>
            <w:hyperlink r:id="rId340">
              <w:r>
                <w:rPr>
                  <w:rFonts w:ascii="Arial" w:cs="Arial" w:eastAsia="Arial" w:hAnsi="Arial"/>
                  <w:sz w:val="16"/>
                  <w:szCs w:val="16"/>
                  <w:color w:val="auto"/>
                  <w:w w:val="95"/>
                </w:rPr>
                <w:t>2021 Incentive Award Plan and form of option agreements</w:t>
              </w:r>
            </w:hyperlink>
          </w:p>
        </w:tc>
        <w:tc>
          <w:tcPr>
            <w:tcW w:w="1460" w:type="dxa"/>
            <w:vAlign w:val="bottom"/>
          </w:tcPr>
          <w:p>
            <w:pPr>
              <w:ind w:left="160"/>
              <w:spacing w:after="0"/>
              <w:rPr>
                <w:sz w:val="20"/>
                <w:szCs w:val="20"/>
                <w:color w:val="auto"/>
              </w:rPr>
            </w:pPr>
            <w:r>
              <w:rPr>
                <w:rFonts w:ascii="Arial" w:cs="Arial" w:eastAsia="Arial" w:hAnsi="Arial"/>
                <w:sz w:val="16"/>
                <w:szCs w:val="16"/>
                <w:color w:val="auto"/>
              </w:rPr>
              <w:t>S-1/A</w:t>
            </w:r>
          </w:p>
        </w:tc>
        <w:tc>
          <w:tcPr>
            <w:tcW w:w="1160" w:type="dxa"/>
            <w:vAlign w:val="bottom"/>
          </w:tcPr>
          <w:p>
            <w:pPr>
              <w:ind w:left="160"/>
              <w:spacing w:after="0"/>
              <w:rPr>
                <w:sz w:val="20"/>
                <w:szCs w:val="20"/>
                <w:color w:val="auto"/>
              </w:rPr>
            </w:pPr>
            <w:r>
              <w:rPr>
                <w:rFonts w:ascii="Arial" w:cs="Arial" w:eastAsia="Arial" w:hAnsi="Arial"/>
                <w:sz w:val="16"/>
                <w:szCs w:val="16"/>
                <w:color w:val="auto"/>
              </w:rPr>
              <w:t>333-257320</w:t>
            </w:r>
          </w:p>
        </w:tc>
        <w:tc>
          <w:tcPr>
            <w:tcW w:w="920" w:type="dxa"/>
            <w:vAlign w:val="bottom"/>
          </w:tcPr>
          <w:p>
            <w:pPr>
              <w:ind w:left="220"/>
              <w:spacing w:after="0"/>
              <w:rPr>
                <w:sz w:val="20"/>
                <w:szCs w:val="20"/>
                <w:color w:val="auto"/>
              </w:rPr>
            </w:pPr>
            <w:r>
              <w:rPr>
                <w:rFonts w:ascii="Arial" w:cs="Arial" w:eastAsia="Arial" w:hAnsi="Arial"/>
                <w:sz w:val="16"/>
                <w:szCs w:val="16"/>
                <w:color w:val="auto"/>
              </w:rPr>
              <w:t>10.2</w:t>
            </w:r>
          </w:p>
        </w:tc>
        <w:tc>
          <w:tcPr>
            <w:tcW w:w="880" w:type="dxa"/>
            <w:vAlign w:val="bottom"/>
          </w:tcPr>
          <w:p>
            <w:pPr>
              <w:ind w:left="200"/>
              <w:spacing w:after="0"/>
              <w:rPr>
                <w:sz w:val="20"/>
                <w:szCs w:val="20"/>
                <w:color w:val="auto"/>
              </w:rPr>
            </w:pPr>
            <w:r>
              <w:rPr>
                <w:rFonts w:ascii="Arial" w:cs="Arial" w:eastAsia="Arial" w:hAnsi="Arial"/>
                <w:sz w:val="16"/>
                <w:szCs w:val="16"/>
                <w:color w:val="auto"/>
              </w:rPr>
              <w:t>7/8/21</w:t>
            </w:r>
          </w:p>
        </w:tc>
        <w:tc>
          <w:tcPr>
            <w:tcW w:w="13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720" w:type="dxa"/>
            <w:vAlign w:val="bottom"/>
            <w:tcBorders>
              <w:bottom w:val="single" w:sz="8" w:color="0000EE"/>
            </w:tcBorders>
            <w:gridSpan w:val="3"/>
          </w:tcPr>
          <w:p>
            <w:pPr>
              <w:spacing w:after="0" w:line="183" w:lineRule="exact"/>
              <w:rPr>
                <w:rFonts w:ascii="Arial" w:cs="Arial" w:eastAsia="Arial" w:hAnsi="Arial"/>
                <w:sz w:val="16"/>
                <w:szCs w:val="16"/>
                <w:color w:val="auto"/>
                <w:w w:val="85"/>
              </w:rPr>
            </w:pPr>
            <w:hyperlink r:id="rId340">
              <w:r>
                <w:rPr>
                  <w:rFonts w:ascii="Arial" w:cs="Arial" w:eastAsia="Arial" w:hAnsi="Arial"/>
                  <w:sz w:val="16"/>
                  <w:szCs w:val="16"/>
                  <w:color w:val="auto"/>
                  <w:w w:val="85"/>
                </w:rPr>
                <w:t>thereunder.</w:t>
              </w:r>
            </w:hyperlink>
          </w:p>
        </w:tc>
        <w:tc>
          <w:tcPr>
            <w:tcW w:w="3280" w:type="dxa"/>
            <w:vAlign w:val="bottom"/>
            <w:gridSpan w:val="20"/>
          </w:tcPr>
          <w:p>
            <w:pPr>
              <w:spacing w:after="0"/>
              <w:rPr>
                <w:sz w:val="15"/>
                <w:szCs w:val="15"/>
                <w:color w:val="auto"/>
              </w:rPr>
            </w:pPr>
          </w:p>
        </w:tc>
        <w:tc>
          <w:tcPr>
            <w:tcW w:w="1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10.4</w:t>
            </w:r>
          </w:p>
        </w:tc>
        <w:tc>
          <w:tcPr>
            <w:tcW w:w="3180" w:type="dxa"/>
            <w:vAlign w:val="bottom"/>
            <w:tcBorders>
              <w:bottom w:val="single" w:sz="8" w:color="0000EE"/>
            </w:tcBorders>
            <w:gridSpan w:val="15"/>
          </w:tcPr>
          <w:p>
            <w:pPr>
              <w:spacing w:after="0"/>
              <w:rPr>
                <w:rFonts w:ascii="Arial" w:cs="Arial" w:eastAsia="Arial" w:hAnsi="Arial"/>
                <w:sz w:val="16"/>
                <w:szCs w:val="16"/>
                <w:color w:val="auto"/>
                <w:w w:val="91"/>
              </w:rPr>
            </w:pPr>
            <w:hyperlink r:id="rId341">
              <w:r>
                <w:rPr>
                  <w:rFonts w:ascii="Arial" w:cs="Arial" w:eastAsia="Arial" w:hAnsi="Arial"/>
                  <w:sz w:val="16"/>
                  <w:szCs w:val="16"/>
                  <w:color w:val="auto"/>
                  <w:w w:val="91"/>
                </w:rPr>
                <w:t>Non-Employee Director Compensation Program.</w:t>
              </w:r>
            </w:hyperlink>
          </w:p>
        </w:tc>
        <w:tc>
          <w:tcPr>
            <w:tcW w:w="820" w:type="dxa"/>
            <w:vAlign w:val="bottom"/>
            <w:gridSpan w:val="8"/>
          </w:tcPr>
          <w:p>
            <w:pPr>
              <w:spacing w:after="0"/>
              <w:rPr>
                <w:sz w:val="17"/>
                <w:szCs w:val="17"/>
                <w:color w:val="auto"/>
              </w:rPr>
            </w:pPr>
          </w:p>
        </w:tc>
        <w:tc>
          <w:tcPr>
            <w:tcW w:w="1460" w:type="dxa"/>
            <w:vAlign w:val="bottom"/>
          </w:tcPr>
          <w:p>
            <w:pPr>
              <w:ind w:left="160"/>
              <w:spacing w:after="0"/>
              <w:rPr>
                <w:sz w:val="20"/>
                <w:szCs w:val="20"/>
                <w:color w:val="auto"/>
              </w:rPr>
            </w:pPr>
            <w:r>
              <w:rPr>
                <w:rFonts w:ascii="Arial" w:cs="Arial" w:eastAsia="Arial" w:hAnsi="Arial"/>
                <w:sz w:val="16"/>
                <w:szCs w:val="16"/>
                <w:color w:val="auto"/>
              </w:rPr>
              <w:t>S-1/A</w:t>
            </w:r>
          </w:p>
        </w:tc>
        <w:tc>
          <w:tcPr>
            <w:tcW w:w="1160" w:type="dxa"/>
            <w:vAlign w:val="bottom"/>
          </w:tcPr>
          <w:p>
            <w:pPr>
              <w:ind w:left="160"/>
              <w:spacing w:after="0"/>
              <w:rPr>
                <w:sz w:val="20"/>
                <w:szCs w:val="20"/>
                <w:color w:val="auto"/>
              </w:rPr>
            </w:pPr>
            <w:r>
              <w:rPr>
                <w:rFonts w:ascii="Arial" w:cs="Arial" w:eastAsia="Arial" w:hAnsi="Arial"/>
                <w:sz w:val="16"/>
                <w:szCs w:val="16"/>
                <w:color w:val="auto"/>
              </w:rPr>
              <w:t>333-257320</w:t>
            </w:r>
          </w:p>
        </w:tc>
        <w:tc>
          <w:tcPr>
            <w:tcW w:w="920" w:type="dxa"/>
            <w:vAlign w:val="bottom"/>
          </w:tcPr>
          <w:p>
            <w:pPr>
              <w:ind w:left="220"/>
              <w:spacing w:after="0"/>
              <w:rPr>
                <w:sz w:val="20"/>
                <w:szCs w:val="20"/>
                <w:color w:val="auto"/>
              </w:rPr>
            </w:pPr>
            <w:r>
              <w:rPr>
                <w:rFonts w:ascii="Arial" w:cs="Arial" w:eastAsia="Arial" w:hAnsi="Arial"/>
                <w:sz w:val="16"/>
                <w:szCs w:val="16"/>
                <w:color w:val="auto"/>
              </w:rPr>
              <w:t>10.3</w:t>
            </w:r>
          </w:p>
        </w:tc>
        <w:tc>
          <w:tcPr>
            <w:tcW w:w="880" w:type="dxa"/>
            <w:vAlign w:val="bottom"/>
          </w:tcPr>
          <w:p>
            <w:pPr>
              <w:ind w:left="200"/>
              <w:spacing w:after="0"/>
              <w:rPr>
                <w:sz w:val="20"/>
                <w:szCs w:val="20"/>
                <w:color w:val="auto"/>
              </w:rPr>
            </w:pPr>
            <w:r>
              <w:rPr>
                <w:rFonts w:ascii="Arial" w:cs="Arial" w:eastAsia="Arial" w:hAnsi="Arial"/>
                <w:sz w:val="16"/>
                <w:szCs w:val="16"/>
                <w:color w:val="auto"/>
              </w:rPr>
              <w:t>7/8/21</w:t>
            </w:r>
          </w:p>
        </w:tc>
        <w:tc>
          <w:tcPr>
            <w:tcW w:w="1320" w:type="dxa"/>
            <w:vAlign w:val="bottom"/>
          </w:tcPr>
          <w:p>
            <w:pPr>
              <w:spacing w:after="0"/>
              <w:rPr>
                <w:sz w:val="17"/>
                <w:szCs w:val="17"/>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10.5</w:t>
            </w:r>
          </w:p>
        </w:tc>
        <w:tc>
          <w:tcPr>
            <w:tcW w:w="2420" w:type="dxa"/>
            <w:vAlign w:val="bottom"/>
            <w:tcBorders>
              <w:bottom w:val="single" w:sz="8" w:color="0000EE"/>
            </w:tcBorders>
            <w:gridSpan w:val="13"/>
          </w:tcPr>
          <w:p>
            <w:pPr>
              <w:spacing w:after="0"/>
              <w:rPr>
                <w:rFonts w:ascii="Arial" w:cs="Arial" w:eastAsia="Arial" w:hAnsi="Arial"/>
                <w:sz w:val="16"/>
                <w:szCs w:val="16"/>
                <w:color w:val="auto"/>
                <w:w w:val="89"/>
              </w:rPr>
            </w:pPr>
            <w:hyperlink r:id="rId342">
              <w:r>
                <w:rPr>
                  <w:rFonts w:ascii="Arial" w:cs="Arial" w:eastAsia="Arial" w:hAnsi="Arial"/>
                  <w:sz w:val="16"/>
                  <w:szCs w:val="16"/>
                  <w:color w:val="auto"/>
                  <w:w w:val="89"/>
                </w:rPr>
                <w:t>2021 Employee Stock Purchase Plan.</w:t>
              </w:r>
            </w:hyperlink>
          </w:p>
        </w:tc>
        <w:tc>
          <w:tcPr>
            <w:tcW w:w="1580" w:type="dxa"/>
            <w:vAlign w:val="bottom"/>
            <w:gridSpan w:val="10"/>
          </w:tcPr>
          <w:p>
            <w:pPr>
              <w:spacing w:after="0"/>
              <w:rPr>
                <w:sz w:val="17"/>
                <w:szCs w:val="17"/>
                <w:color w:val="auto"/>
              </w:rPr>
            </w:pPr>
          </w:p>
        </w:tc>
        <w:tc>
          <w:tcPr>
            <w:tcW w:w="1460" w:type="dxa"/>
            <w:vAlign w:val="bottom"/>
          </w:tcPr>
          <w:p>
            <w:pPr>
              <w:ind w:left="160"/>
              <w:spacing w:after="0"/>
              <w:rPr>
                <w:sz w:val="20"/>
                <w:szCs w:val="20"/>
                <w:color w:val="auto"/>
              </w:rPr>
            </w:pPr>
            <w:r>
              <w:rPr>
                <w:rFonts w:ascii="Arial" w:cs="Arial" w:eastAsia="Arial" w:hAnsi="Arial"/>
                <w:sz w:val="16"/>
                <w:szCs w:val="16"/>
                <w:color w:val="auto"/>
              </w:rPr>
              <w:t>S-1/A</w:t>
            </w:r>
          </w:p>
        </w:tc>
        <w:tc>
          <w:tcPr>
            <w:tcW w:w="1160" w:type="dxa"/>
            <w:vAlign w:val="bottom"/>
          </w:tcPr>
          <w:p>
            <w:pPr>
              <w:ind w:left="160"/>
              <w:spacing w:after="0"/>
              <w:rPr>
                <w:sz w:val="20"/>
                <w:szCs w:val="20"/>
                <w:color w:val="auto"/>
              </w:rPr>
            </w:pPr>
            <w:r>
              <w:rPr>
                <w:rFonts w:ascii="Arial" w:cs="Arial" w:eastAsia="Arial" w:hAnsi="Arial"/>
                <w:sz w:val="16"/>
                <w:szCs w:val="16"/>
                <w:color w:val="auto"/>
              </w:rPr>
              <w:t>333-257320</w:t>
            </w:r>
          </w:p>
        </w:tc>
        <w:tc>
          <w:tcPr>
            <w:tcW w:w="920" w:type="dxa"/>
            <w:vAlign w:val="bottom"/>
          </w:tcPr>
          <w:p>
            <w:pPr>
              <w:ind w:left="220"/>
              <w:spacing w:after="0"/>
              <w:rPr>
                <w:sz w:val="20"/>
                <w:szCs w:val="20"/>
                <w:color w:val="auto"/>
              </w:rPr>
            </w:pPr>
            <w:r>
              <w:rPr>
                <w:rFonts w:ascii="Arial" w:cs="Arial" w:eastAsia="Arial" w:hAnsi="Arial"/>
                <w:sz w:val="16"/>
                <w:szCs w:val="16"/>
                <w:color w:val="auto"/>
              </w:rPr>
              <w:t>10.4</w:t>
            </w:r>
          </w:p>
        </w:tc>
        <w:tc>
          <w:tcPr>
            <w:tcW w:w="880" w:type="dxa"/>
            <w:vAlign w:val="bottom"/>
          </w:tcPr>
          <w:p>
            <w:pPr>
              <w:ind w:left="200"/>
              <w:spacing w:after="0"/>
              <w:rPr>
                <w:sz w:val="20"/>
                <w:szCs w:val="20"/>
                <w:color w:val="auto"/>
              </w:rPr>
            </w:pPr>
            <w:r>
              <w:rPr>
                <w:rFonts w:ascii="Arial" w:cs="Arial" w:eastAsia="Arial" w:hAnsi="Arial"/>
                <w:sz w:val="16"/>
                <w:szCs w:val="16"/>
                <w:color w:val="auto"/>
              </w:rPr>
              <w:t>7/8/21</w:t>
            </w:r>
          </w:p>
        </w:tc>
        <w:tc>
          <w:tcPr>
            <w:tcW w:w="1320" w:type="dxa"/>
            <w:vAlign w:val="bottom"/>
          </w:tcPr>
          <w:p>
            <w:pPr>
              <w:spacing w:after="0"/>
              <w:rPr>
                <w:sz w:val="17"/>
                <w:szCs w:val="17"/>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6"/>
                <w:szCs w:val="16"/>
                <w:color w:val="auto"/>
              </w:rPr>
              <w:t>10.6</w:t>
            </w:r>
          </w:p>
        </w:tc>
        <w:tc>
          <w:tcPr>
            <w:tcW w:w="4000" w:type="dxa"/>
            <w:vAlign w:val="bottom"/>
            <w:gridSpan w:val="23"/>
          </w:tcPr>
          <w:p>
            <w:pPr>
              <w:spacing w:after="0"/>
              <w:rPr>
                <w:rFonts w:ascii="Arial" w:cs="Arial" w:eastAsia="Arial" w:hAnsi="Arial"/>
                <w:sz w:val="16"/>
                <w:szCs w:val="16"/>
                <w:color w:val="auto"/>
              </w:rPr>
            </w:pPr>
            <w:hyperlink r:id="rId343">
              <w:r>
                <w:rPr>
                  <w:rFonts w:ascii="Arial" w:cs="Arial" w:eastAsia="Arial" w:hAnsi="Arial"/>
                  <w:sz w:val="16"/>
                  <w:szCs w:val="16"/>
                  <w:color w:val="auto"/>
                </w:rPr>
                <w:t>Form of Indemnification Agreement for Directors and</w:t>
              </w:r>
            </w:hyperlink>
          </w:p>
        </w:tc>
        <w:tc>
          <w:tcPr>
            <w:tcW w:w="1460" w:type="dxa"/>
            <w:vAlign w:val="bottom"/>
          </w:tcPr>
          <w:p>
            <w:pPr>
              <w:ind w:left="160"/>
              <w:spacing w:after="0"/>
              <w:rPr>
                <w:sz w:val="20"/>
                <w:szCs w:val="20"/>
                <w:color w:val="auto"/>
              </w:rPr>
            </w:pPr>
            <w:r>
              <w:rPr>
                <w:rFonts w:ascii="Arial" w:cs="Arial" w:eastAsia="Arial" w:hAnsi="Arial"/>
                <w:sz w:val="16"/>
                <w:szCs w:val="16"/>
                <w:color w:val="auto"/>
              </w:rPr>
              <w:t>S-1/A</w:t>
            </w:r>
          </w:p>
        </w:tc>
        <w:tc>
          <w:tcPr>
            <w:tcW w:w="1160" w:type="dxa"/>
            <w:vAlign w:val="bottom"/>
          </w:tcPr>
          <w:p>
            <w:pPr>
              <w:ind w:left="160"/>
              <w:spacing w:after="0"/>
              <w:rPr>
                <w:sz w:val="20"/>
                <w:szCs w:val="20"/>
                <w:color w:val="auto"/>
              </w:rPr>
            </w:pPr>
            <w:r>
              <w:rPr>
                <w:rFonts w:ascii="Arial" w:cs="Arial" w:eastAsia="Arial" w:hAnsi="Arial"/>
                <w:sz w:val="16"/>
                <w:szCs w:val="16"/>
                <w:color w:val="auto"/>
              </w:rPr>
              <w:t>333-257320</w:t>
            </w:r>
          </w:p>
        </w:tc>
        <w:tc>
          <w:tcPr>
            <w:tcW w:w="920" w:type="dxa"/>
            <w:vAlign w:val="bottom"/>
          </w:tcPr>
          <w:p>
            <w:pPr>
              <w:ind w:left="220"/>
              <w:spacing w:after="0"/>
              <w:rPr>
                <w:sz w:val="20"/>
                <w:szCs w:val="20"/>
                <w:color w:val="auto"/>
              </w:rPr>
            </w:pPr>
            <w:r>
              <w:rPr>
                <w:rFonts w:ascii="Arial" w:cs="Arial" w:eastAsia="Arial" w:hAnsi="Arial"/>
                <w:sz w:val="16"/>
                <w:szCs w:val="16"/>
                <w:color w:val="auto"/>
              </w:rPr>
              <w:t>10.5</w:t>
            </w:r>
          </w:p>
        </w:tc>
        <w:tc>
          <w:tcPr>
            <w:tcW w:w="880" w:type="dxa"/>
            <w:vAlign w:val="bottom"/>
          </w:tcPr>
          <w:p>
            <w:pPr>
              <w:ind w:left="200"/>
              <w:spacing w:after="0"/>
              <w:rPr>
                <w:sz w:val="20"/>
                <w:szCs w:val="20"/>
                <w:color w:val="auto"/>
              </w:rPr>
            </w:pPr>
            <w:r>
              <w:rPr>
                <w:rFonts w:ascii="Arial" w:cs="Arial" w:eastAsia="Arial" w:hAnsi="Arial"/>
                <w:sz w:val="16"/>
                <w:szCs w:val="16"/>
                <w:color w:val="auto"/>
              </w:rPr>
              <w:t>7/8/21</w:t>
            </w:r>
          </w:p>
        </w:tc>
        <w:tc>
          <w:tcPr>
            <w:tcW w:w="13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60" w:type="dxa"/>
            <w:vAlign w:val="bottom"/>
            <w:tcBorders>
              <w:bottom w:val="single" w:sz="8" w:color="0000EE"/>
            </w:tcBorders>
            <w:gridSpan w:val="2"/>
          </w:tcPr>
          <w:p>
            <w:pPr>
              <w:spacing w:after="0" w:line="183" w:lineRule="exact"/>
              <w:rPr>
                <w:rFonts w:ascii="Arial" w:cs="Arial" w:eastAsia="Arial" w:hAnsi="Arial"/>
                <w:sz w:val="16"/>
                <w:szCs w:val="16"/>
                <w:color w:val="auto"/>
                <w:w w:val="90"/>
              </w:rPr>
            </w:pPr>
            <w:hyperlink r:id="rId343">
              <w:r>
                <w:rPr>
                  <w:rFonts w:ascii="Arial" w:cs="Arial" w:eastAsia="Arial" w:hAnsi="Arial"/>
                  <w:sz w:val="16"/>
                  <w:szCs w:val="16"/>
                  <w:color w:val="auto"/>
                  <w:w w:val="90"/>
                </w:rPr>
                <w:t>Officers.</w:t>
              </w:r>
            </w:hyperlink>
          </w:p>
        </w:tc>
        <w:tc>
          <w:tcPr>
            <w:tcW w:w="3440" w:type="dxa"/>
            <w:vAlign w:val="bottom"/>
            <w:gridSpan w:val="21"/>
          </w:tcPr>
          <w:p>
            <w:pPr>
              <w:spacing w:after="0"/>
              <w:rPr>
                <w:sz w:val="15"/>
                <w:szCs w:val="15"/>
                <w:color w:val="auto"/>
              </w:rPr>
            </w:pPr>
          </w:p>
        </w:tc>
        <w:tc>
          <w:tcPr>
            <w:tcW w:w="1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10.7</w:t>
            </w:r>
          </w:p>
        </w:tc>
        <w:tc>
          <w:tcPr>
            <w:tcW w:w="4000" w:type="dxa"/>
            <w:vAlign w:val="bottom"/>
            <w:gridSpan w:val="23"/>
          </w:tcPr>
          <w:p>
            <w:pPr>
              <w:spacing w:after="0"/>
              <w:rPr>
                <w:rFonts w:ascii="Arial" w:cs="Arial" w:eastAsia="Arial" w:hAnsi="Arial"/>
                <w:sz w:val="16"/>
                <w:szCs w:val="16"/>
                <w:color w:val="auto"/>
                <w:w w:val="97"/>
              </w:rPr>
            </w:pPr>
            <w:hyperlink r:id="rId344">
              <w:r>
                <w:rPr>
                  <w:rFonts w:ascii="Arial" w:cs="Arial" w:eastAsia="Arial" w:hAnsi="Arial"/>
                  <w:sz w:val="16"/>
                  <w:szCs w:val="16"/>
                  <w:color w:val="auto"/>
                  <w:w w:val="97"/>
                </w:rPr>
                <w:t>Employment Agreement between the Registrant and Paul</w:t>
              </w:r>
            </w:hyperlink>
          </w:p>
        </w:tc>
        <w:tc>
          <w:tcPr>
            <w:tcW w:w="1460" w:type="dxa"/>
            <w:vAlign w:val="bottom"/>
          </w:tcPr>
          <w:p>
            <w:pPr>
              <w:ind w:left="160"/>
              <w:spacing w:after="0"/>
              <w:rPr>
                <w:sz w:val="20"/>
                <w:szCs w:val="20"/>
                <w:color w:val="auto"/>
              </w:rPr>
            </w:pPr>
            <w:r>
              <w:rPr>
                <w:rFonts w:ascii="Arial" w:cs="Arial" w:eastAsia="Arial" w:hAnsi="Arial"/>
                <w:sz w:val="16"/>
                <w:szCs w:val="16"/>
                <w:color w:val="auto"/>
              </w:rPr>
              <w:t>S-1/A</w:t>
            </w:r>
          </w:p>
        </w:tc>
        <w:tc>
          <w:tcPr>
            <w:tcW w:w="1160" w:type="dxa"/>
            <w:vAlign w:val="bottom"/>
          </w:tcPr>
          <w:p>
            <w:pPr>
              <w:ind w:left="160"/>
              <w:spacing w:after="0"/>
              <w:rPr>
                <w:sz w:val="20"/>
                <w:szCs w:val="20"/>
                <w:color w:val="auto"/>
              </w:rPr>
            </w:pPr>
            <w:r>
              <w:rPr>
                <w:rFonts w:ascii="Arial" w:cs="Arial" w:eastAsia="Arial" w:hAnsi="Arial"/>
                <w:sz w:val="16"/>
                <w:szCs w:val="16"/>
                <w:color w:val="auto"/>
              </w:rPr>
              <w:t>333-257320</w:t>
            </w:r>
          </w:p>
        </w:tc>
        <w:tc>
          <w:tcPr>
            <w:tcW w:w="920" w:type="dxa"/>
            <w:vAlign w:val="bottom"/>
          </w:tcPr>
          <w:p>
            <w:pPr>
              <w:ind w:left="220"/>
              <w:spacing w:after="0"/>
              <w:rPr>
                <w:sz w:val="20"/>
                <w:szCs w:val="20"/>
                <w:color w:val="auto"/>
              </w:rPr>
            </w:pPr>
            <w:r>
              <w:rPr>
                <w:rFonts w:ascii="Arial" w:cs="Arial" w:eastAsia="Arial" w:hAnsi="Arial"/>
                <w:sz w:val="16"/>
                <w:szCs w:val="16"/>
                <w:color w:val="auto"/>
              </w:rPr>
              <w:t>10.11</w:t>
            </w:r>
          </w:p>
        </w:tc>
        <w:tc>
          <w:tcPr>
            <w:tcW w:w="880" w:type="dxa"/>
            <w:vAlign w:val="bottom"/>
          </w:tcPr>
          <w:p>
            <w:pPr>
              <w:ind w:left="200"/>
              <w:spacing w:after="0"/>
              <w:rPr>
                <w:sz w:val="20"/>
                <w:szCs w:val="20"/>
                <w:color w:val="auto"/>
              </w:rPr>
            </w:pPr>
            <w:r>
              <w:rPr>
                <w:rFonts w:ascii="Arial" w:cs="Arial" w:eastAsia="Arial" w:hAnsi="Arial"/>
                <w:sz w:val="16"/>
                <w:szCs w:val="16"/>
                <w:color w:val="auto"/>
              </w:rPr>
              <w:t>7/8/21</w:t>
            </w:r>
          </w:p>
        </w:tc>
        <w:tc>
          <w:tcPr>
            <w:tcW w:w="13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60" w:type="dxa"/>
            <w:vAlign w:val="bottom"/>
            <w:gridSpan w:val="7"/>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800" w:type="dxa"/>
            <w:vAlign w:val="bottom"/>
            <w:tcBorders>
              <w:bottom w:val="single" w:sz="8" w:color="0000EE"/>
            </w:tcBorders>
            <w:gridSpan w:val="10"/>
          </w:tcPr>
          <w:p>
            <w:pPr>
              <w:spacing w:after="0" w:line="183" w:lineRule="exact"/>
              <w:rPr>
                <w:rFonts w:ascii="Arial" w:cs="Arial" w:eastAsia="Arial" w:hAnsi="Arial"/>
                <w:sz w:val="16"/>
                <w:szCs w:val="16"/>
                <w:color w:val="auto"/>
                <w:w w:val="90"/>
              </w:rPr>
            </w:pPr>
            <w:hyperlink r:id="rId344">
              <w:r>
                <w:rPr>
                  <w:rFonts w:ascii="Arial" w:cs="Arial" w:eastAsia="Arial" w:hAnsi="Arial"/>
                  <w:sz w:val="16"/>
                  <w:szCs w:val="16"/>
                  <w:color w:val="auto"/>
                  <w:w w:val="90"/>
                </w:rPr>
                <w:t>Badawi, dated July 7, 2021.</w:t>
              </w:r>
            </w:hyperlink>
          </w:p>
        </w:tc>
        <w:tc>
          <w:tcPr>
            <w:tcW w:w="2200" w:type="dxa"/>
            <w:vAlign w:val="bottom"/>
            <w:gridSpan w:val="13"/>
          </w:tcPr>
          <w:p>
            <w:pPr>
              <w:spacing w:after="0"/>
              <w:rPr>
                <w:sz w:val="15"/>
                <w:szCs w:val="15"/>
                <w:color w:val="auto"/>
              </w:rPr>
            </w:pPr>
          </w:p>
        </w:tc>
        <w:tc>
          <w:tcPr>
            <w:tcW w:w="1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10.8</w:t>
            </w:r>
          </w:p>
        </w:tc>
        <w:tc>
          <w:tcPr>
            <w:tcW w:w="4000" w:type="dxa"/>
            <w:vAlign w:val="bottom"/>
            <w:gridSpan w:val="23"/>
          </w:tcPr>
          <w:p>
            <w:pPr>
              <w:spacing w:after="0"/>
              <w:rPr>
                <w:rFonts w:ascii="Arial" w:cs="Arial" w:eastAsia="Arial" w:hAnsi="Arial"/>
                <w:sz w:val="16"/>
                <w:szCs w:val="16"/>
                <w:color w:val="auto"/>
                <w:w w:val="93"/>
              </w:rPr>
            </w:pPr>
            <w:hyperlink r:id="rId345">
              <w:r>
                <w:rPr>
                  <w:rFonts w:ascii="Arial" w:cs="Arial" w:eastAsia="Arial" w:hAnsi="Arial"/>
                  <w:sz w:val="16"/>
                  <w:szCs w:val="16"/>
                  <w:color w:val="auto"/>
                  <w:w w:val="93"/>
                </w:rPr>
                <w:t>Employment Agreement between the Registrant and Shawn</w:t>
              </w:r>
            </w:hyperlink>
          </w:p>
        </w:tc>
        <w:tc>
          <w:tcPr>
            <w:tcW w:w="1460" w:type="dxa"/>
            <w:vAlign w:val="bottom"/>
          </w:tcPr>
          <w:p>
            <w:pPr>
              <w:ind w:left="160"/>
              <w:spacing w:after="0"/>
              <w:rPr>
                <w:sz w:val="20"/>
                <w:szCs w:val="20"/>
                <w:color w:val="auto"/>
              </w:rPr>
            </w:pPr>
            <w:r>
              <w:rPr>
                <w:rFonts w:ascii="Arial" w:cs="Arial" w:eastAsia="Arial" w:hAnsi="Arial"/>
                <w:sz w:val="16"/>
                <w:szCs w:val="16"/>
                <w:color w:val="auto"/>
              </w:rPr>
              <w:t>S-1/A</w:t>
            </w:r>
          </w:p>
        </w:tc>
        <w:tc>
          <w:tcPr>
            <w:tcW w:w="1160" w:type="dxa"/>
            <w:vAlign w:val="bottom"/>
          </w:tcPr>
          <w:p>
            <w:pPr>
              <w:ind w:left="160"/>
              <w:spacing w:after="0"/>
              <w:rPr>
                <w:sz w:val="20"/>
                <w:szCs w:val="20"/>
                <w:color w:val="auto"/>
              </w:rPr>
            </w:pPr>
            <w:r>
              <w:rPr>
                <w:rFonts w:ascii="Arial" w:cs="Arial" w:eastAsia="Arial" w:hAnsi="Arial"/>
                <w:sz w:val="16"/>
                <w:szCs w:val="16"/>
                <w:color w:val="auto"/>
              </w:rPr>
              <w:t>333-257320</w:t>
            </w:r>
          </w:p>
        </w:tc>
        <w:tc>
          <w:tcPr>
            <w:tcW w:w="920" w:type="dxa"/>
            <w:vAlign w:val="bottom"/>
          </w:tcPr>
          <w:p>
            <w:pPr>
              <w:ind w:left="220"/>
              <w:spacing w:after="0"/>
              <w:rPr>
                <w:sz w:val="20"/>
                <w:szCs w:val="20"/>
                <w:color w:val="auto"/>
              </w:rPr>
            </w:pPr>
            <w:r>
              <w:rPr>
                <w:rFonts w:ascii="Arial" w:cs="Arial" w:eastAsia="Arial" w:hAnsi="Arial"/>
                <w:sz w:val="16"/>
                <w:szCs w:val="16"/>
                <w:color w:val="auto"/>
              </w:rPr>
              <w:t>10.12</w:t>
            </w:r>
          </w:p>
        </w:tc>
        <w:tc>
          <w:tcPr>
            <w:tcW w:w="880" w:type="dxa"/>
            <w:vAlign w:val="bottom"/>
          </w:tcPr>
          <w:p>
            <w:pPr>
              <w:ind w:left="200"/>
              <w:spacing w:after="0"/>
              <w:rPr>
                <w:sz w:val="20"/>
                <w:szCs w:val="20"/>
                <w:color w:val="auto"/>
              </w:rPr>
            </w:pPr>
            <w:r>
              <w:rPr>
                <w:rFonts w:ascii="Arial" w:cs="Arial" w:eastAsia="Arial" w:hAnsi="Arial"/>
                <w:sz w:val="16"/>
                <w:szCs w:val="16"/>
                <w:color w:val="auto"/>
              </w:rPr>
              <w:t>7/8/21</w:t>
            </w:r>
          </w:p>
        </w:tc>
        <w:tc>
          <w:tcPr>
            <w:tcW w:w="13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360" w:type="dxa"/>
            <w:vAlign w:val="bottom"/>
            <w:gridSpan w:val="7"/>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4000" w:type="dxa"/>
            <w:vAlign w:val="bottom"/>
            <w:gridSpan w:val="23"/>
          </w:tcPr>
          <w:p>
            <w:pPr>
              <w:spacing w:after="0" w:line="183" w:lineRule="exact"/>
              <w:rPr>
                <w:rFonts w:ascii="Arial" w:cs="Arial" w:eastAsia="Arial" w:hAnsi="Arial"/>
                <w:sz w:val="16"/>
                <w:szCs w:val="16"/>
                <w:color w:val="auto"/>
              </w:rPr>
            </w:pPr>
            <w:hyperlink r:id="rId345">
              <w:r>
                <w:rPr>
                  <w:rFonts w:ascii="Arial" w:cs="Arial" w:eastAsia="Arial" w:hAnsi="Arial"/>
                  <w:sz w:val="16"/>
                  <w:szCs w:val="16"/>
                  <w:color w:val="auto"/>
                </w:rPr>
                <w:t>O’Neil, dated July 7, 2021.</w:t>
              </w:r>
            </w:hyperlink>
          </w:p>
        </w:tc>
        <w:tc>
          <w:tcPr>
            <w:tcW w:w="1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10.9</w:t>
            </w:r>
          </w:p>
        </w:tc>
        <w:tc>
          <w:tcPr>
            <w:tcW w:w="4000" w:type="dxa"/>
            <w:vAlign w:val="bottom"/>
            <w:gridSpan w:val="23"/>
          </w:tcPr>
          <w:p>
            <w:pPr>
              <w:spacing w:after="0"/>
              <w:rPr>
                <w:rFonts w:ascii="Arial" w:cs="Arial" w:eastAsia="Arial" w:hAnsi="Arial"/>
                <w:sz w:val="16"/>
                <w:szCs w:val="16"/>
                <w:color w:val="auto"/>
                <w:w w:val="96"/>
              </w:rPr>
            </w:pPr>
            <w:hyperlink r:id="rId346">
              <w:r>
                <w:rPr>
                  <w:rFonts w:ascii="Arial" w:cs="Arial" w:eastAsia="Arial" w:hAnsi="Arial"/>
                  <w:sz w:val="16"/>
                  <w:szCs w:val="16"/>
                  <w:color w:val="auto"/>
                  <w:w w:val="96"/>
                </w:rPr>
                <w:t>Employment Agreement between the Registrant and Sam</w:t>
              </w:r>
            </w:hyperlink>
          </w:p>
        </w:tc>
        <w:tc>
          <w:tcPr>
            <w:tcW w:w="1460" w:type="dxa"/>
            <w:vAlign w:val="bottom"/>
          </w:tcPr>
          <w:p>
            <w:pPr>
              <w:ind w:left="160"/>
              <w:spacing w:after="0"/>
              <w:rPr>
                <w:sz w:val="20"/>
                <w:szCs w:val="20"/>
                <w:color w:val="auto"/>
              </w:rPr>
            </w:pPr>
            <w:r>
              <w:rPr>
                <w:rFonts w:ascii="Arial" w:cs="Arial" w:eastAsia="Arial" w:hAnsi="Arial"/>
                <w:sz w:val="16"/>
                <w:szCs w:val="16"/>
                <w:color w:val="auto"/>
              </w:rPr>
              <w:t>S-1/A</w:t>
            </w:r>
          </w:p>
        </w:tc>
        <w:tc>
          <w:tcPr>
            <w:tcW w:w="1160" w:type="dxa"/>
            <w:vAlign w:val="bottom"/>
          </w:tcPr>
          <w:p>
            <w:pPr>
              <w:ind w:left="160"/>
              <w:spacing w:after="0"/>
              <w:rPr>
                <w:sz w:val="20"/>
                <w:szCs w:val="20"/>
                <w:color w:val="auto"/>
              </w:rPr>
            </w:pPr>
            <w:r>
              <w:rPr>
                <w:rFonts w:ascii="Arial" w:cs="Arial" w:eastAsia="Arial" w:hAnsi="Arial"/>
                <w:sz w:val="16"/>
                <w:szCs w:val="16"/>
                <w:color w:val="auto"/>
              </w:rPr>
              <w:t>333-257320</w:t>
            </w:r>
          </w:p>
        </w:tc>
        <w:tc>
          <w:tcPr>
            <w:tcW w:w="920" w:type="dxa"/>
            <w:vAlign w:val="bottom"/>
          </w:tcPr>
          <w:p>
            <w:pPr>
              <w:ind w:left="220"/>
              <w:spacing w:after="0"/>
              <w:rPr>
                <w:sz w:val="20"/>
                <w:szCs w:val="20"/>
                <w:color w:val="auto"/>
              </w:rPr>
            </w:pPr>
            <w:r>
              <w:rPr>
                <w:rFonts w:ascii="Arial" w:cs="Arial" w:eastAsia="Arial" w:hAnsi="Arial"/>
                <w:sz w:val="16"/>
                <w:szCs w:val="16"/>
                <w:color w:val="auto"/>
              </w:rPr>
              <w:t>10.13</w:t>
            </w:r>
          </w:p>
        </w:tc>
        <w:tc>
          <w:tcPr>
            <w:tcW w:w="880" w:type="dxa"/>
            <w:vAlign w:val="bottom"/>
          </w:tcPr>
          <w:p>
            <w:pPr>
              <w:ind w:left="200"/>
              <w:spacing w:after="0"/>
              <w:rPr>
                <w:sz w:val="20"/>
                <w:szCs w:val="20"/>
                <w:color w:val="auto"/>
              </w:rPr>
            </w:pPr>
            <w:r>
              <w:rPr>
                <w:rFonts w:ascii="Arial" w:cs="Arial" w:eastAsia="Arial" w:hAnsi="Arial"/>
                <w:sz w:val="16"/>
                <w:szCs w:val="16"/>
                <w:color w:val="auto"/>
              </w:rPr>
              <w:t>7/8/21</w:t>
            </w:r>
          </w:p>
        </w:tc>
        <w:tc>
          <w:tcPr>
            <w:tcW w:w="13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360" w:type="dxa"/>
            <w:vAlign w:val="bottom"/>
            <w:gridSpan w:val="7"/>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600" w:type="dxa"/>
            <w:vAlign w:val="bottom"/>
            <w:tcBorders>
              <w:bottom w:val="single" w:sz="8" w:color="0000EE"/>
            </w:tcBorders>
            <w:gridSpan w:val="8"/>
          </w:tcPr>
          <w:p>
            <w:pPr>
              <w:spacing w:after="0" w:line="183" w:lineRule="exact"/>
              <w:rPr>
                <w:rFonts w:ascii="Arial" w:cs="Arial" w:eastAsia="Arial" w:hAnsi="Arial"/>
                <w:sz w:val="16"/>
                <w:szCs w:val="16"/>
                <w:color w:val="auto"/>
                <w:w w:val="89"/>
              </w:rPr>
            </w:pPr>
            <w:hyperlink r:id="rId346">
              <w:r>
                <w:rPr>
                  <w:rFonts w:ascii="Arial" w:cs="Arial" w:eastAsia="Arial" w:hAnsi="Arial"/>
                  <w:sz w:val="16"/>
                  <w:szCs w:val="16"/>
                  <w:color w:val="auto"/>
                  <w:w w:val="89"/>
                </w:rPr>
                <w:t>Park, dated July 7, 2021.</w:t>
              </w:r>
            </w:hyperlink>
          </w:p>
        </w:tc>
        <w:tc>
          <w:tcPr>
            <w:tcW w:w="2400" w:type="dxa"/>
            <w:vAlign w:val="bottom"/>
            <w:gridSpan w:val="15"/>
          </w:tcPr>
          <w:p>
            <w:pPr>
              <w:spacing w:after="0"/>
              <w:rPr>
                <w:sz w:val="15"/>
                <w:szCs w:val="15"/>
                <w:color w:val="auto"/>
              </w:rPr>
            </w:pPr>
          </w:p>
        </w:tc>
        <w:tc>
          <w:tcPr>
            <w:tcW w:w="1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10.10</w:t>
            </w:r>
          </w:p>
        </w:tc>
        <w:tc>
          <w:tcPr>
            <w:tcW w:w="4000" w:type="dxa"/>
            <w:vAlign w:val="bottom"/>
            <w:gridSpan w:val="23"/>
          </w:tcPr>
          <w:p>
            <w:pPr>
              <w:spacing w:after="0"/>
              <w:rPr>
                <w:rFonts w:ascii="Arial" w:cs="Arial" w:eastAsia="Arial" w:hAnsi="Arial"/>
                <w:sz w:val="16"/>
                <w:szCs w:val="16"/>
                <w:color w:val="auto"/>
                <w:w w:val="94"/>
              </w:rPr>
            </w:pPr>
            <w:hyperlink r:id="rId347">
              <w:r>
                <w:rPr>
                  <w:rFonts w:ascii="Arial" w:cs="Arial" w:eastAsia="Arial" w:hAnsi="Arial"/>
                  <w:sz w:val="16"/>
                  <w:szCs w:val="16"/>
                  <w:color w:val="auto"/>
                  <w:w w:val="94"/>
                </w:rPr>
                <w:t>Employment Agreement between the Registrant and David</w:t>
              </w:r>
            </w:hyperlink>
          </w:p>
        </w:tc>
        <w:tc>
          <w:tcPr>
            <w:tcW w:w="1460" w:type="dxa"/>
            <w:vAlign w:val="bottom"/>
          </w:tcPr>
          <w:p>
            <w:pPr>
              <w:ind w:left="160"/>
              <w:spacing w:after="0"/>
              <w:rPr>
                <w:sz w:val="20"/>
                <w:szCs w:val="20"/>
                <w:color w:val="auto"/>
              </w:rPr>
            </w:pPr>
            <w:r>
              <w:rPr>
                <w:rFonts w:ascii="Arial" w:cs="Arial" w:eastAsia="Arial" w:hAnsi="Arial"/>
                <w:sz w:val="16"/>
                <w:szCs w:val="16"/>
                <w:color w:val="auto"/>
              </w:rPr>
              <w:t>S-1/A</w:t>
            </w:r>
          </w:p>
        </w:tc>
        <w:tc>
          <w:tcPr>
            <w:tcW w:w="1160" w:type="dxa"/>
            <w:vAlign w:val="bottom"/>
          </w:tcPr>
          <w:p>
            <w:pPr>
              <w:ind w:left="160"/>
              <w:spacing w:after="0"/>
              <w:rPr>
                <w:sz w:val="20"/>
                <w:szCs w:val="20"/>
                <w:color w:val="auto"/>
              </w:rPr>
            </w:pPr>
            <w:r>
              <w:rPr>
                <w:rFonts w:ascii="Arial" w:cs="Arial" w:eastAsia="Arial" w:hAnsi="Arial"/>
                <w:sz w:val="16"/>
                <w:szCs w:val="16"/>
                <w:color w:val="auto"/>
              </w:rPr>
              <w:t>333-257320</w:t>
            </w:r>
          </w:p>
        </w:tc>
        <w:tc>
          <w:tcPr>
            <w:tcW w:w="920" w:type="dxa"/>
            <w:vAlign w:val="bottom"/>
          </w:tcPr>
          <w:p>
            <w:pPr>
              <w:ind w:left="220"/>
              <w:spacing w:after="0"/>
              <w:rPr>
                <w:sz w:val="20"/>
                <w:szCs w:val="20"/>
                <w:color w:val="auto"/>
              </w:rPr>
            </w:pPr>
            <w:r>
              <w:rPr>
                <w:rFonts w:ascii="Arial" w:cs="Arial" w:eastAsia="Arial" w:hAnsi="Arial"/>
                <w:sz w:val="16"/>
                <w:szCs w:val="16"/>
                <w:color w:val="auto"/>
              </w:rPr>
              <w:t>10.14</w:t>
            </w:r>
          </w:p>
        </w:tc>
        <w:tc>
          <w:tcPr>
            <w:tcW w:w="880" w:type="dxa"/>
            <w:vAlign w:val="bottom"/>
          </w:tcPr>
          <w:p>
            <w:pPr>
              <w:ind w:left="200"/>
              <w:spacing w:after="0"/>
              <w:rPr>
                <w:sz w:val="20"/>
                <w:szCs w:val="20"/>
                <w:color w:val="auto"/>
              </w:rPr>
            </w:pPr>
            <w:r>
              <w:rPr>
                <w:rFonts w:ascii="Arial" w:cs="Arial" w:eastAsia="Arial" w:hAnsi="Arial"/>
                <w:sz w:val="16"/>
                <w:szCs w:val="16"/>
                <w:color w:val="auto"/>
              </w:rPr>
              <w:t>7/8/21</w:t>
            </w:r>
          </w:p>
        </w:tc>
        <w:tc>
          <w:tcPr>
            <w:tcW w:w="13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360" w:type="dxa"/>
            <w:vAlign w:val="bottom"/>
            <w:gridSpan w:val="7"/>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2220" w:type="dxa"/>
            <w:vAlign w:val="bottom"/>
            <w:tcBorders>
              <w:bottom w:val="single" w:sz="8" w:color="0000EE"/>
            </w:tcBorders>
            <w:gridSpan w:val="11"/>
          </w:tcPr>
          <w:p>
            <w:pPr>
              <w:spacing w:after="0" w:line="183" w:lineRule="exact"/>
              <w:rPr>
                <w:rFonts w:ascii="Arial" w:cs="Arial" w:eastAsia="Arial" w:hAnsi="Arial"/>
                <w:sz w:val="16"/>
                <w:szCs w:val="16"/>
                <w:color w:val="auto"/>
                <w:w w:val="91"/>
              </w:rPr>
            </w:pPr>
            <w:hyperlink r:id="rId347">
              <w:r>
                <w:rPr>
                  <w:rFonts w:ascii="Arial" w:cs="Arial" w:eastAsia="Arial" w:hAnsi="Arial"/>
                  <w:sz w:val="16"/>
                  <w:szCs w:val="16"/>
                  <w:color w:val="auto"/>
                  <w:w w:val="91"/>
                </w:rPr>
                <w:t>Badawi, M.D., dated July 7, 2021.</w:t>
              </w:r>
            </w:hyperlink>
          </w:p>
        </w:tc>
        <w:tc>
          <w:tcPr>
            <w:tcW w:w="1780" w:type="dxa"/>
            <w:vAlign w:val="bottom"/>
            <w:gridSpan w:val="12"/>
          </w:tcPr>
          <w:p>
            <w:pPr>
              <w:spacing w:after="0"/>
              <w:rPr>
                <w:sz w:val="15"/>
                <w:szCs w:val="15"/>
                <w:color w:val="auto"/>
              </w:rPr>
            </w:pPr>
          </w:p>
        </w:tc>
        <w:tc>
          <w:tcPr>
            <w:tcW w:w="1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31.1</w:t>
            </w:r>
          </w:p>
        </w:tc>
        <w:tc>
          <w:tcPr>
            <w:tcW w:w="4000" w:type="dxa"/>
            <w:vAlign w:val="bottom"/>
            <w:gridSpan w:val="23"/>
          </w:tcPr>
          <w:p>
            <w:pPr>
              <w:spacing w:after="0"/>
              <w:rPr>
                <w:rFonts w:ascii="Arial" w:cs="Arial" w:eastAsia="Arial" w:hAnsi="Arial"/>
                <w:sz w:val="16"/>
                <w:szCs w:val="16"/>
                <w:color w:val="auto"/>
              </w:rPr>
            </w:pPr>
            <w:hyperlink w:anchor="page137">
              <w:r>
                <w:rPr>
                  <w:rFonts w:ascii="Arial" w:cs="Arial" w:eastAsia="Arial" w:hAnsi="Arial"/>
                  <w:sz w:val="16"/>
                  <w:szCs w:val="16"/>
                  <w:color w:val="auto"/>
                </w:rPr>
                <w:t>Certification of Chief Executive Officer pursuant to Rule</w:t>
              </w:r>
            </w:hyperlink>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ind w:left="200"/>
              <w:spacing w:after="0"/>
              <w:rPr>
                <w:sz w:val="20"/>
                <w:szCs w:val="20"/>
                <w:color w:val="auto"/>
              </w:rPr>
            </w:pPr>
            <w:r>
              <w:rPr>
                <w:rFonts w:ascii="Arial" w:cs="Arial" w:eastAsia="Arial" w:hAnsi="Arial"/>
                <w:sz w:val="16"/>
                <w:szCs w:val="16"/>
                <w:color w:val="auto"/>
              </w:rPr>
              <w:t>*</w:t>
            </w:r>
          </w:p>
        </w:tc>
      </w:tr>
      <w:tr>
        <w:trPr>
          <w:trHeight w:val="20"/>
        </w:trPr>
        <w:tc>
          <w:tcPr>
            <w:tcW w:w="104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20" w:type="dxa"/>
            <w:vAlign w:val="bottom"/>
            <w:gridSpan w:val="11"/>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4000" w:type="dxa"/>
            <w:vAlign w:val="bottom"/>
            <w:gridSpan w:val="23"/>
          </w:tcPr>
          <w:p>
            <w:pPr>
              <w:spacing w:after="0" w:line="183" w:lineRule="exact"/>
              <w:rPr>
                <w:rFonts w:ascii="Arial" w:cs="Arial" w:eastAsia="Arial" w:hAnsi="Arial"/>
                <w:sz w:val="16"/>
                <w:szCs w:val="16"/>
                <w:color w:val="auto"/>
              </w:rPr>
            </w:pPr>
            <w:hyperlink w:anchor="page137">
              <w:r>
                <w:rPr>
                  <w:rFonts w:ascii="Arial" w:cs="Arial" w:eastAsia="Arial" w:hAnsi="Arial"/>
                  <w:sz w:val="16"/>
                  <w:szCs w:val="16"/>
                  <w:color w:val="auto"/>
                </w:rPr>
                <w:t>13a-14(a)/15d-14(a).</w:t>
              </w:r>
            </w:hyperlink>
          </w:p>
        </w:tc>
        <w:tc>
          <w:tcPr>
            <w:tcW w:w="1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11"/>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31.2</w:t>
            </w:r>
          </w:p>
        </w:tc>
        <w:tc>
          <w:tcPr>
            <w:tcW w:w="4000" w:type="dxa"/>
            <w:vAlign w:val="bottom"/>
            <w:tcBorders>
              <w:bottom w:val="single" w:sz="8" w:color="0000EE"/>
            </w:tcBorders>
            <w:gridSpan w:val="23"/>
          </w:tcPr>
          <w:p>
            <w:pPr>
              <w:spacing w:after="0"/>
              <w:rPr>
                <w:rFonts w:ascii="Arial" w:cs="Arial" w:eastAsia="Arial" w:hAnsi="Arial"/>
                <w:sz w:val="16"/>
                <w:szCs w:val="16"/>
                <w:color w:val="auto"/>
                <w:w w:val="93"/>
              </w:rPr>
            </w:pPr>
            <w:hyperlink w:anchor="page139">
              <w:r>
                <w:rPr>
                  <w:rFonts w:ascii="Arial" w:cs="Arial" w:eastAsia="Arial" w:hAnsi="Arial"/>
                  <w:sz w:val="16"/>
                  <w:szCs w:val="16"/>
                  <w:color w:val="auto"/>
                  <w:w w:val="93"/>
                </w:rPr>
                <w:t>Certification of Chief Financial Officer pursuant to Rule 13a-</w:t>
              </w:r>
            </w:hyperlink>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ind w:left="200"/>
              <w:spacing w:after="0"/>
              <w:rPr>
                <w:sz w:val="20"/>
                <w:szCs w:val="20"/>
                <w:color w:val="auto"/>
              </w:rPr>
            </w:pPr>
            <w:r>
              <w:rPr>
                <w:rFonts w:ascii="Arial" w:cs="Arial" w:eastAsia="Arial" w:hAnsi="Arial"/>
                <w:sz w:val="16"/>
                <w:szCs w:val="16"/>
                <w:color w:val="auto"/>
              </w:rPr>
              <w:t>*</w:t>
            </w:r>
          </w:p>
        </w:tc>
      </w:tr>
      <w:tr>
        <w:trPr>
          <w:trHeight w:val="183"/>
        </w:trPr>
        <w:tc>
          <w:tcPr>
            <w:tcW w:w="1040" w:type="dxa"/>
            <w:vAlign w:val="bottom"/>
          </w:tcPr>
          <w:p>
            <w:pPr>
              <w:spacing w:after="0"/>
              <w:rPr>
                <w:sz w:val="15"/>
                <w:szCs w:val="15"/>
                <w:color w:val="auto"/>
              </w:rPr>
            </w:pPr>
          </w:p>
        </w:tc>
        <w:tc>
          <w:tcPr>
            <w:tcW w:w="1060" w:type="dxa"/>
            <w:vAlign w:val="bottom"/>
            <w:tcBorders>
              <w:bottom w:val="single" w:sz="8" w:color="0000EE"/>
            </w:tcBorders>
            <w:gridSpan w:val="5"/>
          </w:tcPr>
          <w:p>
            <w:pPr>
              <w:spacing w:after="0" w:line="183" w:lineRule="exact"/>
              <w:rPr>
                <w:rFonts w:ascii="Arial" w:cs="Arial" w:eastAsia="Arial" w:hAnsi="Arial"/>
                <w:sz w:val="16"/>
                <w:szCs w:val="16"/>
                <w:color w:val="auto"/>
                <w:w w:val="89"/>
              </w:rPr>
            </w:pPr>
            <w:hyperlink w:anchor="page139">
              <w:r>
                <w:rPr>
                  <w:rFonts w:ascii="Arial" w:cs="Arial" w:eastAsia="Arial" w:hAnsi="Arial"/>
                  <w:sz w:val="16"/>
                  <w:szCs w:val="16"/>
                  <w:color w:val="auto"/>
                  <w:w w:val="89"/>
                </w:rPr>
                <w:t>14(a)/15d-14(a).</w:t>
              </w:r>
            </w:hyperlink>
          </w:p>
        </w:tc>
        <w:tc>
          <w:tcPr>
            <w:tcW w:w="2940" w:type="dxa"/>
            <w:vAlign w:val="bottom"/>
            <w:gridSpan w:val="18"/>
          </w:tcPr>
          <w:p>
            <w:pPr>
              <w:spacing w:after="0"/>
              <w:rPr>
                <w:sz w:val="15"/>
                <w:szCs w:val="15"/>
                <w:color w:val="auto"/>
              </w:rPr>
            </w:pPr>
          </w:p>
        </w:tc>
        <w:tc>
          <w:tcPr>
            <w:tcW w:w="1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32.1</w:t>
            </w:r>
          </w:p>
        </w:tc>
        <w:tc>
          <w:tcPr>
            <w:tcW w:w="4000" w:type="dxa"/>
            <w:vAlign w:val="bottom"/>
            <w:gridSpan w:val="23"/>
          </w:tcPr>
          <w:p>
            <w:pPr>
              <w:spacing w:after="0"/>
              <w:rPr>
                <w:rFonts w:ascii="Arial" w:cs="Arial" w:eastAsia="Arial" w:hAnsi="Arial"/>
                <w:sz w:val="16"/>
                <w:szCs w:val="16"/>
                <w:color w:val="auto"/>
              </w:rPr>
            </w:pPr>
            <w:hyperlink w:anchor="page141">
              <w:r>
                <w:rPr>
                  <w:rFonts w:ascii="Arial" w:cs="Arial" w:eastAsia="Arial" w:hAnsi="Arial"/>
                  <w:sz w:val="16"/>
                  <w:szCs w:val="16"/>
                  <w:color w:val="auto"/>
                </w:rPr>
                <w:t>Certification of Chief Executive Officer pursuant to 18</w:t>
              </w:r>
            </w:hyperlink>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ind w:left="200"/>
              <w:spacing w:after="0"/>
              <w:rPr>
                <w:sz w:val="20"/>
                <w:szCs w:val="20"/>
                <w:color w:val="auto"/>
              </w:rPr>
            </w:pPr>
            <w:r>
              <w:rPr>
                <w:rFonts w:ascii="Arial" w:cs="Arial" w:eastAsia="Arial" w:hAnsi="Arial"/>
                <w:sz w:val="16"/>
                <w:szCs w:val="16"/>
                <w:color w:val="auto"/>
              </w:rPr>
              <w:t>**</w:t>
            </w:r>
          </w:p>
        </w:tc>
      </w:tr>
      <w:tr>
        <w:trPr>
          <w:trHeight w:val="20"/>
        </w:trPr>
        <w:tc>
          <w:tcPr>
            <w:tcW w:w="104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220" w:type="dxa"/>
            <w:vAlign w:val="bottom"/>
            <w:gridSpan w:val="11"/>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360" w:type="dxa"/>
            <w:vAlign w:val="bottom"/>
            <w:tcBorders>
              <w:bottom w:val="single" w:sz="8" w:color="0000EE"/>
            </w:tcBorders>
            <w:gridSpan w:val="7"/>
          </w:tcPr>
          <w:p>
            <w:pPr>
              <w:spacing w:after="0" w:line="183" w:lineRule="exact"/>
              <w:rPr>
                <w:rFonts w:ascii="Arial" w:cs="Arial" w:eastAsia="Arial" w:hAnsi="Arial"/>
                <w:sz w:val="16"/>
                <w:szCs w:val="16"/>
                <w:color w:val="auto"/>
                <w:w w:val="89"/>
              </w:rPr>
            </w:pPr>
            <w:hyperlink w:anchor="page141">
              <w:r>
                <w:rPr>
                  <w:rFonts w:ascii="Arial" w:cs="Arial" w:eastAsia="Arial" w:hAnsi="Arial"/>
                  <w:sz w:val="16"/>
                  <w:szCs w:val="16"/>
                  <w:color w:val="auto"/>
                  <w:w w:val="89"/>
                </w:rPr>
                <w:t>U.S.C. Section 1350.</w:t>
              </w:r>
            </w:hyperlink>
          </w:p>
        </w:tc>
        <w:tc>
          <w:tcPr>
            <w:tcW w:w="2640" w:type="dxa"/>
            <w:vAlign w:val="bottom"/>
            <w:gridSpan w:val="16"/>
          </w:tcPr>
          <w:p>
            <w:pPr>
              <w:spacing w:after="0"/>
              <w:rPr>
                <w:sz w:val="15"/>
                <w:szCs w:val="15"/>
                <w:color w:val="auto"/>
              </w:rPr>
            </w:pPr>
          </w:p>
        </w:tc>
        <w:tc>
          <w:tcPr>
            <w:tcW w:w="1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32.2</w:t>
            </w:r>
          </w:p>
        </w:tc>
        <w:tc>
          <w:tcPr>
            <w:tcW w:w="4000" w:type="dxa"/>
            <w:vAlign w:val="bottom"/>
            <w:gridSpan w:val="23"/>
          </w:tcPr>
          <w:p>
            <w:pPr>
              <w:spacing w:after="0"/>
              <w:rPr>
                <w:rFonts w:ascii="Arial" w:cs="Arial" w:eastAsia="Arial" w:hAnsi="Arial"/>
                <w:sz w:val="16"/>
                <w:szCs w:val="16"/>
                <w:color w:val="auto"/>
                <w:w w:val="93"/>
              </w:rPr>
            </w:pPr>
            <w:hyperlink w:anchor="page142">
              <w:r>
                <w:rPr>
                  <w:rFonts w:ascii="Arial" w:cs="Arial" w:eastAsia="Arial" w:hAnsi="Arial"/>
                  <w:sz w:val="16"/>
                  <w:szCs w:val="16"/>
                  <w:color w:val="auto"/>
                  <w:w w:val="93"/>
                </w:rPr>
                <w:t>Certification of Chief Financial Officer pursuant to 18 U.S.C.</w:t>
              </w:r>
            </w:hyperlink>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ind w:left="200"/>
              <w:spacing w:after="0"/>
              <w:rPr>
                <w:sz w:val="20"/>
                <w:szCs w:val="20"/>
                <w:color w:val="auto"/>
              </w:rPr>
            </w:pPr>
            <w:r>
              <w:rPr>
                <w:rFonts w:ascii="Arial" w:cs="Arial" w:eastAsia="Arial" w:hAnsi="Arial"/>
                <w:sz w:val="16"/>
                <w:szCs w:val="16"/>
                <w:color w:val="auto"/>
              </w:rPr>
              <w:t>**</w:t>
            </w:r>
          </w:p>
        </w:tc>
      </w:tr>
      <w:tr>
        <w:trPr>
          <w:trHeight w:val="20"/>
        </w:trPr>
        <w:tc>
          <w:tcPr>
            <w:tcW w:w="104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3120" w:type="dxa"/>
            <w:vAlign w:val="bottom"/>
            <w:tcBorders>
              <w:right w:val="single" w:sz="8" w:color="0000EE"/>
            </w:tcBorders>
            <w:gridSpan w:val="19"/>
            <w:shd w:val="clear" w:color="auto" w:fill="0000EE"/>
          </w:tcPr>
          <w:p>
            <w:pPr>
              <w:spacing w:after="0" w:line="20" w:lineRule="exact"/>
              <w:rPr>
                <w:sz w:val="1"/>
                <w:szCs w:val="1"/>
                <w:color w:val="auto"/>
              </w:rPr>
            </w:pPr>
          </w:p>
        </w:tc>
        <w:tc>
          <w:tcPr>
            <w:tcW w:w="1460" w:type="dxa"/>
            <w:vAlign w:val="bottom"/>
            <w:tcBorders>
              <w:left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880" w:type="dxa"/>
            <w:vAlign w:val="bottom"/>
            <w:tcBorders>
              <w:bottom w:val="single" w:sz="8" w:color="0000EE"/>
            </w:tcBorders>
            <w:gridSpan w:val="4"/>
          </w:tcPr>
          <w:p>
            <w:pPr>
              <w:spacing w:after="0" w:line="183" w:lineRule="exact"/>
              <w:rPr>
                <w:rFonts w:ascii="Arial" w:cs="Arial" w:eastAsia="Arial" w:hAnsi="Arial"/>
                <w:sz w:val="16"/>
                <w:szCs w:val="16"/>
                <w:color w:val="auto"/>
                <w:w w:val="87"/>
              </w:rPr>
            </w:pPr>
            <w:hyperlink w:anchor="page142">
              <w:r>
                <w:rPr>
                  <w:rFonts w:ascii="Arial" w:cs="Arial" w:eastAsia="Arial" w:hAnsi="Arial"/>
                  <w:sz w:val="16"/>
                  <w:szCs w:val="16"/>
                  <w:color w:val="auto"/>
                  <w:w w:val="87"/>
                </w:rPr>
                <w:t>Section 1350.</w:t>
              </w:r>
            </w:hyperlink>
          </w:p>
        </w:tc>
        <w:tc>
          <w:tcPr>
            <w:tcW w:w="3120" w:type="dxa"/>
            <w:vAlign w:val="bottom"/>
            <w:gridSpan w:val="19"/>
          </w:tcPr>
          <w:p>
            <w:pPr>
              <w:spacing w:after="0"/>
              <w:rPr>
                <w:sz w:val="15"/>
                <w:szCs w:val="15"/>
                <w:color w:val="auto"/>
              </w:rPr>
            </w:pPr>
          </w:p>
        </w:tc>
        <w:tc>
          <w:tcPr>
            <w:tcW w:w="1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27"/>
        </w:trPr>
        <w:tc>
          <w:tcPr>
            <w:tcW w:w="1040" w:type="dxa"/>
            <w:vAlign w:val="bottom"/>
          </w:tcPr>
          <w:p>
            <w:pPr>
              <w:spacing w:after="0"/>
              <w:rPr>
                <w:sz w:val="20"/>
                <w:szCs w:val="20"/>
                <w:color w:val="auto"/>
              </w:rPr>
            </w:pPr>
            <w:r>
              <w:rPr>
                <w:rFonts w:ascii="Arial" w:cs="Arial" w:eastAsia="Arial" w:hAnsi="Arial"/>
                <w:sz w:val="16"/>
                <w:szCs w:val="16"/>
                <w:color w:val="auto"/>
              </w:rPr>
              <w:t>101.INS</w:t>
            </w:r>
          </w:p>
        </w:tc>
        <w:tc>
          <w:tcPr>
            <w:tcW w:w="4000" w:type="dxa"/>
            <w:vAlign w:val="bottom"/>
            <w:gridSpan w:val="23"/>
          </w:tcPr>
          <w:p>
            <w:pPr>
              <w:spacing w:after="0"/>
              <w:rPr>
                <w:sz w:val="20"/>
                <w:szCs w:val="20"/>
                <w:color w:val="auto"/>
              </w:rPr>
            </w:pPr>
            <w:r>
              <w:rPr>
                <w:rFonts w:ascii="Arial" w:cs="Arial" w:eastAsia="Arial" w:hAnsi="Arial"/>
                <w:sz w:val="16"/>
                <w:szCs w:val="16"/>
                <w:color w:val="auto"/>
                <w:w w:val="98"/>
              </w:rPr>
              <w:t>Inline XBRL Instance Document - the instance document</w:t>
            </w:r>
          </w:p>
        </w:tc>
        <w:tc>
          <w:tcPr>
            <w:tcW w:w="1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20" w:type="dxa"/>
            <w:vAlign w:val="bottom"/>
          </w:tcPr>
          <w:p>
            <w:pPr>
              <w:ind w:left="200"/>
              <w:spacing w:after="0"/>
              <w:rPr>
                <w:sz w:val="20"/>
                <w:szCs w:val="20"/>
                <w:color w:val="auto"/>
              </w:rPr>
            </w:pPr>
            <w:r>
              <w:rPr>
                <w:rFonts w:ascii="Arial" w:cs="Arial" w:eastAsia="Arial" w:hAnsi="Arial"/>
                <w:sz w:val="16"/>
                <w:szCs w:val="16"/>
                <w:color w:val="auto"/>
              </w:rPr>
              <w:t>*</w:t>
            </w:r>
          </w:p>
        </w:tc>
      </w:tr>
      <w:tr>
        <w:trPr>
          <w:trHeight w:val="203"/>
        </w:trPr>
        <w:tc>
          <w:tcPr>
            <w:tcW w:w="1040" w:type="dxa"/>
            <w:vAlign w:val="bottom"/>
          </w:tcPr>
          <w:p>
            <w:pPr>
              <w:spacing w:after="0"/>
              <w:rPr>
                <w:sz w:val="17"/>
                <w:szCs w:val="17"/>
                <w:color w:val="auto"/>
              </w:rPr>
            </w:pPr>
          </w:p>
        </w:tc>
        <w:tc>
          <w:tcPr>
            <w:tcW w:w="4000" w:type="dxa"/>
            <w:vAlign w:val="bottom"/>
            <w:gridSpan w:val="23"/>
          </w:tcPr>
          <w:p>
            <w:pPr>
              <w:spacing w:after="0"/>
              <w:rPr>
                <w:sz w:val="20"/>
                <w:szCs w:val="20"/>
                <w:color w:val="auto"/>
              </w:rPr>
            </w:pPr>
            <w:r>
              <w:rPr>
                <w:rFonts w:ascii="Arial" w:cs="Arial" w:eastAsia="Arial" w:hAnsi="Arial"/>
                <w:sz w:val="16"/>
                <w:szCs w:val="16"/>
                <w:color w:val="auto"/>
                <w:w w:val="90"/>
              </w:rPr>
              <w:t>does not appear in the Interactive Data File because its XBRL</w:t>
            </w:r>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6"/>
        </w:trPr>
        <w:tc>
          <w:tcPr>
            <w:tcW w:w="1040" w:type="dxa"/>
            <w:vAlign w:val="bottom"/>
          </w:tcPr>
          <w:p>
            <w:pPr>
              <w:spacing w:after="0"/>
              <w:rPr>
                <w:sz w:val="17"/>
                <w:szCs w:val="17"/>
                <w:color w:val="auto"/>
              </w:rPr>
            </w:pPr>
          </w:p>
        </w:tc>
        <w:tc>
          <w:tcPr>
            <w:tcW w:w="4000" w:type="dxa"/>
            <w:vAlign w:val="bottom"/>
            <w:gridSpan w:val="23"/>
          </w:tcPr>
          <w:p>
            <w:pPr>
              <w:spacing w:after="0"/>
              <w:rPr>
                <w:sz w:val="20"/>
                <w:szCs w:val="20"/>
                <w:color w:val="auto"/>
              </w:rPr>
            </w:pPr>
            <w:r>
              <w:rPr>
                <w:rFonts w:ascii="Arial" w:cs="Arial" w:eastAsia="Arial" w:hAnsi="Arial"/>
                <w:sz w:val="16"/>
                <w:szCs w:val="16"/>
                <w:color w:val="auto"/>
              </w:rPr>
              <w:t>tags are embedded within the Inline XBRL document.</w:t>
            </w:r>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6"/>
                <w:szCs w:val="16"/>
                <w:color w:val="auto"/>
              </w:rPr>
              <w:t>101.SCH</w:t>
            </w:r>
          </w:p>
        </w:tc>
        <w:tc>
          <w:tcPr>
            <w:tcW w:w="4000" w:type="dxa"/>
            <w:vAlign w:val="bottom"/>
            <w:gridSpan w:val="23"/>
          </w:tcPr>
          <w:p>
            <w:pPr>
              <w:spacing w:after="0"/>
              <w:rPr>
                <w:sz w:val="20"/>
                <w:szCs w:val="20"/>
                <w:color w:val="auto"/>
              </w:rPr>
            </w:pPr>
            <w:r>
              <w:rPr>
                <w:rFonts w:ascii="Arial" w:cs="Arial" w:eastAsia="Arial" w:hAnsi="Arial"/>
                <w:sz w:val="16"/>
                <w:szCs w:val="16"/>
                <w:color w:val="auto"/>
              </w:rPr>
              <w:t>Inline XBRL Taxonomy Extension Schema Document</w:t>
            </w: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ind w:left="200"/>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7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64" w:right="779" w:bottom="1440" w:gutter="0" w:footer="0" w:header="0"/>
        </w:sectPr>
      </w:pPr>
    </w:p>
    <w:bookmarkStart w:id="109" w:name="page110"/>
    <w:bookmarkEnd w:id="109"/>
    <w:tbl>
      <w:tblPr>
        <w:tblLayout w:type="fixed"/>
        <w:tblInd w:w="12" w:type="dxa"/>
        <w:tblCellMar>
          <w:top w:w="0" w:type="dxa"/>
          <w:left w:w="0" w:type="dxa"/>
          <w:bottom w:w="0" w:type="dxa"/>
          <w:right w:w="0" w:type="dxa"/>
        </w:tblCellMar>
      </w:tblPr>
      <w:tr>
        <w:trPr>
          <w:trHeight w:val="203"/>
        </w:trPr>
        <w:tc>
          <w:tcPr>
            <w:tcW w:w="820" w:type="dxa"/>
            <w:vAlign w:val="bottom"/>
          </w:tcPr>
          <w:p>
            <w:pPr>
              <w:spacing w:after="0"/>
              <w:rPr>
                <w:sz w:val="20"/>
                <w:szCs w:val="20"/>
                <w:color w:val="auto"/>
              </w:rPr>
            </w:pPr>
            <w:r>
              <w:rPr>
                <w:rFonts w:ascii="Arial" w:cs="Arial" w:eastAsia="Arial" w:hAnsi="Arial"/>
                <w:sz w:val="16"/>
                <w:szCs w:val="16"/>
                <w:color w:val="auto"/>
              </w:rPr>
              <w:t>101.CAL</w:t>
            </w:r>
          </w:p>
        </w:tc>
        <w:tc>
          <w:tcPr>
            <w:tcW w:w="6480" w:type="dxa"/>
            <w:vAlign w:val="bottom"/>
          </w:tcPr>
          <w:p>
            <w:pPr>
              <w:ind w:left="200"/>
              <w:spacing w:after="0"/>
              <w:rPr>
                <w:sz w:val="20"/>
                <w:szCs w:val="20"/>
                <w:color w:val="auto"/>
              </w:rPr>
            </w:pPr>
            <w:r>
              <w:rPr>
                <w:rFonts w:ascii="Arial" w:cs="Arial" w:eastAsia="Arial" w:hAnsi="Arial"/>
                <w:sz w:val="16"/>
                <w:szCs w:val="16"/>
                <w:color w:val="auto"/>
              </w:rPr>
              <w:t>Inline XBRL Taxonomy Extension Calculation Linkbase</w:t>
            </w:r>
          </w:p>
        </w:tc>
        <w:tc>
          <w:tcPr>
            <w:tcW w:w="2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20" w:type="dxa"/>
            <w:vAlign w:val="bottom"/>
          </w:tcPr>
          <w:p>
            <w:pPr>
              <w:spacing w:after="0"/>
              <w:rPr>
                <w:sz w:val="17"/>
                <w:szCs w:val="17"/>
                <w:color w:val="auto"/>
              </w:rPr>
            </w:pPr>
          </w:p>
        </w:tc>
        <w:tc>
          <w:tcPr>
            <w:tcW w:w="6480" w:type="dxa"/>
            <w:vAlign w:val="bottom"/>
          </w:tcPr>
          <w:p>
            <w:pPr>
              <w:ind w:left="200"/>
              <w:spacing w:after="0"/>
              <w:rPr>
                <w:sz w:val="20"/>
                <w:szCs w:val="20"/>
                <w:color w:val="auto"/>
              </w:rPr>
            </w:pPr>
            <w:r>
              <w:rPr>
                <w:rFonts w:ascii="Arial" w:cs="Arial" w:eastAsia="Arial" w:hAnsi="Arial"/>
                <w:sz w:val="16"/>
                <w:szCs w:val="16"/>
                <w:color w:val="auto"/>
              </w:rPr>
              <w:t>Document</w:t>
            </w:r>
          </w:p>
        </w:tc>
        <w:tc>
          <w:tcPr>
            <w:tcW w:w="2440" w:type="dxa"/>
            <w:vAlign w:val="bottom"/>
          </w:tcPr>
          <w:p>
            <w:pPr>
              <w:spacing w:after="0"/>
              <w:rPr>
                <w:sz w:val="17"/>
                <w:szCs w:val="17"/>
                <w:color w:val="auto"/>
              </w:rPr>
            </w:pPr>
          </w:p>
        </w:tc>
      </w:tr>
      <w:tr>
        <w:trPr>
          <w:trHeight w:val="212"/>
        </w:trPr>
        <w:tc>
          <w:tcPr>
            <w:tcW w:w="820" w:type="dxa"/>
            <w:vAlign w:val="bottom"/>
          </w:tcPr>
          <w:p>
            <w:pPr>
              <w:spacing w:after="0"/>
              <w:rPr>
                <w:sz w:val="20"/>
                <w:szCs w:val="20"/>
                <w:color w:val="auto"/>
              </w:rPr>
            </w:pPr>
            <w:r>
              <w:rPr>
                <w:rFonts w:ascii="Arial" w:cs="Arial" w:eastAsia="Arial" w:hAnsi="Arial"/>
                <w:sz w:val="16"/>
                <w:szCs w:val="16"/>
                <w:color w:val="auto"/>
              </w:rPr>
              <w:t>101.DEF</w:t>
            </w:r>
          </w:p>
        </w:tc>
        <w:tc>
          <w:tcPr>
            <w:tcW w:w="6480" w:type="dxa"/>
            <w:vAlign w:val="bottom"/>
          </w:tcPr>
          <w:p>
            <w:pPr>
              <w:ind w:left="200"/>
              <w:spacing w:after="0"/>
              <w:rPr>
                <w:sz w:val="20"/>
                <w:szCs w:val="20"/>
                <w:color w:val="auto"/>
              </w:rPr>
            </w:pPr>
            <w:r>
              <w:rPr>
                <w:rFonts w:ascii="Arial" w:cs="Arial" w:eastAsia="Arial" w:hAnsi="Arial"/>
                <w:sz w:val="16"/>
                <w:szCs w:val="16"/>
                <w:color w:val="auto"/>
              </w:rPr>
              <w:t>Inline XBRL Taxonomy Extension Definition Linkbase</w:t>
            </w:r>
          </w:p>
        </w:tc>
        <w:tc>
          <w:tcPr>
            <w:tcW w:w="2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20" w:type="dxa"/>
            <w:vAlign w:val="bottom"/>
          </w:tcPr>
          <w:p>
            <w:pPr>
              <w:spacing w:after="0"/>
              <w:rPr>
                <w:sz w:val="17"/>
                <w:szCs w:val="17"/>
                <w:color w:val="auto"/>
              </w:rPr>
            </w:pPr>
          </w:p>
        </w:tc>
        <w:tc>
          <w:tcPr>
            <w:tcW w:w="6480" w:type="dxa"/>
            <w:vAlign w:val="bottom"/>
          </w:tcPr>
          <w:p>
            <w:pPr>
              <w:ind w:left="200"/>
              <w:spacing w:after="0"/>
              <w:rPr>
                <w:sz w:val="20"/>
                <w:szCs w:val="20"/>
                <w:color w:val="auto"/>
              </w:rPr>
            </w:pPr>
            <w:r>
              <w:rPr>
                <w:rFonts w:ascii="Arial" w:cs="Arial" w:eastAsia="Arial" w:hAnsi="Arial"/>
                <w:sz w:val="16"/>
                <w:szCs w:val="16"/>
                <w:color w:val="auto"/>
              </w:rPr>
              <w:t>Document</w:t>
            </w:r>
          </w:p>
        </w:tc>
        <w:tc>
          <w:tcPr>
            <w:tcW w:w="2440" w:type="dxa"/>
            <w:vAlign w:val="bottom"/>
          </w:tcPr>
          <w:p>
            <w:pPr>
              <w:spacing w:after="0"/>
              <w:rPr>
                <w:sz w:val="17"/>
                <w:szCs w:val="17"/>
                <w:color w:val="auto"/>
              </w:rPr>
            </w:pPr>
          </w:p>
        </w:tc>
      </w:tr>
      <w:tr>
        <w:trPr>
          <w:trHeight w:val="212"/>
        </w:trPr>
        <w:tc>
          <w:tcPr>
            <w:tcW w:w="820" w:type="dxa"/>
            <w:vAlign w:val="bottom"/>
          </w:tcPr>
          <w:p>
            <w:pPr>
              <w:spacing w:after="0"/>
              <w:rPr>
                <w:sz w:val="20"/>
                <w:szCs w:val="20"/>
                <w:color w:val="auto"/>
              </w:rPr>
            </w:pPr>
            <w:r>
              <w:rPr>
                <w:rFonts w:ascii="Arial" w:cs="Arial" w:eastAsia="Arial" w:hAnsi="Arial"/>
                <w:sz w:val="16"/>
                <w:szCs w:val="16"/>
                <w:color w:val="auto"/>
              </w:rPr>
              <w:t>101.LAB</w:t>
            </w:r>
          </w:p>
        </w:tc>
        <w:tc>
          <w:tcPr>
            <w:tcW w:w="6480" w:type="dxa"/>
            <w:vAlign w:val="bottom"/>
          </w:tcPr>
          <w:p>
            <w:pPr>
              <w:ind w:left="200"/>
              <w:spacing w:after="0"/>
              <w:rPr>
                <w:sz w:val="20"/>
                <w:szCs w:val="20"/>
                <w:color w:val="auto"/>
              </w:rPr>
            </w:pPr>
            <w:r>
              <w:rPr>
                <w:rFonts w:ascii="Arial" w:cs="Arial" w:eastAsia="Arial" w:hAnsi="Arial"/>
                <w:sz w:val="16"/>
                <w:szCs w:val="16"/>
                <w:color w:val="auto"/>
              </w:rPr>
              <w:t>Inline XBRL Taxonomy Extension Label Linkbase</w:t>
            </w:r>
          </w:p>
        </w:tc>
        <w:tc>
          <w:tcPr>
            <w:tcW w:w="2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20" w:type="dxa"/>
            <w:vAlign w:val="bottom"/>
          </w:tcPr>
          <w:p>
            <w:pPr>
              <w:spacing w:after="0"/>
              <w:rPr>
                <w:sz w:val="17"/>
                <w:szCs w:val="17"/>
                <w:color w:val="auto"/>
              </w:rPr>
            </w:pPr>
          </w:p>
        </w:tc>
        <w:tc>
          <w:tcPr>
            <w:tcW w:w="6480" w:type="dxa"/>
            <w:vAlign w:val="bottom"/>
          </w:tcPr>
          <w:p>
            <w:pPr>
              <w:ind w:left="200"/>
              <w:spacing w:after="0"/>
              <w:rPr>
                <w:sz w:val="20"/>
                <w:szCs w:val="20"/>
                <w:color w:val="auto"/>
              </w:rPr>
            </w:pPr>
            <w:r>
              <w:rPr>
                <w:rFonts w:ascii="Arial" w:cs="Arial" w:eastAsia="Arial" w:hAnsi="Arial"/>
                <w:sz w:val="16"/>
                <w:szCs w:val="16"/>
                <w:color w:val="auto"/>
              </w:rPr>
              <w:t>Document</w:t>
            </w:r>
          </w:p>
        </w:tc>
        <w:tc>
          <w:tcPr>
            <w:tcW w:w="2440" w:type="dxa"/>
            <w:vAlign w:val="bottom"/>
          </w:tcPr>
          <w:p>
            <w:pPr>
              <w:spacing w:after="0"/>
              <w:rPr>
                <w:sz w:val="17"/>
                <w:szCs w:val="17"/>
                <w:color w:val="auto"/>
              </w:rPr>
            </w:pPr>
          </w:p>
        </w:tc>
      </w:tr>
      <w:tr>
        <w:trPr>
          <w:trHeight w:val="212"/>
        </w:trPr>
        <w:tc>
          <w:tcPr>
            <w:tcW w:w="820" w:type="dxa"/>
            <w:vAlign w:val="bottom"/>
          </w:tcPr>
          <w:p>
            <w:pPr>
              <w:spacing w:after="0"/>
              <w:rPr>
                <w:sz w:val="20"/>
                <w:szCs w:val="20"/>
                <w:color w:val="auto"/>
              </w:rPr>
            </w:pPr>
            <w:r>
              <w:rPr>
                <w:rFonts w:ascii="Arial" w:cs="Arial" w:eastAsia="Arial" w:hAnsi="Arial"/>
                <w:sz w:val="16"/>
                <w:szCs w:val="16"/>
                <w:color w:val="auto"/>
              </w:rPr>
              <w:t>101.PRE</w:t>
            </w:r>
          </w:p>
        </w:tc>
        <w:tc>
          <w:tcPr>
            <w:tcW w:w="6480" w:type="dxa"/>
            <w:vAlign w:val="bottom"/>
          </w:tcPr>
          <w:p>
            <w:pPr>
              <w:ind w:left="200"/>
              <w:spacing w:after="0"/>
              <w:rPr>
                <w:sz w:val="20"/>
                <w:szCs w:val="20"/>
                <w:color w:val="auto"/>
              </w:rPr>
            </w:pPr>
            <w:r>
              <w:rPr>
                <w:rFonts w:ascii="Arial" w:cs="Arial" w:eastAsia="Arial" w:hAnsi="Arial"/>
                <w:sz w:val="16"/>
                <w:szCs w:val="16"/>
                <w:color w:val="auto"/>
              </w:rPr>
              <w:t>Inline XBRL Taxonomy Extension Presentation Linkbase</w:t>
            </w:r>
          </w:p>
        </w:tc>
        <w:tc>
          <w:tcPr>
            <w:tcW w:w="2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20" w:type="dxa"/>
            <w:vAlign w:val="bottom"/>
          </w:tcPr>
          <w:p>
            <w:pPr>
              <w:spacing w:after="0"/>
              <w:rPr>
                <w:sz w:val="17"/>
                <w:szCs w:val="17"/>
                <w:color w:val="auto"/>
              </w:rPr>
            </w:pPr>
          </w:p>
        </w:tc>
        <w:tc>
          <w:tcPr>
            <w:tcW w:w="6480" w:type="dxa"/>
            <w:vAlign w:val="bottom"/>
          </w:tcPr>
          <w:p>
            <w:pPr>
              <w:ind w:left="200"/>
              <w:spacing w:after="0"/>
              <w:rPr>
                <w:sz w:val="20"/>
                <w:szCs w:val="20"/>
                <w:color w:val="auto"/>
              </w:rPr>
            </w:pPr>
            <w:r>
              <w:rPr>
                <w:rFonts w:ascii="Arial" w:cs="Arial" w:eastAsia="Arial" w:hAnsi="Arial"/>
                <w:sz w:val="16"/>
                <w:szCs w:val="16"/>
                <w:color w:val="auto"/>
              </w:rPr>
              <w:t>Document</w:t>
            </w:r>
          </w:p>
        </w:tc>
        <w:tc>
          <w:tcPr>
            <w:tcW w:w="2440" w:type="dxa"/>
            <w:vAlign w:val="bottom"/>
          </w:tcPr>
          <w:p>
            <w:pPr>
              <w:spacing w:after="0"/>
              <w:rPr>
                <w:sz w:val="17"/>
                <w:szCs w:val="17"/>
                <w:color w:val="auto"/>
              </w:rPr>
            </w:pPr>
          </w:p>
        </w:tc>
      </w:tr>
      <w:tr>
        <w:trPr>
          <w:trHeight w:val="212"/>
        </w:trPr>
        <w:tc>
          <w:tcPr>
            <w:tcW w:w="820" w:type="dxa"/>
            <w:vAlign w:val="bottom"/>
          </w:tcPr>
          <w:p>
            <w:pPr>
              <w:spacing w:after="0"/>
              <w:rPr>
                <w:sz w:val="20"/>
                <w:szCs w:val="20"/>
                <w:color w:val="auto"/>
              </w:rPr>
            </w:pPr>
            <w:r>
              <w:rPr>
                <w:rFonts w:ascii="Arial" w:cs="Arial" w:eastAsia="Arial" w:hAnsi="Arial"/>
                <w:sz w:val="16"/>
                <w:szCs w:val="16"/>
                <w:color w:val="auto"/>
              </w:rPr>
              <w:t>104</w:t>
            </w:r>
          </w:p>
        </w:tc>
        <w:tc>
          <w:tcPr>
            <w:tcW w:w="6480" w:type="dxa"/>
            <w:vAlign w:val="bottom"/>
          </w:tcPr>
          <w:p>
            <w:pPr>
              <w:ind w:left="200"/>
              <w:spacing w:after="0"/>
              <w:rPr>
                <w:sz w:val="20"/>
                <w:szCs w:val="20"/>
                <w:color w:val="auto"/>
              </w:rPr>
            </w:pPr>
            <w:r>
              <w:rPr>
                <w:rFonts w:ascii="Arial" w:cs="Arial" w:eastAsia="Arial" w:hAnsi="Arial"/>
                <w:sz w:val="16"/>
                <w:szCs w:val="16"/>
                <w:color w:val="auto"/>
              </w:rPr>
              <w:t>Cover Page Interactive Data File (formatted as Inline XBRL</w:t>
            </w:r>
          </w:p>
        </w:tc>
        <w:tc>
          <w:tcPr>
            <w:tcW w:w="2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20" w:type="dxa"/>
            <w:vAlign w:val="bottom"/>
          </w:tcPr>
          <w:p>
            <w:pPr>
              <w:spacing w:after="0"/>
              <w:rPr>
                <w:sz w:val="17"/>
                <w:szCs w:val="17"/>
                <w:color w:val="auto"/>
              </w:rPr>
            </w:pPr>
          </w:p>
        </w:tc>
        <w:tc>
          <w:tcPr>
            <w:tcW w:w="6480" w:type="dxa"/>
            <w:vAlign w:val="bottom"/>
          </w:tcPr>
          <w:p>
            <w:pPr>
              <w:ind w:left="200"/>
              <w:spacing w:after="0"/>
              <w:rPr>
                <w:sz w:val="20"/>
                <w:szCs w:val="20"/>
                <w:color w:val="auto"/>
              </w:rPr>
            </w:pPr>
            <w:r>
              <w:rPr>
                <w:rFonts w:ascii="Arial" w:cs="Arial" w:eastAsia="Arial" w:hAnsi="Arial"/>
                <w:sz w:val="16"/>
                <w:szCs w:val="16"/>
                <w:color w:val="auto"/>
              </w:rPr>
              <w:t>and contained in Exhibit 101)</w:t>
            </w:r>
          </w:p>
        </w:tc>
        <w:tc>
          <w:tcPr>
            <w:tcW w:w="2440" w:type="dxa"/>
            <w:vAlign w:val="bottom"/>
          </w:tcPr>
          <w:p>
            <w:pPr>
              <w:spacing w:after="0"/>
              <w:rPr>
                <w:sz w:val="17"/>
                <w:szCs w:val="17"/>
                <w:color w:val="auto"/>
              </w:rPr>
            </w:pPr>
          </w:p>
        </w:tc>
      </w:tr>
    </w:tbl>
    <w:p>
      <w:pPr>
        <w:spacing w:after="0" w:line="212" w:lineRule="exact"/>
        <w:rPr>
          <w:sz w:val="20"/>
          <w:szCs w:val="20"/>
          <w:color w:val="auto"/>
        </w:rPr>
      </w:pPr>
    </w:p>
    <w:p>
      <w:pPr>
        <w:ind w:left="612" w:hanging="612"/>
        <w:spacing w:after="0"/>
        <w:tabs>
          <w:tab w:leader="none" w:pos="612" w:val="left"/>
        </w:tabs>
        <w:numPr>
          <w:ilvl w:val="0"/>
          <w:numId w:val="39"/>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2" w:lineRule="exact"/>
        <w:rPr>
          <w:sz w:val="20"/>
          <w:szCs w:val="20"/>
          <w:color w:val="auto"/>
        </w:rPr>
      </w:pPr>
    </w:p>
    <w:p>
      <w:pPr>
        <w:ind w:left="612" w:hanging="612"/>
        <w:spacing w:after="0"/>
        <w:tabs>
          <w:tab w:leader="none" w:pos="612" w:val="left"/>
        </w:tabs>
        <w:numPr>
          <w:ilvl w:val="0"/>
          <w:numId w:val="40"/>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53" w:lineRule="exact"/>
        <w:rPr>
          <w:sz w:val="20"/>
          <w:szCs w:val="20"/>
          <w:color w:val="auto"/>
        </w:rPr>
      </w:pPr>
    </w:p>
    <w:p>
      <w:pPr>
        <w:ind w:left="5492"/>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1"/>
          </w:cols>
          <w:pgMar w:left="328" w:top="359" w:right="1440"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440"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680" w:type="dxa"/>
            <w:vAlign w:val="bottom"/>
            <w:gridSpan w:val="2"/>
          </w:tcPr>
          <w:p>
            <w:pPr>
              <w:ind w:left="2660"/>
              <w:spacing w:after="0"/>
              <w:rPr>
                <w:sz w:val="20"/>
                <w:szCs w:val="20"/>
                <w:color w:val="auto"/>
              </w:rPr>
            </w:pPr>
            <w:r>
              <w:rPr>
                <w:rFonts w:ascii="Arial" w:cs="Arial" w:eastAsia="Arial" w:hAnsi="Arial"/>
                <w:sz w:val="18"/>
                <w:szCs w:val="18"/>
                <w:color w:val="auto"/>
              </w:rPr>
              <w:t>SIGHT SCIENCES, INC</w:t>
            </w:r>
          </w:p>
        </w:tc>
        <w:tc>
          <w:tcPr>
            <w:tcW w:w="60" w:type="dxa"/>
            <w:vAlign w:val="bottom"/>
          </w:tcPr>
          <w:p>
            <w:pPr>
              <w:spacing w:after="0"/>
              <w:rPr>
                <w:sz w:val="20"/>
                <w:szCs w:val="20"/>
                <w:color w:val="auto"/>
              </w:rPr>
            </w:pPr>
          </w:p>
        </w:tc>
      </w:tr>
      <w:tr>
        <w:trPr>
          <w:trHeight w:val="486"/>
        </w:trPr>
        <w:tc>
          <w:tcPr>
            <w:tcW w:w="3500" w:type="dxa"/>
            <w:vAlign w:val="bottom"/>
          </w:tcPr>
          <w:p>
            <w:pPr>
              <w:ind w:left="80"/>
              <w:spacing w:after="0"/>
              <w:rPr>
                <w:sz w:val="20"/>
                <w:szCs w:val="20"/>
                <w:color w:val="auto"/>
              </w:rPr>
            </w:pPr>
            <w:r>
              <w:rPr>
                <w:rFonts w:ascii="Arial" w:cs="Arial" w:eastAsia="Arial" w:hAnsi="Arial"/>
                <w:sz w:val="18"/>
                <w:szCs w:val="18"/>
                <w:color w:val="auto"/>
              </w:rPr>
              <w:t>November 10, 2021</w:t>
            </w:r>
          </w:p>
        </w:tc>
        <w:tc>
          <w:tcPr>
            <w:tcW w:w="7680" w:type="dxa"/>
            <w:vAlign w:val="bottom"/>
            <w:gridSpan w:val="2"/>
          </w:tcPr>
          <w:p>
            <w:pPr>
              <w:ind w:left="2660"/>
              <w:spacing w:after="0"/>
              <w:rPr>
                <w:sz w:val="20"/>
                <w:szCs w:val="20"/>
                <w:color w:val="auto"/>
              </w:rPr>
            </w:pPr>
            <w:r>
              <w:rPr>
                <w:rFonts w:ascii="Arial" w:cs="Arial" w:eastAsia="Arial" w:hAnsi="Arial"/>
                <w:sz w:val="18"/>
                <w:szCs w:val="18"/>
                <w:color w:val="auto"/>
              </w:rPr>
              <w:t>By:  /s/ Paul Badawi</w:t>
            </w:r>
          </w:p>
        </w:tc>
        <w:tc>
          <w:tcPr>
            <w:tcW w:w="60" w:type="dxa"/>
            <w:vAlign w:val="bottom"/>
          </w:tcPr>
          <w:p>
            <w:pPr>
              <w:spacing w:after="0"/>
              <w:rPr>
                <w:sz w:val="24"/>
                <w:szCs w:val="24"/>
                <w:color w:val="auto"/>
              </w:rPr>
            </w:pPr>
          </w:p>
        </w:tc>
      </w:tr>
      <w:tr>
        <w:trPr>
          <w:trHeight w:val="224"/>
        </w:trPr>
        <w:tc>
          <w:tcPr>
            <w:tcW w:w="35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Paul Badawi</w:t>
            </w:r>
          </w:p>
        </w:tc>
        <w:tc>
          <w:tcPr>
            <w:tcW w:w="60" w:type="dxa"/>
            <w:vAlign w:val="bottom"/>
          </w:tcPr>
          <w:p>
            <w:pPr>
              <w:spacing w:after="0"/>
              <w:rPr>
                <w:sz w:val="19"/>
                <w:szCs w:val="19"/>
                <w:color w:val="auto"/>
              </w:rPr>
            </w:pPr>
          </w:p>
        </w:tc>
      </w:tr>
      <w:tr>
        <w:trPr>
          <w:trHeight w:val="242"/>
        </w:trPr>
        <w:tc>
          <w:tcPr>
            <w:tcW w:w="35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60" w:type="dxa"/>
            <w:vAlign w:val="bottom"/>
          </w:tcPr>
          <w:p>
            <w:pPr>
              <w:spacing w:after="0"/>
              <w:rPr>
                <w:sz w:val="21"/>
                <w:szCs w:val="21"/>
                <w:color w:val="auto"/>
              </w:rPr>
            </w:pPr>
          </w:p>
        </w:tc>
      </w:tr>
      <w:tr>
        <w:trPr>
          <w:trHeight w:val="945"/>
        </w:trPr>
        <w:tc>
          <w:tcPr>
            <w:tcW w:w="3500" w:type="dxa"/>
            <w:vAlign w:val="bottom"/>
          </w:tcPr>
          <w:p>
            <w:pPr>
              <w:spacing w:after="0"/>
              <w:rPr>
                <w:sz w:val="24"/>
                <w:szCs w:val="24"/>
                <w:color w:val="auto"/>
              </w:rPr>
            </w:pPr>
          </w:p>
        </w:tc>
        <w:tc>
          <w:tcPr>
            <w:tcW w:w="3100" w:type="dxa"/>
            <w:vAlign w:val="bottom"/>
          </w:tcPr>
          <w:p>
            <w:pPr>
              <w:jc w:val="right"/>
              <w:ind w:right="750"/>
              <w:spacing w:after="0"/>
              <w:rPr>
                <w:sz w:val="20"/>
                <w:szCs w:val="20"/>
                <w:color w:val="auto"/>
              </w:rPr>
            </w:pPr>
            <w:r>
              <w:rPr>
                <w:rFonts w:ascii="Arial" w:cs="Arial" w:eastAsia="Arial" w:hAnsi="Arial"/>
                <w:sz w:val="18"/>
                <w:szCs w:val="18"/>
                <w:color w:val="auto"/>
              </w:rPr>
              <w:t>111</w:t>
            </w:r>
          </w:p>
        </w:tc>
        <w:tc>
          <w:tcPr>
            <w:tcW w:w="4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77" w:lineRule="exact"/>
        <w:rPr>
          <w:sz w:val="20"/>
          <w:szCs w:val="20"/>
          <w:color w:val="auto"/>
        </w:rPr>
      </w:pPr>
    </w:p>
    <w:p>
      <w:pPr>
        <w:ind w:left="10220"/>
        <w:spacing w:after="0"/>
        <w:rPr>
          <w:sz w:val="20"/>
          <w:szCs w:val="20"/>
          <w:color w:val="auto"/>
        </w:rPr>
      </w:pPr>
      <w:r>
        <w:rPr>
          <w:rFonts w:ascii="Arial" w:cs="Arial" w:eastAsia="Arial" w:hAnsi="Arial"/>
          <w:sz w:val="18"/>
          <w:szCs w:val="18"/>
          <w:b w:val="1"/>
          <w:bCs w:val="1"/>
          <w:color w:val="auto"/>
        </w:rPr>
        <w:t>Exhibit 10.1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FIRST AMENDMENT TO AMENDED AND RESTATED CREDIT AND SECURITY AGREEMENT (REVOLVING LOAN)</w:t>
      </w:r>
    </w:p>
    <w:p>
      <w:pPr>
        <w:spacing w:after="0" w:line="303" w:lineRule="exact"/>
        <w:rPr>
          <w:sz w:val="20"/>
          <w:szCs w:val="20"/>
          <w:color w:val="auto"/>
        </w:rPr>
      </w:pPr>
    </w:p>
    <w:p>
      <w:pPr>
        <w:jc w:val="both"/>
        <w:ind w:firstLine="396"/>
        <w:spacing w:after="0" w:line="272" w:lineRule="auto"/>
        <w:rPr>
          <w:sz w:val="20"/>
          <w:szCs w:val="20"/>
          <w:color w:val="auto"/>
        </w:rPr>
      </w:pPr>
      <w:r>
        <w:rPr>
          <w:rFonts w:ascii="Arial" w:cs="Arial" w:eastAsia="Arial" w:hAnsi="Arial"/>
          <w:sz w:val="20"/>
          <w:szCs w:val="20"/>
          <w:color w:val="auto"/>
        </w:rPr>
        <w:t>This FIRST AMENDMENT TO AMENDED AND RESTATED CREDIT AND SECURITY AGREEMENT (REVOLVING LOAN) (this “</w:t>
      </w:r>
      <w:r>
        <w:rPr>
          <w:rFonts w:ascii="Arial" w:cs="Arial" w:eastAsia="Arial" w:hAnsi="Arial"/>
          <w:sz w:val="20"/>
          <w:szCs w:val="20"/>
          <w:b w:val="1"/>
          <w:bCs w:val="1"/>
          <w:color w:val="auto"/>
        </w:rPr>
        <w:t>Agreement</w:t>
      </w:r>
      <w:r>
        <w:rPr>
          <w:rFonts w:ascii="Arial" w:cs="Arial" w:eastAsia="Arial" w:hAnsi="Arial"/>
          <w:sz w:val="20"/>
          <w:szCs w:val="20"/>
          <w:color w:val="auto"/>
        </w:rPr>
        <w:t>”) is made as of this 5th day of October, 2021 (“</w:t>
      </w:r>
      <w:r>
        <w:rPr>
          <w:rFonts w:ascii="Arial" w:cs="Arial" w:eastAsia="Arial" w:hAnsi="Arial"/>
          <w:sz w:val="20"/>
          <w:szCs w:val="20"/>
          <w:b w:val="1"/>
          <w:bCs w:val="1"/>
          <w:color w:val="auto"/>
        </w:rPr>
        <w:t>Effective Date</w:t>
      </w:r>
      <w:r>
        <w:rPr>
          <w:rFonts w:ascii="Arial" w:cs="Arial" w:eastAsia="Arial" w:hAnsi="Arial"/>
          <w:sz w:val="20"/>
          <w:szCs w:val="20"/>
          <w:color w:val="auto"/>
        </w:rPr>
        <w:t xml:space="preserve">”), by and among </w:t>
      </w:r>
      <w:r>
        <w:rPr>
          <w:rFonts w:ascii="Arial" w:cs="Arial" w:eastAsia="Arial" w:hAnsi="Arial"/>
          <w:sz w:val="20"/>
          <w:szCs w:val="20"/>
          <w:b w:val="1"/>
          <w:bCs w:val="1"/>
          <w:color w:val="auto"/>
        </w:rPr>
        <w:t>SIGHT SCIENCES, INC.</w:t>
      </w:r>
      <w:r>
        <w:rPr>
          <w:rFonts w:ascii="Arial" w:cs="Arial" w:eastAsia="Arial" w:hAnsi="Arial"/>
          <w:sz w:val="20"/>
          <w:szCs w:val="20"/>
          <w:color w:val="auto"/>
        </w:rPr>
        <w:t>, a Delaware corporation (“</w:t>
      </w:r>
      <w:r>
        <w:rPr>
          <w:rFonts w:ascii="Arial" w:cs="Arial" w:eastAsia="Arial" w:hAnsi="Arial"/>
          <w:sz w:val="20"/>
          <w:szCs w:val="20"/>
          <w:b w:val="1"/>
          <w:bCs w:val="1"/>
          <w:color w:val="auto"/>
        </w:rPr>
        <w:t>Borrower</w:t>
      </w:r>
      <w:r>
        <w:rPr>
          <w:rFonts w:ascii="Arial" w:cs="Arial" w:eastAsia="Arial" w:hAnsi="Arial"/>
          <w:sz w:val="20"/>
          <w:szCs w:val="20"/>
          <w:color w:val="auto"/>
        </w:rPr>
        <w:t xml:space="preserve">”), </w:t>
      </w:r>
      <w:r>
        <w:rPr>
          <w:rFonts w:ascii="Arial" w:cs="Arial" w:eastAsia="Arial" w:hAnsi="Arial"/>
          <w:sz w:val="20"/>
          <w:szCs w:val="20"/>
          <w:b w:val="1"/>
          <w:bCs w:val="1"/>
          <w:color w:val="auto"/>
        </w:rPr>
        <w:t>MIDCAP FUNDING IV TRUST</w:t>
      </w:r>
      <w:r>
        <w:rPr>
          <w:rFonts w:ascii="Arial" w:cs="Arial" w:eastAsia="Arial" w:hAnsi="Arial"/>
          <w:sz w:val="20"/>
          <w:szCs w:val="20"/>
          <w:color w:val="auto"/>
        </w:rPr>
        <w:t>, as Agent for Lenders (in such capacity and together with its permitted successors and assigns, the “</w:t>
      </w:r>
      <w:r>
        <w:rPr>
          <w:rFonts w:ascii="Arial" w:cs="Arial" w:eastAsia="Arial" w:hAnsi="Arial"/>
          <w:sz w:val="20"/>
          <w:szCs w:val="20"/>
          <w:b w:val="1"/>
          <w:bCs w:val="1"/>
          <w:color w:val="auto"/>
        </w:rPr>
        <w:t>Agent</w:t>
      </w:r>
      <w:r>
        <w:rPr>
          <w:rFonts w:ascii="Arial" w:cs="Arial" w:eastAsia="Arial" w:hAnsi="Arial"/>
          <w:sz w:val="20"/>
          <w:szCs w:val="20"/>
          <w:color w:val="auto"/>
        </w:rPr>
        <w:t>”) and the other financial institutions or other entities from time to time parties to the Credit Agreement referenced below, each as a Lender.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49" w:lineRule="exact"/>
        <w:rPr>
          <w:sz w:val="20"/>
          <w:szCs w:val="20"/>
          <w:color w:val="auto"/>
        </w:rPr>
      </w:pPr>
    </w:p>
    <w:p>
      <w:pPr>
        <w:jc w:val="both"/>
        <w:ind w:firstLine="800"/>
        <w:spacing w:after="0" w:line="271" w:lineRule="auto"/>
        <w:tabs>
          <w:tab w:leader="none" w:pos="1397" w:val="left"/>
        </w:tabs>
        <w:numPr>
          <w:ilvl w:val="0"/>
          <w:numId w:val="41"/>
        </w:numPr>
        <w:rPr>
          <w:rFonts w:ascii="Arial" w:cs="Arial" w:eastAsia="Arial" w:hAnsi="Arial"/>
          <w:sz w:val="20"/>
          <w:szCs w:val="20"/>
          <w:color w:val="auto"/>
        </w:rPr>
      </w:pPr>
      <w:r>
        <w:rPr>
          <w:rFonts w:ascii="Arial" w:cs="Arial" w:eastAsia="Arial" w:hAnsi="Arial"/>
          <w:sz w:val="20"/>
          <w:szCs w:val="20"/>
          <w:color w:val="auto"/>
        </w:rPr>
        <w:t>Agent, Lenders and Borrower have entered into that certain Amended and Restated Credit and Security Agreement (Revolving Loan), dated as of November 23, 2020 (as amended, restated, amended and restated, supplemented and/or otherwise modified prior to the date hereof, the “</w:t>
      </w:r>
      <w:r>
        <w:rPr>
          <w:rFonts w:ascii="Arial" w:cs="Arial" w:eastAsia="Arial" w:hAnsi="Arial"/>
          <w:sz w:val="20"/>
          <w:szCs w:val="20"/>
          <w:b w:val="1"/>
          <w:bCs w:val="1"/>
          <w:color w:val="auto"/>
        </w:rPr>
        <w:t>Original Credit Agreement</w:t>
      </w:r>
      <w:r>
        <w:rPr>
          <w:rFonts w:ascii="Arial" w:cs="Arial" w:eastAsia="Arial" w:hAnsi="Arial"/>
          <w:sz w:val="20"/>
          <w:szCs w:val="20"/>
          <w:color w:val="auto"/>
        </w:rPr>
        <w:t>” and as the same is amended hereby and as it may be further amended, restated, amended and restated, supplemented and/or otherwise modified from time to time, the “</w:t>
      </w:r>
      <w:r>
        <w:rPr>
          <w:rFonts w:ascii="Arial" w:cs="Arial" w:eastAsia="Arial" w:hAnsi="Arial"/>
          <w:sz w:val="20"/>
          <w:szCs w:val="20"/>
          <w:b w:val="1"/>
          <w:bCs w:val="1"/>
          <w:color w:val="auto"/>
        </w:rPr>
        <w:t>Credit Agreement</w:t>
      </w:r>
      <w:r>
        <w:rPr>
          <w:rFonts w:ascii="Arial" w:cs="Arial" w:eastAsia="Arial" w:hAnsi="Arial"/>
          <w:sz w:val="20"/>
          <w:szCs w:val="20"/>
          <w:color w:val="auto"/>
        </w:rPr>
        <w:t>”), pursuant to which the Lenders have agreed to make certain advances of money and to extend certain financial accommodations to Borrower in the amounts and manner set forth in the Credit Agreement.</w:t>
      </w:r>
    </w:p>
    <w:p>
      <w:pPr>
        <w:spacing w:after="0" w:line="200" w:lineRule="exact"/>
        <w:rPr>
          <w:rFonts w:ascii="Arial" w:cs="Arial" w:eastAsia="Arial" w:hAnsi="Arial"/>
          <w:sz w:val="20"/>
          <w:szCs w:val="20"/>
          <w:color w:val="auto"/>
        </w:rPr>
      </w:pPr>
    </w:p>
    <w:p>
      <w:pPr>
        <w:spacing w:after="0" w:line="253" w:lineRule="exact"/>
        <w:rPr>
          <w:rFonts w:ascii="Arial" w:cs="Arial" w:eastAsia="Arial" w:hAnsi="Arial"/>
          <w:sz w:val="20"/>
          <w:szCs w:val="20"/>
          <w:color w:val="auto"/>
        </w:rPr>
      </w:pPr>
    </w:p>
    <w:p>
      <w:pPr>
        <w:jc w:val="both"/>
        <w:ind w:firstLine="800"/>
        <w:spacing w:after="0" w:line="274" w:lineRule="auto"/>
        <w:tabs>
          <w:tab w:leader="none" w:pos="1397" w:val="left"/>
        </w:tabs>
        <w:numPr>
          <w:ilvl w:val="0"/>
          <w:numId w:val="41"/>
        </w:numPr>
        <w:rPr>
          <w:rFonts w:ascii="Arial" w:cs="Arial" w:eastAsia="Arial" w:hAnsi="Arial"/>
          <w:sz w:val="20"/>
          <w:szCs w:val="20"/>
          <w:color w:val="auto"/>
        </w:rPr>
      </w:pPr>
      <w:r>
        <w:rPr>
          <w:rFonts w:ascii="Arial" w:cs="Arial" w:eastAsia="Arial" w:hAnsi="Arial"/>
          <w:sz w:val="20"/>
          <w:szCs w:val="20"/>
          <w:color w:val="auto"/>
        </w:rPr>
        <w:t>Borrower has requested, and Agent and the Lenders constituting at least the Required Lenders have agreed, on and subject to the terms and conditions set forth in this Agreement to, among other things, (i) remove the board observer rights contained in Section 4.18 of the Original Credit Agreement and (ii) to amend certain affirmative covenants and related provisions, in each case as more fully set forth in and subject to the terms and conditions herein.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49"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20"/>
          <w:szCs w:val="20"/>
          <w:color w:val="auto"/>
        </w:rPr>
        <w:t>NOW, THEREFORE, in consideration of the foregoing, the terms and conditions set forth in this Agreement, and other good and valuable consideration, the receipt and sufficiency of which are hereby acknowledged, Agent, Required Lenders, and Borrower hereby agree as follows:</w:t>
      </w:r>
    </w:p>
    <w:p>
      <w:pPr>
        <w:spacing w:after="0" w:line="180" w:lineRule="exact"/>
        <w:rPr>
          <w:sz w:val="20"/>
          <w:szCs w:val="20"/>
          <w:color w:val="auto"/>
        </w:rPr>
      </w:pPr>
    </w:p>
    <w:p>
      <w:pPr>
        <w:jc w:val="both"/>
        <w:ind w:firstLine="800"/>
        <w:spacing w:after="0" w:line="274" w:lineRule="auto"/>
        <w:tabs>
          <w:tab w:leader="none" w:pos="1397" w:val="left"/>
        </w:tabs>
        <w:numPr>
          <w:ilvl w:val="0"/>
          <w:numId w:val="42"/>
        </w:numPr>
        <w:rPr>
          <w:rFonts w:ascii="Arial" w:cs="Arial" w:eastAsia="Arial" w:hAnsi="Arial"/>
          <w:sz w:val="20"/>
          <w:szCs w:val="20"/>
          <w:color w:val="010000"/>
        </w:rPr>
      </w:pPr>
      <w:r>
        <w:rPr>
          <w:rFonts w:ascii="Arial" w:cs="Arial" w:eastAsia="Arial" w:hAnsi="Arial"/>
          <w:sz w:val="20"/>
          <w:szCs w:val="20"/>
          <w:b w:val="1"/>
          <w:bCs w:val="1"/>
          <w:u w:val="single" w:color="auto"/>
          <w:color w:val="auto"/>
        </w:rPr>
        <w:t>Recitals; Construction</w:t>
      </w:r>
      <w:r>
        <w:rPr>
          <w:rFonts w:ascii="Arial" w:cs="Arial" w:eastAsia="Arial" w:hAnsi="Arial"/>
          <w:sz w:val="20"/>
          <w:szCs w:val="20"/>
          <w:color w:val="auto"/>
        </w:rPr>
        <w:t>. This Agreement shall constitute a Financing Document and the Recitals and each reference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Credit Agreement, unless otherwise expressly noted, will be deemed to reference the Credit Agreement as modified hereby. The Recitals set forth above shall be construed as part of this Agreement as if set forth fully in the body of this Agreement. Capitalized terms used but not otherwise defined herein shall have the meanings ascribed to them in the Credit Agreement (including those capitalized terms used in the Recitals hereto).</w:t>
      </w:r>
    </w:p>
    <w:p>
      <w:pPr>
        <w:spacing w:after="0" w:line="185" w:lineRule="exact"/>
        <w:rPr>
          <w:rFonts w:ascii="Arial" w:cs="Arial" w:eastAsia="Arial" w:hAnsi="Arial"/>
          <w:sz w:val="20"/>
          <w:szCs w:val="20"/>
          <w:color w:val="010000"/>
        </w:rPr>
      </w:pPr>
    </w:p>
    <w:p>
      <w:pPr>
        <w:jc w:val="both"/>
        <w:ind w:firstLine="800"/>
        <w:spacing w:after="0" w:line="281" w:lineRule="auto"/>
        <w:tabs>
          <w:tab w:leader="none" w:pos="1397" w:val="left"/>
        </w:tabs>
        <w:numPr>
          <w:ilvl w:val="0"/>
          <w:numId w:val="42"/>
        </w:numPr>
        <w:rPr>
          <w:rFonts w:ascii="Arial" w:cs="Arial" w:eastAsia="Arial" w:hAnsi="Arial"/>
          <w:sz w:val="20"/>
          <w:szCs w:val="20"/>
          <w:color w:val="010000"/>
        </w:rPr>
      </w:pPr>
      <w:r>
        <w:rPr>
          <w:rFonts w:ascii="Arial" w:cs="Arial" w:eastAsia="Arial" w:hAnsi="Arial"/>
          <w:sz w:val="20"/>
          <w:szCs w:val="20"/>
          <w:b w:val="1"/>
          <w:bCs w:val="1"/>
          <w:u w:val="single" w:color="auto"/>
          <w:color w:val="auto"/>
        </w:rPr>
        <w:t>Amendments to Credit Agreement</w:t>
      </w:r>
      <w:r>
        <w:rPr>
          <w:rFonts w:ascii="Arial" w:cs="Arial" w:eastAsia="Arial" w:hAnsi="Arial"/>
          <w:sz w:val="20"/>
          <w:szCs w:val="20"/>
          <w:color w:val="auto"/>
        </w:rPr>
        <w:t>. Subject to the terms and conditions in this Agreement, including, without limitation,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conditions to effectiveness set forth in Section 4 below, effective as of the Effective Date, the Original Credit Agreement is hereby amended as follows:</w:t>
      </w:r>
    </w:p>
    <w:p>
      <w:pPr>
        <w:spacing w:after="0" w:line="183" w:lineRule="exact"/>
        <w:rPr>
          <w:rFonts w:ascii="Arial" w:cs="Arial" w:eastAsia="Arial" w:hAnsi="Arial"/>
          <w:sz w:val="20"/>
          <w:szCs w:val="20"/>
          <w:color w:val="010000"/>
        </w:rPr>
      </w:pPr>
    </w:p>
    <w:p>
      <w:pPr>
        <w:ind w:left="2800" w:hanging="1122"/>
        <w:spacing w:after="0"/>
        <w:tabs>
          <w:tab w:leader="none" w:pos="2800" w:val="left"/>
        </w:tabs>
        <w:numPr>
          <w:ilvl w:val="1"/>
          <w:numId w:val="42"/>
        </w:numPr>
        <w:rPr>
          <w:rFonts w:ascii="Arial" w:cs="Arial" w:eastAsia="Arial" w:hAnsi="Arial"/>
          <w:sz w:val="18"/>
          <w:szCs w:val="18"/>
          <w:color w:val="010000"/>
        </w:rPr>
      </w:pPr>
      <w:r>
        <w:rPr>
          <w:rFonts w:ascii="Arial" w:cs="Arial" w:eastAsia="Arial" w:hAnsi="Arial"/>
          <w:sz w:val="18"/>
          <w:szCs w:val="18"/>
          <w:color w:val="auto"/>
        </w:rPr>
        <w:t>Section 4.18 of the Original Credit Agreement is hereby deleted in its entirety and shall have no further</w:t>
      </w:r>
    </w:p>
    <w:p>
      <w:pPr>
        <w:spacing w:after="0" w:line="49"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force or effect.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First Amendment to A&amp;R Credit Agreement (Revolving Loan)</w:t>
      </w:r>
    </w:p>
    <w:p>
      <w:pPr>
        <w:spacing w:after="0" w:line="100" w:lineRule="exact"/>
        <w:rPr>
          <w:sz w:val="20"/>
          <w:szCs w:val="20"/>
          <w:color w:val="auto"/>
        </w:rPr>
      </w:pPr>
    </w:p>
    <w:p>
      <w:pPr>
        <w:spacing w:after="0"/>
        <w:rPr>
          <w:sz w:val="20"/>
          <w:szCs w:val="20"/>
          <w:color w:val="auto"/>
        </w:rPr>
      </w:pPr>
      <w:r>
        <w:rPr>
          <w:rFonts w:ascii="Arial" w:cs="Arial" w:eastAsia="Arial" w:hAnsi="Arial"/>
          <w:sz w:val="11"/>
          <w:szCs w:val="11"/>
          <w:color w:val="auto"/>
        </w:rPr>
        <w:t>\\DC - 036639/000090 - 16338663 v4</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|US-DOCS\126248262.6||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2" w:name="page113"/>
    <w:bookmarkEnd w:id="112"/>
    <w:p>
      <w:pPr>
        <w:ind w:left="2800" w:hanging="1122"/>
        <w:spacing w:after="0"/>
        <w:tabs>
          <w:tab w:leader="none" w:pos="2800" w:val="left"/>
        </w:tabs>
        <w:numPr>
          <w:ilvl w:val="0"/>
          <w:numId w:val="43"/>
        </w:numPr>
        <w:rPr>
          <w:rFonts w:ascii="Arial" w:cs="Arial" w:eastAsia="Arial" w:hAnsi="Arial"/>
          <w:sz w:val="18"/>
          <w:szCs w:val="18"/>
          <w:color w:val="010000"/>
        </w:rPr>
      </w:pPr>
      <w:r>
        <w:rPr>
          <w:rFonts w:ascii="Arial" w:cs="Arial" w:eastAsia="Arial" w:hAnsi="Arial"/>
          <w:sz w:val="18"/>
          <w:szCs w:val="18"/>
          <w:color w:val="auto"/>
        </w:rPr>
        <w:t>Section 10.1(a) of the Original Credit Agreement is hereby amended by deleting the reference to Section</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4.18 therein.</w:t>
      </w:r>
    </w:p>
    <w:p>
      <w:pPr>
        <w:spacing w:after="0" w:line="243" w:lineRule="exact"/>
        <w:rPr>
          <w:sz w:val="20"/>
          <w:szCs w:val="20"/>
          <w:color w:val="auto"/>
        </w:rPr>
      </w:pPr>
    </w:p>
    <w:p>
      <w:pPr>
        <w:jc w:val="both"/>
        <w:ind w:firstLine="1678"/>
        <w:spacing w:after="0" w:line="278" w:lineRule="auto"/>
        <w:tabs>
          <w:tab w:leader="none" w:pos="2793" w:val="left"/>
        </w:tabs>
        <w:numPr>
          <w:ilvl w:val="1"/>
          <w:numId w:val="44"/>
        </w:numPr>
        <w:rPr>
          <w:rFonts w:ascii="Arial" w:cs="Arial" w:eastAsia="Arial" w:hAnsi="Arial"/>
          <w:sz w:val="20"/>
          <w:szCs w:val="20"/>
          <w:color w:val="010000"/>
        </w:rPr>
      </w:pPr>
      <w:r>
        <w:rPr>
          <w:rFonts w:ascii="Arial" w:cs="Arial" w:eastAsia="Arial" w:hAnsi="Arial"/>
          <w:sz w:val="20"/>
          <w:szCs w:val="20"/>
          <w:color w:val="auto"/>
        </w:rPr>
        <w:t>Section 4.1(a) of the Original Credit Agreement is hereby amended by deleting “as soon as available, but no later than thirty (30) days after the last day of each month,” therein and replacing it with “within five (5) Business Days of Agent’s written request, if any, but no earlier than thirty (30) days after the last day of each month”;</w:t>
      </w:r>
    </w:p>
    <w:p>
      <w:pPr>
        <w:spacing w:after="0" w:line="186" w:lineRule="exact"/>
        <w:rPr>
          <w:rFonts w:ascii="Arial" w:cs="Arial" w:eastAsia="Arial" w:hAnsi="Arial"/>
          <w:sz w:val="20"/>
          <w:szCs w:val="20"/>
          <w:color w:val="010000"/>
        </w:rPr>
      </w:pPr>
    </w:p>
    <w:p>
      <w:pPr>
        <w:ind w:left="2800" w:hanging="1122"/>
        <w:spacing w:after="0"/>
        <w:tabs>
          <w:tab w:leader="none" w:pos="2800" w:val="left"/>
        </w:tabs>
        <w:numPr>
          <w:ilvl w:val="1"/>
          <w:numId w:val="44"/>
        </w:numPr>
        <w:rPr>
          <w:rFonts w:ascii="Arial" w:cs="Arial" w:eastAsia="Arial" w:hAnsi="Arial"/>
          <w:sz w:val="20"/>
          <w:szCs w:val="20"/>
          <w:color w:val="010000"/>
        </w:rPr>
      </w:pPr>
      <w:r>
        <w:rPr>
          <w:rFonts w:ascii="Arial" w:cs="Arial" w:eastAsia="Arial" w:hAnsi="Arial"/>
          <w:sz w:val="20"/>
          <w:szCs w:val="20"/>
          <w:color w:val="auto"/>
        </w:rPr>
        <w:t>Section 4.1(b) of the Original Credit Agreement is hereby amended by:</w:t>
      </w:r>
    </w:p>
    <w:p>
      <w:pPr>
        <w:spacing w:after="0" w:line="242" w:lineRule="exact"/>
        <w:rPr>
          <w:rFonts w:ascii="Arial" w:cs="Arial" w:eastAsia="Arial" w:hAnsi="Arial"/>
          <w:sz w:val="20"/>
          <w:szCs w:val="20"/>
          <w:color w:val="010000"/>
        </w:rPr>
      </w:pPr>
    </w:p>
    <w:p>
      <w:pPr>
        <w:ind w:left="2260" w:firstLine="1336"/>
        <w:spacing w:after="0" w:line="288" w:lineRule="auto"/>
        <w:tabs>
          <w:tab w:leader="none" w:pos="5054" w:val="left"/>
        </w:tabs>
        <w:numPr>
          <w:ilvl w:val="2"/>
          <w:numId w:val="44"/>
        </w:numPr>
        <w:rPr>
          <w:rFonts w:ascii="Arial" w:cs="Arial" w:eastAsia="Arial" w:hAnsi="Arial"/>
          <w:sz w:val="20"/>
          <w:szCs w:val="20"/>
          <w:color w:val="010000"/>
        </w:rPr>
      </w:pPr>
      <w:r>
        <w:rPr>
          <w:rFonts w:ascii="Arial" w:cs="Arial" w:eastAsia="Arial" w:hAnsi="Arial"/>
          <w:sz w:val="20"/>
          <w:szCs w:val="20"/>
          <w:color w:val="auto"/>
        </w:rPr>
        <w:t>adding “no later than thirty (30) days after the last day of each month, and” at the beginning thereof immediately prior to the word “together”; and</w:t>
      </w:r>
    </w:p>
    <w:p>
      <w:pPr>
        <w:spacing w:after="0" w:line="177" w:lineRule="exact"/>
        <w:rPr>
          <w:rFonts w:ascii="Arial" w:cs="Arial" w:eastAsia="Arial" w:hAnsi="Arial"/>
          <w:sz w:val="20"/>
          <w:szCs w:val="20"/>
          <w:color w:val="010000"/>
        </w:rPr>
      </w:pPr>
    </w:p>
    <w:p>
      <w:pPr>
        <w:ind w:left="2260" w:right="20" w:firstLine="1290"/>
        <w:spacing w:after="0" w:line="288" w:lineRule="auto"/>
        <w:tabs>
          <w:tab w:leader="none" w:pos="5054" w:val="left"/>
        </w:tabs>
        <w:numPr>
          <w:ilvl w:val="2"/>
          <w:numId w:val="44"/>
        </w:numPr>
        <w:rPr>
          <w:rFonts w:ascii="Arial" w:cs="Arial" w:eastAsia="Arial" w:hAnsi="Arial"/>
          <w:sz w:val="20"/>
          <w:szCs w:val="20"/>
          <w:color w:val="010000"/>
        </w:rPr>
      </w:pPr>
      <w:r>
        <w:rPr>
          <w:rFonts w:ascii="Arial" w:cs="Arial" w:eastAsia="Arial" w:hAnsi="Arial"/>
          <w:sz w:val="20"/>
          <w:szCs w:val="20"/>
          <w:color w:val="auto"/>
        </w:rPr>
        <w:t>adding “to the extent such financial reporting is requested by Agent” immediately after the word “above” therein;</w:t>
      </w:r>
    </w:p>
    <w:p>
      <w:pPr>
        <w:spacing w:after="0" w:line="177" w:lineRule="exact"/>
        <w:rPr>
          <w:rFonts w:ascii="Arial" w:cs="Arial" w:eastAsia="Arial" w:hAnsi="Arial"/>
          <w:sz w:val="20"/>
          <w:szCs w:val="20"/>
          <w:color w:val="010000"/>
        </w:rPr>
      </w:pPr>
    </w:p>
    <w:p>
      <w:pPr>
        <w:jc w:val="both"/>
        <w:ind w:firstLine="1678"/>
        <w:spacing w:after="0" w:line="297" w:lineRule="auto"/>
        <w:tabs>
          <w:tab w:leader="none" w:pos="2793" w:val="left"/>
        </w:tabs>
        <w:numPr>
          <w:ilvl w:val="1"/>
          <w:numId w:val="44"/>
        </w:numPr>
        <w:rPr>
          <w:rFonts w:ascii="Arial" w:cs="Arial" w:eastAsia="Arial" w:hAnsi="Arial"/>
          <w:sz w:val="18"/>
          <w:szCs w:val="18"/>
          <w:color w:val="010000"/>
        </w:rPr>
      </w:pPr>
      <w:r>
        <w:rPr>
          <w:rFonts w:ascii="Arial" w:cs="Arial" w:eastAsia="Arial" w:hAnsi="Arial"/>
          <w:sz w:val="18"/>
          <w:szCs w:val="18"/>
          <w:color w:val="auto"/>
        </w:rPr>
        <w:t>Section 4.1(c) of the Original Credit Agreement is hereby amended by deleting “as soon as available but no later than one hundred and eighty (180) days after the last day of each Borrower’s fiscal year,” therein and replacing it with “within five</w:t>
      </w:r>
    </w:p>
    <w:p>
      <w:pPr>
        <w:ind w:firstLine="8"/>
        <w:spacing w:after="0" w:line="288" w:lineRule="auto"/>
        <w:tabs>
          <w:tab w:leader="none" w:pos="313" w:val="left"/>
        </w:tabs>
        <w:numPr>
          <w:ilvl w:val="0"/>
          <w:numId w:val="45"/>
        </w:numPr>
        <w:rPr>
          <w:rFonts w:ascii="Arial" w:cs="Arial" w:eastAsia="Arial" w:hAnsi="Arial"/>
          <w:sz w:val="20"/>
          <w:szCs w:val="20"/>
          <w:color w:val="auto"/>
        </w:rPr>
      </w:pPr>
      <w:r>
        <w:rPr>
          <w:rFonts w:ascii="Arial" w:cs="Arial" w:eastAsia="Arial" w:hAnsi="Arial"/>
          <w:sz w:val="20"/>
          <w:szCs w:val="20"/>
          <w:color w:val="auto"/>
        </w:rPr>
        <w:t>Business Days of Agent’s written request, if any, but no earlier than one hundred and eighty (180) days after the last day of each Borrower’s fiscal year”;</w:t>
      </w:r>
    </w:p>
    <w:p>
      <w:pPr>
        <w:spacing w:after="0" w:line="177" w:lineRule="exact"/>
        <w:rPr>
          <w:rFonts w:ascii="Arial" w:cs="Arial" w:eastAsia="Arial" w:hAnsi="Arial"/>
          <w:sz w:val="20"/>
          <w:szCs w:val="20"/>
          <w:color w:val="auto"/>
        </w:rPr>
      </w:pPr>
    </w:p>
    <w:p>
      <w:pPr>
        <w:ind w:left="2800" w:hanging="1122"/>
        <w:spacing w:after="0"/>
        <w:tabs>
          <w:tab w:leader="none" w:pos="2800" w:val="left"/>
        </w:tabs>
        <w:numPr>
          <w:ilvl w:val="1"/>
          <w:numId w:val="45"/>
        </w:numPr>
        <w:rPr>
          <w:rFonts w:ascii="Arial" w:cs="Arial" w:eastAsia="Arial" w:hAnsi="Arial"/>
          <w:sz w:val="20"/>
          <w:szCs w:val="20"/>
          <w:color w:val="010000"/>
        </w:rPr>
      </w:pPr>
      <w:r>
        <w:rPr>
          <w:rFonts w:ascii="Arial" w:cs="Arial" w:eastAsia="Arial" w:hAnsi="Arial"/>
          <w:sz w:val="20"/>
          <w:szCs w:val="20"/>
          <w:color w:val="auto"/>
        </w:rPr>
        <w:t>Section 4.1(d) of the Original Credit Agreement is hereby amended by:</w:t>
      </w:r>
    </w:p>
    <w:p>
      <w:pPr>
        <w:spacing w:after="0" w:line="242" w:lineRule="exact"/>
        <w:rPr>
          <w:rFonts w:ascii="Arial" w:cs="Arial" w:eastAsia="Arial" w:hAnsi="Arial"/>
          <w:sz w:val="20"/>
          <w:szCs w:val="20"/>
          <w:color w:val="010000"/>
        </w:rPr>
      </w:pPr>
    </w:p>
    <w:p>
      <w:pPr>
        <w:ind w:left="5040" w:hanging="1444"/>
        <w:spacing w:after="0"/>
        <w:tabs>
          <w:tab w:leader="none" w:pos="5040" w:val="left"/>
        </w:tabs>
        <w:numPr>
          <w:ilvl w:val="2"/>
          <w:numId w:val="45"/>
        </w:numPr>
        <w:rPr>
          <w:rFonts w:ascii="Arial" w:cs="Arial" w:eastAsia="Arial" w:hAnsi="Arial"/>
          <w:sz w:val="20"/>
          <w:szCs w:val="20"/>
          <w:color w:val="010000"/>
        </w:rPr>
      </w:pPr>
      <w:r>
        <w:rPr>
          <w:rFonts w:ascii="Arial" w:cs="Arial" w:eastAsia="Arial" w:hAnsi="Arial"/>
          <w:sz w:val="20"/>
          <w:szCs w:val="20"/>
          <w:color w:val="auto"/>
        </w:rPr>
        <w:t>adding “(i)” at the beginning thereof;</w:t>
      </w:r>
    </w:p>
    <w:p>
      <w:pPr>
        <w:spacing w:after="0" w:line="242" w:lineRule="exact"/>
        <w:rPr>
          <w:rFonts w:ascii="Arial" w:cs="Arial" w:eastAsia="Arial" w:hAnsi="Arial"/>
          <w:sz w:val="20"/>
          <w:szCs w:val="20"/>
          <w:color w:val="010000"/>
        </w:rPr>
      </w:pPr>
    </w:p>
    <w:p>
      <w:pPr>
        <w:ind w:left="5040" w:hanging="1490"/>
        <w:spacing w:after="0"/>
        <w:tabs>
          <w:tab w:leader="none" w:pos="5040" w:val="left"/>
        </w:tabs>
        <w:numPr>
          <w:ilvl w:val="2"/>
          <w:numId w:val="45"/>
        </w:numPr>
        <w:rPr>
          <w:rFonts w:ascii="Arial" w:cs="Arial" w:eastAsia="Arial" w:hAnsi="Arial"/>
          <w:sz w:val="19"/>
          <w:szCs w:val="19"/>
          <w:color w:val="010000"/>
        </w:rPr>
      </w:pPr>
      <w:r>
        <w:rPr>
          <w:rFonts w:ascii="Arial" w:cs="Arial" w:eastAsia="Arial" w:hAnsi="Arial"/>
          <w:sz w:val="19"/>
          <w:szCs w:val="19"/>
          <w:color w:val="auto"/>
        </w:rPr>
        <w:t>adding “five (5) Business Days of Agent’s written request, if any, but no</w:t>
      </w:r>
    </w:p>
    <w:p>
      <w:pPr>
        <w:spacing w:after="0" w:line="38" w:lineRule="exact"/>
        <w:rPr>
          <w:rFonts w:ascii="Arial" w:cs="Arial" w:eastAsia="Arial" w:hAnsi="Arial"/>
          <w:sz w:val="19"/>
          <w:szCs w:val="19"/>
          <w:color w:val="010000"/>
        </w:rPr>
      </w:pPr>
    </w:p>
    <w:p>
      <w:pPr>
        <w:ind w:left="2260"/>
        <w:spacing w:after="0"/>
        <w:rPr>
          <w:rFonts w:ascii="Arial" w:cs="Arial" w:eastAsia="Arial" w:hAnsi="Arial"/>
          <w:sz w:val="19"/>
          <w:szCs w:val="19"/>
          <w:color w:val="010000"/>
        </w:rPr>
      </w:pPr>
      <w:r>
        <w:rPr>
          <w:rFonts w:ascii="Arial" w:cs="Arial" w:eastAsia="Arial" w:hAnsi="Arial"/>
          <w:sz w:val="20"/>
          <w:szCs w:val="20"/>
          <w:color w:val="auto"/>
        </w:rPr>
        <w:t>earlier than” immediately following the first instance of the word “within” therein; and</w:t>
      </w:r>
    </w:p>
    <w:p>
      <w:pPr>
        <w:spacing w:after="0" w:line="242" w:lineRule="exact"/>
        <w:rPr>
          <w:rFonts w:ascii="Arial" w:cs="Arial" w:eastAsia="Arial" w:hAnsi="Arial"/>
          <w:sz w:val="19"/>
          <w:szCs w:val="19"/>
          <w:color w:val="010000"/>
        </w:rPr>
      </w:pPr>
    </w:p>
    <w:p>
      <w:pPr>
        <w:ind w:left="2260" w:firstLine="1244"/>
        <w:spacing w:after="0" w:line="288" w:lineRule="auto"/>
        <w:tabs>
          <w:tab w:leader="none" w:pos="5054" w:val="left"/>
        </w:tabs>
        <w:numPr>
          <w:ilvl w:val="3"/>
          <w:numId w:val="45"/>
        </w:numPr>
        <w:rPr>
          <w:rFonts w:ascii="Arial" w:cs="Arial" w:eastAsia="Arial" w:hAnsi="Arial"/>
          <w:sz w:val="20"/>
          <w:szCs w:val="20"/>
          <w:color w:val="010000"/>
        </w:rPr>
      </w:pPr>
      <w:r>
        <w:rPr>
          <w:rFonts w:ascii="Arial" w:cs="Arial" w:eastAsia="Arial" w:hAnsi="Arial"/>
          <w:sz w:val="20"/>
          <w:szCs w:val="20"/>
          <w:color w:val="auto"/>
        </w:rPr>
        <w:t>adding “(ii) within five (5) days of filing thereof,” immediately prior to the phrase “copies of all reports and other filings” therein;</w:t>
      </w:r>
    </w:p>
    <w:p>
      <w:pPr>
        <w:spacing w:after="0" w:line="177" w:lineRule="exact"/>
        <w:rPr>
          <w:rFonts w:ascii="Arial" w:cs="Arial" w:eastAsia="Arial" w:hAnsi="Arial"/>
          <w:sz w:val="20"/>
          <w:szCs w:val="20"/>
          <w:color w:val="010000"/>
        </w:rPr>
      </w:pPr>
    </w:p>
    <w:p>
      <w:pPr>
        <w:ind w:firstLine="1678"/>
        <w:spacing w:after="0" w:line="288" w:lineRule="auto"/>
        <w:tabs>
          <w:tab w:leader="none" w:pos="2793" w:val="left"/>
        </w:tabs>
        <w:numPr>
          <w:ilvl w:val="1"/>
          <w:numId w:val="45"/>
        </w:numPr>
        <w:rPr>
          <w:rFonts w:ascii="Arial" w:cs="Arial" w:eastAsia="Arial" w:hAnsi="Arial"/>
          <w:sz w:val="20"/>
          <w:szCs w:val="20"/>
          <w:color w:val="010000"/>
        </w:rPr>
      </w:pPr>
      <w:r>
        <w:rPr>
          <w:rFonts w:ascii="Arial" w:cs="Arial" w:eastAsia="Arial" w:hAnsi="Arial"/>
          <w:sz w:val="20"/>
          <w:szCs w:val="20"/>
          <w:color w:val="auto"/>
        </w:rPr>
        <w:t>Section 4.1(e) of the Original Credit Agreement is hereby amended by adding “upon Agent’s written request,” at the beginning thereof immediately prior to the phrase “a prompt written report” therein;</w:t>
      </w:r>
    </w:p>
    <w:p>
      <w:pPr>
        <w:spacing w:after="0" w:line="177" w:lineRule="exact"/>
        <w:rPr>
          <w:rFonts w:ascii="Arial" w:cs="Arial" w:eastAsia="Arial" w:hAnsi="Arial"/>
          <w:sz w:val="20"/>
          <w:szCs w:val="20"/>
          <w:color w:val="010000"/>
        </w:rPr>
      </w:pPr>
    </w:p>
    <w:p>
      <w:pPr>
        <w:ind w:firstLine="1678"/>
        <w:spacing w:after="0" w:line="288" w:lineRule="auto"/>
        <w:tabs>
          <w:tab w:leader="none" w:pos="2793" w:val="left"/>
        </w:tabs>
        <w:numPr>
          <w:ilvl w:val="1"/>
          <w:numId w:val="45"/>
        </w:numPr>
        <w:rPr>
          <w:rFonts w:ascii="Arial" w:cs="Arial" w:eastAsia="Arial" w:hAnsi="Arial"/>
          <w:sz w:val="20"/>
          <w:szCs w:val="20"/>
          <w:color w:val="010000"/>
        </w:rPr>
      </w:pPr>
      <w:r>
        <w:rPr>
          <w:rFonts w:ascii="Arial" w:cs="Arial" w:eastAsia="Arial" w:hAnsi="Arial"/>
          <w:sz w:val="20"/>
          <w:szCs w:val="20"/>
          <w:color w:val="auto"/>
        </w:rPr>
        <w:t>Section 4.1(g) of the Original Credit Agreement is hereby amended by adding “five (5) Business Days of Agent’s written request, if any, but no earlier than” immediately prior to the word “sixty” therein;</w:t>
      </w:r>
    </w:p>
    <w:p>
      <w:pPr>
        <w:spacing w:after="0" w:line="177" w:lineRule="exact"/>
        <w:rPr>
          <w:rFonts w:ascii="Arial" w:cs="Arial" w:eastAsia="Arial" w:hAnsi="Arial"/>
          <w:sz w:val="20"/>
          <w:szCs w:val="20"/>
          <w:color w:val="010000"/>
        </w:rPr>
      </w:pPr>
    </w:p>
    <w:p>
      <w:pPr>
        <w:jc w:val="both"/>
        <w:ind w:firstLine="1678"/>
        <w:spacing w:after="0" w:line="278" w:lineRule="auto"/>
        <w:tabs>
          <w:tab w:leader="none" w:pos="2793" w:val="left"/>
        </w:tabs>
        <w:numPr>
          <w:ilvl w:val="1"/>
          <w:numId w:val="45"/>
        </w:numPr>
        <w:rPr>
          <w:rFonts w:ascii="Arial" w:cs="Arial" w:eastAsia="Arial" w:hAnsi="Arial"/>
          <w:sz w:val="20"/>
          <w:szCs w:val="20"/>
          <w:color w:val="010000"/>
        </w:rPr>
      </w:pPr>
      <w:r>
        <w:rPr>
          <w:rFonts w:ascii="Arial" w:cs="Arial" w:eastAsia="Arial" w:hAnsi="Arial"/>
          <w:sz w:val="20"/>
          <w:szCs w:val="20"/>
          <w:color w:val="auto"/>
        </w:rPr>
        <w:t>Section 4.1(h) of the Original Credit Agreement is hereby amended by deleting “promptly (but in any event within ten (10) days of any request therefor)” where it appears therein and replacing it with “within ten (10) days of Agent’s request, if any, therefor”;</w:t>
      </w:r>
    </w:p>
    <w:p>
      <w:pPr>
        <w:spacing w:after="0" w:line="186" w:lineRule="exact"/>
        <w:rPr>
          <w:rFonts w:ascii="Arial" w:cs="Arial" w:eastAsia="Arial" w:hAnsi="Arial"/>
          <w:sz w:val="20"/>
          <w:szCs w:val="20"/>
          <w:color w:val="010000"/>
        </w:rPr>
      </w:pPr>
    </w:p>
    <w:p>
      <w:pPr>
        <w:ind w:firstLine="1678"/>
        <w:spacing w:after="0" w:line="288" w:lineRule="auto"/>
        <w:tabs>
          <w:tab w:leader="none" w:pos="2793" w:val="left"/>
        </w:tabs>
        <w:numPr>
          <w:ilvl w:val="1"/>
          <w:numId w:val="45"/>
        </w:numPr>
        <w:rPr>
          <w:rFonts w:ascii="Arial" w:cs="Arial" w:eastAsia="Arial" w:hAnsi="Arial"/>
          <w:sz w:val="20"/>
          <w:szCs w:val="20"/>
          <w:color w:val="010000"/>
        </w:rPr>
      </w:pPr>
      <w:r>
        <w:rPr>
          <w:rFonts w:ascii="Arial" w:cs="Arial" w:eastAsia="Arial" w:hAnsi="Arial"/>
          <w:sz w:val="20"/>
          <w:szCs w:val="20"/>
          <w:color w:val="auto"/>
        </w:rPr>
        <w:t>Section 4.1(i) of the Original Credit Agreement is hereby amended by deleting subsection 4.1(i) in its entirety and replacing it with the following:</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“(i) within thirty (30) days after the last day of each month, together with the monthly financial statements described in</w:t>
      </w:r>
    </w:p>
    <w:p>
      <w:pPr>
        <w:spacing w:after="0" w:line="27" w:lineRule="exact"/>
        <w:rPr>
          <w:sz w:val="20"/>
          <w:szCs w:val="20"/>
          <w:color w:val="auto"/>
        </w:rPr>
      </w:pPr>
    </w:p>
    <w:p>
      <w:pPr>
        <w:jc w:val="both"/>
        <w:ind w:left="1500" w:firstLine="5"/>
        <w:spacing w:after="0" w:line="274" w:lineRule="auto"/>
        <w:tabs>
          <w:tab w:leader="none" w:pos="1777" w:val="left"/>
        </w:tabs>
        <w:numPr>
          <w:ilvl w:val="0"/>
          <w:numId w:val="46"/>
        </w:numPr>
        <w:rPr>
          <w:rFonts w:ascii="Arial" w:cs="Arial" w:eastAsia="Arial" w:hAnsi="Arial"/>
          <w:sz w:val="20"/>
          <w:szCs w:val="20"/>
          <w:color w:val="auto"/>
        </w:rPr>
      </w:pPr>
      <w:r>
        <w:rPr>
          <w:rFonts w:ascii="Arial" w:cs="Arial" w:eastAsia="Arial" w:hAnsi="Arial"/>
          <w:sz w:val="20"/>
          <w:szCs w:val="20"/>
          <w:color w:val="auto"/>
        </w:rPr>
        <w:t>above to the extent such financial statements have been requested by Agent, a duly completed Compliance Certificate signed by a Responsible Officer setting forth calculations showing monthly cash and cash equivalents of Borrowers, Borrowers and their Consolidated Subsidiaries, and the Excluded Subsidiaries (in each case, if requested by Agent five (5) Business Days prior to the date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First Amendment to A&amp;R Credit Agreement (Revolving Loan)</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\\DC - 036639/000090 - 16338663 v4  </w:t>
      </w:r>
      <w:r>
        <w:rPr>
          <w:rFonts w:ascii="Arial" w:cs="Arial" w:eastAsia="Arial" w:hAnsi="Arial"/>
          <w:sz w:val="16"/>
          <w:szCs w:val="16"/>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|US-DOCS\126248262.6||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3" w:name="page114"/>
    <w:bookmarkEnd w:id="113"/>
    <w:p>
      <w:pPr>
        <w:jc w:val="both"/>
        <w:ind w:left="1500"/>
        <w:spacing w:after="0" w:line="322" w:lineRule="auto"/>
        <w:rPr>
          <w:sz w:val="20"/>
          <w:szCs w:val="20"/>
          <w:color w:val="auto"/>
        </w:rPr>
      </w:pPr>
      <w:r>
        <w:rPr>
          <w:rFonts w:ascii="Arial" w:cs="Arial" w:eastAsia="Arial" w:hAnsi="Arial"/>
          <w:sz w:val="18"/>
          <w:szCs w:val="18"/>
          <w:color w:val="auto"/>
        </w:rPr>
        <w:t>such Compliance Certificate is delivered) and compliance with the financial covenants set forth in this Agreement; provided that, for the avoidance of doubt, the calculations of monthly cash and cash equivalent and the monthly financial statements described in (a) above shall only be attached to the Compliance Certificate if requested by Agent in writing.”</w:t>
      </w:r>
    </w:p>
    <w:p>
      <w:pPr>
        <w:spacing w:after="0" w:line="152" w:lineRule="exact"/>
        <w:rPr>
          <w:sz w:val="20"/>
          <w:szCs w:val="20"/>
          <w:color w:val="auto"/>
        </w:rPr>
      </w:pPr>
    </w:p>
    <w:p>
      <w:pPr>
        <w:jc w:val="both"/>
        <w:ind w:firstLine="1678"/>
        <w:spacing w:after="0" w:line="278" w:lineRule="auto"/>
        <w:tabs>
          <w:tab w:leader="none" w:pos="2793" w:val="left"/>
        </w:tabs>
        <w:numPr>
          <w:ilvl w:val="1"/>
          <w:numId w:val="47"/>
        </w:numPr>
        <w:rPr>
          <w:rFonts w:ascii="Arial" w:cs="Arial" w:eastAsia="Arial" w:hAnsi="Arial"/>
          <w:sz w:val="20"/>
          <w:szCs w:val="20"/>
          <w:color w:val="010000"/>
        </w:rPr>
      </w:pPr>
      <w:r>
        <w:rPr>
          <w:rFonts w:ascii="Arial" w:cs="Arial" w:eastAsia="Arial" w:hAnsi="Arial"/>
          <w:sz w:val="20"/>
          <w:szCs w:val="20"/>
          <w:color w:val="auto"/>
        </w:rPr>
        <w:t>Section 4.1(j) of the Original Credit Agreement is hereby amended by deleting “within ten (10) Business Days after the last day of each month,” therein and replacing it with “upon Agent’s written request, but no earlier than ten (10) Business Days after the last day of each month,”;</w:t>
      </w:r>
    </w:p>
    <w:p>
      <w:pPr>
        <w:spacing w:after="0" w:line="186" w:lineRule="exact"/>
        <w:rPr>
          <w:rFonts w:ascii="Arial" w:cs="Arial" w:eastAsia="Arial" w:hAnsi="Arial"/>
          <w:sz w:val="20"/>
          <w:szCs w:val="20"/>
          <w:color w:val="010000"/>
        </w:rPr>
      </w:pPr>
    </w:p>
    <w:p>
      <w:pPr>
        <w:jc w:val="both"/>
        <w:ind w:firstLine="1678"/>
        <w:spacing w:after="0" w:line="274" w:lineRule="auto"/>
        <w:tabs>
          <w:tab w:leader="none" w:pos="2793" w:val="left"/>
        </w:tabs>
        <w:numPr>
          <w:ilvl w:val="1"/>
          <w:numId w:val="47"/>
        </w:numPr>
        <w:rPr>
          <w:rFonts w:ascii="Arial" w:cs="Arial" w:eastAsia="Arial" w:hAnsi="Arial"/>
          <w:sz w:val="20"/>
          <w:szCs w:val="20"/>
          <w:color w:val="010000"/>
        </w:rPr>
      </w:pPr>
      <w:r>
        <w:rPr>
          <w:rFonts w:ascii="Arial" w:cs="Arial" w:eastAsia="Arial" w:hAnsi="Arial"/>
          <w:sz w:val="20"/>
          <w:szCs w:val="20"/>
          <w:color w:val="auto"/>
        </w:rPr>
        <w:t>Section 4.1(l) of the Original Credit Agreement is hereby amended by deleting the phrase “written notice to Agent promptly, but in any event within ten (10) Business Days of a Responsible Officer of a Borrower receiving written notice” and replacing it with “within ten (10) Business Days of Agent’s written request, if any, written notice to Agent of any Responsible Officer of a Borrower receiving written notice”;</w:t>
      </w:r>
    </w:p>
    <w:p>
      <w:pPr>
        <w:spacing w:after="0" w:line="191" w:lineRule="exact"/>
        <w:rPr>
          <w:rFonts w:ascii="Arial" w:cs="Arial" w:eastAsia="Arial" w:hAnsi="Arial"/>
          <w:sz w:val="20"/>
          <w:szCs w:val="20"/>
          <w:color w:val="010000"/>
        </w:rPr>
      </w:pPr>
    </w:p>
    <w:p>
      <w:pPr>
        <w:ind w:left="2800" w:hanging="1122"/>
        <w:spacing w:after="0"/>
        <w:tabs>
          <w:tab w:leader="none" w:pos="2800" w:val="left"/>
        </w:tabs>
        <w:numPr>
          <w:ilvl w:val="1"/>
          <w:numId w:val="47"/>
        </w:numPr>
        <w:rPr>
          <w:rFonts w:ascii="Arial" w:cs="Arial" w:eastAsia="Arial" w:hAnsi="Arial"/>
          <w:sz w:val="20"/>
          <w:szCs w:val="20"/>
          <w:color w:val="010000"/>
        </w:rPr>
      </w:pPr>
      <w:r>
        <w:rPr>
          <w:rFonts w:ascii="Arial" w:cs="Arial" w:eastAsia="Arial" w:hAnsi="Arial"/>
          <w:sz w:val="20"/>
          <w:szCs w:val="20"/>
          <w:color w:val="auto"/>
        </w:rPr>
        <w:t>Section 4.9(a) of the Original Credit Agreement is hereby amended by:</w:t>
      </w:r>
    </w:p>
    <w:p>
      <w:pPr>
        <w:spacing w:after="0" w:line="242" w:lineRule="exact"/>
        <w:rPr>
          <w:rFonts w:ascii="Arial" w:cs="Arial" w:eastAsia="Arial" w:hAnsi="Arial"/>
          <w:sz w:val="20"/>
          <w:szCs w:val="20"/>
          <w:color w:val="010000"/>
        </w:rPr>
      </w:pPr>
    </w:p>
    <w:p>
      <w:pPr>
        <w:ind w:left="5040" w:hanging="1444"/>
        <w:spacing w:after="0"/>
        <w:tabs>
          <w:tab w:leader="none" w:pos="5040" w:val="left"/>
        </w:tabs>
        <w:numPr>
          <w:ilvl w:val="2"/>
          <w:numId w:val="47"/>
        </w:numPr>
        <w:rPr>
          <w:rFonts w:ascii="Arial" w:cs="Arial" w:eastAsia="Arial" w:hAnsi="Arial"/>
          <w:sz w:val="19"/>
          <w:szCs w:val="19"/>
          <w:color w:val="010000"/>
        </w:rPr>
      </w:pPr>
      <w:r>
        <w:rPr>
          <w:rFonts w:ascii="Arial" w:cs="Arial" w:eastAsia="Arial" w:hAnsi="Arial"/>
          <w:sz w:val="19"/>
          <w:szCs w:val="19"/>
          <w:color w:val="auto"/>
        </w:rPr>
        <w:t>adding “upon Agent’s written request, if any” at the beginning of clause (i)</w:t>
      </w:r>
    </w:p>
    <w:p>
      <w:pPr>
        <w:spacing w:after="0" w:line="38" w:lineRule="exact"/>
        <w:rPr>
          <w:rFonts w:ascii="Arial" w:cs="Arial" w:eastAsia="Arial" w:hAnsi="Arial"/>
          <w:sz w:val="19"/>
          <w:szCs w:val="19"/>
          <w:color w:val="010000"/>
        </w:rPr>
      </w:pPr>
    </w:p>
    <w:p>
      <w:pPr>
        <w:ind w:left="2260"/>
        <w:spacing w:after="0"/>
        <w:rPr>
          <w:rFonts w:ascii="Arial" w:cs="Arial" w:eastAsia="Arial" w:hAnsi="Arial"/>
          <w:sz w:val="19"/>
          <w:szCs w:val="19"/>
          <w:color w:val="010000"/>
        </w:rPr>
      </w:pPr>
      <w:r>
        <w:rPr>
          <w:rFonts w:ascii="Arial" w:cs="Arial" w:eastAsia="Arial" w:hAnsi="Arial"/>
          <w:sz w:val="20"/>
          <w:szCs w:val="20"/>
          <w:color w:val="auto"/>
        </w:rPr>
        <w:t>thereof;</w:t>
      </w:r>
    </w:p>
    <w:p>
      <w:pPr>
        <w:spacing w:after="0" w:line="242" w:lineRule="exact"/>
        <w:rPr>
          <w:rFonts w:ascii="Arial" w:cs="Arial" w:eastAsia="Arial" w:hAnsi="Arial"/>
          <w:sz w:val="19"/>
          <w:szCs w:val="19"/>
          <w:color w:val="010000"/>
        </w:rPr>
      </w:pPr>
    </w:p>
    <w:p>
      <w:pPr>
        <w:ind w:left="2260" w:right="20" w:firstLine="1290"/>
        <w:spacing w:after="0" w:line="288" w:lineRule="auto"/>
        <w:tabs>
          <w:tab w:leader="none" w:pos="5054" w:val="left"/>
        </w:tabs>
        <w:numPr>
          <w:ilvl w:val="2"/>
          <w:numId w:val="47"/>
        </w:numPr>
        <w:rPr>
          <w:rFonts w:ascii="Arial" w:cs="Arial" w:eastAsia="Arial" w:hAnsi="Arial"/>
          <w:sz w:val="20"/>
          <w:szCs w:val="20"/>
          <w:color w:val="010000"/>
        </w:rPr>
      </w:pPr>
      <w:r>
        <w:rPr>
          <w:rFonts w:ascii="Arial" w:cs="Arial" w:eastAsia="Arial" w:hAnsi="Arial"/>
          <w:sz w:val="20"/>
          <w:szCs w:val="20"/>
          <w:color w:val="auto"/>
        </w:rPr>
        <w:t>adding “of such request” immediately following the phrase “five (5) Business Days” where it appears in clause (i) thereof; and</w:t>
      </w:r>
    </w:p>
    <w:p>
      <w:pPr>
        <w:spacing w:after="0" w:line="177" w:lineRule="exact"/>
        <w:rPr>
          <w:rFonts w:ascii="Arial" w:cs="Arial" w:eastAsia="Arial" w:hAnsi="Arial"/>
          <w:sz w:val="20"/>
          <w:szCs w:val="20"/>
          <w:color w:val="010000"/>
        </w:rPr>
      </w:pPr>
    </w:p>
    <w:p>
      <w:pPr>
        <w:ind w:left="5040" w:hanging="1536"/>
        <w:spacing w:after="0"/>
        <w:tabs>
          <w:tab w:leader="none" w:pos="5040" w:val="left"/>
        </w:tabs>
        <w:numPr>
          <w:ilvl w:val="3"/>
          <w:numId w:val="47"/>
        </w:numPr>
        <w:rPr>
          <w:rFonts w:ascii="Arial" w:cs="Arial" w:eastAsia="Arial" w:hAnsi="Arial"/>
          <w:sz w:val="18"/>
          <w:szCs w:val="18"/>
          <w:color w:val="010000"/>
        </w:rPr>
      </w:pPr>
      <w:r>
        <w:rPr>
          <w:rFonts w:ascii="Arial" w:cs="Arial" w:eastAsia="Arial" w:hAnsi="Arial"/>
          <w:sz w:val="18"/>
          <w:szCs w:val="18"/>
          <w:color w:val="auto"/>
        </w:rPr>
        <w:t>adding “upon Agent’s written request, if any,” at the beginning of clause (ii)</w:t>
      </w:r>
    </w:p>
    <w:p>
      <w:pPr>
        <w:spacing w:after="0" w:line="49" w:lineRule="exact"/>
        <w:rPr>
          <w:rFonts w:ascii="Arial" w:cs="Arial" w:eastAsia="Arial" w:hAnsi="Arial"/>
          <w:sz w:val="18"/>
          <w:szCs w:val="18"/>
          <w:color w:val="010000"/>
        </w:rPr>
      </w:pPr>
    </w:p>
    <w:p>
      <w:pPr>
        <w:ind w:left="2260"/>
        <w:spacing w:after="0"/>
        <w:rPr>
          <w:rFonts w:ascii="Arial" w:cs="Arial" w:eastAsia="Arial" w:hAnsi="Arial"/>
          <w:sz w:val="18"/>
          <w:szCs w:val="18"/>
          <w:color w:val="010000"/>
        </w:rPr>
      </w:pPr>
      <w:r>
        <w:rPr>
          <w:rFonts w:ascii="Arial" w:cs="Arial" w:eastAsia="Arial" w:hAnsi="Arial"/>
          <w:sz w:val="20"/>
          <w:szCs w:val="20"/>
          <w:color w:val="auto"/>
        </w:rPr>
        <w:t>thereof;</w:t>
      </w:r>
    </w:p>
    <w:p>
      <w:pPr>
        <w:spacing w:after="0" w:line="242" w:lineRule="exact"/>
        <w:rPr>
          <w:rFonts w:ascii="Arial" w:cs="Arial" w:eastAsia="Arial" w:hAnsi="Arial"/>
          <w:sz w:val="18"/>
          <w:szCs w:val="18"/>
          <w:color w:val="010000"/>
        </w:rPr>
      </w:pPr>
    </w:p>
    <w:p>
      <w:pPr>
        <w:jc w:val="both"/>
        <w:ind w:firstLine="1678"/>
        <w:spacing w:after="0" w:line="274" w:lineRule="auto"/>
        <w:tabs>
          <w:tab w:leader="none" w:pos="2793" w:val="left"/>
        </w:tabs>
        <w:numPr>
          <w:ilvl w:val="1"/>
          <w:numId w:val="47"/>
        </w:numPr>
        <w:rPr>
          <w:rFonts w:ascii="Arial" w:cs="Arial" w:eastAsia="Arial" w:hAnsi="Arial"/>
          <w:sz w:val="20"/>
          <w:szCs w:val="20"/>
          <w:color w:val="010000"/>
        </w:rPr>
      </w:pPr>
      <w:r>
        <w:rPr>
          <w:rFonts w:ascii="Arial" w:cs="Arial" w:eastAsia="Arial" w:hAnsi="Arial"/>
          <w:sz w:val="20"/>
          <w:szCs w:val="20"/>
          <w:color w:val="auto"/>
        </w:rPr>
        <w:t>Section 4.15 of the Original Credit Agreement is hereby amended by adding “and Schedule 3.6 which shall only be updated to the extent Agent has requested Borrower to update Schedule 3.6 at least five (5) Business Days prior to the date the next quarterly Compliance Certificate is required to be delivered under this Agreement” immediately following the phrase “on the Closing Date” where it appears therein;</w:t>
      </w:r>
    </w:p>
    <w:p>
      <w:pPr>
        <w:spacing w:after="0" w:line="191" w:lineRule="exact"/>
        <w:rPr>
          <w:rFonts w:ascii="Arial" w:cs="Arial" w:eastAsia="Arial" w:hAnsi="Arial"/>
          <w:sz w:val="20"/>
          <w:szCs w:val="20"/>
          <w:color w:val="010000"/>
        </w:rPr>
      </w:pPr>
    </w:p>
    <w:p>
      <w:pPr>
        <w:ind w:firstLine="1678"/>
        <w:spacing w:after="0" w:line="288" w:lineRule="auto"/>
        <w:tabs>
          <w:tab w:leader="none" w:pos="2793" w:val="left"/>
        </w:tabs>
        <w:numPr>
          <w:ilvl w:val="1"/>
          <w:numId w:val="47"/>
        </w:numPr>
        <w:rPr>
          <w:rFonts w:ascii="Arial" w:cs="Arial" w:eastAsia="Arial" w:hAnsi="Arial"/>
          <w:sz w:val="20"/>
          <w:szCs w:val="20"/>
          <w:color w:val="010000"/>
        </w:rPr>
      </w:pPr>
      <w:r>
        <w:rPr>
          <w:rFonts w:ascii="Arial" w:cs="Arial" w:eastAsia="Arial" w:hAnsi="Arial"/>
          <w:sz w:val="20"/>
          <w:szCs w:val="20"/>
          <w:color w:val="auto"/>
        </w:rPr>
        <w:t xml:space="preserve">The Compliance Certificate attached as Exhibit B to the Original Credit Agreement is amended and restated in its entirety in the form of </w:t>
      </w:r>
      <w:r>
        <w:rPr>
          <w:rFonts w:ascii="Arial" w:cs="Arial" w:eastAsia="Arial" w:hAnsi="Arial"/>
          <w:sz w:val="20"/>
          <w:szCs w:val="20"/>
          <w:u w:val="single" w:color="auto"/>
          <w:color w:val="auto"/>
        </w:rPr>
        <w:t>Annex A</w:t>
      </w:r>
      <w:r>
        <w:rPr>
          <w:rFonts w:ascii="Arial" w:cs="Arial" w:eastAsia="Arial" w:hAnsi="Arial"/>
          <w:sz w:val="20"/>
          <w:szCs w:val="20"/>
          <w:color w:val="auto"/>
        </w:rPr>
        <w:t xml:space="preserve"> attached hereto;</w:t>
      </w:r>
    </w:p>
    <w:p>
      <w:pPr>
        <w:spacing w:after="0" w:line="171" w:lineRule="exact"/>
        <w:rPr>
          <w:rFonts w:ascii="Arial" w:cs="Arial" w:eastAsia="Arial" w:hAnsi="Arial"/>
          <w:sz w:val="20"/>
          <w:szCs w:val="20"/>
          <w:color w:val="010000"/>
        </w:rPr>
      </w:pPr>
    </w:p>
    <w:p>
      <w:pPr>
        <w:jc w:val="both"/>
        <w:ind w:firstLine="800"/>
        <w:spacing w:after="0" w:line="285" w:lineRule="auto"/>
        <w:tabs>
          <w:tab w:leader="none" w:pos="1397" w:val="left"/>
        </w:tabs>
        <w:numPr>
          <w:ilvl w:val="0"/>
          <w:numId w:val="48"/>
        </w:numPr>
        <w:rPr>
          <w:rFonts w:ascii="Arial" w:cs="Arial" w:eastAsia="Arial" w:hAnsi="Arial"/>
          <w:sz w:val="19"/>
          <w:szCs w:val="19"/>
          <w:color w:val="010000"/>
        </w:rPr>
      </w:pPr>
      <w:r>
        <w:rPr>
          <w:rFonts w:ascii="Arial" w:cs="Arial" w:eastAsia="Arial" w:hAnsi="Arial"/>
          <w:sz w:val="19"/>
          <w:szCs w:val="19"/>
          <w:b w:val="1"/>
          <w:bCs w:val="1"/>
          <w:color w:val="auto"/>
        </w:rPr>
        <w:t xml:space="preserve">Representations and Warranties; Reaffirmation of Security Interest. </w:t>
      </w:r>
      <w:r>
        <w:rPr>
          <w:rFonts w:ascii="Arial" w:cs="Arial" w:eastAsia="Arial" w:hAnsi="Arial"/>
          <w:sz w:val="19"/>
          <w:szCs w:val="19"/>
          <w:color w:val="auto"/>
        </w:rPr>
        <w:t>Borrower hereby confirms that all of the</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representations and warranties set forth in the Credit Agreement are true and correct in all material respects (without duplication of any materiality qualifier in the text of such representation or warranty) with respect to such Borrower as of the date hereof except to the extent that any such representation or warranty relates to a specific date in which case such representation or warranty shall be true and correct in all material respects (without duplication of any materiality qualifier in the text of such representation or warranty) as of such earlier date. Without limiting the foregoing, each Borrower represents and warrants that prior to and after giving effect to the agreements set forth herein, no Default or Event of Default shall exist under any of the Financing Documents. Nothing herein is intended to impair or limit the validity, priority or extent of Agent’s security interests in and Liens on the Collateral. Each Borrower acknowledges and agrees that each of this Agreement, the Credit Agreement and the other Financing Documents to which it is a party constitutes the valid and binding agreement or instrument of such Borrower, enforceable against such Borrower in accordance with its respective terms, except as the enforceability thereof may be limited by bankruptcy, insolvency or other similar laws relating to the enforcement of creditors’ rights generally and by general equitable principles.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First Amendment to A&amp;R Credit Agreement (Revolving Loan)</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\\DC - 036639/000090 - 16338663 v4  </w:t>
      </w:r>
      <w:r>
        <w:rPr>
          <w:rFonts w:ascii="Arial" w:cs="Arial" w:eastAsia="Arial" w:hAnsi="Arial"/>
          <w:sz w:val="16"/>
          <w:szCs w:val="16"/>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|US-DOCS\126248262.6||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4" w:name="page115"/>
    <w:bookmarkEnd w:id="114"/>
    <w:p>
      <w:pPr>
        <w:ind w:firstLine="800"/>
        <w:spacing w:after="0" w:line="295" w:lineRule="auto"/>
        <w:tabs>
          <w:tab w:leader="none" w:pos="1397" w:val="left"/>
        </w:tabs>
        <w:numPr>
          <w:ilvl w:val="0"/>
          <w:numId w:val="49"/>
        </w:numPr>
        <w:rPr>
          <w:rFonts w:ascii="Arial" w:cs="Arial" w:eastAsia="Arial" w:hAnsi="Arial"/>
          <w:sz w:val="20"/>
          <w:szCs w:val="20"/>
          <w:color w:val="010000"/>
        </w:rPr>
      </w:pPr>
      <w:r>
        <w:rPr>
          <w:rFonts w:ascii="Arial" w:cs="Arial" w:eastAsia="Arial" w:hAnsi="Arial"/>
          <w:sz w:val="20"/>
          <w:szCs w:val="20"/>
          <w:b w:val="1"/>
          <w:bCs w:val="1"/>
          <w:color w:val="auto"/>
        </w:rPr>
        <w:t xml:space="preserve">Conditions to Effectiveness. </w:t>
      </w:r>
      <w:r>
        <w:rPr>
          <w:rFonts w:ascii="Arial" w:cs="Arial" w:eastAsia="Arial" w:hAnsi="Arial"/>
          <w:sz w:val="20"/>
          <w:szCs w:val="20"/>
          <w:color w:val="auto"/>
        </w:rPr>
        <w:t>This Agreement shall become effective as of the date on which each of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have been satisfied, as determined by Agent in its sole discretion, or waived by Agent in its discretion:</w:t>
      </w:r>
    </w:p>
    <w:p>
      <w:pPr>
        <w:spacing w:after="0" w:line="169" w:lineRule="exact"/>
        <w:rPr>
          <w:rFonts w:ascii="Arial" w:cs="Arial" w:eastAsia="Arial" w:hAnsi="Arial"/>
          <w:sz w:val="20"/>
          <w:szCs w:val="20"/>
          <w:color w:val="010000"/>
        </w:rPr>
      </w:pPr>
    </w:p>
    <w:p>
      <w:pPr>
        <w:ind w:firstLine="1678"/>
        <w:spacing w:after="0" w:line="347" w:lineRule="auto"/>
        <w:tabs>
          <w:tab w:leader="none" w:pos="2793"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Agent shall have received (including by way electronic transmission) a duly authorized, executed and delivered counterpart of the signature page to this Agreement from each Borrower, Agent and each Lender constituting Required Lenders;</w:t>
      </w:r>
    </w:p>
    <w:p>
      <w:pPr>
        <w:spacing w:after="0" w:line="130" w:lineRule="exact"/>
        <w:rPr>
          <w:rFonts w:ascii="Arial" w:cs="Arial" w:eastAsia="Arial" w:hAnsi="Arial"/>
          <w:sz w:val="18"/>
          <w:szCs w:val="18"/>
          <w:color w:val="010000"/>
        </w:rPr>
      </w:pPr>
    </w:p>
    <w:p>
      <w:pPr>
        <w:jc w:val="both"/>
        <w:ind w:firstLine="1678"/>
        <w:spacing w:after="0" w:line="272" w:lineRule="auto"/>
        <w:tabs>
          <w:tab w:leader="none" w:pos="2793" w:val="left"/>
        </w:tabs>
        <w:numPr>
          <w:ilvl w:val="1"/>
          <w:numId w:val="49"/>
        </w:numPr>
        <w:rPr>
          <w:rFonts w:ascii="Arial" w:cs="Arial" w:eastAsia="Arial" w:hAnsi="Arial"/>
          <w:sz w:val="20"/>
          <w:szCs w:val="20"/>
          <w:color w:val="010000"/>
        </w:rPr>
      </w:pPr>
      <w:r>
        <w:rPr>
          <w:rFonts w:ascii="Arial" w:cs="Arial" w:eastAsia="Arial" w:hAnsi="Arial"/>
          <w:sz w:val="20"/>
          <w:szCs w:val="20"/>
          <w:color w:val="auto"/>
        </w:rPr>
        <w:t>all representations and warranties of Credit Parties contained herein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in all material respects as of such earlier date (and such parties’ delivery of their respective signatures hereto shall be deemed to be its certification thereof); and;</w:t>
      </w:r>
    </w:p>
    <w:p>
      <w:pPr>
        <w:spacing w:after="0" w:line="195" w:lineRule="exact"/>
        <w:rPr>
          <w:rFonts w:ascii="Arial" w:cs="Arial" w:eastAsia="Arial" w:hAnsi="Arial"/>
          <w:sz w:val="20"/>
          <w:szCs w:val="20"/>
          <w:color w:val="010000"/>
        </w:rPr>
      </w:pPr>
    </w:p>
    <w:p>
      <w:pPr>
        <w:ind w:left="2800" w:hanging="1122"/>
        <w:spacing w:after="0"/>
        <w:tabs>
          <w:tab w:leader="none" w:pos="2800"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immediately prior to and after giving effect to this Agreement, no Default or Event of Default exists under</w:t>
      </w:r>
    </w:p>
    <w:p>
      <w:pPr>
        <w:spacing w:after="0" w:line="49"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any of the Financing Documents.</w:t>
      </w:r>
    </w:p>
    <w:p>
      <w:pPr>
        <w:spacing w:after="0" w:line="236" w:lineRule="exact"/>
        <w:rPr>
          <w:rFonts w:ascii="Arial" w:cs="Arial" w:eastAsia="Arial" w:hAnsi="Arial"/>
          <w:sz w:val="18"/>
          <w:szCs w:val="18"/>
          <w:color w:val="010000"/>
        </w:rPr>
      </w:pPr>
    </w:p>
    <w:p>
      <w:pPr>
        <w:jc w:val="both"/>
        <w:ind w:firstLine="800"/>
        <w:spacing w:after="0" w:line="274" w:lineRule="auto"/>
        <w:tabs>
          <w:tab w:leader="none" w:pos="1397" w:val="left"/>
        </w:tabs>
        <w:numPr>
          <w:ilvl w:val="0"/>
          <w:numId w:val="49"/>
        </w:numPr>
        <w:rPr>
          <w:rFonts w:ascii="Arial" w:cs="Arial" w:eastAsia="Arial" w:hAnsi="Arial"/>
          <w:sz w:val="20"/>
          <w:szCs w:val="20"/>
          <w:color w:val="010000"/>
        </w:rPr>
      </w:pPr>
      <w:r>
        <w:rPr>
          <w:rFonts w:ascii="Arial" w:cs="Arial" w:eastAsia="Arial" w:hAnsi="Arial"/>
          <w:sz w:val="20"/>
          <w:szCs w:val="20"/>
          <w:b w:val="1"/>
          <w:bCs w:val="1"/>
          <w:color w:val="auto"/>
        </w:rPr>
        <w:t xml:space="preserve">Costs and Fees. </w:t>
      </w:r>
      <w:r>
        <w:rPr>
          <w:rFonts w:ascii="Arial" w:cs="Arial" w:eastAsia="Arial" w:hAnsi="Arial"/>
          <w:sz w:val="20"/>
          <w:szCs w:val="20"/>
          <w:color w:val="auto"/>
        </w:rPr>
        <w:t>Borrower agrees to promptly pay, or reimburse upon demand for, all reasonable and documented costs</w:t>
      </w:r>
      <w:r>
        <w:rPr>
          <w:rFonts w:ascii="Arial" w:cs="Arial" w:eastAsia="Arial" w:hAnsi="Arial"/>
          <w:sz w:val="20"/>
          <w:szCs w:val="20"/>
          <w:b w:val="1"/>
          <w:bCs w:val="1"/>
          <w:color w:val="auto"/>
        </w:rPr>
        <w:t xml:space="preserve"> </w:t>
      </w:r>
      <w:r>
        <w:rPr>
          <w:rFonts w:ascii="Arial" w:cs="Arial" w:eastAsia="Arial" w:hAnsi="Arial"/>
          <w:sz w:val="20"/>
          <w:szCs w:val="20"/>
          <w:color w:val="auto"/>
        </w:rPr>
        <w:t>and expenses of Agent (including, without limitation, the reasonable and documented fees, costs and expenses of counsel to Agent) in connection with the preparation, negotiation, execution and delivery of this Agreement and any other Financing Documents or other agreements prepared, negotiated, executed or delivered in connection with this Agreement or transactions contemplated hereby, in accordance with Section 12.14 of the Credit Agreement.</w:t>
      </w:r>
    </w:p>
    <w:p>
      <w:pPr>
        <w:spacing w:after="0" w:line="185" w:lineRule="exact"/>
        <w:rPr>
          <w:rFonts w:ascii="Arial" w:cs="Arial" w:eastAsia="Arial" w:hAnsi="Arial"/>
          <w:sz w:val="20"/>
          <w:szCs w:val="20"/>
          <w:color w:val="010000"/>
        </w:rPr>
      </w:pPr>
    </w:p>
    <w:p>
      <w:pPr>
        <w:jc w:val="both"/>
        <w:ind w:firstLine="800"/>
        <w:spacing w:after="0" w:line="300" w:lineRule="auto"/>
        <w:tabs>
          <w:tab w:leader="none" w:pos="1397" w:val="left"/>
        </w:tabs>
        <w:numPr>
          <w:ilvl w:val="0"/>
          <w:numId w:val="49"/>
        </w:numPr>
        <w:rPr>
          <w:rFonts w:ascii="Arial" w:cs="Arial" w:eastAsia="Arial" w:hAnsi="Arial"/>
          <w:sz w:val="18"/>
          <w:szCs w:val="18"/>
          <w:color w:val="010000"/>
        </w:rPr>
      </w:pPr>
      <w:r>
        <w:rPr>
          <w:rFonts w:ascii="Arial" w:cs="Arial" w:eastAsia="Arial" w:hAnsi="Arial"/>
          <w:sz w:val="18"/>
          <w:szCs w:val="18"/>
          <w:b w:val="1"/>
          <w:bCs w:val="1"/>
          <w:color w:val="auto"/>
        </w:rPr>
        <w:t xml:space="preserve">Lender Release. </w:t>
      </w:r>
      <w:r>
        <w:rPr>
          <w:rFonts w:ascii="Arial" w:cs="Arial" w:eastAsia="Arial" w:hAnsi="Arial"/>
          <w:sz w:val="18"/>
          <w:szCs w:val="18"/>
          <w:color w:val="auto"/>
        </w:rPr>
        <w:t>In consideration of the agreements of Agent and Required Lenders contained herein and for other good</w:t>
      </w:r>
      <w:r>
        <w:rPr>
          <w:rFonts w:ascii="Arial" w:cs="Arial" w:eastAsia="Arial" w:hAnsi="Arial"/>
          <w:sz w:val="18"/>
          <w:szCs w:val="18"/>
          <w:b w:val="1"/>
          <w:bCs w:val="1"/>
          <w:color w:val="auto"/>
        </w:rPr>
        <w:t xml:space="preserve"> </w:t>
      </w:r>
      <w:r>
        <w:rPr>
          <w:rFonts w:ascii="Arial" w:cs="Arial" w:eastAsia="Arial" w:hAnsi="Arial"/>
          <w:sz w:val="18"/>
          <w:szCs w:val="18"/>
          <w:color w:val="auto"/>
        </w:rPr>
        <w:t>and valuable consideration, the receipt and sufficiency of which is hereby acknowledged, each Borrower, voluntarily, knowingly, unconditionally and irrevocably, with specific and express intent, for and on behalf of itself and all of its respective parents, subsidiaries, affiliates, members, managers, predecessors, successors, and assigns, and each of its respective current and former directors, officers, shareholders, agents, and employees, and each of its respective predecessors, successors, heirs, and assigns (individually and collectively, the “Releasing Parties”) does hereby fully and completely release, acquit and forever discharge each of Agent, Lenders, and each their respective parents, subsidiaries, affiliates, members, managers, shareholders, directors, officers and employees, and each of their respective predecessors, successors, heirs, and assigns (individually and collectively, the “Released Parties”), of and from any and all actions, causes of action, suits, debts, disputes, damages, claims, obligations, liabilities, costs, expenses and demands of any kind whatsoever, at law or in equity, whether matured or unmatured, liquidated or unliquidated, vested or contingent, choate or inchoate, known or unknown that the Releasing Parties (or any of them) has against the Released Parties or any of them (whether directly or indirectly), based in whole or in part on facts, whether or not now known, existing on or before the date hereof or arising out of this Agreement, that relate to, arise out of or otherwise are in connection with: (i) any or all of the Financing Documents or transactions contemplated thereby or any actions or omissions in connection therewith or (ii) any aspect of the dealings or relationships between or among such Borrower, on the one hand, and any or all of the Released Parties, on the other hand, relating to any or all of the documents, transactions, actions or omissions referenced in clause (i) hereof. Each Borrower acknowledges that the foregoing release is a material inducement to Agent’s and Required Lender’s decision to enter into this Agreement and agree to the modifications contemplated hereunder, and has been relied upon by Agent and Required Lenders in connection therewith.</w:t>
      </w:r>
    </w:p>
    <w:p>
      <w:pPr>
        <w:spacing w:after="0" w:line="175" w:lineRule="exact"/>
        <w:rPr>
          <w:rFonts w:ascii="Arial" w:cs="Arial" w:eastAsia="Arial" w:hAnsi="Arial"/>
          <w:sz w:val="18"/>
          <w:szCs w:val="18"/>
          <w:color w:val="010000"/>
        </w:rPr>
      </w:pPr>
    </w:p>
    <w:p>
      <w:pPr>
        <w:ind w:firstLine="800"/>
        <w:spacing w:after="0" w:line="295" w:lineRule="auto"/>
        <w:tabs>
          <w:tab w:leader="none" w:pos="1397" w:val="left"/>
        </w:tabs>
        <w:numPr>
          <w:ilvl w:val="0"/>
          <w:numId w:val="49"/>
        </w:numPr>
        <w:rPr>
          <w:rFonts w:ascii="Arial" w:cs="Arial" w:eastAsia="Arial" w:hAnsi="Arial"/>
          <w:sz w:val="20"/>
          <w:szCs w:val="20"/>
          <w:color w:val="010000"/>
        </w:rPr>
      </w:pPr>
      <w:r>
        <w:rPr>
          <w:rFonts w:ascii="Arial" w:cs="Arial" w:eastAsia="Arial" w:hAnsi="Arial"/>
          <w:sz w:val="20"/>
          <w:szCs w:val="20"/>
          <w:b w:val="1"/>
          <w:bCs w:val="1"/>
          <w:u w:val="single" w:color="auto"/>
          <w:color w:val="auto"/>
        </w:rPr>
        <w:t>No Waiver or Novation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execution, delivery and effectiveness of this Agreement shall not operate as a waiver of any</w:t>
      </w:r>
      <w:r>
        <w:rPr>
          <w:rFonts w:ascii="Arial" w:cs="Arial" w:eastAsia="Arial" w:hAnsi="Arial"/>
          <w:sz w:val="20"/>
          <w:szCs w:val="20"/>
          <w:b w:val="1"/>
          <w:bCs w:val="1"/>
          <w:color w:val="auto"/>
        </w:rPr>
        <w:t xml:space="preserve"> </w:t>
      </w:r>
      <w:r>
        <w:rPr>
          <w:rFonts w:ascii="Arial" w:cs="Arial" w:eastAsia="Arial" w:hAnsi="Arial"/>
          <w:sz w:val="20"/>
          <w:szCs w:val="20"/>
          <w:color w:val="auto"/>
        </w:rPr>
        <w:t>right, power or remedy of Agent, nor constitute a waiver of any provision of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First Amendment to A&amp;R Credit Agreement (Revolving Loan)</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\\DC - 036639/000090 - 16338663 v4  </w:t>
      </w:r>
      <w:r>
        <w:rPr>
          <w:rFonts w:ascii="Arial" w:cs="Arial" w:eastAsia="Arial" w:hAnsi="Arial"/>
          <w:sz w:val="16"/>
          <w:szCs w:val="16"/>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|US-DOCS\126248262.6||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5" w:name="page116"/>
    <w:bookmarkEnd w:id="115"/>
    <w:p>
      <w:pPr>
        <w:jc w:val="both"/>
        <w:spacing w:after="0" w:line="272" w:lineRule="auto"/>
        <w:rPr>
          <w:sz w:val="20"/>
          <w:szCs w:val="20"/>
          <w:color w:val="auto"/>
        </w:rPr>
      </w:pPr>
      <w:r>
        <w:rPr>
          <w:rFonts w:ascii="Arial" w:cs="Arial" w:eastAsia="Arial" w:hAnsi="Arial"/>
          <w:sz w:val="20"/>
          <w:szCs w:val="20"/>
          <w:color w:val="auto"/>
        </w:rPr>
        <w:t>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spacing w:after="0" w:line="189" w:lineRule="exact"/>
        <w:rPr>
          <w:sz w:val="20"/>
          <w:szCs w:val="20"/>
          <w:color w:val="auto"/>
        </w:rPr>
      </w:pPr>
    </w:p>
    <w:p>
      <w:pPr>
        <w:jc w:val="both"/>
        <w:ind w:firstLine="800"/>
        <w:spacing w:after="0" w:line="286" w:lineRule="auto"/>
        <w:tabs>
          <w:tab w:leader="none" w:pos="1397" w:val="left"/>
        </w:tabs>
        <w:numPr>
          <w:ilvl w:val="0"/>
          <w:numId w:val="50"/>
        </w:numPr>
        <w:rPr>
          <w:rFonts w:ascii="Arial" w:cs="Arial" w:eastAsia="Arial" w:hAnsi="Arial"/>
          <w:sz w:val="19"/>
          <w:szCs w:val="19"/>
          <w:color w:val="010000"/>
        </w:rPr>
      </w:pPr>
      <w:r>
        <w:rPr>
          <w:rFonts w:ascii="Arial" w:cs="Arial" w:eastAsia="Arial" w:hAnsi="Arial"/>
          <w:sz w:val="19"/>
          <w:szCs w:val="19"/>
          <w:b w:val="1"/>
          <w:bCs w:val="1"/>
          <w:u w:val="single" w:color="auto"/>
          <w:color w:val="auto"/>
        </w:rPr>
        <w:t>Affirmation</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specifically amended pursuant to the terms hereof, Borrower hereby acknowledges and agrees that</w:t>
      </w:r>
      <w:r>
        <w:rPr>
          <w:rFonts w:ascii="Arial" w:cs="Arial" w:eastAsia="Arial" w:hAnsi="Arial"/>
          <w:sz w:val="19"/>
          <w:szCs w:val="19"/>
          <w:b w:val="1"/>
          <w:bCs w:val="1"/>
          <w:color w:val="auto"/>
        </w:rPr>
        <w:t xml:space="preserve"> </w:t>
      </w:r>
      <w:r>
        <w:rPr>
          <w:rFonts w:ascii="Arial" w:cs="Arial" w:eastAsia="Arial" w:hAnsi="Arial"/>
          <w:sz w:val="19"/>
          <w:szCs w:val="19"/>
          <w:color w:val="auto"/>
        </w:rPr>
        <w:t>the Credit Agreement and all other Financing Documents (and all covenants, terms, conditions and agreements therein) shall remain in full force and effect, and are hereby ratified and confirmed in all respects by each Credit Party, including without limitation the granting of Liens in the Collateral to secure the Obligations and other Financing Documents. Borrower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 Borrower confirms and agrees that all security interests and Liens granted to Agent pursuant to the Financing Documents continue in full force and effect, and all Collateral remains free and clear of any Liens, other than those granted to Agent and Permitted Liens.</w:t>
      </w:r>
    </w:p>
    <w:p>
      <w:pPr>
        <w:spacing w:after="0" w:line="181" w:lineRule="exact"/>
        <w:rPr>
          <w:rFonts w:ascii="Arial" w:cs="Arial" w:eastAsia="Arial" w:hAnsi="Arial"/>
          <w:sz w:val="19"/>
          <w:szCs w:val="19"/>
          <w:color w:val="010000"/>
        </w:rPr>
      </w:pPr>
    </w:p>
    <w:p>
      <w:pPr>
        <w:ind w:left="1400" w:hanging="600"/>
        <w:spacing w:after="0"/>
        <w:tabs>
          <w:tab w:leader="none" w:pos="1400" w:val="left"/>
        </w:tabs>
        <w:numPr>
          <w:ilvl w:val="0"/>
          <w:numId w:val="50"/>
        </w:numPr>
        <w:rPr>
          <w:rFonts w:ascii="Arial" w:cs="Arial" w:eastAsia="Arial" w:hAnsi="Arial"/>
          <w:sz w:val="20"/>
          <w:szCs w:val="20"/>
          <w:color w:val="010000"/>
        </w:rPr>
      </w:pPr>
      <w:r>
        <w:rPr>
          <w:rFonts w:ascii="Arial" w:cs="Arial" w:eastAsia="Arial" w:hAnsi="Arial"/>
          <w:sz w:val="20"/>
          <w:szCs w:val="20"/>
          <w:b w:val="1"/>
          <w:bCs w:val="1"/>
          <w:u w:val="single" w:color="auto"/>
          <w:color w:val="auto"/>
        </w:rPr>
        <w:t>Miscellaneous</w:t>
      </w:r>
      <w:r>
        <w:rPr>
          <w:rFonts w:ascii="Arial" w:cs="Arial" w:eastAsia="Arial" w:hAnsi="Arial"/>
          <w:sz w:val="20"/>
          <w:szCs w:val="20"/>
          <w:b w:val="1"/>
          <w:bCs w:val="1"/>
          <w:color w:val="auto"/>
        </w:rPr>
        <w:t>.</w:t>
      </w:r>
    </w:p>
    <w:p>
      <w:pPr>
        <w:spacing w:after="0" w:line="248" w:lineRule="exact"/>
        <w:rPr>
          <w:rFonts w:ascii="Arial" w:cs="Arial" w:eastAsia="Arial" w:hAnsi="Arial"/>
          <w:sz w:val="20"/>
          <w:szCs w:val="20"/>
          <w:color w:val="010000"/>
        </w:rPr>
      </w:pPr>
    </w:p>
    <w:p>
      <w:pPr>
        <w:jc w:val="both"/>
        <w:ind w:firstLine="1678"/>
        <w:spacing w:after="0" w:line="272" w:lineRule="auto"/>
        <w:tabs>
          <w:tab w:leader="none" w:pos="2793" w:val="left"/>
        </w:tabs>
        <w:numPr>
          <w:ilvl w:val="1"/>
          <w:numId w:val="50"/>
        </w:numPr>
        <w:rPr>
          <w:rFonts w:ascii="Arial" w:cs="Arial" w:eastAsia="Arial" w:hAnsi="Arial"/>
          <w:sz w:val="20"/>
          <w:szCs w:val="20"/>
          <w:color w:val="010000"/>
        </w:rPr>
      </w:pPr>
      <w:r>
        <w:rPr>
          <w:rFonts w:ascii="Arial" w:cs="Arial" w:eastAsia="Arial" w:hAnsi="Arial"/>
          <w:sz w:val="20"/>
          <w:szCs w:val="20"/>
          <w:u w:val="single" w:color="auto"/>
          <w:color w:val="auto"/>
        </w:rPr>
        <w:t>Reference to the Effect on the Credit Agreement</w:t>
      </w:r>
      <w:r>
        <w:rPr>
          <w:rFonts w:ascii="Arial" w:cs="Arial" w:eastAsia="Arial" w:hAnsi="Arial"/>
          <w:sz w:val="20"/>
          <w:szCs w:val="20"/>
          <w:color w:val="auto"/>
        </w:rPr>
        <w:t>. Upon the effectiveness of this Agreement, each reference in the Credit Agreement to “this Agreement,” “hereunder,” “hereof,” “herein,” or words of similar import shall mean and be a reference to the Credit Agreement, as modified by this Agreement. Except as specifically set forth above, the Credit Agreement, and all other Financing Documents (and all covenants, terms, conditions and agreements therein), shall remain in full force and effect, and are hereby ratified and confirmed in all respects by each Credit Party.</w:t>
      </w:r>
    </w:p>
    <w:p>
      <w:pPr>
        <w:spacing w:after="0" w:line="195" w:lineRule="exact"/>
        <w:rPr>
          <w:rFonts w:ascii="Arial" w:cs="Arial" w:eastAsia="Arial" w:hAnsi="Arial"/>
          <w:sz w:val="20"/>
          <w:szCs w:val="20"/>
          <w:color w:val="010000"/>
        </w:rPr>
      </w:pPr>
    </w:p>
    <w:p>
      <w:pPr>
        <w:jc w:val="both"/>
        <w:ind w:firstLine="1678"/>
        <w:spacing w:after="0" w:line="272" w:lineRule="auto"/>
        <w:tabs>
          <w:tab w:leader="none" w:pos="2793" w:val="left"/>
        </w:tabs>
        <w:numPr>
          <w:ilvl w:val="1"/>
          <w:numId w:val="50"/>
        </w:numPr>
        <w:rPr>
          <w:rFonts w:ascii="Arial" w:cs="Arial" w:eastAsia="Arial" w:hAnsi="Arial"/>
          <w:sz w:val="20"/>
          <w:szCs w:val="20"/>
          <w:color w:val="010000"/>
        </w:rPr>
      </w:pPr>
      <w:r>
        <w:rPr>
          <w:rFonts w:ascii="Arial" w:cs="Arial" w:eastAsia="Arial" w:hAnsi="Arial"/>
          <w:sz w:val="20"/>
          <w:szCs w:val="20"/>
          <w:color w:val="auto"/>
        </w:rPr>
        <w:t>THIS AGREEMENT AND ALL DISPUTES AND OTHER MATTERS RELATING HERETO OR ARISING THEREFROM (WHETHER SOUNDING IN CONTRACT LAW, TORT LAW OR OTHERWISE), SHALL BE GOVERNED BY, AND SHALL BE CONSTRUED AND ENFORCED IN ACCORDANCE WITH, THE LAWS OF THE STATE OF NEW YORK, WITHOUT REGARD TO ITS CONFLICT OF LAWS PRINCIPLES (OTHER THAN SECTION 5-1401 OF THE GENERAL OBLIGATIONS LAW).</w:t>
      </w:r>
    </w:p>
    <w:p>
      <w:pPr>
        <w:spacing w:after="0" w:line="195" w:lineRule="exact"/>
        <w:rPr>
          <w:rFonts w:ascii="Arial" w:cs="Arial" w:eastAsia="Arial" w:hAnsi="Arial"/>
          <w:sz w:val="20"/>
          <w:szCs w:val="20"/>
          <w:color w:val="010000"/>
        </w:rPr>
      </w:pPr>
    </w:p>
    <w:p>
      <w:pPr>
        <w:jc w:val="both"/>
        <w:ind w:firstLine="1678"/>
        <w:spacing w:after="0" w:line="286" w:lineRule="auto"/>
        <w:tabs>
          <w:tab w:leader="none" w:pos="2793" w:val="left"/>
        </w:tabs>
        <w:numPr>
          <w:ilvl w:val="1"/>
          <w:numId w:val="50"/>
        </w:numPr>
        <w:rPr>
          <w:rFonts w:ascii="Arial" w:cs="Arial" w:eastAsia="Arial" w:hAnsi="Arial"/>
          <w:sz w:val="19"/>
          <w:szCs w:val="19"/>
          <w:color w:val="010000"/>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BORROWER, AGENT AND THE LENDERS PARTY HERETO HEREBY IRREVOCABLY WAIVES ANY AND ALL RIGHT TO TRIAL BY JURY IN ANY LEGAL ACTION OR PROCEEDING ARISING OUT OF OR RELATING TO THIS AGREEMENT OR THE TRANSACTIONS CONTEMPLATED HEREBY AND AGREES THAT ANY SUCH ACTION OR PROCEEDING SHALL BE TRIED BEFORE A COURT AND NOT BEFORE A JURY. EACH BORROWER, AGENT AND EACH LENDER ACKNOWLEDGES THAT THIS WAIVER IS A MATERIAL INDUCEMENT TO ENTER INTO THIS AGREEMENT, THAT EACH HAS RELIED ON THE WAIVER IN ENTERING INTO THIS AGREEMENT, AND THAT EACH WILL CONTINUE TO RELY ON THIS WAIVER IN THEIR RELATED FUTURE DEALINGS. EACH BORROWER, AGENT AND EACH LENDER WARRANTS AND REPRESENTS THAT IT HAS HAD THE OPPORTUNITY OF REVIEWING THIS JURY WAIVER WITH LEGAL COUNSEL, AND THAT IT KNOWINGLY AND VOLUNTARILY WAIVES ITS JURY TRIAL RIGHTS.</w:t>
      </w:r>
    </w:p>
    <w:p>
      <w:pPr>
        <w:spacing w:after="0" w:line="181" w:lineRule="exact"/>
        <w:rPr>
          <w:rFonts w:ascii="Arial" w:cs="Arial" w:eastAsia="Arial" w:hAnsi="Arial"/>
          <w:sz w:val="19"/>
          <w:szCs w:val="19"/>
          <w:color w:val="010000"/>
        </w:rPr>
      </w:pPr>
    </w:p>
    <w:p>
      <w:pPr>
        <w:ind w:firstLine="1678"/>
        <w:spacing w:after="0" w:line="288" w:lineRule="auto"/>
        <w:tabs>
          <w:tab w:leader="none" w:pos="2793" w:val="left"/>
        </w:tabs>
        <w:numPr>
          <w:ilvl w:val="1"/>
          <w:numId w:val="50"/>
        </w:numPr>
        <w:rPr>
          <w:rFonts w:ascii="Arial" w:cs="Arial" w:eastAsia="Arial" w:hAnsi="Arial"/>
          <w:sz w:val="20"/>
          <w:szCs w:val="20"/>
          <w:color w:val="010000"/>
        </w:rPr>
      </w:pPr>
      <w:r>
        <w:rPr>
          <w:rFonts w:ascii="Arial" w:cs="Arial" w:eastAsia="Arial" w:hAnsi="Arial"/>
          <w:sz w:val="20"/>
          <w:szCs w:val="20"/>
          <w:u w:val="single" w:color="auto"/>
          <w:color w:val="auto"/>
        </w:rPr>
        <w:t>Incorporation of Credit Agreement Provisions</w:t>
      </w:r>
      <w:r>
        <w:rPr>
          <w:rFonts w:ascii="Arial" w:cs="Arial" w:eastAsia="Arial" w:hAnsi="Arial"/>
          <w:sz w:val="20"/>
          <w:szCs w:val="20"/>
          <w:color w:val="auto"/>
        </w:rPr>
        <w:t xml:space="preserve">. The provisions contained in </w:t>
      </w:r>
      <w:r>
        <w:rPr>
          <w:rFonts w:ascii="Arial" w:cs="Arial" w:eastAsia="Arial" w:hAnsi="Arial"/>
          <w:sz w:val="20"/>
          <w:szCs w:val="20"/>
          <w:u w:val="single" w:color="auto"/>
          <w:color w:val="auto"/>
        </w:rPr>
        <w:t>Section 11.6</w:t>
      </w:r>
      <w:r>
        <w:rPr>
          <w:rFonts w:ascii="Arial" w:cs="Arial" w:eastAsia="Arial" w:hAnsi="Arial"/>
          <w:sz w:val="20"/>
          <w:szCs w:val="20"/>
          <w:color w:val="auto"/>
        </w:rPr>
        <w:t xml:space="preserve"> (Indemnification), Section 12.8(b) (Submission to Jurisdiction) and Section 12.9(b) (Waiver of Jury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First Amendment to A&amp;R Credit Agreement (Revolving Loan)</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\\DC - 036639/000090 - 16338663 v4  </w:t>
      </w:r>
      <w:r>
        <w:rPr>
          <w:rFonts w:ascii="Arial" w:cs="Arial" w:eastAsia="Arial" w:hAnsi="Arial"/>
          <w:sz w:val="16"/>
          <w:szCs w:val="16"/>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|US-DOCS\126248262.6||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6" w:name="page117"/>
    <w:bookmarkEnd w:id="116"/>
    <w:p>
      <w:pPr>
        <w:spacing w:after="0"/>
        <w:rPr>
          <w:sz w:val="20"/>
          <w:szCs w:val="20"/>
          <w:color w:val="auto"/>
        </w:rPr>
      </w:pPr>
      <w:r>
        <w:rPr>
          <w:rFonts w:ascii="Arial" w:cs="Arial" w:eastAsia="Arial" w:hAnsi="Arial"/>
          <w:sz w:val="20"/>
          <w:szCs w:val="20"/>
          <w:color w:val="auto"/>
        </w:rPr>
        <w:t>Trial) of the Credit Agreement are incorporated herein by reference to the same extent as if reproduced herein in their entirety.</w:t>
      </w:r>
    </w:p>
    <w:p>
      <w:pPr>
        <w:spacing w:after="0" w:line="243" w:lineRule="exact"/>
        <w:rPr>
          <w:sz w:val="20"/>
          <w:szCs w:val="20"/>
          <w:color w:val="auto"/>
        </w:rPr>
      </w:pPr>
    </w:p>
    <w:p>
      <w:pPr>
        <w:ind w:firstLine="1678"/>
        <w:spacing w:after="0" w:line="288" w:lineRule="auto"/>
        <w:tabs>
          <w:tab w:leader="none" w:pos="2793" w:val="left"/>
        </w:tabs>
        <w:numPr>
          <w:ilvl w:val="0"/>
          <w:numId w:val="51"/>
        </w:numPr>
        <w:rPr>
          <w:rFonts w:ascii="Arial" w:cs="Arial" w:eastAsia="Arial" w:hAnsi="Arial"/>
          <w:sz w:val="20"/>
          <w:szCs w:val="20"/>
          <w:color w:val="010000"/>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this Agreement are included for convenience of reference only and shall not constitute a part of this Agreement for any other purpose.</w:t>
      </w:r>
    </w:p>
    <w:p>
      <w:pPr>
        <w:spacing w:after="0" w:line="177" w:lineRule="exact"/>
        <w:rPr>
          <w:rFonts w:ascii="Arial" w:cs="Arial" w:eastAsia="Arial" w:hAnsi="Arial"/>
          <w:sz w:val="20"/>
          <w:szCs w:val="20"/>
          <w:color w:val="010000"/>
        </w:rPr>
      </w:pPr>
    </w:p>
    <w:p>
      <w:pPr>
        <w:jc w:val="both"/>
        <w:ind w:firstLine="1678"/>
        <w:spacing w:after="0" w:line="301" w:lineRule="auto"/>
        <w:tabs>
          <w:tab w:leader="none" w:pos="2793" w:val="left"/>
        </w:tabs>
        <w:numPr>
          <w:ilvl w:val="0"/>
          <w:numId w:val="51"/>
        </w:numPr>
        <w:rPr>
          <w:rFonts w:ascii="Arial" w:cs="Arial" w:eastAsia="Arial" w:hAnsi="Arial"/>
          <w:sz w:val="18"/>
          <w:szCs w:val="18"/>
          <w:color w:val="010000"/>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any number of counterparts, each of which shall be deemed an original and all of which when taken together shall constitute one and the same instrument. Delivery of an executed counterpart of this Agreement by facsimile or by electronic mail delivery of an electronic version (e.g., .pdf or .tif file) of an executed signature page shall be effective as delivery of an original executed counterpart hereof and shall bind the parties hereto.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Arial" w:cs="Arial" w:eastAsia="Arial" w:hAnsi="Arial"/>
          <w:sz w:val="18"/>
          <w:szCs w:val="18"/>
          <w:b w:val="1"/>
          <w:bCs w:val="1"/>
          <w:color w:val="auto"/>
        </w:rPr>
        <w:t>Electronic</w:t>
      </w:r>
      <w:r>
        <w:rPr>
          <w:rFonts w:ascii="Arial" w:cs="Arial" w:eastAsia="Arial" w:hAnsi="Arial"/>
          <w:sz w:val="18"/>
          <w:szCs w:val="18"/>
          <w:color w:val="auto"/>
        </w:rPr>
        <w:t xml:space="preserve"> </w:t>
      </w:r>
      <w:r>
        <w:rPr>
          <w:rFonts w:ascii="Arial" w:cs="Arial" w:eastAsia="Arial" w:hAnsi="Arial"/>
          <w:sz w:val="18"/>
          <w:szCs w:val="18"/>
          <w:b w:val="1"/>
          <w:bCs w:val="1"/>
          <w:color w:val="auto"/>
        </w:rPr>
        <w:t>Signature</w:t>
      </w:r>
      <w:r>
        <w:rPr>
          <w:rFonts w:ascii="Arial" w:cs="Arial" w:eastAsia="Arial" w:hAnsi="Arial"/>
          <w:sz w:val="18"/>
          <w:szCs w:val="18"/>
          <w:color w:val="auto"/>
        </w:rPr>
        <w:t>” means an electronic sound, symbol, or process attached to, or associated with, a contract or other record and adopted by a Person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intent to sign, authenticate or accept such contract or other record.</w:t>
      </w:r>
    </w:p>
    <w:p>
      <w:pPr>
        <w:spacing w:after="0" w:line="178" w:lineRule="exact"/>
        <w:rPr>
          <w:rFonts w:ascii="Arial" w:cs="Arial" w:eastAsia="Arial" w:hAnsi="Arial"/>
          <w:sz w:val="18"/>
          <w:szCs w:val="18"/>
          <w:color w:val="010000"/>
        </w:rPr>
      </w:pPr>
    </w:p>
    <w:p>
      <w:pPr>
        <w:ind w:firstLine="1678"/>
        <w:spacing w:after="0" w:line="316" w:lineRule="auto"/>
        <w:tabs>
          <w:tab w:leader="none" w:pos="2793" w:val="left"/>
        </w:tabs>
        <w:numPr>
          <w:ilvl w:val="0"/>
          <w:numId w:val="51"/>
        </w:numPr>
        <w:rPr>
          <w:rFonts w:ascii="Arial" w:cs="Arial" w:eastAsia="Arial" w:hAnsi="Arial"/>
          <w:sz w:val="19"/>
          <w:szCs w:val="19"/>
          <w:color w:val="010000"/>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constitutes the entire agreement and understanding among the parties hereto and supersedes any and all prior agreements and understandings, oral or written, relating to the subject matter hereof.</w:t>
      </w:r>
    </w:p>
    <w:p>
      <w:pPr>
        <w:spacing w:after="0" w:line="153" w:lineRule="exact"/>
        <w:rPr>
          <w:rFonts w:ascii="Arial" w:cs="Arial" w:eastAsia="Arial" w:hAnsi="Arial"/>
          <w:sz w:val="19"/>
          <w:szCs w:val="19"/>
          <w:color w:val="010000"/>
        </w:rPr>
      </w:pPr>
    </w:p>
    <w:p>
      <w:pPr>
        <w:jc w:val="both"/>
        <w:ind w:firstLine="1678"/>
        <w:spacing w:after="0" w:line="278" w:lineRule="auto"/>
        <w:tabs>
          <w:tab w:leader="none" w:pos="2793" w:val="left"/>
        </w:tabs>
        <w:numPr>
          <w:ilvl w:val="0"/>
          <w:numId w:val="51"/>
        </w:numPr>
        <w:rPr>
          <w:rFonts w:ascii="Arial" w:cs="Arial" w:eastAsia="Arial" w:hAnsi="Arial"/>
          <w:sz w:val="20"/>
          <w:szCs w:val="20"/>
          <w:color w:val="010000"/>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86" w:lineRule="exact"/>
        <w:rPr>
          <w:rFonts w:ascii="Arial" w:cs="Arial" w:eastAsia="Arial" w:hAnsi="Arial"/>
          <w:sz w:val="20"/>
          <w:szCs w:val="20"/>
          <w:color w:val="010000"/>
        </w:rPr>
      </w:pPr>
    </w:p>
    <w:p>
      <w:pPr>
        <w:ind w:firstLine="1678"/>
        <w:spacing w:after="0" w:line="347" w:lineRule="auto"/>
        <w:tabs>
          <w:tab w:leader="none" w:pos="2793" w:val="left"/>
        </w:tabs>
        <w:numPr>
          <w:ilvl w:val="0"/>
          <w:numId w:val="51"/>
        </w:numPr>
        <w:rPr>
          <w:rFonts w:ascii="Arial" w:cs="Arial" w:eastAsia="Arial" w:hAnsi="Arial"/>
          <w:sz w:val="18"/>
          <w:szCs w:val="18"/>
          <w:color w:val="010000"/>
        </w:rPr>
      </w:pPr>
      <w:r>
        <w:rPr>
          <w:rFonts w:ascii="Arial" w:cs="Arial" w:eastAsia="Arial" w:hAnsi="Arial"/>
          <w:sz w:val="18"/>
          <w:szCs w:val="18"/>
          <w:u w:val="single" w:color="auto"/>
          <w:color w:val="auto"/>
        </w:rPr>
        <w:t>Successors/Assigns</w:t>
      </w:r>
      <w:r>
        <w:rPr>
          <w:rFonts w:ascii="Arial" w:cs="Arial" w:eastAsia="Arial" w:hAnsi="Arial"/>
          <w:sz w:val="18"/>
          <w:szCs w:val="18"/>
          <w:color w:val="auto"/>
        </w:rPr>
        <w:t>. This Agreement shall bind, and the rights hereunder shall inure to, the respective successors and assigns of the parties hereto, subject to the provisions of the Credit Agreement and the other Financing Documents.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APPEAR ON FOLLOWING PAGES]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First Amendment to A&amp;R Credit Agreement (Revolving Loan)</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\\DC - 036639/000090 - 16338663 v4  </w:t>
      </w:r>
      <w:r>
        <w:rPr>
          <w:rFonts w:ascii="Arial" w:cs="Arial" w:eastAsia="Arial" w:hAnsi="Arial"/>
          <w:sz w:val="16"/>
          <w:szCs w:val="16"/>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|US-DOCS\126248262.6||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7" w:name="page118"/>
    <w:bookmarkEnd w:id="117"/>
    <w:p>
      <w:pPr>
        <w:ind w:firstLine="749"/>
        <w:spacing w:after="0" w:line="288" w:lineRule="auto"/>
        <w:rPr>
          <w:sz w:val="20"/>
          <w:szCs w:val="20"/>
          <w:color w:val="auto"/>
        </w:rPr>
      </w:pPr>
      <w:r>
        <w:rPr>
          <w:rFonts w:ascii="Arial" w:cs="Arial" w:eastAsia="Arial" w:hAnsi="Arial"/>
          <w:sz w:val="20"/>
          <w:szCs w:val="20"/>
          <w:color w:val="auto"/>
        </w:rPr>
        <w:t>IN WITNESS WHEREOF, intending to be legally bound, the undersigned have executed this Agreement as of the day and year first hereinabove set forth.</w:t>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4700" w:val="left"/>
        </w:tabs>
        <w:rPr>
          <w:sz w:val="20"/>
          <w:szCs w:val="20"/>
          <w:color w:val="auto"/>
        </w:rPr>
      </w:pPr>
      <w:r>
        <w:rPr>
          <w:rFonts w:ascii="Arial" w:cs="Arial" w:eastAsia="Arial" w:hAnsi="Arial"/>
          <w:sz w:val="20"/>
          <w:szCs w:val="20"/>
          <w:b w:val="1"/>
          <w:bCs w:val="1"/>
          <w:color w:val="auto"/>
        </w:rPr>
        <w:t>AGENT:</w:t>
      </w:r>
      <w:r>
        <w:rPr>
          <w:sz w:val="20"/>
          <w:szCs w:val="20"/>
          <w:color w:val="auto"/>
        </w:rPr>
        <w:tab/>
      </w:r>
      <w:r>
        <w:rPr>
          <w:rFonts w:ascii="Arial" w:cs="Arial" w:eastAsia="Arial" w:hAnsi="Arial"/>
          <w:sz w:val="20"/>
          <w:szCs w:val="20"/>
          <w:b w:val="1"/>
          <w:bCs w:val="1"/>
          <w:color w:val="auto"/>
        </w:rPr>
        <w:t>MIDCAP FUNDING IV TRUST</w:t>
      </w:r>
    </w:p>
    <w:p>
      <w:pPr>
        <w:spacing w:after="0" w:line="289"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Apollo Capital Management, L.P.,</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its investment manager</w:t>
      </w:r>
    </w:p>
    <w:p>
      <w:pPr>
        <w:spacing w:after="0" w:line="283"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Apollo Capital Management GP, LLC,</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340"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 _/s/ Maurice Amsellem___________</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Name: Maurice Amsellem</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First Amendment to A&amp;R Credit Agreement (Revolving Loan)</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\\DC - 036639/000090 - 16338663 v4  </w:t>
      </w:r>
      <w:r>
        <w:rPr>
          <w:rFonts w:ascii="Arial" w:cs="Arial" w:eastAsia="Arial" w:hAnsi="Arial"/>
          <w:sz w:val="16"/>
          <w:szCs w:val="16"/>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|US-DOCS\126248262.6||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8" w:name="page119"/>
    <w:bookmarkEnd w:id="118"/>
    <w:p>
      <w:pPr>
        <w:ind w:left="20"/>
        <w:spacing w:after="0"/>
        <w:tabs>
          <w:tab w:leader="none" w:pos="470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20"/>
          <w:szCs w:val="20"/>
          <w:b w:val="1"/>
          <w:bCs w:val="1"/>
          <w:color w:val="auto"/>
        </w:rPr>
        <w:t>MIDCAP FUNDING IV TRUST</w:t>
      </w:r>
    </w:p>
    <w:p>
      <w:pPr>
        <w:spacing w:after="0" w:line="289"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Apollo Capital Management, L.P.,</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its investment manager</w:t>
      </w:r>
    </w:p>
    <w:p>
      <w:pPr>
        <w:spacing w:after="0" w:line="283"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Apollo Capital Management GP, LLC,</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34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_/s/ Maurice Amsellem___________</w:t>
      </w:r>
    </w:p>
    <w:p>
      <w:pPr>
        <w:spacing w:after="0" w:line="50"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Name: Maurice Amsellem</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First Amendment to A&amp;R Credit Agreement (Revolving Loan)</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\\DC - 036639/000090 - 16338663 v4  </w:t>
      </w:r>
      <w:r>
        <w:rPr>
          <w:rFonts w:ascii="Arial" w:cs="Arial" w:eastAsia="Arial" w:hAnsi="Arial"/>
          <w:sz w:val="16"/>
          <w:szCs w:val="16"/>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|US-DOCS\126248262.6||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73" w:right="1440" w:bottom="1440" w:gutter="0" w:footer="0" w:header="0"/>
        </w:sectPr>
      </w:pPr>
    </w:p>
    <w:bookmarkStart w:id="119" w:name="page120"/>
    <w:bookmarkEnd w:id="119"/>
    <w:p>
      <w:pPr>
        <w:spacing w:after="0"/>
        <w:tabs>
          <w:tab w:leader="none" w:pos="3160" w:val="left"/>
        </w:tabs>
        <w:rPr>
          <w:sz w:val="20"/>
          <w:szCs w:val="20"/>
          <w:color w:val="auto"/>
        </w:rPr>
      </w:pPr>
      <w:r>
        <w:rPr>
          <w:rFonts w:ascii="Arial" w:cs="Arial" w:eastAsia="Arial" w:hAnsi="Arial"/>
          <w:sz w:val="20"/>
          <w:szCs w:val="20"/>
          <w:b w:val="1"/>
          <w:bCs w:val="1"/>
          <w:color w:val="auto"/>
        </w:rPr>
        <w:t>BORROWER:</w:t>
      </w:r>
      <w:r>
        <w:rPr>
          <w:sz w:val="20"/>
          <w:szCs w:val="20"/>
          <w:color w:val="auto"/>
        </w:rPr>
        <w:tab/>
      </w:r>
      <w:r>
        <w:rPr>
          <w:rFonts w:ascii="Arial" w:cs="Arial" w:eastAsia="Arial" w:hAnsi="Arial"/>
          <w:sz w:val="20"/>
          <w:szCs w:val="20"/>
          <w:b w:val="1"/>
          <w:bCs w:val="1"/>
          <w:color w:val="auto"/>
        </w:rPr>
        <w:t>SIGHT SCIENCES, INC.</w:t>
      </w:r>
    </w:p>
    <w:p>
      <w:pPr>
        <w:spacing w:after="0" w:line="200" w:lineRule="exact"/>
        <w:rPr>
          <w:sz w:val="20"/>
          <w:szCs w:val="20"/>
          <w:color w:val="auto"/>
        </w:rPr>
      </w:pPr>
    </w:p>
    <w:p>
      <w:pPr>
        <w:spacing w:after="0" w:line="346"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By: _/s/ Jesse Selnick___________________</w:t>
      </w:r>
    </w:p>
    <w:p>
      <w:pPr>
        <w:spacing w:after="0" w:line="73"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Name: _Jesse Selnick___________________</w:t>
      </w:r>
    </w:p>
    <w:p>
      <w:pPr>
        <w:spacing w:after="0" w:line="7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_Chief Financial Officer____________</w:t>
      </w:r>
    </w:p>
    <w:p>
      <w:pPr>
        <w:spacing w:after="0" w:line="279"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First Amendment to A&amp;R Credit Agreement (Revolving Loan)</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\\DC - 036639/000090 - 16338663 v4  </w:t>
      </w:r>
      <w:r>
        <w:rPr>
          <w:rFonts w:ascii="Arial" w:cs="Arial" w:eastAsia="Arial" w:hAnsi="Arial"/>
          <w:sz w:val="16"/>
          <w:szCs w:val="16"/>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|US-DOCS\126248262.6||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16" w:right="1440" w:bottom="1440" w:gutter="0" w:footer="0" w:header="0"/>
        </w:sectPr>
      </w:pPr>
    </w:p>
    <w:bookmarkStart w:id="120" w:name="page121"/>
    <w:bookmarkEnd w:id="120"/>
    <w:p>
      <w:pPr>
        <w:jc w:val="right"/>
        <w:spacing w:after="0"/>
        <w:rPr>
          <w:sz w:val="20"/>
          <w:szCs w:val="20"/>
          <w:color w:val="auto"/>
        </w:rPr>
      </w:pPr>
      <w:r>
        <w:rPr>
          <w:rFonts w:ascii="Arial" w:cs="Arial" w:eastAsia="Arial" w:hAnsi="Arial"/>
          <w:sz w:val="20"/>
          <w:szCs w:val="20"/>
          <w:b w:val="1"/>
          <w:bCs w:val="1"/>
          <w:u w:val="single" w:color="auto"/>
          <w:color w:val="auto"/>
        </w:rPr>
        <w:t>ANNEX A</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B to Credit Agreement (Form of Compliance Certificate)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COMPLIANCE CERTIFICATE</w:t>
      </w:r>
    </w:p>
    <w:p>
      <w:pPr>
        <w:spacing w:after="0" w:line="249"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This Compliance Certificate is given by _____________________, a Responsible Officer of Sight Sciences, Inc., a Delaware</w:t>
      </w:r>
    </w:p>
    <w:p>
      <w:pPr>
        <w:spacing w:after="0" w:line="32"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corporation (the “</w:t>
      </w:r>
      <w:r>
        <w:rPr>
          <w:rFonts w:ascii="Arial" w:cs="Arial" w:eastAsia="Arial" w:hAnsi="Arial"/>
          <w:sz w:val="20"/>
          <w:szCs w:val="20"/>
          <w:b w:val="1"/>
          <w:bCs w:val="1"/>
          <w:color w:val="auto"/>
        </w:rPr>
        <w:t>Borrower Representative</w:t>
      </w:r>
      <w:r>
        <w:rPr>
          <w:rFonts w:ascii="Arial" w:cs="Arial" w:eastAsia="Arial" w:hAnsi="Arial"/>
          <w:sz w:val="20"/>
          <w:szCs w:val="20"/>
          <w:color w:val="auto"/>
        </w:rPr>
        <w:t>”), pursuant to that certain Amended and Restated Credit and Security Agreement (Revolving Loan), dated as of November 23, 2020 among the Borrower Representative and any additional Borrower that may hereafter be added thereto (collectively, “</w:t>
      </w:r>
      <w:r>
        <w:rPr>
          <w:rFonts w:ascii="Arial" w:cs="Arial" w:eastAsia="Arial" w:hAnsi="Arial"/>
          <w:sz w:val="20"/>
          <w:szCs w:val="20"/>
          <w:b w:val="1"/>
          <w:bCs w:val="1"/>
          <w:color w:val="auto"/>
        </w:rPr>
        <w:t>Borrowers</w:t>
      </w:r>
      <w:r>
        <w:rPr>
          <w:rFonts w:ascii="Arial" w:cs="Arial" w:eastAsia="Arial" w:hAnsi="Arial"/>
          <w:sz w:val="20"/>
          <w:szCs w:val="20"/>
          <w:color w:val="auto"/>
        </w:rPr>
        <w:t>”), MidCap Funding IV Trust, individually as a Lender and as Agent, and the financial institutions or other entities from time to time parties hereto, each as a Lender (as such agreement may have been amended, restated, supplemented or otherwise modified from time to time, the “</w:t>
      </w:r>
      <w:r>
        <w:rPr>
          <w:rFonts w:ascii="Arial" w:cs="Arial" w:eastAsia="Arial" w:hAnsi="Arial"/>
          <w:sz w:val="20"/>
          <w:szCs w:val="20"/>
          <w:b w:val="1"/>
          <w:bCs w:val="1"/>
          <w:color w:val="auto"/>
        </w:rPr>
        <w:t>Credit Agreement</w:t>
      </w:r>
      <w:r>
        <w:rPr>
          <w:rFonts w:ascii="Arial" w:cs="Arial" w:eastAsia="Arial" w:hAnsi="Arial"/>
          <w:sz w:val="20"/>
          <w:szCs w:val="20"/>
          <w:color w:val="auto"/>
        </w:rPr>
        <w:t>”). Capitalized terms used herein without definition shall have the meanings set forth in the Credit Agreement.</w:t>
      </w:r>
    </w:p>
    <w:p>
      <w:pPr>
        <w:spacing w:after="0" w:line="191"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20"/>
          <w:szCs w:val="20"/>
          <w:color w:val="auto"/>
        </w:rPr>
        <w:t>The undersigned Responsible Officer hereby certifies, solely in his/her capacity as a Responsible Officer of the Borrower Representative and not in any individual capacity, to Agent and Lenders that:</w:t>
      </w:r>
    </w:p>
    <w:p>
      <w:pPr>
        <w:spacing w:after="0" w:line="177" w:lineRule="exact"/>
        <w:rPr>
          <w:sz w:val="20"/>
          <w:szCs w:val="20"/>
          <w:color w:val="auto"/>
        </w:rPr>
      </w:pPr>
    </w:p>
    <w:p>
      <w:pPr>
        <w:jc w:val="both"/>
        <w:ind w:firstLine="757"/>
        <w:spacing w:after="0" w:line="283" w:lineRule="auto"/>
        <w:tabs>
          <w:tab w:leader="none" w:pos="1145"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financial statements delivered with this certificate in accordance with Section 4.1 of the Credit Agreement fairly present in all material respects the results of operations and financial condition of Borrowers and their Consolidated Subsidiaries as of the dates and the accounting period covered by such financial statements;]</w:t>
      </w:r>
      <w:r>
        <w:rPr>
          <w:rFonts w:ascii="Arial" w:cs="Arial" w:eastAsia="Arial" w:hAnsi="Arial"/>
          <w:sz w:val="26"/>
          <w:szCs w:val="26"/>
          <w:color w:val="auto"/>
          <w:vertAlign w:val="superscript"/>
        </w:rPr>
        <w:t>1</w:t>
      </w:r>
    </w:p>
    <w:p>
      <w:pPr>
        <w:spacing w:after="0" w:line="90" w:lineRule="exact"/>
        <w:rPr>
          <w:rFonts w:ascii="Arial" w:cs="Arial" w:eastAsia="Arial" w:hAnsi="Arial"/>
          <w:sz w:val="20"/>
          <w:szCs w:val="20"/>
          <w:color w:val="auto"/>
        </w:rPr>
      </w:pPr>
    </w:p>
    <w:p>
      <w:pPr>
        <w:ind w:left="1160" w:hanging="403"/>
        <w:spacing w:after="0"/>
        <w:tabs>
          <w:tab w:leader="none" w:pos="11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[reserved];</w:t>
      </w:r>
    </w:p>
    <w:p>
      <w:pPr>
        <w:spacing w:after="0" w:line="242" w:lineRule="exact"/>
        <w:rPr>
          <w:rFonts w:ascii="Arial" w:cs="Arial" w:eastAsia="Arial" w:hAnsi="Arial"/>
          <w:sz w:val="20"/>
          <w:szCs w:val="20"/>
          <w:color w:val="auto"/>
        </w:rPr>
      </w:pPr>
    </w:p>
    <w:p>
      <w:pPr>
        <w:jc w:val="both"/>
        <w:ind w:firstLine="757"/>
        <w:spacing w:after="0" w:line="288" w:lineRule="auto"/>
        <w:tabs>
          <w:tab w:leader="none" w:pos="1145"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I have reviewed the terms of the Credit Agreement and have made, or caused to be made under my supervision, a review in reasonable detail of the transactions and conditions of Borrowers and their Consolidated Subsidiaries during the accounting period covered by such financial statements, and such review has not disclosed the existence during or at the end of such accounting period, and I have no knowledge of the existence as of the date hereof, of any condition or event that constitutes a Default or an Event of Default, except as set forth in </w:t>
      </w:r>
      <w:r>
        <w:rPr>
          <w:rFonts w:ascii="Arial" w:cs="Arial" w:eastAsia="Arial" w:hAnsi="Arial"/>
          <w:sz w:val="19"/>
          <w:szCs w:val="19"/>
          <w:b w:val="1"/>
          <w:bCs w:val="1"/>
          <w:u w:val="single" w:color="auto"/>
          <w:color w:val="auto"/>
        </w:rPr>
        <w:t>Schedule 1</w:t>
      </w:r>
      <w:r>
        <w:rPr>
          <w:rFonts w:ascii="Arial" w:cs="Arial" w:eastAsia="Arial" w:hAnsi="Arial"/>
          <w:sz w:val="19"/>
          <w:szCs w:val="19"/>
          <w:color w:val="auto"/>
        </w:rPr>
        <w:t xml:space="preserve"> hereto, which includes a description of the nature and period of existence of such Default or an Event of Default and what action Borrowers have taken, are undertaking and propose to take with respect thereto;</w:t>
      </w:r>
    </w:p>
    <w:p>
      <w:pPr>
        <w:spacing w:after="0" w:line="175" w:lineRule="exact"/>
        <w:rPr>
          <w:rFonts w:ascii="Arial" w:cs="Arial" w:eastAsia="Arial" w:hAnsi="Arial"/>
          <w:sz w:val="19"/>
          <w:szCs w:val="19"/>
          <w:color w:val="auto"/>
        </w:rPr>
      </w:pPr>
    </w:p>
    <w:p>
      <w:pPr>
        <w:jc w:val="both"/>
        <w:ind w:firstLine="757"/>
        <w:spacing w:after="0" w:line="326" w:lineRule="auto"/>
        <w:tabs>
          <w:tab w:leader="none" w:pos="11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except as noted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attached hereto, </w:t>
      </w:r>
      <w:r>
        <w:rPr>
          <w:rFonts w:ascii="Arial" w:cs="Arial" w:eastAsia="Arial" w:hAnsi="Arial"/>
          <w:sz w:val="18"/>
          <w:szCs w:val="18"/>
          <w:u w:val="single" w:color="auto"/>
          <w:color w:val="auto"/>
        </w:rPr>
        <w:t>Schedule 9.2(b)</w:t>
      </w:r>
      <w:r>
        <w:rPr>
          <w:rFonts w:ascii="Arial" w:cs="Arial" w:eastAsia="Arial" w:hAnsi="Arial"/>
          <w:sz w:val="18"/>
          <w:szCs w:val="18"/>
          <w:color w:val="auto"/>
        </w:rPr>
        <w:t xml:space="preserve"> to the Credit Agreement contains a complete and accurate list of all business locations of Borrowers and Guarantors and all names under which Borrowers and Guarantors currently conduct business;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specifically notes any changes in the names under which any Borrower or Guarantors conduct business;</w:t>
      </w:r>
    </w:p>
    <w:p>
      <w:pPr>
        <w:spacing w:after="0" w:line="142" w:lineRule="exact"/>
        <w:rPr>
          <w:rFonts w:ascii="Arial" w:cs="Arial" w:eastAsia="Arial" w:hAnsi="Arial"/>
          <w:sz w:val="18"/>
          <w:szCs w:val="18"/>
          <w:color w:val="auto"/>
        </w:rPr>
      </w:pPr>
    </w:p>
    <w:p>
      <w:pPr>
        <w:jc w:val="both"/>
        <w:ind w:firstLine="757"/>
        <w:spacing w:after="0" w:line="276" w:lineRule="auto"/>
        <w:tabs>
          <w:tab w:leader="none" w:pos="1145" w:val="left"/>
        </w:tabs>
        <w:numPr>
          <w:ilvl w:val="0"/>
          <w:numId w:val="52"/>
        </w:numPr>
        <w:rPr>
          <w:rFonts w:ascii="Arial" w:cs="Arial" w:eastAsia="Arial" w:hAnsi="Arial"/>
          <w:sz w:val="20"/>
          <w:szCs w:val="20"/>
          <w:color w:val="auto"/>
        </w:rPr>
      </w:pPr>
      <w:r>
        <w:rPr>
          <w:rFonts w:ascii="Arial" w:cs="Arial" w:eastAsia="Arial" w:hAnsi="Arial"/>
          <w:sz w:val="20"/>
          <w:szCs w:val="20"/>
          <w:color w:val="auto"/>
        </w:rPr>
        <w:t xml:space="preserve">except as noted on </w:t>
      </w:r>
      <w:r>
        <w:rPr>
          <w:rFonts w:ascii="Arial" w:cs="Arial" w:eastAsia="Arial" w:hAnsi="Arial"/>
          <w:sz w:val="20"/>
          <w:szCs w:val="20"/>
          <w:b w:val="1"/>
          <w:bCs w:val="1"/>
          <w:u w:val="single" w:color="auto"/>
          <w:color w:val="auto"/>
        </w:rPr>
        <w:t>Schedule 3</w:t>
      </w:r>
      <w:r>
        <w:rPr>
          <w:rFonts w:ascii="Arial" w:cs="Arial" w:eastAsia="Arial" w:hAnsi="Arial"/>
          <w:sz w:val="20"/>
          <w:szCs w:val="20"/>
          <w:color w:val="auto"/>
        </w:rPr>
        <w:t xml:space="preserve"> attached hereto, the undersigned has no knowledge of (i) any federal or state tax liens (other than Permitted Liens) having been filed against any Borrower, Guarantor or any Collateral, or (ii) any failure of any Borrower or any Guarantors to make required payments of withholding or other tax obligations of any Borrower or any Guarantors during the accounting period to which the attached statements pertain or any subsequent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285432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1">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120" w:hanging="112"/>
        <w:spacing w:after="0"/>
        <w:tabs>
          <w:tab w:leader="none" w:pos="120" w:val="left"/>
        </w:tabs>
        <w:numPr>
          <w:ilvl w:val="0"/>
          <w:numId w:val="53"/>
        </w:numPr>
        <w:rPr>
          <w:rFonts w:ascii="Arial" w:cs="Arial" w:eastAsia="Arial" w:hAnsi="Arial"/>
          <w:sz w:val="24"/>
          <w:szCs w:val="24"/>
          <w:color w:val="auto"/>
          <w:vertAlign w:val="superscript"/>
        </w:rPr>
      </w:pPr>
      <w:r>
        <w:rPr>
          <w:rFonts w:ascii="Arial" w:cs="Arial" w:eastAsia="Arial" w:hAnsi="Arial"/>
          <w:sz w:val="18"/>
          <w:szCs w:val="18"/>
          <w:color w:val="auto"/>
        </w:rPr>
        <w:t>To be included only if requested by Agent.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First Amendment to A&amp;R Credit Agreement (Revolving Loan)</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\\DC - 036639/000090 - 16338663 v4  </w:t>
      </w:r>
      <w:r>
        <w:rPr>
          <w:rFonts w:ascii="Arial" w:cs="Arial" w:eastAsia="Arial" w:hAnsi="Arial"/>
          <w:sz w:val="16"/>
          <w:szCs w:val="16"/>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|US-DOCS\126248262.6||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1" w:name="page122"/>
    <w:bookmarkEnd w:id="121"/>
    <w:p>
      <w:pPr>
        <w:ind w:firstLine="757"/>
        <w:spacing w:after="0" w:line="288" w:lineRule="auto"/>
        <w:tabs>
          <w:tab w:leader="none" w:pos="1172"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Schedule 5.14</w:t>
      </w:r>
      <w:r>
        <w:rPr>
          <w:rFonts w:ascii="Arial" w:cs="Arial" w:eastAsia="Arial" w:hAnsi="Arial"/>
          <w:sz w:val="20"/>
          <w:szCs w:val="20"/>
          <w:color w:val="auto"/>
        </w:rPr>
        <w:t xml:space="preserve"> to the Credit Agreement contains a complete and accurate statement of all deposit accounts or investment accounts maintained by Borrowers and Guarantors;</w:t>
      </w:r>
    </w:p>
    <w:p>
      <w:pPr>
        <w:spacing w:after="0" w:line="171" w:lineRule="exact"/>
        <w:rPr>
          <w:rFonts w:ascii="Arial" w:cs="Arial" w:eastAsia="Arial" w:hAnsi="Arial"/>
          <w:sz w:val="20"/>
          <w:szCs w:val="20"/>
          <w:color w:val="auto"/>
        </w:rPr>
      </w:pPr>
    </w:p>
    <w:p>
      <w:pPr>
        <w:jc w:val="both"/>
        <w:ind w:firstLine="757"/>
        <w:spacing w:after="0" w:line="280" w:lineRule="auto"/>
        <w:tabs>
          <w:tab w:leader="none" w:pos="1145"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[except as noted on </w:t>
      </w:r>
      <w:r>
        <w:rPr>
          <w:rFonts w:ascii="Arial" w:cs="Arial" w:eastAsia="Arial" w:hAnsi="Arial"/>
          <w:sz w:val="20"/>
          <w:szCs w:val="20"/>
          <w:b w:val="1"/>
          <w:bCs w:val="1"/>
          <w:u w:val="single" w:color="auto"/>
          <w:color w:val="auto"/>
        </w:rPr>
        <w:t>Schedule 4</w:t>
      </w:r>
      <w:r>
        <w:rPr>
          <w:rFonts w:ascii="Arial" w:cs="Arial" w:eastAsia="Arial" w:hAnsi="Arial"/>
          <w:sz w:val="20"/>
          <w:szCs w:val="20"/>
          <w:color w:val="auto"/>
        </w:rPr>
        <w:t xml:space="preserve"> attached hereto and </w:t>
      </w:r>
      <w:r>
        <w:rPr>
          <w:rFonts w:ascii="Arial" w:cs="Arial" w:eastAsia="Arial" w:hAnsi="Arial"/>
          <w:sz w:val="20"/>
          <w:szCs w:val="20"/>
          <w:u w:val="single" w:color="auto"/>
          <w:color w:val="auto"/>
        </w:rPr>
        <w:t>Schedule 3.6</w:t>
      </w:r>
      <w:r>
        <w:rPr>
          <w:rFonts w:ascii="Arial" w:cs="Arial" w:eastAsia="Arial" w:hAnsi="Arial"/>
          <w:sz w:val="20"/>
          <w:szCs w:val="20"/>
          <w:color w:val="auto"/>
        </w:rPr>
        <w:t xml:space="preserve"> to the Credit Agreement, the undersigned has no knowledge of any current, pending or threatened: (i) litigation against the Borrowers or any Guarantors, (ii) inquiries, investigations or proceedings concerning the business affairs, practices, licensing or reimbursement entitlements of Borrowers or any Guarantors, or (iii) default by Borrowers or any Guarantors under any Material Contract to which it is a party;]</w:t>
      </w:r>
      <w:r>
        <w:rPr>
          <w:rFonts w:ascii="Arial" w:cs="Arial" w:eastAsia="Arial" w:hAnsi="Arial"/>
          <w:sz w:val="26"/>
          <w:szCs w:val="26"/>
          <w:color w:val="auto"/>
          <w:vertAlign w:val="superscript"/>
        </w:rPr>
        <w:t>2</w:t>
      </w:r>
    </w:p>
    <w:p>
      <w:pPr>
        <w:spacing w:after="0" w:line="88" w:lineRule="exact"/>
        <w:rPr>
          <w:rFonts w:ascii="Arial" w:cs="Arial" w:eastAsia="Arial" w:hAnsi="Arial"/>
          <w:sz w:val="20"/>
          <w:szCs w:val="20"/>
          <w:color w:val="auto"/>
        </w:rPr>
      </w:pPr>
    </w:p>
    <w:p>
      <w:pPr>
        <w:jc w:val="both"/>
        <w:ind w:firstLine="757"/>
        <w:spacing w:after="0" w:line="312" w:lineRule="auto"/>
        <w:tabs>
          <w:tab w:leader="none" w:pos="1145"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[except as noted on </w:t>
      </w:r>
      <w:r>
        <w:rPr>
          <w:rFonts w:ascii="Arial" w:cs="Arial" w:eastAsia="Arial" w:hAnsi="Arial"/>
          <w:sz w:val="18"/>
          <w:szCs w:val="18"/>
          <w:b w:val="1"/>
          <w:bCs w:val="1"/>
          <w:u w:val="single" w:color="auto"/>
          <w:color w:val="auto"/>
        </w:rPr>
        <w:t>Schedule 5</w:t>
      </w:r>
      <w:r>
        <w:rPr>
          <w:rFonts w:ascii="Arial" w:cs="Arial" w:eastAsia="Arial" w:hAnsi="Arial"/>
          <w:sz w:val="18"/>
          <w:szCs w:val="18"/>
          <w:color w:val="auto"/>
        </w:rPr>
        <w:t xml:space="preserve"> attached hereto, no Borrower has acquired, by purchase, by the approval or granting of any application for registration (whether or not such application was previously disclosed to Agent by Borrowers) or otherwise, any Intellectual Property that is registered with any United States or foreign Governmental Authority, or has filed with any such United States or foreign Governmental Authority, any new application for the registration of any Intellectual Property, that has not previously been reported to Agent on </w:t>
      </w:r>
      <w:r>
        <w:rPr>
          <w:rFonts w:ascii="Arial" w:cs="Arial" w:eastAsia="Arial" w:hAnsi="Arial"/>
          <w:sz w:val="18"/>
          <w:szCs w:val="18"/>
          <w:u w:val="single" w:color="auto"/>
          <w:color w:val="auto"/>
        </w:rPr>
        <w:t>Schedule 3.19</w:t>
      </w:r>
      <w:r>
        <w:rPr>
          <w:rFonts w:ascii="Arial" w:cs="Arial" w:eastAsia="Arial" w:hAnsi="Arial"/>
          <w:sz w:val="18"/>
          <w:szCs w:val="18"/>
          <w:color w:val="auto"/>
        </w:rPr>
        <w:t xml:space="preserve"> to the Credit Agreement or any </w:t>
      </w:r>
      <w:r>
        <w:rPr>
          <w:rFonts w:ascii="Arial" w:cs="Arial" w:eastAsia="Arial" w:hAnsi="Arial"/>
          <w:sz w:val="18"/>
          <w:szCs w:val="18"/>
          <w:b w:val="1"/>
          <w:bCs w:val="1"/>
          <w:u w:val="single" w:color="auto"/>
          <w:color w:val="auto"/>
        </w:rPr>
        <w:t>Schedule 5</w:t>
      </w:r>
      <w:r>
        <w:rPr>
          <w:rFonts w:ascii="Arial" w:cs="Arial" w:eastAsia="Arial" w:hAnsi="Arial"/>
          <w:sz w:val="18"/>
          <w:szCs w:val="18"/>
          <w:color w:val="auto"/>
        </w:rPr>
        <w:t xml:space="preserve"> to any previous Compliance Certificate delivered by Borrower to Agent];</w:t>
      </w:r>
      <w:r>
        <w:rPr>
          <w:rFonts w:ascii="Arial" w:cs="Arial" w:eastAsia="Arial" w:hAnsi="Arial"/>
          <w:sz w:val="24"/>
          <w:szCs w:val="24"/>
          <w:color w:val="auto"/>
          <w:vertAlign w:val="superscript"/>
        </w:rPr>
        <w:t>3</w:t>
      </w:r>
    </w:p>
    <w:p>
      <w:pPr>
        <w:spacing w:after="0" w:line="63" w:lineRule="exact"/>
        <w:rPr>
          <w:rFonts w:ascii="Arial" w:cs="Arial" w:eastAsia="Arial" w:hAnsi="Arial"/>
          <w:sz w:val="18"/>
          <w:szCs w:val="18"/>
          <w:color w:val="auto"/>
        </w:rPr>
      </w:pPr>
    </w:p>
    <w:p>
      <w:pPr>
        <w:jc w:val="both"/>
        <w:ind w:firstLine="757"/>
        <w:spacing w:after="0" w:line="294" w:lineRule="auto"/>
        <w:tabs>
          <w:tab w:leader="none" w:pos="1145"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[except as noted on </w:t>
      </w:r>
      <w:r>
        <w:rPr>
          <w:rFonts w:ascii="Arial" w:cs="Arial" w:eastAsia="Arial" w:hAnsi="Arial"/>
          <w:sz w:val="19"/>
          <w:szCs w:val="19"/>
          <w:b w:val="1"/>
          <w:bCs w:val="1"/>
          <w:u w:val="single" w:color="auto"/>
          <w:color w:val="auto"/>
        </w:rPr>
        <w:t>Schedule 5</w:t>
      </w:r>
      <w:r>
        <w:rPr>
          <w:rFonts w:ascii="Arial" w:cs="Arial" w:eastAsia="Arial" w:hAnsi="Arial"/>
          <w:sz w:val="19"/>
          <w:szCs w:val="19"/>
          <w:color w:val="auto"/>
        </w:rPr>
        <w:t xml:space="preserve"> attached hereto, no entered into or become bound by any additional in-bound license or sublicense agreement that is material to Borrower’s business or any additional exclusive out-bound license or sublicense agreement (excluding agreements for in-bound licenses for (a) off-the-shelf software or services that are commercially available to the public, and (b) open source software), that has not previously been reported to Agent on </w:t>
      </w:r>
      <w:r>
        <w:rPr>
          <w:rFonts w:ascii="Arial" w:cs="Arial" w:eastAsia="Arial" w:hAnsi="Arial"/>
          <w:sz w:val="19"/>
          <w:szCs w:val="19"/>
          <w:u w:val="single" w:color="auto"/>
          <w:color w:val="auto"/>
        </w:rPr>
        <w:t>Schedule 3.19</w:t>
      </w:r>
      <w:r>
        <w:rPr>
          <w:rFonts w:ascii="Arial" w:cs="Arial" w:eastAsia="Arial" w:hAnsi="Arial"/>
          <w:sz w:val="19"/>
          <w:szCs w:val="19"/>
          <w:color w:val="auto"/>
        </w:rPr>
        <w:t xml:space="preserve"> to the Credit Agreement or any </w:t>
      </w:r>
      <w:r>
        <w:rPr>
          <w:rFonts w:ascii="Arial" w:cs="Arial" w:eastAsia="Arial" w:hAnsi="Arial"/>
          <w:sz w:val="19"/>
          <w:szCs w:val="19"/>
          <w:b w:val="1"/>
          <w:bCs w:val="1"/>
          <w:u w:val="single" w:color="auto"/>
          <w:color w:val="auto"/>
        </w:rPr>
        <w:t>Schedule 5</w:t>
      </w:r>
      <w:r>
        <w:rPr>
          <w:rFonts w:ascii="Arial" w:cs="Arial" w:eastAsia="Arial" w:hAnsi="Arial"/>
          <w:sz w:val="19"/>
          <w:szCs w:val="19"/>
          <w:color w:val="auto"/>
        </w:rPr>
        <w:t xml:space="preserve"> to any previous Compliance Certificate delivered by Borrower to Agent] ;</w:t>
      </w:r>
      <w:r>
        <w:rPr>
          <w:rFonts w:ascii="Arial" w:cs="Arial" w:eastAsia="Arial" w:hAnsi="Arial"/>
          <w:sz w:val="25"/>
          <w:szCs w:val="25"/>
          <w:color w:val="auto"/>
          <w:vertAlign w:val="superscript"/>
        </w:rPr>
        <w:t>4</w:t>
      </w:r>
    </w:p>
    <w:p>
      <w:pPr>
        <w:spacing w:after="0" w:line="75" w:lineRule="exact"/>
        <w:rPr>
          <w:rFonts w:ascii="Arial" w:cs="Arial" w:eastAsia="Arial" w:hAnsi="Arial"/>
          <w:sz w:val="19"/>
          <w:szCs w:val="19"/>
          <w:color w:val="auto"/>
        </w:rPr>
      </w:pPr>
    </w:p>
    <w:p>
      <w:pPr>
        <w:jc w:val="both"/>
        <w:ind w:firstLine="757"/>
        <w:spacing w:after="0" w:line="302" w:lineRule="auto"/>
        <w:tabs>
          <w:tab w:leader="none" w:pos="1145"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except as noted on </w:t>
      </w:r>
      <w:r>
        <w:rPr>
          <w:rFonts w:ascii="Arial" w:cs="Arial" w:eastAsia="Arial" w:hAnsi="Arial"/>
          <w:sz w:val="19"/>
          <w:szCs w:val="19"/>
          <w:b w:val="1"/>
          <w:bCs w:val="1"/>
          <w:u w:val="single" w:color="auto"/>
          <w:color w:val="auto"/>
        </w:rPr>
        <w:t>Schedule 6</w:t>
      </w:r>
      <w:r>
        <w:rPr>
          <w:rFonts w:ascii="Arial" w:cs="Arial" w:eastAsia="Arial" w:hAnsi="Arial"/>
          <w:sz w:val="19"/>
          <w:szCs w:val="19"/>
          <w:color w:val="auto"/>
        </w:rPr>
        <w:t xml:space="preserve"> attached hereto, no Borrower or Guarantor has acquired, by purchase or otherwise, any Chattel Paper, Letter of Credit Rights, Instruments, Documents or Investment Property that has not previously been reported to Agent on any </w:t>
      </w:r>
      <w:r>
        <w:rPr>
          <w:rFonts w:ascii="Arial" w:cs="Arial" w:eastAsia="Arial" w:hAnsi="Arial"/>
          <w:sz w:val="19"/>
          <w:szCs w:val="19"/>
          <w:b w:val="1"/>
          <w:bCs w:val="1"/>
          <w:u w:val="single" w:color="auto"/>
          <w:color w:val="auto"/>
        </w:rPr>
        <w:t>Schedule 6</w:t>
      </w:r>
      <w:r>
        <w:rPr>
          <w:rFonts w:ascii="Arial" w:cs="Arial" w:eastAsia="Arial" w:hAnsi="Arial"/>
          <w:sz w:val="19"/>
          <w:szCs w:val="19"/>
          <w:b w:val="1"/>
          <w:bCs w:val="1"/>
          <w:color w:val="auto"/>
        </w:rPr>
        <w:t xml:space="preserve"> </w:t>
      </w:r>
      <w:r>
        <w:rPr>
          <w:rFonts w:ascii="Arial" w:cs="Arial" w:eastAsia="Arial" w:hAnsi="Arial"/>
          <w:sz w:val="19"/>
          <w:szCs w:val="19"/>
          <w:color w:val="auto"/>
        </w:rPr>
        <w:t>to any previous Compliance Certificate delivered by Borrower Representative to Agent;</w:t>
      </w:r>
    </w:p>
    <w:p>
      <w:pPr>
        <w:spacing w:after="0" w:line="166" w:lineRule="exact"/>
        <w:rPr>
          <w:rFonts w:ascii="Arial" w:cs="Arial" w:eastAsia="Arial" w:hAnsi="Arial"/>
          <w:sz w:val="19"/>
          <w:szCs w:val="19"/>
          <w:color w:val="auto"/>
        </w:rPr>
      </w:pPr>
    </w:p>
    <w:p>
      <w:pPr>
        <w:jc w:val="both"/>
        <w:ind w:firstLine="757"/>
        <w:spacing w:after="0" w:line="278" w:lineRule="auto"/>
        <w:tabs>
          <w:tab w:leader="none" w:pos="1145"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except as noted on </w:t>
      </w:r>
      <w:r>
        <w:rPr>
          <w:rFonts w:ascii="Arial" w:cs="Arial" w:eastAsia="Arial" w:hAnsi="Arial"/>
          <w:sz w:val="20"/>
          <w:szCs w:val="20"/>
          <w:u w:val="single" w:color="auto"/>
          <w:color w:val="auto"/>
        </w:rPr>
        <w:t>Schedule 7</w:t>
      </w:r>
      <w:r>
        <w:rPr>
          <w:rFonts w:ascii="Arial" w:cs="Arial" w:eastAsia="Arial" w:hAnsi="Arial"/>
          <w:sz w:val="20"/>
          <w:szCs w:val="20"/>
          <w:color w:val="auto"/>
        </w:rPr>
        <w:t xml:space="preserve"> attached hereto, no Borrower or Guarantor is aware of any commercial tort claim that has not previously been reported to Agent on any </w:t>
      </w:r>
      <w:r>
        <w:rPr>
          <w:rFonts w:ascii="Arial" w:cs="Arial" w:eastAsia="Arial" w:hAnsi="Arial"/>
          <w:sz w:val="20"/>
          <w:szCs w:val="20"/>
          <w:u w:val="single" w:color="auto"/>
          <w:color w:val="auto"/>
        </w:rPr>
        <w:t>Schedule 7</w:t>
      </w:r>
      <w:r>
        <w:rPr>
          <w:rFonts w:ascii="Arial" w:cs="Arial" w:eastAsia="Arial" w:hAnsi="Arial"/>
          <w:sz w:val="20"/>
          <w:szCs w:val="20"/>
          <w:color w:val="auto"/>
        </w:rPr>
        <w:t xml:space="preserve"> to any previous Compliance Certificate delivered by Borrower Representative to Agent; and</w:t>
      </w:r>
    </w:p>
    <w:p>
      <w:pPr>
        <w:spacing w:after="0" w:line="186" w:lineRule="exact"/>
        <w:rPr>
          <w:rFonts w:ascii="Arial" w:cs="Arial" w:eastAsia="Arial" w:hAnsi="Arial"/>
          <w:sz w:val="20"/>
          <w:szCs w:val="20"/>
          <w:color w:val="auto"/>
        </w:rPr>
      </w:pPr>
    </w:p>
    <w:p>
      <w:pPr>
        <w:ind w:firstLine="757"/>
        <w:spacing w:after="0" w:line="288" w:lineRule="auto"/>
        <w:tabs>
          <w:tab w:leader="none" w:pos="1172"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aggregate amount of cash and cash equivalents held by Borrowers (on a consolidated basis) as of the date hereof is $[__________];</w:t>
      </w:r>
    </w:p>
    <w:p>
      <w:pPr>
        <w:spacing w:after="0" w:line="177" w:lineRule="exact"/>
        <w:rPr>
          <w:rFonts w:ascii="Arial" w:cs="Arial" w:eastAsia="Arial" w:hAnsi="Arial"/>
          <w:sz w:val="20"/>
          <w:szCs w:val="20"/>
          <w:color w:val="auto"/>
        </w:rPr>
      </w:pPr>
    </w:p>
    <w:p>
      <w:pPr>
        <w:ind w:left="1160" w:hanging="403"/>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held by Excluded Subsidiaries as of the date hereof is $[__________];</w:t>
      </w:r>
    </w:p>
    <w:p>
      <w:pPr>
        <w:spacing w:after="0" w:line="265" w:lineRule="exact"/>
        <w:rPr>
          <w:rFonts w:ascii="Arial" w:cs="Arial" w:eastAsia="Arial" w:hAnsi="Arial"/>
          <w:sz w:val="18"/>
          <w:szCs w:val="18"/>
          <w:color w:val="auto"/>
        </w:rPr>
      </w:pPr>
    </w:p>
    <w:p>
      <w:pPr>
        <w:ind w:left="1160" w:hanging="403"/>
        <w:spacing w:after="0"/>
        <w:tabs>
          <w:tab w:leader="none" w:pos="11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aggregate amount of Borrower Unrestricted Cash as of the date hereof is $[__________];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28543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hanging="112"/>
        <w:spacing w:after="0"/>
        <w:tabs>
          <w:tab w:leader="none" w:pos="120" w:val="left"/>
        </w:tabs>
        <w:numPr>
          <w:ilvl w:val="0"/>
          <w:numId w:val="55"/>
        </w:numPr>
        <w:rPr>
          <w:rFonts w:ascii="Arial" w:cs="Arial" w:eastAsia="Arial" w:hAnsi="Arial"/>
          <w:sz w:val="24"/>
          <w:szCs w:val="24"/>
          <w:color w:val="auto"/>
          <w:vertAlign w:val="superscript"/>
        </w:rPr>
      </w:pPr>
      <w:r>
        <w:rPr>
          <w:rFonts w:ascii="Arial" w:cs="Arial" w:eastAsia="Arial" w:hAnsi="Arial"/>
          <w:sz w:val="18"/>
          <w:szCs w:val="18"/>
          <w:color w:val="auto"/>
        </w:rPr>
        <w:t>To be included only if requested by Agent.</w:t>
      </w:r>
    </w:p>
    <w:p>
      <w:pPr>
        <w:spacing w:after="0" w:line="170" w:lineRule="exact"/>
        <w:rPr>
          <w:sz w:val="20"/>
          <w:szCs w:val="20"/>
          <w:color w:val="auto"/>
        </w:rPr>
      </w:pPr>
    </w:p>
    <w:p>
      <w:pPr>
        <w:ind w:left="120" w:hanging="112"/>
        <w:spacing w:after="0"/>
        <w:tabs>
          <w:tab w:leader="none" w:pos="120" w:val="left"/>
        </w:tabs>
        <w:numPr>
          <w:ilvl w:val="0"/>
          <w:numId w:val="56"/>
        </w:numPr>
        <w:rPr>
          <w:rFonts w:ascii="Arial" w:cs="Arial" w:eastAsia="Arial" w:hAnsi="Arial"/>
          <w:sz w:val="24"/>
          <w:szCs w:val="24"/>
          <w:color w:val="auto"/>
          <w:vertAlign w:val="superscript"/>
        </w:rPr>
      </w:pPr>
      <w:r>
        <w:rPr>
          <w:rFonts w:ascii="Arial" w:cs="Arial" w:eastAsia="Arial" w:hAnsi="Arial"/>
          <w:sz w:val="18"/>
          <w:szCs w:val="18"/>
          <w:color w:val="auto"/>
        </w:rPr>
        <w:t>To be included in June 30 and December 31 compliance certificates.</w:t>
      </w:r>
    </w:p>
    <w:p>
      <w:pPr>
        <w:spacing w:after="0" w:line="170" w:lineRule="exact"/>
        <w:rPr>
          <w:sz w:val="20"/>
          <w:szCs w:val="20"/>
          <w:color w:val="auto"/>
        </w:rPr>
      </w:pPr>
    </w:p>
    <w:p>
      <w:pPr>
        <w:ind w:left="120" w:hanging="112"/>
        <w:spacing w:after="0"/>
        <w:tabs>
          <w:tab w:leader="none" w:pos="120" w:val="left"/>
        </w:tabs>
        <w:numPr>
          <w:ilvl w:val="0"/>
          <w:numId w:val="57"/>
        </w:numPr>
        <w:rPr>
          <w:rFonts w:ascii="Arial" w:cs="Arial" w:eastAsia="Arial" w:hAnsi="Arial"/>
          <w:sz w:val="24"/>
          <w:szCs w:val="24"/>
          <w:color w:val="auto"/>
          <w:vertAlign w:val="superscript"/>
        </w:rPr>
      </w:pPr>
      <w:r>
        <w:rPr>
          <w:rFonts w:ascii="Arial" w:cs="Arial" w:eastAsia="Arial" w:hAnsi="Arial"/>
          <w:sz w:val="18"/>
          <w:szCs w:val="18"/>
          <w:color w:val="auto"/>
        </w:rPr>
        <w:t>To be included in quarterly compliance certificates.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First Amendment to A&amp;R Credit Agreement (Revolving Loan)</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\\DC - 036639/000090 - 16338663 v4  </w:t>
      </w:r>
      <w:r>
        <w:rPr>
          <w:rFonts w:ascii="Arial" w:cs="Arial" w:eastAsia="Arial" w:hAnsi="Arial"/>
          <w:sz w:val="16"/>
          <w:szCs w:val="16"/>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|US-DOCS\126248262.6||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22" w:name="page123"/>
    <w:bookmarkEnd w:id="122"/>
    <w:p>
      <w:pPr>
        <w:ind w:left="760"/>
        <w:spacing w:after="0"/>
        <w:tabs>
          <w:tab w:leader="none" w:pos="1140" w:val="left"/>
          <w:tab w:leader="none" w:pos="9040" w:val="left"/>
        </w:tabs>
        <w:rPr>
          <w:sz w:val="20"/>
          <w:szCs w:val="20"/>
          <w:color w:val="auto"/>
        </w:rPr>
      </w:pPr>
      <w:r>
        <w:rPr>
          <w:rFonts w:ascii="Arial" w:cs="Arial" w:eastAsia="Arial" w:hAnsi="Arial"/>
          <w:sz w:val="20"/>
          <w:szCs w:val="20"/>
          <w:color w:val="auto"/>
        </w:rPr>
        <w:t>(o)</w:t>
        <w:tab/>
        <w:t>Net Revenue of Borrowers and Guarantors for the relevant Defined Period is equal to $</w:t>
      </w:r>
      <w:r>
        <w:rPr>
          <w:sz w:val="20"/>
          <w:szCs w:val="20"/>
          <w:color w:val="auto"/>
        </w:rPr>
        <w:tab/>
      </w:r>
      <w:r>
        <w:rPr>
          <w:rFonts w:ascii="Arial" w:cs="Arial" w:eastAsia="Arial" w:hAnsi="Arial"/>
          <w:sz w:val="18"/>
          <w:szCs w:val="18"/>
          <w:color w:val="auto"/>
        </w:rPr>
        <w:t>. Borrowers and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5120640</wp:posOffset>
            </wp:positionH>
            <wp:positionV relativeFrom="paragraph">
              <wp:posOffset>-14605</wp:posOffset>
            </wp:positionV>
            <wp:extent cx="6362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5">
                      <a:extLst>
                        <a:ext uri="{28A0092B-C50C-407E-A947-70E740481C1C}"/>
                      </a:extLst>
                    </a:blip>
                    <a:srcRect/>
                    <a:stretch>
                      <a:fillRect/>
                    </a:stretch>
                  </pic:blipFill>
                  <pic:spPr bwMode="auto">
                    <a:xfrm>
                      <a:off x="0" y="0"/>
                      <a:ext cx="636270" cy="8255"/>
                    </a:xfrm>
                    <a:prstGeom prst="rect">
                      <a:avLst/>
                    </a:prstGeom>
                    <a:noFill/>
                  </pic:spPr>
                </pic:pic>
              </a:graphicData>
            </a:graphic>
          </wp:anchor>
        </w:drawing>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 xml:space="preserve">are </w:t>
      </w:r>
      <w:r>
        <w:rPr>
          <w:rFonts w:ascii="Arial" w:cs="Arial" w:eastAsia="Arial" w:hAnsi="Arial"/>
          <w:sz w:val="20"/>
          <w:szCs w:val="20"/>
          <w:b w:val="1"/>
          <w:bCs w:val="1"/>
          <w:color w:val="auto"/>
        </w:rPr>
        <w:t>[NOT</w:t>
      </w:r>
      <w:r>
        <w:rPr>
          <w:rFonts w:ascii="Arial" w:cs="Arial" w:eastAsia="Arial" w:hAnsi="Arial"/>
          <w:sz w:val="20"/>
          <w:szCs w:val="20"/>
          <w:color w:val="auto"/>
        </w:rPr>
        <w:t>] in compliance with the covenant contained in Article 6 of the Credit Agreement, and in any Guarantee constituting a part of the Financing Documents, as demonstrated by the calculation of such covenants below, except as set forth below; in determining such compliance, the following calculations have been made: [See attached worksheets]. Such calculations and the certifications contained therein are true, correct and complete in all material respects.</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foregoing certifications and computations are made as of ________________, 202__ (end of month) and as of _____________,</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202__.</w:t>
      </w:r>
    </w:p>
    <w:p>
      <w:pPr>
        <w:spacing w:after="0" w:line="256"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Sincerely,</w:t>
      </w:r>
    </w:p>
    <w:p>
      <w:pPr>
        <w:spacing w:after="0" w:line="345" w:lineRule="exact"/>
        <w:rPr>
          <w:sz w:val="20"/>
          <w:szCs w:val="20"/>
          <w:color w:val="auto"/>
        </w:rPr>
      </w:pPr>
    </w:p>
    <w:p>
      <w:pPr>
        <w:ind w:left="5940"/>
        <w:spacing w:after="0"/>
        <w:rPr>
          <w:sz w:val="20"/>
          <w:szCs w:val="20"/>
          <w:color w:val="auto"/>
        </w:rPr>
      </w:pPr>
      <w:r>
        <w:rPr>
          <w:rFonts w:ascii="Arial" w:cs="Arial" w:eastAsia="Arial" w:hAnsi="Arial"/>
          <w:sz w:val="20"/>
          <w:szCs w:val="20"/>
          <w:b w:val="1"/>
          <w:bCs w:val="1"/>
          <w:color w:val="auto"/>
        </w:rPr>
        <w:t>SIGHT SCIENCES, INC.</w:t>
      </w:r>
    </w:p>
    <w:p>
      <w:pPr>
        <w:spacing w:after="0" w:line="357"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By: ________________________________</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Name: ______________________________</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Title: 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First Amendment to A&amp;R Credit Agreement (Revolving Loan)</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\\DC - 036639/000090 - 16338663 v4  </w:t>
      </w:r>
      <w:r>
        <w:rPr>
          <w:rFonts w:ascii="Arial" w:cs="Arial" w:eastAsia="Arial" w:hAnsi="Arial"/>
          <w:sz w:val="16"/>
          <w:szCs w:val="16"/>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|US-DOCS\126248262.6||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77" w:lineRule="exact"/>
        <w:rPr>
          <w:sz w:val="20"/>
          <w:szCs w:val="20"/>
          <w:color w:val="auto"/>
        </w:rPr>
      </w:pPr>
    </w:p>
    <w:p>
      <w:pPr>
        <w:ind w:left="10220"/>
        <w:spacing w:after="0"/>
        <w:rPr>
          <w:sz w:val="20"/>
          <w:szCs w:val="20"/>
          <w:color w:val="auto"/>
        </w:rPr>
      </w:pPr>
      <w:r>
        <w:rPr>
          <w:rFonts w:ascii="Arial" w:cs="Arial" w:eastAsia="Arial" w:hAnsi="Arial"/>
          <w:sz w:val="18"/>
          <w:szCs w:val="18"/>
          <w:b w:val="1"/>
          <w:bCs w:val="1"/>
          <w:color w:val="auto"/>
        </w:rPr>
        <w:t>Exhibit 10.2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FIRST AMENDMENT TO AMENDED AND RESTATED CREDIT AND SECURITY AGREEMENT (TERM LOAN)</w:t>
      </w:r>
    </w:p>
    <w:p>
      <w:pPr>
        <w:spacing w:after="0" w:line="303" w:lineRule="exact"/>
        <w:rPr>
          <w:sz w:val="20"/>
          <w:szCs w:val="20"/>
          <w:color w:val="auto"/>
        </w:rPr>
      </w:pPr>
    </w:p>
    <w:p>
      <w:pPr>
        <w:jc w:val="both"/>
        <w:ind w:firstLine="396"/>
        <w:spacing w:after="0" w:line="272" w:lineRule="auto"/>
        <w:rPr>
          <w:sz w:val="20"/>
          <w:szCs w:val="20"/>
          <w:color w:val="auto"/>
        </w:rPr>
      </w:pPr>
      <w:r>
        <w:rPr>
          <w:rFonts w:ascii="Arial" w:cs="Arial" w:eastAsia="Arial" w:hAnsi="Arial"/>
          <w:sz w:val="20"/>
          <w:szCs w:val="20"/>
          <w:color w:val="auto"/>
        </w:rPr>
        <w:t>This FIRST AMENDMENT TO AMENDED AND RESTATED CREDIT AND SECURITY AGREEMENT (TERM LOAN) (this “</w:t>
      </w:r>
      <w:r>
        <w:rPr>
          <w:rFonts w:ascii="Arial" w:cs="Arial" w:eastAsia="Arial" w:hAnsi="Arial"/>
          <w:sz w:val="20"/>
          <w:szCs w:val="20"/>
          <w:b w:val="1"/>
          <w:bCs w:val="1"/>
          <w:color w:val="auto"/>
        </w:rPr>
        <w:t>Agreement</w:t>
      </w:r>
      <w:r>
        <w:rPr>
          <w:rFonts w:ascii="Arial" w:cs="Arial" w:eastAsia="Arial" w:hAnsi="Arial"/>
          <w:sz w:val="20"/>
          <w:szCs w:val="20"/>
          <w:color w:val="auto"/>
        </w:rPr>
        <w:t>”) is made as of this 5th day of October, 2021 (“</w:t>
      </w:r>
      <w:r>
        <w:rPr>
          <w:rFonts w:ascii="Arial" w:cs="Arial" w:eastAsia="Arial" w:hAnsi="Arial"/>
          <w:sz w:val="20"/>
          <w:szCs w:val="20"/>
          <w:b w:val="1"/>
          <w:bCs w:val="1"/>
          <w:color w:val="auto"/>
        </w:rPr>
        <w:t>Effective Date</w:t>
      </w:r>
      <w:r>
        <w:rPr>
          <w:rFonts w:ascii="Arial" w:cs="Arial" w:eastAsia="Arial" w:hAnsi="Arial"/>
          <w:sz w:val="20"/>
          <w:szCs w:val="20"/>
          <w:color w:val="auto"/>
        </w:rPr>
        <w:t xml:space="preserve">”), by and among </w:t>
      </w:r>
      <w:r>
        <w:rPr>
          <w:rFonts w:ascii="Arial" w:cs="Arial" w:eastAsia="Arial" w:hAnsi="Arial"/>
          <w:sz w:val="20"/>
          <w:szCs w:val="20"/>
          <w:b w:val="1"/>
          <w:bCs w:val="1"/>
          <w:color w:val="auto"/>
        </w:rPr>
        <w:t>SIGHT SCIENCES, INC.</w:t>
      </w:r>
      <w:r>
        <w:rPr>
          <w:rFonts w:ascii="Arial" w:cs="Arial" w:eastAsia="Arial" w:hAnsi="Arial"/>
          <w:sz w:val="20"/>
          <w:szCs w:val="20"/>
          <w:color w:val="auto"/>
        </w:rPr>
        <w:t>, a Delaware corporation (“</w:t>
      </w:r>
      <w:r>
        <w:rPr>
          <w:rFonts w:ascii="Arial" w:cs="Arial" w:eastAsia="Arial" w:hAnsi="Arial"/>
          <w:sz w:val="20"/>
          <w:szCs w:val="20"/>
          <w:b w:val="1"/>
          <w:bCs w:val="1"/>
          <w:color w:val="auto"/>
        </w:rPr>
        <w:t>Borrower</w:t>
      </w:r>
      <w:r>
        <w:rPr>
          <w:rFonts w:ascii="Arial" w:cs="Arial" w:eastAsia="Arial" w:hAnsi="Arial"/>
          <w:sz w:val="20"/>
          <w:szCs w:val="20"/>
          <w:color w:val="auto"/>
        </w:rPr>
        <w:t xml:space="preserve">”), </w:t>
      </w:r>
      <w:r>
        <w:rPr>
          <w:rFonts w:ascii="Arial" w:cs="Arial" w:eastAsia="Arial" w:hAnsi="Arial"/>
          <w:sz w:val="20"/>
          <w:szCs w:val="20"/>
          <w:b w:val="1"/>
          <w:bCs w:val="1"/>
          <w:color w:val="auto"/>
        </w:rPr>
        <w:t>MIDCAP FINANCIAL TRUST</w:t>
      </w:r>
      <w:r>
        <w:rPr>
          <w:rFonts w:ascii="Arial" w:cs="Arial" w:eastAsia="Arial" w:hAnsi="Arial"/>
          <w:sz w:val="20"/>
          <w:szCs w:val="20"/>
          <w:color w:val="auto"/>
        </w:rPr>
        <w:t>, as Agent for Lenders (in such capacity and together with its permitted successors and assigns, the “</w:t>
      </w:r>
      <w:r>
        <w:rPr>
          <w:rFonts w:ascii="Arial" w:cs="Arial" w:eastAsia="Arial" w:hAnsi="Arial"/>
          <w:sz w:val="20"/>
          <w:szCs w:val="20"/>
          <w:b w:val="1"/>
          <w:bCs w:val="1"/>
          <w:color w:val="auto"/>
        </w:rPr>
        <w:t>Agent</w:t>
      </w:r>
      <w:r>
        <w:rPr>
          <w:rFonts w:ascii="Arial" w:cs="Arial" w:eastAsia="Arial" w:hAnsi="Arial"/>
          <w:sz w:val="20"/>
          <w:szCs w:val="20"/>
          <w:color w:val="auto"/>
        </w:rPr>
        <w:t>”) and the other financial institutions or other entities from time to time parties to the Credit Agreement referenced below, each as a Lender.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49" w:lineRule="exact"/>
        <w:rPr>
          <w:sz w:val="20"/>
          <w:szCs w:val="20"/>
          <w:color w:val="auto"/>
        </w:rPr>
      </w:pPr>
    </w:p>
    <w:p>
      <w:pPr>
        <w:jc w:val="both"/>
        <w:ind w:firstLine="800"/>
        <w:spacing w:after="0" w:line="271" w:lineRule="auto"/>
        <w:tabs>
          <w:tab w:leader="none" w:pos="1397" w:val="left"/>
        </w:tabs>
        <w:numPr>
          <w:ilvl w:val="0"/>
          <w:numId w:val="58"/>
        </w:numPr>
        <w:rPr>
          <w:rFonts w:ascii="Arial" w:cs="Arial" w:eastAsia="Arial" w:hAnsi="Arial"/>
          <w:sz w:val="20"/>
          <w:szCs w:val="20"/>
          <w:color w:val="auto"/>
        </w:rPr>
      </w:pPr>
      <w:r>
        <w:rPr>
          <w:rFonts w:ascii="Arial" w:cs="Arial" w:eastAsia="Arial" w:hAnsi="Arial"/>
          <w:sz w:val="20"/>
          <w:szCs w:val="20"/>
          <w:color w:val="auto"/>
        </w:rPr>
        <w:t>Agent, Lenders and Borrower have entered into that certain Amended and Restated Credit and Security Agreement (Term Loan), dated as of November 23, 2020 (as amended, restated, amended and restated, supplemented and/or otherwise modified prior to the date hereof, the “</w:t>
      </w:r>
      <w:r>
        <w:rPr>
          <w:rFonts w:ascii="Arial" w:cs="Arial" w:eastAsia="Arial" w:hAnsi="Arial"/>
          <w:sz w:val="20"/>
          <w:szCs w:val="20"/>
          <w:b w:val="1"/>
          <w:bCs w:val="1"/>
          <w:color w:val="auto"/>
        </w:rPr>
        <w:t>Original Credit Agreement</w:t>
      </w:r>
      <w:r>
        <w:rPr>
          <w:rFonts w:ascii="Arial" w:cs="Arial" w:eastAsia="Arial" w:hAnsi="Arial"/>
          <w:sz w:val="20"/>
          <w:szCs w:val="20"/>
          <w:color w:val="auto"/>
        </w:rPr>
        <w:t>” and as the same is amended hereby and as it may be further amended, restated, amended and restated, supplemented and/or otherwise modified from time to time, the “</w:t>
      </w:r>
      <w:r>
        <w:rPr>
          <w:rFonts w:ascii="Arial" w:cs="Arial" w:eastAsia="Arial" w:hAnsi="Arial"/>
          <w:sz w:val="20"/>
          <w:szCs w:val="20"/>
          <w:b w:val="1"/>
          <w:bCs w:val="1"/>
          <w:color w:val="auto"/>
        </w:rPr>
        <w:t>Credit Agreement</w:t>
      </w:r>
      <w:r>
        <w:rPr>
          <w:rFonts w:ascii="Arial" w:cs="Arial" w:eastAsia="Arial" w:hAnsi="Arial"/>
          <w:sz w:val="20"/>
          <w:szCs w:val="20"/>
          <w:color w:val="auto"/>
        </w:rPr>
        <w:t>”), pursuant to which the Lenders have agreed to make certain advances of money and to extend certain financial accommodations to Borrower in the amounts and manner set forth in the Credit Agreement.</w:t>
      </w:r>
    </w:p>
    <w:p>
      <w:pPr>
        <w:spacing w:after="0" w:line="200" w:lineRule="exact"/>
        <w:rPr>
          <w:rFonts w:ascii="Arial" w:cs="Arial" w:eastAsia="Arial" w:hAnsi="Arial"/>
          <w:sz w:val="20"/>
          <w:szCs w:val="20"/>
          <w:color w:val="auto"/>
        </w:rPr>
      </w:pPr>
    </w:p>
    <w:p>
      <w:pPr>
        <w:spacing w:after="0" w:line="253" w:lineRule="exact"/>
        <w:rPr>
          <w:rFonts w:ascii="Arial" w:cs="Arial" w:eastAsia="Arial" w:hAnsi="Arial"/>
          <w:sz w:val="20"/>
          <w:szCs w:val="20"/>
          <w:color w:val="auto"/>
        </w:rPr>
      </w:pPr>
    </w:p>
    <w:p>
      <w:pPr>
        <w:jc w:val="both"/>
        <w:ind w:firstLine="800"/>
        <w:spacing w:after="0" w:line="274" w:lineRule="auto"/>
        <w:tabs>
          <w:tab w:leader="none" w:pos="1397" w:val="left"/>
        </w:tabs>
        <w:numPr>
          <w:ilvl w:val="0"/>
          <w:numId w:val="58"/>
        </w:numPr>
        <w:rPr>
          <w:rFonts w:ascii="Arial" w:cs="Arial" w:eastAsia="Arial" w:hAnsi="Arial"/>
          <w:sz w:val="20"/>
          <w:szCs w:val="20"/>
          <w:color w:val="auto"/>
        </w:rPr>
      </w:pPr>
      <w:r>
        <w:rPr>
          <w:rFonts w:ascii="Arial" w:cs="Arial" w:eastAsia="Arial" w:hAnsi="Arial"/>
          <w:sz w:val="20"/>
          <w:szCs w:val="20"/>
          <w:color w:val="auto"/>
        </w:rPr>
        <w:t>Borrower has requested, and Agent and the Lenders constituting at least the Required Lenders have agreed, on and subject to the terms and conditions set forth in this Agreement to, among other things, (i) remove the board observer rights contained in Section 4.18 of the Original Credit Agreement and (ii) to amend certain affirmative covenants and related provisions, in each case as more fully set forth in and subject to the terms and conditions herein.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49"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20"/>
          <w:szCs w:val="20"/>
          <w:color w:val="auto"/>
        </w:rPr>
        <w:t>NOW, THEREFORE, in consideration of the foregoing, the terms and conditions set forth in this Agreement, and other good and valuable consideration, the receipt and sufficiency of which are hereby acknowledged, Agent, Required Lenders, and Borrower hereby agree as follows:</w:t>
      </w:r>
    </w:p>
    <w:p>
      <w:pPr>
        <w:spacing w:after="0" w:line="180" w:lineRule="exact"/>
        <w:rPr>
          <w:sz w:val="20"/>
          <w:szCs w:val="20"/>
          <w:color w:val="auto"/>
        </w:rPr>
      </w:pPr>
    </w:p>
    <w:p>
      <w:pPr>
        <w:jc w:val="both"/>
        <w:ind w:firstLine="800"/>
        <w:spacing w:after="0" w:line="274" w:lineRule="auto"/>
        <w:tabs>
          <w:tab w:leader="none" w:pos="1397" w:val="left"/>
        </w:tabs>
        <w:numPr>
          <w:ilvl w:val="0"/>
          <w:numId w:val="59"/>
        </w:numPr>
        <w:rPr>
          <w:rFonts w:ascii="Arial" w:cs="Arial" w:eastAsia="Arial" w:hAnsi="Arial"/>
          <w:sz w:val="20"/>
          <w:szCs w:val="20"/>
          <w:color w:val="010000"/>
        </w:rPr>
      </w:pPr>
      <w:r>
        <w:rPr>
          <w:rFonts w:ascii="Arial" w:cs="Arial" w:eastAsia="Arial" w:hAnsi="Arial"/>
          <w:sz w:val="20"/>
          <w:szCs w:val="20"/>
          <w:b w:val="1"/>
          <w:bCs w:val="1"/>
          <w:u w:val="single" w:color="auto"/>
          <w:color w:val="auto"/>
        </w:rPr>
        <w:t>Recitals; Construction</w:t>
      </w:r>
      <w:r>
        <w:rPr>
          <w:rFonts w:ascii="Arial" w:cs="Arial" w:eastAsia="Arial" w:hAnsi="Arial"/>
          <w:sz w:val="20"/>
          <w:szCs w:val="20"/>
          <w:color w:val="auto"/>
        </w:rPr>
        <w:t>. This Agreement shall constitute a Financing Document and the Recitals and each reference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Credit Agreement, unless otherwise expressly noted, will be deemed to reference the Credit Agreement as modified hereby. The Recitals set forth above shall be construed as part of this Agreement as if set forth fully in the body of this Agreement. Capitalized terms used but not otherwise defined herein shall have the meanings ascribed to them in the Credit Agreement (including those capitalized terms used in the Recitals hereto).</w:t>
      </w:r>
    </w:p>
    <w:p>
      <w:pPr>
        <w:spacing w:after="0" w:line="185" w:lineRule="exact"/>
        <w:rPr>
          <w:rFonts w:ascii="Arial" w:cs="Arial" w:eastAsia="Arial" w:hAnsi="Arial"/>
          <w:sz w:val="20"/>
          <w:szCs w:val="20"/>
          <w:color w:val="010000"/>
        </w:rPr>
      </w:pPr>
    </w:p>
    <w:p>
      <w:pPr>
        <w:jc w:val="both"/>
        <w:ind w:firstLine="800"/>
        <w:spacing w:after="0" w:line="281" w:lineRule="auto"/>
        <w:tabs>
          <w:tab w:leader="none" w:pos="1397" w:val="left"/>
        </w:tabs>
        <w:numPr>
          <w:ilvl w:val="0"/>
          <w:numId w:val="59"/>
        </w:numPr>
        <w:rPr>
          <w:rFonts w:ascii="Arial" w:cs="Arial" w:eastAsia="Arial" w:hAnsi="Arial"/>
          <w:sz w:val="20"/>
          <w:szCs w:val="20"/>
          <w:color w:val="010000"/>
        </w:rPr>
      </w:pPr>
      <w:r>
        <w:rPr>
          <w:rFonts w:ascii="Arial" w:cs="Arial" w:eastAsia="Arial" w:hAnsi="Arial"/>
          <w:sz w:val="20"/>
          <w:szCs w:val="20"/>
          <w:b w:val="1"/>
          <w:bCs w:val="1"/>
          <w:u w:val="single" w:color="auto"/>
          <w:color w:val="auto"/>
        </w:rPr>
        <w:t>Amendments to Credit Agreement</w:t>
      </w:r>
      <w:r>
        <w:rPr>
          <w:rFonts w:ascii="Arial" w:cs="Arial" w:eastAsia="Arial" w:hAnsi="Arial"/>
          <w:sz w:val="20"/>
          <w:szCs w:val="20"/>
          <w:color w:val="auto"/>
        </w:rPr>
        <w:t>. Subject to the terms and conditions in this Agreement, including, without limitation,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conditions to effectiveness set forth in Section 4 below, effective as of the Effective Date, the Original Credit Agreement is hereby amended as follows:</w:t>
      </w:r>
    </w:p>
    <w:p>
      <w:pPr>
        <w:spacing w:after="0" w:line="183" w:lineRule="exact"/>
        <w:rPr>
          <w:rFonts w:ascii="Arial" w:cs="Arial" w:eastAsia="Arial" w:hAnsi="Arial"/>
          <w:sz w:val="20"/>
          <w:szCs w:val="20"/>
          <w:color w:val="010000"/>
        </w:rPr>
      </w:pPr>
    </w:p>
    <w:p>
      <w:pPr>
        <w:ind w:left="2800" w:hanging="1122"/>
        <w:spacing w:after="0"/>
        <w:tabs>
          <w:tab w:leader="none" w:pos="2800" w:val="left"/>
        </w:tabs>
        <w:numPr>
          <w:ilvl w:val="1"/>
          <w:numId w:val="59"/>
        </w:numPr>
        <w:rPr>
          <w:rFonts w:ascii="Arial" w:cs="Arial" w:eastAsia="Arial" w:hAnsi="Arial"/>
          <w:sz w:val="18"/>
          <w:szCs w:val="18"/>
          <w:color w:val="010000"/>
        </w:rPr>
      </w:pPr>
      <w:r>
        <w:rPr>
          <w:rFonts w:ascii="Arial" w:cs="Arial" w:eastAsia="Arial" w:hAnsi="Arial"/>
          <w:sz w:val="18"/>
          <w:szCs w:val="18"/>
          <w:color w:val="auto"/>
        </w:rPr>
        <w:t>Section 4.18 of the Original Credit Agreement is hereby deleted in its entirety and shall have no further</w:t>
      </w:r>
    </w:p>
    <w:p>
      <w:pPr>
        <w:spacing w:after="0" w:line="49"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force or effect.</w:t>
      </w:r>
    </w:p>
    <w:p>
      <w:pPr>
        <w:spacing w:after="0" w:line="242" w:lineRule="exact"/>
        <w:rPr>
          <w:rFonts w:ascii="Arial" w:cs="Arial" w:eastAsia="Arial" w:hAnsi="Arial"/>
          <w:sz w:val="18"/>
          <w:szCs w:val="18"/>
          <w:color w:val="010000"/>
        </w:rPr>
      </w:pPr>
    </w:p>
    <w:p>
      <w:pPr>
        <w:ind w:left="2800" w:hanging="1122"/>
        <w:spacing w:after="0"/>
        <w:tabs>
          <w:tab w:leader="none" w:pos="2800" w:val="left"/>
        </w:tabs>
        <w:numPr>
          <w:ilvl w:val="1"/>
          <w:numId w:val="59"/>
        </w:numPr>
        <w:rPr>
          <w:rFonts w:ascii="Arial" w:cs="Arial" w:eastAsia="Arial" w:hAnsi="Arial"/>
          <w:sz w:val="18"/>
          <w:szCs w:val="18"/>
          <w:color w:val="010000"/>
        </w:rPr>
      </w:pPr>
      <w:r>
        <w:rPr>
          <w:rFonts w:ascii="Arial" w:cs="Arial" w:eastAsia="Arial" w:hAnsi="Arial"/>
          <w:sz w:val="18"/>
          <w:szCs w:val="18"/>
          <w:color w:val="auto"/>
        </w:rPr>
        <w:t>Section 10.1(a) of the Original Credit Agreement is hereby amended by deleting the reference to Section</w:t>
      </w:r>
    </w:p>
    <w:p>
      <w:pPr>
        <w:spacing w:after="0" w:line="49"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4.18 therein.</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First Amendment to A&amp;R Credit Agreement (Term Loan)</w:t>
      </w:r>
    </w:p>
    <w:p>
      <w:pPr>
        <w:spacing w:after="0" w:line="100" w:lineRule="exact"/>
        <w:rPr>
          <w:sz w:val="20"/>
          <w:szCs w:val="20"/>
          <w:color w:val="auto"/>
        </w:rPr>
      </w:pPr>
    </w:p>
    <w:p>
      <w:pPr>
        <w:spacing w:after="0"/>
        <w:rPr>
          <w:sz w:val="20"/>
          <w:szCs w:val="20"/>
          <w:color w:val="auto"/>
        </w:rPr>
      </w:pPr>
      <w:r>
        <w:rPr>
          <w:rFonts w:ascii="Arial" w:cs="Arial" w:eastAsia="Arial" w:hAnsi="Arial"/>
          <w:sz w:val="11"/>
          <w:szCs w:val="11"/>
          <w:color w:val="auto"/>
        </w:rPr>
        <w:t>\\DC - 036639/000090 - 16493382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24" w:name="page125"/>
    <w:bookmarkEnd w:id="124"/>
    <w:p>
      <w:pPr>
        <w:jc w:val="both"/>
        <w:ind w:firstLine="1678"/>
        <w:spacing w:after="0" w:line="278" w:lineRule="auto"/>
        <w:tabs>
          <w:tab w:leader="none" w:pos="2793" w:val="left"/>
        </w:tabs>
        <w:numPr>
          <w:ilvl w:val="1"/>
          <w:numId w:val="60"/>
        </w:numPr>
        <w:rPr>
          <w:rFonts w:ascii="Arial" w:cs="Arial" w:eastAsia="Arial" w:hAnsi="Arial"/>
          <w:sz w:val="20"/>
          <w:szCs w:val="20"/>
          <w:color w:val="010000"/>
        </w:rPr>
      </w:pPr>
      <w:r>
        <w:rPr>
          <w:rFonts w:ascii="Arial" w:cs="Arial" w:eastAsia="Arial" w:hAnsi="Arial"/>
          <w:sz w:val="20"/>
          <w:szCs w:val="20"/>
          <w:color w:val="auto"/>
        </w:rPr>
        <w:t>Section 4.1(a) of the Original Credit Agreement is hereby amended by deleting “as soon as available, but no later than thirty (30) days after the last day of each month,” therein and replacing it with “within five (5) Business Days of Agent’s written request, if any, but no earlier than thirty (30) days after the last day of each month”;</w:t>
      </w:r>
    </w:p>
    <w:p>
      <w:pPr>
        <w:spacing w:after="0" w:line="186" w:lineRule="exact"/>
        <w:rPr>
          <w:rFonts w:ascii="Arial" w:cs="Arial" w:eastAsia="Arial" w:hAnsi="Arial"/>
          <w:sz w:val="20"/>
          <w:szCs w:val="20"/>
          <w:color w:val="010000"/>
        </w:rPr>
      </w:pPr>
    </w:p>
    <w:p>
      <w:pPr>
        <w:ind w:left="2800" w:hanging="1122"/>
        <w:spacing w:after="0"/>
        <w:tabs>
          <w:tab w:leader="none" w:pos="2800" w:val="left"/>
        </w:tabs>
        <w:numPr>
          <w:ilvl w:val="1"/>
          <w:numId w:val="60"/>
        </w:numPr>
        <w:rPr>
          <w:rFonts w:ascii="Arial" w:cs="Arial" w:eastAsia="Arial" w:hAnsi="Arial"/>
          <w:sz w:val="20"/>
          <w:szCs w:val="20"/>
          <w:color w:val="010000"/>
        </w:rPr>
      </w:pPr>
      <w:r>
        <w:rPr>
          <w:rFonts w:ascii="Arial" w:cs="Arial" w:eastAsia="Arial" w:hAnsi="Arial"/>
          <w:sz w:val="20"/>
          <w:szCs w:val="20"/>
          <w:color w:val="auto"/>
        </w:rPr>
        <w:t>Section 4.1(b) of the Original Credit Agreement is hereby amended by:</w:t>
      </w:r>
    </w:p>
    <w:p>
      <w:pPr>
        <w:spacing w:after="0" w:line="242" w:lineRule="exact"/>
        <w:rPr>
          <w:rFonts w:ascii="Arial" w:cs="Arial" w:eastAsia="Arial" w:hAnsi="Arial"/>
          <w:sz w:val="20"/>
          <w:szCs w:val="20"/>
          <w:color w:val="010000"/>
        </w:rPr>
      </w:pPr>
    </w:p>
    <w:p>
      <w:pPr>
        <w:ind w:left="2260" w:firstLine="1336"/>
        <w:spacing w:after="0" w:line="288" w:lineRule="auto"/>
        <w:tabs>
          <w:tab w:leader="none" w:pos="5054" w:val="left"/>
        </w:tabs>
        <w:numPr>
          <w:ilvl w:val="2"/>
          <w:numId w:val="60"/>
        </w:numPr>
        <w:rPr>
          <w:rFonts w:ascii="Arial" w:cs="Arial" w:eastAsia="Arial" w:hAnsi="Arial"/>
          <w:sz w:val="20"/>
          <w:szCs w:val="20"/>
          <w:color w:val="010000"/>
        </w:rPr>
      </w:pPr>
      <w:r>
        <w:rPr>
          <w:rFonts w:ascii="Arial" w:cs="Arial" w:eastAsia="Arial" w:hAnsi="Arial"/>
          <w:sz w:val="20"/>
          <w:szCs w:val="20"/>
          <w:color w:val="auto"/>
        </w:rPr>
        <w:t>adding “no later than thirty (30) days after the last day of each month, and” at the beginning thereof immediately prior to the word “together”; and</w:t>
      </w:r>
    </w:p>
    <w:p>
      <w:pPr>
        <w:spacing w:after="0" w:line="177" w:lineRule="exact"/>
        <w:rPr>
          <w:rFonts w:ascii="Arial" w:cs="Arial" w:eastAsia="Arial" w:hAnsi="Arial"/>
          <w:sz w:val="20"/>
          <w:szCs w:val="20"/>
          <w:color w:val="010000"/>
        </w:rPr>
      </w:pPr>
    </w:p>
    <w:p>
      <w:pPr>
        <w:ind w:left="2260" w:right="20" w:firstLine="1290"/>
        <w:spacing w:after="0" w:line="288" w:lineRule="auto"/>
        <w:tabs>
          <w:tab w:leader="none" w:pos="5054" w:val="left"/>
        </w:tabs>
        <w:numPr>
          <w:ilvl w:val="2"/>
          <w:numId w:val="60"/>
        </w:numPr>
        <w:rPr>
          <w:rFonts w:ascii="Arial" w:cs="Arial" w:eastAsia="Arial" w:hAnsi="Arial"/>
          <w:sz w:val="20"/>
          <w:szCs w:val="20"/>
          <w:color w:val="010000"/>
        </w:rPr>
      </w:pPr>
      <w:r>
        <w:rPr>
          <w:rFonts w:ascii="Arial" w:cs="Arial" w:eastAsia="Arial" w:hAnsi="Arial"/>
          <w:sz w:val="20"/>
          <w:szCs w:val="20"/>
          <w:color w:val="auto"/>
        </w:rPr>
        <w:t>adding “to the extent such financial reporting is requested by Agent” immediately after the word “above” therein;</w:t>
      </w:r>
    </w:p>
    <w:p>
      <w:pPr>
        <w:spacing w:after="0" w:line="177" w:lineRule="exact"/>
        <w:rPr>
          <w:rFonts w:ascii="Arial" w:cs="Arial" w:eastAsia="Arial" w:hAnsi="Arial"/>
          <w:sz w:val="20"/>
          <w:szCs w:val="20"/>
          <w:color w:val="010000"/>
        </w:rPr>
      </w:pPr>
    </w:p>
    <w:p>
      <w:pPr>
        <w:jc w:val="both"/>
        <w:ind w:firstLine="1678"/>
        <w:spacing w:after="0" w:line="297" w:lineRule="auto"/>
        <w:tabs>
          <w:tab w:leader="none" w:pos="2793" w:val="left"/>
        </w:tabs>
        <w:numPr>
          <w:ilvl w:val="1"/>
          <w:numId w:val="60"/>
        </w:numPr>
        <w:rPr>
          <w:rFonts w:ascii="Arial" w:cs="Arial" w:eastAsia="Arial" w:hAnsi="Arial"/>
          <w:sz w:val="18"/>
          <w:szCs w:val="18"/>
          <w:color w:val="010000"/>
        </w:rPr>
      </w:pPr>
      <w:r>
        <w:rPr>
          <w:rFonts w:ascii="Arial" w:cs="Arial" w:eastAsia="Arial" w:hAnsi="Arial"/>
          <w:sz w:val="18"/>
          <w:szCs w:val="18"/>
          <w:color w:val="auto"/>
        </w:rPr>
        <w:t>Section 4.1(c) of the Original Credit Agreement is hereby amended by deleting “as soon as available but no later than one hundred and eighty (180) days after the last day of each Borrower’s fiscal year,” therein and replacing it with “within five</w:t>
      </w:r>
    </w:p>
    <w:p>
      <w:pPr>
        <w:ind w:firstLine="8"/>
        <w:spacing w:after="0" w:line="288" w:lineRule="auto"/>
        <w:tabs>
          <w:tab w:leader="none" w:pos="313" w:val="left"/>
        </w:tabs>
        <w:numPr>
          <w:ilvl w:val="0"/>
          <w:numId w:val="61"/>
        </w:numPr>
        <w:rPr>
          <w:rFonts w:ascii="Arial" w:cs="Arial" w:eastAsia="Arial" w:hAnsi="Arial"/>
          <w:sz w:val="20"/>
          <w:szCs w:val="20"/>
          <w:color w:val="auto"/>
        </w:rPr>
      </w:pPr>
      <w:r>
        <w:rPr>
          <w:rFonts w:ascii="Arial" w:cs="Arial" w:eastAsia="Arial" w:hAnsi="Arial"/>
          <w:sz w:val="20"/>
          <w:szCs w:val="20"/>
          <w:color w:val="auto"/>
        </w:rPr>
        <w:t>Business Days of Agent’s written request, if any, but no earlier than one hundred and eighty (180) days after the last day of each Borrower’s fiscal year”;</w:t>
      </w:r>
    </w:p>
    <w:p>
      <w:pPr>
        <w:spacing w:after="0" w:line="177" w:lineRule="exact"/>
        <w:rPr>
          <w:rFonts w:ascii="Arial" w:cs="Arial" w:eastAsia="Arial" w:hAnsi="Arial"/>
          <w:sz w:val="20"/>
          <w:szCs w:val="20"/>
          <w:color w:val="auto"/>
        </w:rPr>
      </w:pPr>
    </w:p>
    <w:p>
      <w:pPr>
        <w:ind w:left="2800" w:hanging="1122"/>
        <w:spacing w:after="0"/>
        <w:tabs>
          <w:tab w:leader="none" w:pos="2800" w:val="left"/>
        </w:tabs>
        <w:numPr>
          <w:ilvl w:val="1"/>
          <w:numId w:val="61"/>
        </w:numPr>
        <w:rPr>
          <w:rFonts w:ascii="Arial" w:cs="Arial" w:eastAsia="Arial" w:hAnsi="Arial"/>
          <w:sz w:val="20"/>
          <w:szCs w:val="20"/>
          <w:color w:val="010000"/>
        </w:rPr>
      </w:pPr>
      <w:r>
        <w:rPr>
          <w:rFonts w:ascii="Arial" w:cs="Arial" w:eastAsia="Arial" w:hAnsi="Arial"/>
          <w:sz w:val="20"/>
          <w:szCs w:val="20"/>
          <w:color w:val="auto"/>
        </w:rPr>
        <w:t>Section 4.1(d) of the Original Credit Agreement is hereby amended by:</w:t>
      </w:r>
    </w:p>
    <w:p>
      <w:pPr>
        <w:spacing w:after="0" w:line="242" w:lineRule="exact"/>
        <w:rPr>
          <w:rFonts w:ascii="Arial" w:cs="Arial" w:eastAsia="Arial" w:hAnsi="Arial"/>
          <w:sz w:val="20"/>
          <w:szCs w:val="20"/>
          <w:color w:val="010000"/>
        </w:rPr>
      </w:pPr>
    </w:p>
    <w:p>
      <w:pPr>
        <w:ind w:left="5040" w:hanging="1444"/>
        <w:spacing w:after="0"/>
        <w:tabs>
          <w:tab w:leader="none" w:pos="5040" w:val="left"/>
        </w:tabs>
        <w:numPr>
          <w:ilvl w:val="2"/>
          <w:numId w:val="61"/>
        </w:numPr>
        <w:rPr>
          <w:rFonts w:ascii="Arial" w:cs="Arial" w:eastAsia="Arial" w:hAnsi="Arial"/>
          <w:sz w:val="20"/>
          <w:szCs w:val="20"/>
          <w:color w:val="010000"/>
        </w:rPr>
      </w:pPr>
      <w:r>
        <w:rPr>
          <w:rFonts w:ascii="Arial" w:cs="Arial" w:eastAsia="Arial" w:hAnsi="Arial"/>
          <w:sz w:val="20"/>
          <w:szCs w:val="20"/>
          <w:color w:val="auto"/>
        </w:rPr>
        <w:t>adding “(i)” at the beginning thereof;</w:t>
      </w:r>
    </w:p>
    <w:p>
      <w:pPr>
        <w:spacing w:after="0" w:line="242" w:lineRule="exact"/>
        <w:rPr>
          <w:rFonts w:ascii="Arial" w:cs="Arial" w:eastAsia="Arial" w:hAnsi="Arial"/>
          <w:sz w:val="20"/>
          <w:szCs w:val="20"/>
          <w:color w:val="010000"/>
        </w:rPr>
      </w:pPr>
    </w:p>
    <w:p>
      <w:pPr>
        <w:ind w:left="5040" w:hanging="1490"/>
        <w:spacing w:after="0"/>
        <w:tabs>
          <w:tab w:leader="none" w:pos="5040" w:val="left"/>
        </w:tabs>
        <w:numPr>
          <w:ilvl w:val="2"/>
          <w:numId w:val="61"/>
        </w:numPr>
        <w:rPr>
          <w:rFonts w:ascii="Arial" w:cs="Arial" w:eastAsia="Arial" w:hAnsi="Arial"/>
          <w:sz w:val="19"/>
          <w:szCs w:val="19"/>
          <w:color w:val="010000"/>
        </w:rPr>
      </w:pPr>
      <w:r>
        <w:rPr>
          <w:rFonts w:ascii="Arial" w:cs="Arial" w:eastAsia="Arial" w:hAnsi="Arial"/>
          <w:sz w:val="19"/>
          <w:szCs w:val="19"/>
          <w:color w:val="auto"/>
        </w:rPr>
        <w:t>adding “five (5) Business Days of Agent’s written request, if any, but no</w:t>
      </w:r>
    </w:p>
    <w:p>
      <w:pPr>
        <w:spacing w:after="0" w:line="38" w:lineRule="exact"/>
        <w:rPr>
          <w:rFonts w:ascii="Arial" w:cs="Arial" w:eastAsia="Arial" w:hAnsi="Arial"/>
          <w:sz w:val="19"/>
          <w:szCs w:val="19"/>
          <w:color w:val="010000"/>
        </w:rPr>
      </w:pPr>
    </w:p>
    <w:p>
      <w:pPr>
        <w:ind w:left="2260"/>
        <w:spacing w:after="0"/>
        <w:rPr>
          <w:rFonts w:ascii="Arial" w:cs="Arial" w:eastAsia="Arial" w:hAnsi="Arial"/>
          <w:sz w:val="19"/>
          <w:szCs w:val="19"/>
          <w:color w:val="010000"/>
        </w:rPr>
      </w:pPr>
      <w:r>
        <w:rPr>
          <w:rFonts w:ascii="Arial" w:cs="Arial" w:eastAsia="Arial" w:hAnsi="Arial"/>
          <w:sz w:val="20"/>
          <w:szCs w:val="20"/>
          <w:color w:val="auto"/>
        </w:rPr>
        <w:t>earlier than” immediately following the first instance of the word “within” therein; and</w:t>
      </w:r>
    </w:p>
    <w:p>
      <w:pPr>
        <w:spacing w:after="0" w:line="242" w:lineRule="exact"/>
        <w:rPr>
          <w:rFonts w:ascii="Arial" w:cs="Arial" w:eastAsia="Arial" w:hAnsi="Arial"/>
          <w:sz w:val="19"/>
          <w:szCs w:val="19"/>
          <w:color w:val="010000"/>
        </w:rPr>
      </w:pPr>
    </w:p>
    <w:p>
      <w:pPr>
        <w:ind w:left="2260" w:firstLine="1244"/>
        <w:spacing w:after="0" w:line="288" w:lineRule="auto"/>
        <w:tabs>
          <w:tab w:leader="none" w:pos="5054" w:val="left"/>
        </w:tabs>
        <w:numPr>
          <w:ilvl w:val="3"/>
          <w:numId w:val="61"/>
        </w:numPr>
        <w:rPr>
          <w:rFonts w:ascii="Arial" w:cs="Arial" w:eastAsia="Arial" w:hAnsi="Arial"/>
          <w:sz w:val="20"/>
          <w:szCs w:val="20"/>
          <w:color w:val="010000"/>
        </w:rPr>
      </w:pPr>
      <w:r>
        <w:rPr>
          <w:rFonts w:ascii="Arial" w:cs="Arial" w:eastAsia="Arial" w:hAnsi="Arial"/>
          <w:sz w:val="20"/>
          <w:szCs w:val="20"/>
          <w:color w:val="auto"/>
        </w:rPr>
        <w:t>adding “(ii) within five (5) days of filing thereof,” immediately prior to the phrase “copies of all reports and other filings” therein;</w:t>
      </w:r>
    </w:p>
    <w:p>
      <w:pPr>
        <w:spacing w:after="0" w:line="177" w:lineRule="exact"/>
        <w:rPr>
          <w:rFonts w:ascii="Arial" w:cs="Arial" w:eastAsia="Arial" w:hAnsi="Arial"/>
          <w:sz w:val="20"/>
          <w:szCs w:val="20"/>
          <w:color w:val="010000"/>
        </w:rPr>
      </w:pPr>
    </w:p>
    <w:p>
      <w:pPr>
        <w:ind w:firstLine="1678"/>
        <w:spacing w:after="0" w:line="288" w:lineRule="auto"/>
        <w:tabs>
          <w:tab w:leader="none" w:pos="2793" w:val="left"/>
        </w:tabs>
        <w:numPr>
          <w:ilvl w:val="1"/>
          <w:numId w:val="61"/>
        </w:numPr>
        <w:rPr>
          <w:rFonts w:ascii="Arial" w:cs="Arial" w:eastAsia="Arial" w:hAnsi="Arial"/>
          <w:sz w:val="20"/>
          <w:szCs w:val="20"/>
          <w:color w:val="010000"/>
        </w:rPr>
      </w:pPr>
      <w:r>
        <w:rPr>
          <w:rFonts w:ascii="Arial" w:cs="Arial" w:eastAsia="Arial" w:hAnsi="Arial"/>
          <w:sz w:val="20"/>
          <w:szCs w:val="20"/>
          <w:color w:val="auto"/>
        </w:rPr>
        <w:t>Section 4.1(e) of the Original Credit Agreement is hereby amended by adding “upon Agent’s written request,” at the beginning thereof immediately prior to the phrase “a prompt written report” therein;</w:t>
      </w:r>
    </w:p>
    <w:p>
      <w:pPr>
        <w:spacing w:after="0" w:line="177" w:lineRule="exact"/>
        <w:rPr>
          <w:rFonts w:ascii="Arial" w:cs="Arial" w:eastAsia="Arial" w:hAnsi="Arial"/>
          <w:sz w:val="20"/>
          <w:szCs w:val="20"/>
          <w:color w:val="010000"/>
        </w:rPr>
      </w:pPr>
    </w:p>
    <w:p>
      <w:pPr>
        <w:ind w:firstLine="1678"/>
        <w:spacing w:after="0" w:line="288" w:lineRule="auto"/>
        <w:tabs>
          <w:tab w:leader="none" w:pos="2793" w:val="left"/>
        </w:tabs>
        <w:numPr>
          <w:ilvl w:val="1"/>
          <w:numId w:val="61"/>
        </w:numPr>
        <w:rPr>
          <w:rFonts w:ascii="Arial" w:cs="Arial" w:eastAsia="Arial" w:hAnsi="Arial"/>
          <w:sz w:val="20"/>
          <w:szCs w:val="20"/>
          <w:color w:val="010000"/>
        </w:rPr>
      </w:pPr>
      <w:r>
        <w:rPr>
          <w:rFonts w:ascii="Arial" w:cs="Arial" w:eastAsia="Arial" w:hAnsi="Arial"/>
          <w:sz w:val="20"/>
          <w:szCs w:val="20"/>
          <w:color w:val="auto"/>
        </w:rPr>
        <w:t>Section 4.1(g) of the Original Credit Agreement is hereby amended by adding “five (5) Business Days of Agent’s written request, if any, but no earlier than” immediately prior to the word “sixty” therein;</w:t>
      </w:r>
    </w:p>
    <w:p>
      <w:pPr>
        <w:spacing w:after="0" w:line="177" w:lineRule="exact"/>
        <w:rPr>
          <w:rFonts w:ascii="Arial" w:cs="Arial" w:eastAsia="Arial" w:hAnsi="Arial"/>
          <w:sz w:val="20"/>
          <w:szCs w:val="20"/>
          <w:color w:val="010000"/>
        </w:rPr>
      </w:pPr>
    </w:p>
    <w:p>
      <w:pPr>
        <w:jc w:val="both"/>
        <w:ind w:firstLine="1678"/>
        <w:spacing w:after="0" w:line="278" w:lineRule="auto"/>
        <w:tabs>
          <w:tab w:leader="none" w:pos="2793" w:val="left"/>
        </w:tabs>
        <w:numPr>
          <w:ilvl w:val="1"/>
          <w:numId w:val="61"/>
        </w:numPr>
        <w:rPr>
          <w:rFonts w:ascii="Arial" w:cs="Arial" w:eastAsia="Arial" w:hAnsi="Arial"/>
          <w:sz w:val="20"/>
          <w:szCs w:val="20"/>
          <w:color w:val="010000"/>
        </w:rPr>
      </w:pPr>
      <w:r>
        <w:rPr>
          <w:rFonts w:ascii="Arial" w:cs="Arial" w:eastAsia="Arial" w:hAnsi="Arial"/>
          <w:sz w:val="20"/>
          <w:szCs w:val="20"/>
          <w:color w:val="auto"/>
        </w:rPr>
        <w:t>Section 4.1(h) of the Original Credit Agreement is hereby amended by deleting “promptly (but in any event within ten (10) days of any request therefor)” where it appears therein and replacing it with “within ten (10) days of Agent’s request, if any, therefor”;</w:t>
      </w:r>
    </w:p>
    <w:p>
      <w:pPr>
        <w:spacing w:after="0" w:line="186" w:lineRule="exact"/>
        <w:rPr>
          <w:rFonts w:ascii="Arial" w:cs="Arial" w:eastAsia="Arial" w:hAnsi="Arial"/>
          <w:sz w:val="20"/>
          <w:szCs w:val="20"/>
          <w:color w:val="010000"/>
        </w:rPr>
      </w:pPr>
    </w:p>
    <w:p>
      <w:pPr>
        <w:ind w:firstLine="1678"/>
        <w:spacing w:after="0" w:line="288" w:lineRule="auto"/>
        <w:tabs>
          <w:tab w:leader="none" w:pos="2793" w:val="left"/>
        </w:tabs>
        <w:numPr>
          <w:ilvl w:val="1"/>
          <w:numId w:val="61"/>
        </w:numPr>
        <w:rPr>
          <w:rFonts w:ascii="Arial" w:cs="Arial" w:eastAsia="Arial" w:hAnsi="Arial"/>
          <w:sz w:val="20"/>
          <w:szCs w:val="20"/>
          <w:color w:val="010000"/>
        </w:rPr>
      </w:pPr>
      <w:r>
        <w:rPr>
          <w:rFonts w:ascii="Arial" w:cs="Arial" w:eastAsia="Arial" w:hAnsi="Arial"/>
          <w:sz w:val="20"/>
          <w:szCs w:val="20"/>
          <w:color w:val="auto"/>
        </w:rPr>
        <w:t>Section 4.1(i) of the Original Credit Agreement is hereby amended by deleting subsection 4.1(i) in its entirety and replacing it with the following:</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“(i) within thirty (30) days after the last day of each month, together with the monthly financial statements described in</w:t>
      </w:r>
    </w:p>
    <w:p>
      <w:pPr>
        <w:spacing w:after="0" w:line="27" w:lineRule="exact"/>
        <w:rPr>
          <w:sz w:val="20"/>
          <w:szCs w:val="20"/>
          <w:color w:val="auto"/>
        </w:rPr>
      </w:pPr>
    </w:p>
    <w:p>
      <w:pPr>
        <w:jc w:val="both"/>
        <w:ind w:left="1500" w:firstLine="5"/>
        <w:spacing w:after="0" w:line="288" w:lineRule="auto"/>
        <w:tabs>
          <w:tab w:leader="none" w:pos="1777" w:val="left"/>
        </w:tabs>
        <w:numPr>
          <w:ilvl w:val="0"/>
          <w:numId w:val="62"/>
        </w:numPr>
        <w:rPr>
          <w:rFonts w:ascii="Arial" w:cs="Arial" w:eastAsia="Arial" w:hAnsi="Arial"/>
          <w:sz w:val="19"/>
          <w:szCs w:val="19"/>
          <w:color w:val="auto"/>
        </w:rPr>
      </w:pPr>
      <w:r>
        <w:rPr>
          <w:rFonts w:ascii="Arial" w:cs="Arial" w:eastAsia="Arial" w:hAnsi="Arial"/>
          <w:sz w:val="19"/>
          <w:szCs w:val="19"/>
          <w:color w:val="auto"/>
        </w:rPr>
        <w:t>above to the extent such financial statements have been requested by Agent, a duly completed Compliance Certificate signed by a Responsible Officer setting forth calculations showing monthly cash and cash equivalents of Borrowers, Borrowers and their Consolidated Subsidiaries, and the Excluded Subsidiaries (in each case, if requested by Agent five (5) Business Days prior to the date such Compliance Certificate is delivered) and compliance with the financial covenants set forth in this Agreement; provided that, for the avoidance of doubt, the calculations of monthly cash and cash equivalent and the monthly financial statements described in (a)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First Amendment to A&amp;R Credit Agreement (Term Loan)</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\\DC - 036639/000090 - 16493382 v2  </w:t>
      </w: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25" w:name="page126"/>
    <w:bookmarkEnd w:id="125"/>
    <w:p>
      <w:pPr>
        <w:ind w:left="1500"/>
        <w:spacing w:after="0"/>
        <w:rPr>
          <w:sz w:val="20"/>
          <w:szCs w:val="20"/>
          <w:color w:val="auto"/>
        </w:rPr>
      </w:pPr>
      <w:r>
        <w:rPr>
          <w:rFonts w:ascii="Arial" w:cs="Arial" w:eastAsia="Arial" w:hAnsi="Arial"/>
          <w:sz w:val="20"/>
          <w:szCs w:val="20"/>
          <w:color w:val="auto"/>
        </w:rPr>
        <w:t>above shall only be attached to the Compliance Certificate if requested by Agent in writing.”</w:t>
      </w:r>
    </w:p>
    <w:p>
      <w:pPr>
        <w:spacing w:after="0" w:line="243" w:lineRule="exact"/>
        <w:rPr>
          <w:sz w:val="20"/>
          <w:szCs w:val="20"/>
          <w:color w:val="auto"/>
        </w:rPr>
      </w:pPr>
    </w:p>
    <w:p>
      <w:pPr>
        <w:jc w:val="both"/>
        <w:ind w:firstLine="1678"/>
        <w:spacing w:after="0" w:line="274" w:lineRule="auto"/>
        <w:tabs>
          <w:tab w:leader="none" w:pos="2793" w:val="left"/>
        </w:tabs>
        <w:numPr>
          <w:ilvl w:val="1"/>
          <w:numId w:val="63"/>
        </w:numPr>
        <w:rPr>
          <w:rFonts w:ascii="Arial" w:cs="Arial" w:eastAsia="Arial" w:hAnsi="Arial"/>
          <w:sz w:val="20"/>
          <w:szCs w:val="20"/>
          <w:color w:val="010000"/>
        </w:rPr>
      </w:pPr>
      <w:r>
        <w:rPr>
          <w:rFonts w:ascii="Arial" w:cs="Arial" w:eastAsia="Arial" w:hAnsi="Arial"/>
          <w:sz w:val="20"/>
          <w:szCs w:val="20"/>
          <w:color w:val="auto"/>
        </w:rPr>
        <w:t>Section 4.1(l) of the Original Credit Agreement is hereby amended by deleting the phrase “written notice to Agent promptly, but in any event within ten (10) Business Days of a Responsible Officer of a Borrower receiving written notice” and replacing it with “within ten (10) Business Days of Agent’s written request, if any, written notice to Agent of any Responsible Officer of a Borrower receiving written notice”;</w:t>
      </w:r>
    </w:p>
    <w:p>
      <w:pPr>
        <w:spacing w:after="0" w:line="191" w:lineRule="exact"/>
        <w:rPr>
          <w:rFonts w:ascii="Arial" w:cs="Arial" w:eastAsia="Arial" w:hAnsi="Arial"/>
          <w:sz w:val="20"/>
          <w:szCs w:val="20"/>
          <w:color w:val="010000"/>
        </w:rPr>
      </w:pPr>
    </w:p>
    <w:p>
      <w:pPr>
        <w:ind w:left="2800" w:hanging="1122"/>
        <w:spacing w:after="0"/>
        <w:tabs>
          <w:tab w:leader="none" w:pos="2800" w:val="left"/>
        </w:tabs>
        <w:numPr>
          <w:ilvl w:val="1"/>
          <w:numId w:val="63"/>
        </w:numPr>
        <w:rPr>
          <w:rFonts w:ascii="Arial" w:cs="Arial" w:eastAsia="Arial" w:hAnsi="Arial"/>
          <w:sz w:val="20"/>
          <w:szCs w:val="20"/>
          <w:color w:val="010000"/>
        </w:rPr>
      </w:pPr>
      <w:r>
        <w:rPr>
          <w:rFonts w:ascii="Arial" w:cs="Arial" w:eastAsia="Arial" w:hAnsi="Arial"/>
          <w:sz w:val="20"/>
          <w:szCs w:val="20"/>
          <w:color w:val="auto"/>
        </w:rPr>
        <w:t>Section 4.9(a) of the Original Credit Agreement is hereby amended by:</w:t>
      </w:r>
    </w:p>
    <w:p>
      <w:pPr>
        <w:spacing w:after="0" w:line="242" w:lineRule="exact"/>
        <w:rPr>
          <w:rFonts w:ascii="Arial" w:cs="Arial" w:eastAsia="Arial" w:hAnsi="Arial"/>
          <w:sz w:val="20"/>
          <w:szCs w:val="20"/>
          <w:color w:val="010000"/>
        </w:rPr>
      </w:pPr>
    </w:p>
    <w:p>
      <w:pPr>
        <w:ind w:left="5040" w:hanging="1444"/>
        <w:spacing w:after="0"/>
        <w:tabs>
          <w:tab w:leader="none" w:pos="5040" w:val="left"/>
        </w:tabs>
        <w:numPr>
          <w:ilvl w:val="2"/>
          <w:numId w:val="63"/>
        </w:numPr>
        <w:rPr>
          <w:rFonts w:ascii="Arial" w:cs="Arial" w:eastAsia="Arial" w:hAnsi="Arial"/>
          <w:sz w:val="19"/>
          <w:szCs w:val="19"/>
          <w:color w:val="010000"/>
        </w:rPr>
      </w:pPr>
      <w:r>
        <w:rPr>
          <w:rFonts w:ascii="Arial" w:cs="Arial" w:eastAsia="Arial" w:hAnsi="Arial"/>
          <w:sz w:val="19"/>
          <w:szCs w:val="19"/>
          <w:color w:val="auto"/>
        </w:rPr>
        <w:t>adding “upon Agent’s written request, if any” at the beginning of clause (i)</w:t>
      </w:r>
    </w:p>
    <w:p>
      <w:pPr>
        <w:spacing w:after="0" w:line="38" w:lineRule="exact"/>
        <w:rPr>
          <w:rFonts w:ascii="Arial" w:cs="Arial" w:eastAsia="Arial" w:hAnsi="Arial"/>
          <w:sz w:val="19"/>
          <w:szCs w:val="19"/>
          <w:color w:val="010000"/>
        </w:rPr>
      </w:pPr>
    </w:p>
    <w:p>
      <w:pPr>
        <w:ind w:left="2260"/>
        <w:spacing w:after="0"/>
        <w:rPr>
          <w:rFonts w:ascii="Arial" w:cs="Arial" w:eastAsia="Arial" w:hAnsi="Arial"/>
          <w:sz w:val="19"/>
          <w:szCs w:val="19"/>
          <w:color w:val="010000"/>
        </w:rPr>
      </w:pPr>
      <w:r>
        <w:rPr>
          <w:rFonts w:ascii="Arial" w:cs="Arial" w:eastAsia="Arial" w:hAnsi="Arial"/>
          <w:sz w:val="20"/>
          <w:szCs w:val="20"/>
          <w:color w:val="auto"/>
        </w:rPr>
        <w:t>thereof;</w:t>
      </w:r>
    </w:p>
    <w:p>
      <w:pPr>
        <w:spacing w:after="0" w:line="242" w:lineRule="exact"/>
        <w:rPr>
          <w:rFonts w:ascii="Arial" w:cs="Arial" w:eastAsia="Arial" w:hAnsi="Arial"/>
          <w:sz w:val="19"/>
          <w:szCs w:val="19"/>
          <w:color w:val="010000"/>
        </w:rPr>
      </w:pPr>
    </w:p>
    <w:p>
      <w:pPr>
        <w:ind w:left="2260" w:right="20" w:firstLine="1290"/>
        <w:spacing w:after="0" w:line="288" w:lineRule="auto"/>
        <w:tabs>
          <w:tab w:leader="none" w:pos="5054" w:val="left"/>
        </w:tabs>
        <w:numPr>
          <w:ilvl w:val="2"/>
          <w:numId w:val="63"/>
        </w:numPr>
        <w:rPr>
          <w:rFonts w:ascii="Arial" w:cs="Arial" w:eastAsia="Arial" w:hAnsi="Arial"/>
          <w:sz w:val="20"/>
          <w:szCs w:val="20"/>
          <w:color w:val="010000"/>
        </w:rPr>
      </w:pPr>
      <w:r>
        <w:rPr>
          <w:rFonts w:ascii="Arial" w:cs="Arial" w:eastAsia="Arial" w:hAnsi="Arial"/>
          <w:sz w:val="20"/>
          <w:szCs w:val="20"/>
          <w:color w:val="auto"/>
        </w:rPr>
        <w:t>adding “of such request” immediately following the phrase “five (5) Business Days” where it appears in clause (i) thereof; and</w:t>
      </w:r>
    </w:p>
    <w:p>
      <w:pPr>
        <w:spacing w:after="0" w:line="177" w:lineRule="exact"/>
        <w:rPr>
          <w:rFonts w:ascii="Arial" w:cs="Arial" w:eastAsia="Arial" w:hAnsi="Arial"/>
          <w:sz w:val="20"/>
          <w:szCs w:val="20"/>
          <w:color w:val="010000"/>
        </w:rPr>
      </w:pPr>
    </w:p>
    <w:p>
      <w:pPr>
        <w:ind w:left="5040" w:hanging="1536"/>
        <w:spacing w:after="0"/>
        <w:tabs>
          <w:tab w:leader="none" w:pos="5040" w:val="left"/>
        </w:tabs>
        <w:numPr>
          <w:ilvl w:val="3"/>
          <w:numId w:val="63"/>
        </w:numPr>
        <w:rPr>
          <w:rFonts w:ascii="Arial" w:cs="Arial" w:eastAsia="Arial" w:hAnsi="Arial"/>
          <w:sz w:val="18"/>
          <w:szCs w:val="18"/>
          <w:color w:val="010000"/>
        </w:rPr>
      </w:pPr>
      <w:r>
        <w:rPr>
          <w:rFonts w:ascii="Arial" w:cs="Arial" w:eastAsia="Arial" w:hAnsi="Arial"/>
          <w:sz w:val="18"/>
          <w:szCs w:val="18"/>
          <w:color w:val="auto"/>
        </w:rPr>
        <w:t>adding “upon Agent’s written request, if any,” at the beginning of clause (ii)</w:t>
      </w:r>
    </w:p>
    <w:p>
      <w:pPr>
        <w:spacing w:after="0" w:line="49" w:lineRule="exact"/>
        <w:rPr>
          <w:rFonts w:ascii="Arial" w:cs="Arial" w:eastAsia="Arial" w:hAnsi="Arial"/>
          <w:sz w:val="18"/>
          <w:szCs w:val="18"/>
          <w:color w:val="010000"/>
        </w:rPr>
      </w:pPr>
    </w:p>
    <w:p>
      <w:pPr>
        <w:ind w:left="2260"/>
        <w:spacing w:after="0"/>
        <w:rPr>
          <w:rFonts w:ascii="Arial" w:cs="Arial" w:eastAsia="Arial" w:hAnsi="Arial"/>
          <w:sz w:val="18"/>
          <w:szCs w:val="18"/>
          <w:color w:val="010000"/>
        </w:rPr>
      </w:pPr>
      <w:r>
        <w:rPr>
          <w:rFonts w:ascii="Arial" w:cs="Arial" w:eastAsia="Arial" w:hAnsi="Arial"/>
          <w:sz w:val="20"/>
          <w:szCs w:val="20"/>
          <w:color w:val="auto"/>
        </w:rPr>
        <w:t>thereof;</w:t>
      </w:r>
    </w:p>
    <w:p>
      <w:pPr>
        <w:spacing w:after="0" w:line="242" w:lineRule="exact"/>
        <w:rPr>
          <w:rFonts w:ascii="Arial" w:cs="Arial" w:eastAsia="Arial" w:hAnsi="Arial"/>
          <w:sz w:val="18"/>
          <w:szCs w:val="18"/>
          <w:color w:val="010000"/>
        </w:rPr>
      </w:pPr>
    </w:p>
    <w:p>
      <w:pPr>
        <w:jc w:val="both"/>
        <w:ind w:firstLine="1678"/>
        <w:spacing w:after="0" w:line="274" w:lineRule="auto"/>
        <w:tabs>
          <w:tab w:leader="none" w:pos="2793" w:val="left"/>
        </w:tabs>
        <w:numPr>
          <w:ilvl w:val="1"/>
          <w:numId w:val="63"/>
        </w:numPr>
        <w:rPr>
          <w:rFonts w:ascii="Arial" w:cs="Arial" w:eastAsia="Arial" w:hAnsi="Arial"/>
          <w:sz w:val="20"/>
          <w:szCs w:val="20"/>
          <w:color w:val="010000"/>
        </w:rPr>
      </w:pPr>
      <w:r>
        <w:rPr>
          <w:rFonts w:ascii="Arial" w:cs="Arial" w:eastAsia="Arial" w:hAnsi="Arial"/>
          <w:sz w:val="20"/>
          <w:szCs w:val="20"/>
          <w:color w:val="auto"/>
        </w:rPr>
        <w:t>Section 4.15 of the Original Credit Agreement is hereby amended by adding “and Schedule 3.6 which shall only be updated to the extent Agent has requested Borrower to update Schedule 3.6 at least five (5) Business Days prior to the date the next quarterly Compliance Certificate is required to be delivered under this Agreement” immediately following the phrase “on the Closing Date” where it appears therein;</w:t>
      </w:r>
    </w:p>
    <w:p>
      <w:pPr>
        <w:spacing w:after="0" w:line="191" w:lineRule="exact"/>
        <w:rPr>
          <w:rFonts w:ascii="Arial" w:cs="Arial" w:eastAsia="Arial" w:hAnsi="Arial"/>
          <w:sz w:val="20"/>
          <w:szCs w:val="20"/>
          <w:color w:val="010000"/>
        </w:rPr>
      </w:pPr>
    </w:p>
    <w:p>
      <w:pPr>
        <w:ind w:firstLine="1678"/>
        <w:spacing w:after="0" w:line="288" w:lineRule="auto"/>
        <w:tabs>
          <w:tab w:leader="none" w:pos="2793" w:val="left"/>
        </w:tabs>
        <w:numPr>
          <w:ilvl w:val="1"/>
          <w:numId w:val="63"/>
        </w:numPr>
        <w:rPr>
          <w:rFonts w:ascii="Arial" w:cs="Arial" w:eastAsia="Arial" w:hAnsi="Arial"/>
          <w:sz w:val="20"/>
          <w:szCs w:val="20"/>
          <w:color w:val="010000"/>
        </w:rPr>
      </w:pPr>
      <w:r>
        <w:rPr>
          <w:rFonts w:ascii="Arial" w:cs="Arial" w:eastAsia="Arial" w:hAnsi="Arial"/>
          <w:sz w:val="20"/>
          <w:szCs w:val="20"/>
          <w:color w:val="auto"/>
        </w:rPr>
        <w:t xml:space="preserve">The Compliance Certificate attached as Exhibit B to the Original Credit Agreement is amended and restated in its entirety in the form of </w:t>
      </w:r>
      <w:r>
        <w:rPr>
          <w:rFonts w:ascii="Arial" w:cs="Arial" w:eastAsia="Arial" w:hAnsi="Arial"/>
          <w:sz w:val="20"/>
          <w:szCs w:val="20"/>
          <w:u w:val="single" w:color="auto"/>
          <w:color w:val="auto"/>
        </w:rPr>
        <w:t>Annex A</w:t>
      </w:r>
      <w:r>
        <w:rPr>
          <w:rFonts w:ascii="Arial" w:cs="Arial" w:eastAsia="Arial" w:hAnsi="Arial"/>
          <w:sz w:val="20"/>
          <w:szCs w:val="20"/>
          <w:color w:val="auto"/>
        </w:rPr>
        <w:t xml:space="preserve"> attached hereto;</w:t>
      </w:r>
    </w:p>
    <w:p>
      <w:pPr>
        <w:spacing w:after="0" w:line="171" w:lineRule="exact"/>
        <w:rPr>
          <w:rFonts w:ascii="Arial" w:cs="Arial" w:eastAsia="Arial" w:hAnsi="Arial"/>
          <w:sz w:val="20"/>
          <w:szCs w:val="20"/>
          <w:color w:val="010000"/>
        </w:rPr>
      </w:pPr>
    </w:p>
    <w:p>
      <w:pPr>
        <w:jc w:val="both"/>
        <w:ind w:firstLine="800"/>
        <w:spacing w:after="0" w:line="285" w:lineRule="auto"/>
        <w:tabs>
          <w:tab w:leader="none" w:pos="1397" w:val="left"/>
        </w:tabs>
        <w:numPr>
          <w:ilvl w:val="0"/>
          <w:numId w:val="64"/>
        </w:numPr>
        <w:rPr>
          <w:rFonts w:ascii="Arial" w:cs="Arial" w:eastAsia="Arial" w:hAnsi="Arial"/>
          <w:sz w:val="19"/>
          <w:szCs w:val="19"/>
          <w:color w:val="010000"/>
        </w:rPr>
      </w:pPr>
      <w:r>
        <w:rPr>
          <w:rFonts w:ascii="Arial" w:cs="Arial" w:eastAsia="Arial" w:hAnsi="Arial"/>
          <w:sz w:val="19"/>
          <w:szCs w:val="19"/>
          <w:b w:val="1"/>
          <w:bCs w:val="1"/>
          <w:color w:val="auto"/>
        </w:rPr>
        <w:t xml:space="preserve">Representations and Warranties; Reaffirmation of Security Interest. </w:t>
      </w:r>
      <w:r>
        <w:rPr>
          <w:rFonts w:ascii="Arial" w:cs="Arial" w:eastAsia="Arial" w:hAnsi="Arial"/>
          <w:sz w:val="19"/>
          <w:szCs w:val="19"/>
          <w:color w:val="auto"/>
        </w:rPr>
        <w:t>Borrower hereby confirms that all of the</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representations and warranties set forth in the Credit Agreement are true and correct in all material respects (without duplication of any materiality qualifier in the text of such representation or warranty) with respect to such Borrower as of the date hereof except to the extent that any such representation or warranty relates to a specific date in which case such representation or warranty shall be true and correct in all material respects (without duplication of any materiality qualifier in the text of such representation or warranty) as of such earlier date. Without limiting the foregoing, each Borrower represents and warrants that prior to and after giving effect to the agreements set forth herein, no Default or Event of Default shall exist under any of the Financing Documents. Nothing herein is intended to impair or limit the validity, priority or extent of Agent’s security interests in and Liens on the Collateral. Each Borrower acknowledges and agrees that each of this Agreement, the Credit Agreement and the other Financing Documents to which it is a party constitutes the valid and binding agreement or instrument of such Borrower, enforceable against such Borrower in accordance with its respective terms, except as the enforceability thereof may be limited by bankruptcy, insolvency or other similar laws relating to the enforcement of creditors’ rights generally and by general equitable principles.</w:t>
      </w:r>
    </w:p>
    <w:p>
      <w:pPr>
        <w:spacing w:after="0" w:line="180" w:lineRule="exact"/>
        <w:rPr>
          <w:rFonts w:ascii="Arial" w:cs="Arial" w:eastAsia="Arial" w:hAnsi="Arial"/>
          <w:sz w:val="19"/>
          <w:szCs w:val="19"/>
          <w:color w:val="010000"/>
        </w:rPr>
      </w:pPr>
    </w:p>
    <w:p>
      <w:pPr>
        <w:ind w:firstLine="800"/>
        <w:spacing w:after="0" w:line="295" w:lineRule="auto"/>
        <w:tabs>
          <w:tab w:leader="none" w:pos="1397" w:val="left"/>
        </w:tabs>
        <w:numPr>
          <w:ilvl w:val="0"/>
          <w:numId w:val="64"/>
        </w:numPr>
        <w:rPr>
          <w:rFonts w:ascii="Arial" w:cs="Arial" w:eastAsia="Arial" w:hAnsi="Arial"/>
          <w:sz w:val="20"/>
          <w:szCs w:val="20"/>
          <w:color w:val="010000"/>
        </w:rPr>
      </w:pPr>
      <w:r>
        <w:rPr>
          <w:rFonts w:ascii="Arial" w:cs="Arial" w:eastAsia="Arial" w:hAnsi="Arial"/>
          <w:sz w:val="20"/>
          <w:szCs w:val="20"/>
          <w:b w:val="1"/>
          <w:bCs w:val="1"/>
          <w:color w:val="auto"/>
        </w:rPr>
        <w:t xml:space="preserve">Conditions to Effectiveness. </w:t>
      </w:r>
      <w:r>
        <w:rPr>
          <w:rFonts w:ascii="Arial" w:cs="Arial" w:eastAsia="Arial" w:hAnsi="Arial"/>
          <w:sz w:val="20"/>
          <w:szCs w:val="20"/>
          <w:color w:val="auto"/>
        </w:rPr>
        <w:t>This Agreement shall become effective as of the date on which each of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have been satisfied, as determined by Agent in its sole discretion, or waived by Agent in its discretion:</w:t>
      </w:r>
    </w:p>
    <w:p>
      <w:pPr>
        <w:spacing w:after="0" w:line="169" w:lineRule="exact"/>
        <w:rPr>
          <w:rFonts w:ascii="Arial" w:cs="Arial" w:eastAsia="Arial" w:hAnsi="Arial"/>
          <w:sz w:val="20"/>
          <w:szCs w:val="20"/>
          <w:color w:val="010000"/>
        </w:rPr>
      </w:pPr>
    </w:p>
    <w:p>
      <w:pPr>
        <w:ind w:firstLine="1678"/>
        <w:spacing w:after="0" w:line="347" w:lineRule="auto"/>
        <w:tabs>
          <w:tab w:leader="none" w:pos="2793" w:val="left"/>
        </w:tabs>
        <w:numPr>
          <w:ilvl w:val="1"/>
          <w:numId w:val="64"/>
        </w:numPr>
        <w:rPr>
          <w:rFonts w:ascii="Arial" w:cs="Arial" w:eastAsia="Arial" w:hAnsi="Arial"/>
          <w:sz w:val="18"/>
          <w:szCs w:val="18"/>
          <w:color w:val="010000"/>
        </w:rPr>
      </w:pPr>
      <w:r>
        <w:rPr>
          <w:rFonts w:ascii="Arial" w:cs="Arial" w:eastAsia="Arial" w:hAnsi="Arial"/>
          <w:sz w:val="18"/>
          <w:szCs w:val="18"/>
          <w:color w:val="auto"/>
        </w:rPr>
        <w:t>Agent shall have received (including by way electronic transmission) a duly authorized, executed and delivered counterpart of the signature page to this Agreement from each Borrower, Agent and each Lender constituting Required Lenders;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First Amendment to A&amp;R Credit Agreement (Term Loan)</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\\DC - 036639/000090 - 16493382 v2  </w:t>
      </w: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26" w:name="page127"/>
    <w:bookmarkEnd w:id="126"/>
    <w:p>
      <w:pPr>
        <w:jc w:val="both"/>
        <w:ind w:firstLine="1678"/>
        <w:spacing w:after="0" w:line="272" w:lineRule="auto"/>
        <w:tabs>
          <w:tab w:leader="none" w:pos="2793" w:val="left"/>
        </w:tabs>
        <w:numPr>
          <w:ilvl w:val="1"/>
          <w:numId w:val="65"/>
        </w:numPr>
        <w:rPr>
          <w:rFonts w:ascii="Arial" w:cs="Arial" w:eastAsia="Arial" w:hAnsi="Arial"/>
          <w:sz w:val="20"/>
          <w:szCs w:val="20"/>
          <w:color w:val="010000"/>
        </w:rPr>
      </w:pPr>
      <w:r>
        <w:rPr>
          <w:rFonts w:ascii="Arial" w:cs="Arial" w:eastAsia="Arial" w:hAnsi="Arial"/>
          <w:sz w:val="20"/>
          <w:szCs w:val="20"/>
          <w:color w:val="auto"/>
        </w:rPr>
        <w:t>all representations and warranties of Credit Parties contained herein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in all material respects as of such earlier date (and such parties’ delivery of their respective signatures hereto shall be deemed to be its certification thereof); and;</w:t>
      </w:r>
    </w:p>
    <w:p>
      <w:pPr>
        <w:spacing w:after="0" w:line="195" w:lineRule="exact"/>
        <w:rPr>
          <w:rFonts w:ascii="Arial" w:cs="Arial" w:eastAsia="Arial" w:hAnsi="Arial"/>
          <w:sz w:val="20"/>
          <w:szCs w:val="20"/>
          <w:color w:val="010000"/>
        </w:rPr>
      </w:pPr>
    </w:p>
    <w:p>
      <w:pPr>
        <w:ind w:left="2800" w:hanging="1122"/>
        <w:spacing w:after="0"/>
        <w:tabs>
          <w:tab w:leader="none" w:pos="2800" w:val="left"/>
        </w:tabs>
        <w:numPr>
          <w:ilvl w:val="1"/>
          <w:numId w:val="65"/>
        </w:numPr>
        <w:rPr>
          <w:rFonts w:ascii="Arial" w:cs="Arial" w:eastAsia="Arial" w:hAnsi="Arial"/>
          <w:sz w:val="18"/>
          <w:szCs w:val="18"/>
          <w:color w:val="010000"/>
        </w:rPr>
      </w:pPr>
      <w:r>
        <w:rPr>
          <w:rFonts w:ascii="Arial" w:cs="Arial" w:eastAsia="Arial" w:hAnsi="Arial"/>
          <w:sz w:val="18"/>
          <w:szCs w:val="18"/>
          <w:color w:val="auto"/>
        </w:rPr>
        <w:t>immediately prior to and after giving effect to this Agreement, no Default or Event of Default exists under</w:t>
      </w:r>
    </w:p>
    <w:p>
      <w:pPr>
        <w:spacing w:after="0" w:line="49"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any of the Financing Documents.</w:t>
      </w:r>
    </w:p>
    <w:p>
      <w:pPr>
        <w:spacing w:after="0" w:line="236" w:lineRule="exact"/>
        <w:rPr>
          <w:rFonts w:ascii="Arial" w:cs="Arial" w:eastAsia="Arial" w:hAnsi="Arial"/>
          <w:sz w:val="18"/>
          <w:szCs w:val="18"/>
          <w:color w:val="010000"/>
        </w:rPr>
      </w:pPr>
    </w:p>
    <w:p>
      <w:pPr>
        <w:jc w:val="both"/>
        <w:ind w:firstLine="800"/>
        <w:spacing w:after="0" w:line="274" w:lineRule="auto"/>
        <w:tabs>
          <w:tab w:leader="none" w:pos="1397" w:val="left"/>
        </w:tabs>
        <w:numPr>
          <w:ilvl w:val="0"/>
          <w:numId w:val="66"/>
        </w:numPr>
        <w:rPr>
          <w:rFonts w:ascii="Arial" w:cs="Arial" w:eastAsia="Arial" w:hAnsi="Arial"/>
          <w:sz w:val="20"/>
          <w:szCs w:val="20"/>
          <w:color w:val="010000"/>
        </w:rPr>
      </w:pPr>
      <w:r>
        <w:rPr>
          <w:rFonts w:ascii="Arial" w:cs="Arial" w:eastAsia="Arial" w:hAnsi="Arial"/>
          <w:sz w:val="20"/>
          <w:szCs w:val="20"/>
          <w:b w:val="1"/>
          <w:bCs w:val="1"/>
          <w:color w:val="auto"/>
        </w:rPr>
        <w:t xml:space="preserve">Costs and Fees. </w:t>
      </w:r>
      <w:r>
        <w:rPr>
          <w:rFonts w:ascii="Arial" w:cs="Arial" w:eastAsia="Arial" w:hAnsi="Arial"/>
          <w:sz w:val="20"/>
          <w:szCs w:val="20"/>
          <w:color w:val="auto"/>
        </w:rPr>
        <w:t>Borrower agrees to promptly pay, or reimburse upon demand for, all reasonable and documented costs</w:t>
      </w:r>
      <w:r>
        <w:rPr>
          <w:rFonts w:ascii="Arial" w:cs="Arial" w:eastAsia="Arial" w:hAnsi="Arial"/>
          <w:sz w:val="20"/>
          <w:szCs w:val="20"/>
          <w:b w:val="1"/>
          <w:bCs w:val="1"/>
          <w:color w:val="auto"/>
        </w:rPr>
        <w:t xml:space="preserve"> </w:t>
      </w:r>
      <w:r>
        <w:rPr>
          <w:rFonts w:ascii="Arial" w:cs="Arial" w:eastAsia="Arial" w:hAnsi="Arial"/>
          <w:sz w:val="20"/>
          <w:szCs w:val="20"/>
          <w:color w:val="auto"/>
        </w:rPr>
        <w:t>and expenses of Agent (including, without limitation, the reasonable and documented fees, costs and expenses of counsel to Agent) in connection with the preparation, negotiation, execution and delivery of this Agreement and any other Financing Documents or other agreements prepared, negotiated, executed or delivered in connection with this Agreement or transactions contemplated hereby, in accordance with Section 12.14 of the Credit Agreement.</w:t>
      </w:r>
    </w:p>
    <w:p>
      <w:pPr>
        <w:spacing w:after="0" w:line="185" w:lineRule="exact"/>
        <w:rPr>
          <w:rFonts w:ascii="Arial" w:cs="Arial" w:eastAsia="Arial" w:hAnsi="Arial"/>
          <w:sz w:val="20"/>
          <w:szCs w:val="20"/>
          <w:color w:val="010000"/>
        </w:rPr>
      </w:pPr>
    </w:p>
    <w:p>
      <w:pPr>
        <w:jc w:val="both"/>
        <w:ind w:firstLine="800"/>
        <w:spacing w:after="0" w:line="300" w:lineRule="auto"/>
        <w:tabs>
          <w:tab w:leader="none" w:pos="1397" w:val="left"/>
        </w:tabs>
        <w:numPr>
          <w:ilvl w:val="0"/>
          <w:numId w:val="66"/>
        </w:numPr>
        <w:rPr>
          <w:rFonts w:ascii="Arial" w:cs="Arial" w:eastAsia="Arial" w:hAnsi="Arial"/>
          <w:sz w:val="18"/>
          <w:szCs w:val="18"/>
          <w:color w:val="010000"/>
        </w:rPr>
      </w:pPr>
      <w:r>
        <w:rPr>
          <w:rFonts w:ascii="Arial" w:cs="Arial" w:eastAsia="Arial" w:hAnsi="Arial"/>
          <w:sz w:val="18"/>
          <w:szCs w:val="18"/>
          <w:b w:val="1"/>
          <w:bCs w:val="1"/>
          <w:color w:val="auto"/>
        </w:rPr>
        <w:t xml:space="preserve">Lender Release. </w:t>
      </w:r>
      <w:r>
        <w:rPr>
          <w:rFonts w:ascii="Arial" w:cs="Arial" w:eastAsia="Arial" w:hAnsi="Arial"/>
          <w:sz w:val="18"/>
          <w:szCs w:val="18"/>
          <w:color w:val="auto"/>
        </w:rPr>
        <w:t>In consideration of the agreements of Agent and Required Lenders contained herein and for other good</w:t>
      </w:r>
      <w:r>
        <w:rPr>
          <w:rFonts w:ascii="Arial" w:cs="Arial" w:eastAsia="Arial" w:hAnsi="Arial"/>
          <w:sz w:val="18"/>
          <w:szCs w:val="18"/>
          <w:b w:val="1"/>
          <w:bCs w:val="1"/>
          <w:color w:val="auto"/>
        </w:rPr>
        <w:t xml:space="preserve"> </w:t>
      </w:r>
      <w:r>
        <w:rPr>
          <w:rFonts w:ascii="Arial" w:cs="Arial" w:eastAsia="Arial" w:hAnsi="Arial"/>
          <w:sz w:val="18"/>
          <w:szCs w:val="18"/>
          <w:color w:val="auto"/>
        </w:rPr>
        <w:t>and valuable consideration, the receipt and sufficiency of which is hereby acknowledged, each Borrower, voluntarily, knowingly, unconditionally and irrevocably, with specific and express intent, for and on behalf of itself and all of its respective parents, subsidiaries, affiliates, members, managers, predecessors, successors, and assigns, and each of its respective current and former directors, officers, shareholders, agents, and employees, and each of its respective predecessors, successors, heirs, and assigns (individually and collectively, the “Releasing Parties”) does hereby fully and completely release, acquit and forever discharge each of Agent, Lenders, and each their respective parents, subsidiaries, affiliates, members, managers, shareholders, directors, officers and employees, and each of their respective predecessors, successors, heirs, and assigns (individually and collectively, the “Released Parties”), of and from any and all actions, causes of action, suits, debts, disputes, damages, claims, obligations, liabilities, costs, expenses and demands of any kind whatsoever, at law or in equity, whether matured or unmatured, liquidated or unliquidated, vested or contingent, choate or inchoate, known or unknown that the Releasing Parties (or any of them) has against the Released Parties or any of them (whether directly or indirectly), based in whole or in part on facts, whether or not now known, existing on or before the date hereof or arising out of this Agreement, that relate to, arise out of or otherwise are in connection with: (i) any or all of the Financing Documents or transactions contemplated thereby or any actions or omissions in connection therewith or (ii) any aspect of the dealings or relationships between or among such Borrower, on the one hand, and any or all of the Released Parties, on the other hand, relating to any or all of the documents, transactions, actions or omissions referenced in clause (i) hereof. Each Borrower acknowledges that the foregoing release is a material inducement to Agent’s and Required Lender’s decision to enter into this Agreement and agree to the modifications contemplated hereunder, and has been relied upon by Agent and Required Lenders in connection therewith.</w:t>
      </w:r>
    </w:p>
    <w:p>
      <w:pPr>
        <w:spacing w:after="0" w:line="175" w:lineRule="exact"/>
        <w:rPr>
          <w:rFonts w:ascii="Arial" w:cs="Arial" w:eastAsia="Arial" w:hAnsi="Arial"/>
          <w:sz w:val="18"/>
          <w:szCs w:val="18"/>
          <w:color w:val="010000"/>
        </w:rPr>
      </w:pPr>
    </w:p>
    <w:p>
      <w:pPr>
        <w:jc w:val="both"/>
        <w:ind w:firstLine="800"/>
        <w:spacing w:after="0" w:line="308" w:lineRule="auto"/>
        <w:tabs>
          <w:tab w:leader="none" w:pos="1397" w:val="left"/>
        </w:tabs>
        <w:numPr>
          <w:ilvl w:val="0"/>
          <w:numId w:val="66"/>
        </w:numPr>
        <w:rPr>
          <w:rFonts w:ascii="Arial" w:cs="Arial" w:eastAsia="Arial" w:hAnsi="Arial"/>
          <w:sz w:val="18"/>
          <w:szCs w:val="18"/>
          <w:color w:val="010000"/>
        </w:rPr>
      </w:pPr>
      <w:r>
        <w:rPr>
          <w:rFonts w:ascii="Arial" w:cs="Arial" w:eastAsia="Arial" w:hAnsi="Arial"/>
          <w:sz w:val="18"/>
          <w:szCs w:val="18"/>
          <w:b w:val="1"/>
          <w:bCs w:val="1"/>
          <w:u w:val="single" w:color="auto"/>
          <w:color w:val="auto"/>
        </w:rPr>
        <w:t>No Waiver or Novation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execution, delivery and effectiveness of this Agreement shall not operate as a waiver of any</w:t>
      </w:r>
      <w:r>
        <w:rPr>
          <w:rFonts w:ascii="Arial" w:cs="Arial" w:eastAsia="Arial" w:hAnsi="Arial"/>
          <w:sz w:val="18"/>
          <w:szCs w:val="18"/>
          <w:b w:val="1"/>
          <w:bCs w:val="1"/>
          <w:color w:val="auto"/>
        </w:rPr>
        <w:t xml:space="preserve"> </w:t>
      </w:r>
      <w:r>
        <w:rPr>
          <w:rFonts w:ascii="Arial" w:cs="Arial" w:eastAsia="Arial" w:hAnsi="Arial"/>
          <w:sz w:val="18"/>
          <w:szCs w:val="18"/>
          <w:color w:val="auto"/>
        </w:rPr>
        <w:t>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First Amendment to A&amp;R Credit Agreement (Term Loan)</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\\DC - 036639/000090 - 16493382 v2  </w:t>
      </w: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27" w:name="page128"/>
    <w:bookmarkEnd w:id="127"/>
    <w:p>
      <w:pPr>
        <w:jc w:val="both"/>
        <w:ind w:firstLine="800"/>
        <w:spacing w:after="0" w:line="286" w:lineRule="auto"/>
        <w:tabs>
          <w:tab w:leader="none" w:pos="1397" w:val="left"/>
        </w:tabs>
        <w:numPr>
          <w:ilvl w:val="0"/>
          <w:numId w:val="67"/>
        </w:numPr>
        <w:rPr>
          <w:rFonts w:ascii="Arial" w:cs="Arial" w:eastAsia="Arial" w:hAnsi="Arial"/>
          <w:sz w:val="19"/>
          <w:szCs w:val="19"/>
          <w:color w:val="010000"/>
        </w:rPr>
      </w:pPr>
      <w:r>
        <w:rPr>
          <w:rFonts w:ascii="Arial" w:cs="Arial" w:eastAsia="Arial" w:hAnsi="Arial"/>
          <w:sz w:val="19"/>
          <w:szCs w:val="19"/>
          <w:b w:val="1"/>
          <w:bCs w:val="1"/>
          <w:u w:val="single" w:color="auto"/>
          <w:color w:val="auto"/>
        </w:rPr>
        <w:t>Affirmation</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specifically amended pursuant to the terms hereof, Borrower hereby acknowledges and agrees that</w:t>
      </w:r>
      <w:r>
        <w:rPr>
          <w:rFonts w:ascii="Arial" w:cs="Arial" w:eastAsia="Arial" w:hAnsi="Arial"/>
          <w:sz w:val="19"/>
          <w:szCs w:val="19"/>
          <w:b w:val="1"/>
          <w:bCs w:val="1"/>
          <w:color w:val="auto"/>
        </w:rPr>
        <w:t xml:space="preserve"> </w:t>
      </w:r>
      <w:r>
        <w:rPr>
          <w:rFonts w:ascii="Arial" w:cs="Arial" w:eastAsia="Arial" w:hAnsi="Arial"/>
          <w:sz w:val="19"/>
          <w:szCs w:val="19"/>
          <w:color w:val="auto"/>
        </w:rPr>
        <w:t>the Credit Agreement and all other Financing Documents (and all covenants, terms, conditions and agreements therein) shall remain in full force and effect, and are hereby ratified and confirmed in all respects by each Credit Party, including without limitation the granting of Liens in the Collateral to secure the Obligations and other Financing Documents. Borrower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 Borrower confirms and agrees that all security interests and Liens granted to Agent pursuant to the Financing Documents continue in full force and effect, and all Collateral remains free and clear of any Liens, other than those granted to Agent and Permitted Liens.</w:t>
      </w:r>
    </w:p>
    <w:p>
      <w:pPr>
        <w:spacing w:after="0" w:line="181" w:lineRule="exact"/>
        <w:rPr>
          <w:rFonts w:ascii="Arial" w:cs="Arial" w:eastAsia="Arial" w:hAnsi="Arial"/>
          <w:sz w:val="19"/>
          <w:szCs w:val="19"/>
          <w:color w:val="010000"/>
        </w:rPr>
      </w:pPr>
    </w:p>
    <w:p>
      <w:pPr>
        <w:ind w:left="1400" w:hanging="600"/>
        <w:spacing w:after="0"/>
        <w:tabs>
          <w:tab w:leader="none" w:pos="1400" w:val="left"/>
        </w:tabs>
        <w:numPr>
          <w:ilvl w:val="0"/>
          <w:numId w:val="67"/>
        </w:numPr>
        <w:rPr>
          <w:rFonts w:ascii="Arial" w:cs="Arial" w:eastAsia="Arial" w:hAnsi="Arial"/>
          <w:sz w:val="20"/>
          <w:szCs w:val="20"/>
          <w:color w:val="010000"/>
        </w:rPr>
      </w:pPr>
      <w:r>
        <w:rPr>
          <w:rFonts w:ascii="Arial" w:cs="Arial" w:eastAsia="Arial" w:hAnsi="Arial"/>
          <w:sz w:val="20"/>
          <w:szCs w:val="20"/>
          <w:b w:val="1"/>
          <w:bCs w:val="1"/>
          <w:u w:val="single" w:color="auto"/>
          <w:color w:val="auto"/>
        </w:rPr>
        <w:t>Miscellaneous</w:t>
      </w:r>
      <w:r>
        <w:rPr>
          <w:rFonts w:ascii="Arial" w:cs="Arial" w:eastAsia="Arial" w:hAnsi="Arial"/>
          <w:sz w:val="20"/>
          <w:szCs w:val="20"/>
          <w:b w:val="1"/>
          <w:bCs w:val="1"/>
          <w:color w:val="auto"/>
        </w:rPr>
        <w:t>.</w:t>
      </w:r>
    </w:p>
    <w:p>
      <w:pPr>
        <w:spacing w:after="0" w:line="248" w:lineRule="exact"/>
        <w:rPr>
          <w:rFonts w:ascii="Arial" w:cs="Arial" w:eastAsia="Arial" w:hAnsi="Arial"/>
          <w:sz w:val="20"/>
          <w:szCs w:val="20"/>
          <w:color w:val="010000"/>
        </w:rPr>
      </w:pPr>
    </w:p>
    <w:p>
      <w:pPr>
        <w:jc w:val="both"/>
        <w:ind w:firstLine="1678"/>
        <w:spacing w:after="0" w:line="272" w:lineRule="auto"/>
        <w:tabs>
          <w:tab w:leader="none" w:pos="2793" w:val="left"/>
        </w:tabs>
        <w:numPr>
          <w:ilvl w:val="1"/>
          <w:numId w:val="67"/>
        </w:numPr>
        <w:rPr>
          <w:rFonts w:ascii="Arial" w:cs="Arial" w:eastAsia="Arial" w:hAnsi="Arial"/>
          <w:sz w:val="20"/>
          <w:szCs w:val="20"/>
          <w:color w:val="010000"/>
        </w:rPr>
      </w:pPr>
      <w:r>
        <w:rPr>
          <w:rFonts w:ascii="Arial" w:cs="Arial" w:eastAsia="Arial" w:hAnsi="Arial"/>
          <w:sz w:val="20"/>
          <w:szCs w:val="20"/>
          <w:u w:val="single" w:color="auto"/>
          <w:color w:val="auto"/>
        </w:rPr>
        <w:t>Reference to the Effect on the Credit Agreement</w:t>
      </w:r>
      <w:r>
        <w:rPr>
          <w:rFonts w:ascii="Arial" w:cs="Arial" w:eastAsia="Arial" w:hAnsi="Arial"/>
          <w:sz w:val="20"/>
          <w:szCs w:val="20"/>
          <w:color w:val="auto"/>
        </w:rPr>
        <w:t>. Upon the effectiveness of this Agreement, each reference in the Credit Agreement to “this Agreement,” “hereunder,” “hereof,” “herein,” or words of similar import shall mean and be a reference to the Credit Agreement, as modified by this Agreement. Except as specifically set forth above, the Credit Agreement, and all other Financing Documents (and all covenants, terms, conditions and agreements therein), shall remain in full force and effect, and are hereby ratified and confirmed in all respects by each Credit Party.</w:t>
      </w:r>
    </w:p>
    <w:p>
      <w:pPr>
        <w:spacing w:after="0" w:line="195" w:lineRule="exact"/>
        <w:rPr>
          <w:rFonts w:ascii="Arial" w:cs="Arial" w:eastAsia="Arial" w:hAnsi="Arial"/>
          <w:sz w:val="20"/>
          <w:szCs w:val="20"/>
          <w:color w:val="010000"/>
        </w:rPr>
      </w:pPr>
    </w:p>
    <w:p>
      <w:pPr>
        <w:jc w:val="both"/>
        <w:ind w:firstLine="1678"/>
        <w:spacing w:after="0" w:line="272" w:lineRule="auto"/>
        <w:tabs>
          <w:tab w:leader="none" w:pos="2793" w:val="left"/>
        </w:tabs>
        <w:numPr>
          <w:ilvl w:val="1"/>
          <w:numId w:val="67"/>
        </w:numPr>
        <w:rPr>
          <w:rFonts w:ascii="Arial" w:cs="Arial" w:eastAsia="Arial" w:hAnsi="Arial"/>
          <w:sz w:val="20"/>
          <w:szCs w:val="20"/>
          <w:color w:val="010000"/>
        </w:rPr>
      </w:pPr>
      <w:r>
        <w:rPr>
          <w:rFonts w:ascii="Arial" w:cs="Arial" w:eastAsia="Arial" w:hAnsi="Arial"/>
          <w:sz w:val="20"/>
          <w:szCs w:val="20"/>
          <w:color w:val="auto"/>
        </w:rPr>
        <w:t>THIS AGREEMENT AND ALL DISPUTES AND OTHER MATTERS RELATING HERETO OR ARISING THEREFROM (WHETHER SOUNDING IN CONTRACT LAW, TORT LAW OR OTHERWISE), SHALL BE GOVERNED BY, AND SHALL BE CONSTRUED AND ENFORCED IN ACCORDANCE WITH, THE LAWS OF THE STATE OF NEW YORK, WITHOUT REGARD TO ITS CONFLICT OF LAWS PRINCIPLES (OTHER THAN SECTION 5-1401 OF THE GENERAL OBLIGATIONS LAW).</w:t>
      </w:r>
    </w:p>
    <w:p>
      <w:pPr>
        <w:spacing w:after="0" w:line="195" w:lineRule="exact"/>
        <w:rPr>
          <w:rFonts w:ascii="Arial" w:cs="Arial" w:eastAsia="Arial" w:hAnsi="Arial"/>
          <w:sz w:val="20"/>
          <w:szCs w:val="20"/>
          <w:color w:val="010000"/>
        </w:rPr>
      </w:pPr>
    </w:p>
    <w:p>
      <w:pPr>
        <w:jc w:val="both"/>
        <w:ind w:firstLine="1678"/>
        <w:spacing w:after="0" w:line="286" w:lineRule="auto"/>
        <w:tabs>
          <w:tab w:leader="none" w:pos="2793" w:val="left"/>
        </w:tabs>
        <w:numPr>
          <w:ilvl w:val="1"/>
          <w:numId w:val="67"/>
        </w:numPr>
        <w:rPr>
          <w:rFonts w:ascii="Arial" w:cs="Arial" w:eastAsia="Arial" w:hAnsi="Arial"/>
          <w:sz w:val="19"/>
          <w:szCs w:val="19"/>
          <w:color w:val="010000"/>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BORROWER, AGENT AND THE LENDERS PARTY HERETO HEREBY IRREVOCABLY WAIVES ANY AND ALL RIGHT TO TRIAL BY JURY IN ANY LEGAL ACTION OR PROCEEDING ARISING OUT OF OR RELATING TO THIS AGREEMENT OR THE TRANSACTIONS CONTEMPLATED HEREBY AND AGREES THAT ANY SUCH ACTION OR PROCEEDING SHALL BE TRIED BEFORE A COURT AND NOT BEFORE A JURY. EACH BORROWER, AGENT AND EACH LENDER ACKNOWLEDGES THAT THIS WAIVER IS A MATERIAL INDUCEMENT TO ENTER INTO THIS AGREEMENT, THAT EACH HAS RELIED ON THE WAIVER IN ENTERING INTO THIS AGREEMENT, AND THAT EACH WILL CONTINUE TO RELY ON THIS WAIVER IN THEIR RELATED FUTURE DEALINGS. EACH BORROWER, AGENT AND EACH LENDER WARRANTS AND REPRESENTS THAT IT HAS HAD THE OPPORTUNITY OF REVIEWING THIS JURY WAIVER WITH LEGAL COUNSEL, AND THAT IT KNOWINGLY AND VOLUNTARILY WAIVES ITS JURY TRIAL RIGHTS.</w:t>
      </w:r>
    </w:p>
    <w:p>
      <w:pPr>
        <w:spacing w:after="0" w:line="181" w:lineRule="exact"/>
        <w:rPr>
          <w:rFonts w:ascii="Arial" w:cs="Arial" w:eastAsia="Arial" w:hAnsi="Arial"/>
          <w:sz w:val="19"/>
          <w:szCs w:val="19"/>
          <w:color w:val="010000"/>
        </w:rPr>
      </w:pPr>
    </w:p>
    <w:p>
      <w:pPr>
        <w:jc w:val="both"/>
        <w:ind w:firstLine="1678"/>
        <w:spacing w:after="0" w:line="278" w:lineRule="auto"/>
        <w:tabs>
          <w:tab w:leader="none" w:pos="2793" w:val="left"/>
        </w:tabs>
        <w:numPr>
          <w:ilvl w:val="1"/>
          <w:numId w:val="67"/>
        </w:numPr>
        <w:rPr>
          <w:rFonts w:ascii="Arial" w:cs="Arial" w:eastAsia="Arial" w:hAnsi="Arial"/>
          <w:sz w:val="20"/>
          <w:szCs w:val="20"/>
          <w:color w:val="010000"/>
        </w:rPr>
      </w:pPr>
      <w:r>
        <w:rPr>
          <w:rFonts w:ascii="Arial" w:cs="Arial" w:eastAsia="Arial" w:hAnsi="Arial"/>
          <w:sz w:val="20"/>
          <w:szCs w:val="20"/>
          <w:u w:val="single" w:color="auto"/>
          <w:color w:val="auto"/>
        </w:rPr>
        <w:t>Incorporation of Credit Agreement Provisions</w:t>
      </w:r>
      <w:r>
        <w:rPr>
          <w:rFonts w:ascii="Arial" w:cs="Arial" w:eastAsia="Arial" w:hAnsi="Arial"/>
          <w:sz w:val="20"/>
          <w:szCs w:val="20"/>
          <w:color w:val="auto"/>
        </w:rPr>
        <w:t xml:space="preserve">. The provisions contained in </w:t>
      </w:r>
      <w:r>
        <w:rPr>
          <w:rFonts w:ascii="Arial" w:cs="Arial" w:eastAsia="Arial" w:hAnsi="Arial"/>
          <w:sz w:val="20"/>
          <w:szCs w:val="20"/>
          <w:u w:val="single" w:color="auto"/>
          <w:color w:val="auto"/>
        </w:rPr>
        <w:t>Section 11.6</w:t>
      </w:r>
      <w:r>
        <w:rPr>
          <w:rFonts w:ascii="Arial" w:cs="Arial" w:eastAsia="Arial" w:hAnsi="Arial"/>
          <w:sz w:val="20"/>
          <w:szCs w:val="20"/>
          <w:color w:val="auto"/>
        </w:rPr>
        <w:t xml:space="preserve"> (Indemnification), Section 12.8(b) (Submission to Jurisdiction) and Section 12.9(b) (Waiver of Jury Trial) of the Credit Agreement are incorporated herein by reference to the same extent as if reproduced herein in their entirety.</w:t>
      </w:r>
    </w:p>
    <w:p>
      <w:pPr>
        <w:spacing w:after="0" w:line="186" w:lineRule="exact"/>
        <w:rPr>
          <w:rFonts w:ascii="Arial" w:cs="Arial" w:eastAsia="Arial" w:hAnsi="Arial"/>
          <w:sz w:val="20"/>
          <w:szCs w:val="20"/>
          <w:color w:val="010000"/>
        </w:rPr>
      </w:pPr>
    </w:p>
    <w:p>
      <w:pPr>
        <w:ind w:firstLine="1678"/>
        <w:spacing w:after="0" w:line="288" w:lineRule="auto"/>
        <w:tabs>
          <w:tab w:leader="none" w:pos="2793" w:val="left"/>
        </w:tabs>
        <w:numPr>
          <w:ilvl w:val="1"/>
          <w:numId w:val="67"/>
        </w:numPr>
        <w:rPr>
          <w:rFonts w:ascii="Arial" w:cs="Arial" w:eastAsia="Arial" w:hAnsi="Arial"/>
          <w:sz w:val="20"/>
          <w:szCs w:val="20"/>
          <w:color w:val="010000"/>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this Agreement are included for convenience of reference only and shall not constitute a part of this Agreement for any other purpose.</w:t>
      </w:r>
    </w:p>
    <w:p>
      <w:pPr>
        <w:spacing w:after="0" w:line="177" w:lineRule="exact"/>
        <w:rPr>
          <w:rFonts w:ascii="Arial" w:cs="Arial" w:eastAsia="Arial" w:hAnsi="Arial"/>
          <w:sz w:val="20"/>
          <w:szCs w:val="20"/>
          <w:color w:val="010000"/>
        </w:rPr>
      </w:pPr>
    </w:p>
    <w:p>
      <w:pPr>
        <w:jc w:val="both"/>
        <w:ind w:firstLine="1678"/>
        <w:spacing w:after="0" w:line="278" w:lineRule="auto"/>
        <w:tabs>
          <w:tab w:leader="none" w:pos="2793" w:val="left"/>
        </w:tabs>
        <w:numPr>
          <w:ilvl w:val="1"/>
          <w:numId w:val="67"/>
        </w:numPr>
        <w:rPr>
          <w:rFonts w:ascii="Arial" w:cs="Arial" w:eastAsia="Arial" w:hAnsi="Arial"/>
          <w:sz w:val="20"/>
          <w:szCs w:val="20"/>
          <w:color w:val="010000"/>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signed in any number of counterparts, each of which shall be deemed an original and all of which when taken together shall constitute one and the same instrument. Delivery of an executed counterpart of this Agreement by facsimile or by electronic mail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First Amendment to A&amp;R Credit Agreement (Term Loan)</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\\DC - 036639/000090 - 16493382 v2  </w:t>
      </w: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8" w:name="page129"/>
    <w:bookmarkEnd w:id="128"/>
    <w:p>
      <w:pPr>
        <w:jc w:val="both"/>
        <w:spacing w:after="0" w:line="285" w:lineRule="auto"/>
        <w:rPr>
          <w:sz w:val="20"/>
          <w:szCs w:val="20"/>
          <w:color w:val="auto"/>
        </w:rPr>
      </w:pPr>
      <w:r>
        <w:rPr>
          <w:rFonts w:ascii="Arial" w:cs="Arial" w:eastAsia="Arial" w:hAnsi="Arial"/>
          <w:sz w:val="19"/>
          <w:szCs w:val="19"/>
          <w:color w:val="auto"/>
        </w:rPr>
        <w:t>delivery of an electronic version (e.g., .pdf or .tif file) of an executed signature page shall be effective as delivery of an original executed counterpart hereof and shall bind the parties hereto.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Arial" w:cs="Arial" w:eastAsia="Arial" w:hAnsi="Arial"/>
          <w:sz w:val="19"/>
          <w:szCs w:val="19"/>
          <w:b w:val="1"/>
          <w:bCs w:val="1"/>
          <w:color w:val="auto"/>
        </w:rPr>
        <w:t>Electronic Signature</w:t>
      </w:r>
      <w:r>
        <w:rPr>
          <w:rFonts w:ascii="Arial" w:cs="Arial" w:eastAsia="Arial" w:hAnsi="Arial"/>
          <w:sz w:val="19"/>
          <w:szCs w:val="19"/>
          <w:color w:val="auto"/>
        </w:rPr>
        <w:t>” means an electronic sound, symbol, or process attached to, or associated with, a contract or other record and adopted by a Person with the intent to sign, authenticate or accept such contract or other record.</w:t>
      </w:r>
    </w:p>
    <w:p>
      <w:pPr>
        <w:spacing w:after="0" w:line="186" w:lineRule="exact"/>
        <w:rPr>
          <w:sz w:val="20"/>
          <w:szCs w:val="20"/>
          <w:color w:val="auto"/>
        </w:rPr>
      </w:pPr>
    </w:p>
    <w:p>
      <w:pPr>
        <w:ind w:firstLine="1678"/>
        <w:spacing w:after="0" w:line="316" w:lineRule="auto"/>
        <w:tabs>
          <w:tab w:leader="none" w:pos="2793" w:val="left"/>
        </w:tabs>
        <w:numPr>
          <w:ilvl w:val="0"/>
          <w:numId w:val="68"/>
        </w:numPr>
        <w:rPr>
          <w:rFonts w:ascii="Arial" w:cs="Arial" w:eastAsia="Arial" w:hAnsi="Arial"/>
          <w:sz w:val="19"/>
          <w:szCs w:val="19"/>
          <w:color w:val="010000"/>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constitutes the entire agreement and understanding among the parties hereto and supersedes any and all prior agreements and understandings, oral or written, relating to the subject matter hereof.</w:t>
      </w:r>
    </w:p>
    <w:p>
      <w:pPr>
        <w:spacing w:after="0" w:line="153" w:lineRule="exact"/>
        <w:rPr>
          <w:rFonts w:ascii="Arial" w:cs="Arial" w:eastAsia="Arial" w:hAnsi="Arial"/>
          <w:sz w:val="19"/>
          <w:szCs w:val="19"/>
          <w:color w:val="010000"/>
        </w:rPr>
      </w:pPr>
    </w:p>
    <w:p>
      <w:pPr>
        <w:jc w:val="both"/>
        <w:ind w:firstLine="1678"/>
        <w:spacing w:after="0" w:line="278" w:lineRule="auto"/>
        <w:tabs>
          <w:tab w:leader="none" w:pos="2793" w:val="left"/>
        </w:tabs>
        <w:numPr>
          <w:ilvl w:val="0"/>
          <w:numId w:val="68"/>
        </w:numPr>
        <w:rPr>
          <w:rFonts w:ascii="Arial" w:cs="Arial" w:eastAsia="Arial" w:hAnsi="Arial"/>
          <w:sz w:val="20"/>
          <w:szCs w:val="20"/>
          <w:color w:val="010000"/>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86" w:lineRule="exact"/>
        <w:rPr>
          <w:rFonts w:ascii="Arial" w:cs="Arial" w:eastAsia="Arial" w:hAnsi="Arial"/>
          <w:sz w:val="20"/>
          <w:szCs w:val="20"/>
          <w:color w:val="010000"/>
        </w:rPr>
      </w:pPr>
    </w:p>
    <w:p>
      <w:pPr>
        <w:ind w:firstLine="1678"/>
        <w:spacing w:after="0" w:line="347" w:lineRule="auto"/>
        <w:tabs>
          <w:tab w:leader="none" w:pos="2793" w:val="left"/>
        </w:tabs>
        <w:numPr>
          <w:ilvl w:val="0"/>
          <w:numId w:val="68"/>
        </w:numPr>
        <w:rPr>
          <w:rFonts w:ascii="Arial" w:cs="Arial" w:eastAsia="Arial" w:hAnsi="Arial"/>
          <w:sz w:val="18"/>
          <w:szCs w:val="18"/>
          <w:color w:val="010000"/>
        </w:rPr>
      </w:pPr>
      <w:r>
        <w:rPr>
          <w:rFonts w:ascii="Arial" w:cs="Arial" w:eastAsia="Arial" w:hAnsi="Arial"/>
          <w:sz w:val="18"/>
          <w:szCs w:val="18"/>
          <w:u w:val="single" w:color="auto"/>
          <w:color w:val="auto"/>
        </w:rPr>
        <w:t>Successors/Assigns</w:t>
      </w:r>
      <w:r>
        <w:rPr>
          <w:rFonts w:ascii="Arial" w:cs="Arial" w:eastAsia="Arial" w:hAnsi="Arial"/>
          <w:sz w:val="18"/>
          <w:szCs w:val="18"/>
          <w:color w:val="auto"/>
        </w:rPr>
        <w:t>. This Agreement shall bind, and the rights hereunder shall inure to, the respective successors and assigns of the parties hereto, subject to the provisions of the Credit Agreement and the other Financing Documents.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APPEAR ON FOLLOWING PAGES]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First Amendment to A&amp;R Credit Agreement (Term Loan)</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\\DC - 036639/000090 - 16493382 v2  </w:t>
      </w: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29" w:name="page130"/>
    <w:bookmarkEnd w:id="129"/>
    <w:p>
      <w:pPr>
        <w:ind w:firstLine="749"/>
        <w:spacing w:after="0" w:line="288" w:lineRule="auto"/>
        <w:rPr>
          <w:sz w:val="20"/>
          <w:szCs w:val="20"/>
          <w:color w:val="auto"/>
        </w:rPr>
      </w:pPr>
      <w:r>
        <w:rPr>
          <w:rFonts w:ascii="Arial" w:cs="Arial" w:eastAsia="Arial" w:hAnsi="Arial"/>
          <w:sz w:val="20"/>
          <w:szCs w:val="20"/>
          <w:color w:val="auto"/>
        </w:rPr>
        <w:t>IN WITNESS WHEREOF, intending to be legally bound, the undersigned have executed this Agreement as of the day and year first hereinabove set forth.</w:t>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4700" w:val="left"/>
        </w:tabs>
        <w:rPr>
          <w:sz w:val="20"/>
          <w:szCs w:val="20"/>
          <w:color w:val="auto"/>
        </w:rPr>
      </w:pPr>
      <w:r>
        <w:rPr>
          <w:rFonts w:ascii="Arial" w:cs="Arial" w:eastAsia="Arial" w:hAnsi="Arial"/>
          <w:sz w:val="20"/>
          <w:szCs w:val="20"/>
          <w:b w:val="1"/>
          <w:bCs w:val="1"/>
          <w:color w:val="auto"/>
        </w:rPr>
        <w:t>AGENT:</w:t>
      </w:r>
      <w:r>
        <w:rPr>
          <w:sz w:val="20"/>
          <w:szCs w:val="20"/>
          <w:color w:val="auto"/>
        </w:rPr>
        <w:tab/>
      </w:r>
      <w:r>
        <w:rPr>
          <w:rFonts w:ascii="Arial" w:cs="Arial" w:eastAsia="Arial" w:hAnsi="Arial"/>
          <w:sz w:val="20"/>
          <w:szCs w:val="20"/>
          <w:b w:val="1"/>
          <w:bCs w:val="1"/>
          <w:color w:val="auto"/>
        </w:rPr>
        <w:t>MIDCAP FINANCIAL TRUST</w:t>
      </w:r>
    </w:p>
    <w:p>
      <w:pPr>
        <w:spacing w:after="0" w:line="289"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Apollo Capital Management, L.P.,</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its investment manager</w:t>
      </w:r>
    </w:p>
    <w:p>
      <w:pPr>
        <w:spacing w:after="0" w:line="283"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Apollo Capital Management GP, LLC,</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340"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 _/s/ Maurice Amsellem___________</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Name: Maurice Amsellem</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First Amendment to A&amp;R Credit Agreement (Term Loan)</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\\DC - 036639/000090 - 16493382 v2  </w:t>
      </w: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30" w:name="page131"/>
    <w:bookmarkEnd w:id="130"/>
    <w:p>
      <w:pPr>
        <w:ind w:left="20"/>
        <w:spacing w:after="0"/>
        <w:tabs>
          <w:tab w:leader="none" w:pos="470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20"/>
          <w:szCs w:val="20"/>
          <w:b w:val="1"/>
          <w:bCs w:val="1"/>
          <w:color w:val="auto"/>
        </w:rPr>
        <w:t>MIDCAP FUNDING XIII TRUST</w:t>
      </w:r>
    </w:p>
    <w:p>
      <w:pPr>
        <w:spacing w:after="0" w:line="289"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Apollo Capital Management, L.P.,</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its investment manager</w:t>
      </w:r>
    </w:p>
    <w:p>
      <w:pPr>
        <w:spacing w:after="0" w:line="283"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Apollo Capital Management GP, LLC,</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34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_/s/ Maurice Amsellem___________</w:t>
      </w:r>
    </w:p>
    <w:p>
      <w:pPr>
        <w:spacing w:after="0" w:line="50"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Name: Maurice Amsellem</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First Amendment to A&amp;R Credit Agreement (Term Loan)</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\\DC - 036639/000090 - 16493382 v2  </w:t>
      </w: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 w:right="1440" w:bottom="1440" w:gutter="0" w:footer="0" w:header="0"/>
        </w:sectPr>
      </w:pPr>
    </w:p>
    <w:bookmarkStart w:id="131" w:name="page132"/>
    <w:bookmarkEnd w:id="131"/>
    <w:p>
      <w:pPr>
        <w:ind w:left="20"/>
        <w:spacing w:after="0"/>
        <w:tabs>
          <w:tab w:leader="none" w:pos="450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20"/>
          <w:szCs w:val="20"/>
          <w:b w:val="1"/>
          <w:bCs w:val="1"/>
          <w:color w:val="auto"/>
        </w:rPr>
        <w:t>ELM 2020-3 TRUST</w:t>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By: MidCap Financial Services Capital Management, LLC, as Servicer</w:t>
      </w:r>
    </w:p>
    <w:p>
      <w:pPr>
        <w:spacing w:after="0" w:line="200" w:lineRule="exact"/>
        <w:rPr>
          <w:sz w:val="20"/>
          <w:szCs w:val="20"/>
          <w:color w:val="auto"/>
        </w:rPr>
      </w:pPr>
    </w:p>
    <w:p>
      <w:pPr>
        <w:spacing w:after="0" w:line="286"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By: _/s/ John O'Dea_________________</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Name: John O’Dea</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361" w:lineRule="exact"/>
        <w:rPr>
          <w:sz w:val="20"/>
          <w:szCs w:val="20"/>
          <w:color w:val="auto"/>
        </w:rPr>
      </w:pPr>
    </w:p>
    <w:p>
      <w:pPr>
        <w:ind w:left="100"/>
        <w:spacing w:after="0"/>
        <w:tabs>
          <w:tab w:leader="none" w:pos="434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20"/>
          <w:szCs w:val="20"/>
          <w:b w:val="1"/>
          <w:bCs w:val="1"/>
          <w:color w:val="auto"/>
        </w:rPr>
        <w:t>ELM 2020-4 TRUST</w:t>
      </w:r>
    </w:p>
    <w:p>
      <w:pPr>
        <w:spacing w:after="0" w:line="26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 MidCap Financial Services Capital Management, LLC, as Servicer</w:t>
      </w:r>
    </w:p>
    <w:p>
      <w:pPr>
        <w:spacing w:after="0" w:line="200" w:lineRule="exact"/>
        <w:rPr>
          <w:sz w:val="20"/>
          <w:szCs w:val="20"/>
          <w:color w:val="auto"/>
        </w:rPr>
      </w:pPr>
    </w:p>
    <w:p>
      <w:pPr>
        <w:spacing w:after="0" w:line="309"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By: _/s/ John O'Dea_________________</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Name: John O’Dea</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First Amendment to A&amp;R Credit Agreement (Term Loan)</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\\DC - 036639/000090 - 16493382 v2  </w:t>
      </w: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320" w:top="144" w:right="1419" w:bottom="1440" w:gutter="0" w:footer="0" w:header="0"/>
        </w:sectPr>
      </w:pPr>
    </w:p>
    <w:bookmarkStart w:id="132" w:name="page133"/>
    <w:bookmarkEnd w:id="132"/>
    <w:p>
      <w:pPr>
        <w:spacing w:after="0"/>
        <w:tabs>
          <w:tab w:leader="none" w:pos="3160" w:val="left"/>
        </w:tabs>
        <w:rPr>
          <w:sz w:val="20"/>
          <w:szCs w:val="20"/>
          <w:color w:val="auto"/>
        </w:rPr>
      </w:pPr>
      <w:r>
        <w:rPr>
          <w:rFonts w:ascii="Arial" w:cs="Arial" w:eastAsia="Arial" w:hAnsi="Arial"/>
          <w:sz w:val="20"/>
          <w:szCs w:val="20"/>
          <w:b w:val="1"/>
          <w:bCs w:val="1"/>
          <w:color w:val="auto"/>
        </w:rPr>
        <w:t>BORROWER:</w:t>
      </w:r>
      <w:r>
        <w:rPr>
          <w:sz w:val="20"/>
          <w:szCs w:val="20"/>
          <w:color w:val="auto"/>
        </w:rPr>
        <w:tab/>
      </w:r>
      <w:r>
        <w:rPr>
          <w:rFonts w:ascii="Arial" w:cs="Arial" w:eastAsia="Arial" w:hAnsi="Arial"/>
          <w:sz w:val="20"/>
          <w:szCs w:val="20"/>
          <w:b w:val="1"/>
          <w:bCs w:val="1"/>
          <w:color w:val="auto"/>
        </w:rPr>
        <w:t>SIGHT SCIENCES, INC.</w:t>
      </w:r>
    </w:p>
    <w:p>
      <w:pPr>
        <w:spacing w:after="0" w:line="200" w:lineRule="exact"/>
        <w:rPr>
          <w:sz w:val="20"/>
          <w:szCs w:val="20"/>
          <w:color w:val="auto"/>
        </w:rPr>
      </w:pPr>
    </w:p>
    <w:p>
      <w:pPr>
        <w:spacing w:after="0" w:line="346"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By: _/s/ Jesse Selnick__________________</w:t>
      </w:r>
    </w:p>
    <w:p>
      <w:pPr>
        <w:spacing w:after="0" w:line="73"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Name: _Jesse Selnick__________________</w:t>
      </w:r>
    </w:p>
    <w:p>
      <w:pPr>
        <w:spacing w:after="0" w:line="7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_Chief Financial Officer___________</w:t>
      </w:r>
    </w:p>
    <w:p>
      <w:pPr>
        <w:spacing w:after="0" w:line="279"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First Amendment to A&amp;R Credit Agreement (Term Loan)</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\\DC - 036639/000090 - 16493382 v2  </w:t>
      </w: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133" w:name="page134"/>
    <w:bookmarkEnd w:id="133"/>
    <w:p>
      <w:pPr>
        <w:jc w:val="right"/>
        <w:spacing w:after="0"/>
        <w:rPr>
          <w:sz w:val="20"/>
          <w:szCs w:val="20"/>
          <w:color w:val="auto"/>
        </w:rPr>
      </w:pPr>
      <w:r>
        <w:rPr>
          <w:rFonts w:ascii="Arial" w:cs="Arial" w:eastAsia="Arial" w:hAnsi="Arial"/>
          <w:sz w:val="20"/>
          <w:szCs w:val="20"/>
          <w:b w:val="1"/>
          <w:bCs w:val="1"/>
          <w:u w:val="single" w:color="auto"/>
          <w:color w:val="auto"/>
        </w:rPr>
        <w:t>ANNEX A</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B to Credit Agreement (Form of Compliance Certificate)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COMPLIANCE CERTIFICATE</w:t>
      </w:r>
    </w:p>
    <w:p>
      <w:pPr>
        <w:spacing w:after="0" w:line="249"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This Compliance Certificate is given by _____________________, a Responsible Officer of Sight Sciences, Inc., a Delaware</w:t>
      </w:r>
    </w:p>
    <w:p>
      <w:pPr>
        <w:spacing w:after="0" w:line="32"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corporation (the “</w:t>
      </w:r>
      <w:r>
        <w:rPr>
          <w:rFonts w:ascii="Arial" w:cs="Arial" w:eastAsia="Arial" w:hAnsi="Arial"/>
          <w:sz w:val="20"/>
          <w:szCs w:val="20"/>
          <w:b w:val="1"/>
          <w:bCs w:val="1"/>
          <w:color w:val="auto"/>
        </w:rPr>
        <w:t>Borrower Representative</w:t>
      </w:r>
      <w:r>
        <w:rPr>
          <w:rFonts w:ascii="Arial" w:cs="Arial" w:eastAsia="Arial" w:hAnsi="Arial"/>
          <w:sz w:val="20"/>
          <w:szCs w:val="20"/>
          <w:color w:val="auto"/>
        </w:rPr>
        <w:t>”), pursuant to that certain Amended and Restated Credit and Security Agreement (Term Loan), dated as of November 23, 2020 among the Borrower Representative and any additional Borrower that may hereafter be added thereto (collectively, “</w:t>
      </w:r>
      <w:r>
        <w:rPr>
          <w:rFonts w:ascii="Arial" w:cs="Arial" w:eastAsia="Arial" w:hAnsi="Arial"/>
          <w:sz w:val="20"/>
          <w:szCs w:val="20"/>
          <w:b w:val="1"/>
          <w:bCs w:val="1"/>
          <w:color w:val="auto"/>
        </w:rPr>
        <w:t>Borrowers</w:t>
      </w:r>
      <w:r>
        <w:rPr>
          <w:rFonts w:ascii="Arial" w:cs="Arial" w:eastAsia="Arial" w:hAnsi="Arial"/>
          <w:sz w:val="20"/>
          <w:szCs w:val="20"/>
          <w:color w:val="auto"/>
        </w:rPr>
        <w:t>”), MidCap Financial Trust, individually as a Lender and as Agent, and the financial institutions or other entities from time to time parties hereto, each as a Lender (as such agreement may have been amended, restated, supplemented or otherwise modified from time to time, the “</w:t>
      </w:r>
      <w:r>
        <w:rPr>
          <w:rFonts w:ascii="Arial" w:cs="Arial" w:eastAsia="Arial" w:hAnsi="Arial"/>
          <w:sz w:val="20"/>
          <w:szCs w:val="20"/>
          <w:b w:val="1"/>
          <w:bCs w:val="1"/>
          <w:color w:val="auto"/>
        </w:rPr>
        <w:t>Credit Agreement</w:t>
      </w:r>
      <w:r>
        <w:rPr>
          <w:rFonts w:ascii="Arial" w:cs="Arial" w:eastAsia="Arial" w:hAnsi="Arial"/>
          <w:sz w:val="20"/>
          <w:szCs w:val="20"/>
          <w:color w:val="auto"/>
        </w:rPr>
        <w:t>”). Capitalized terms used herein without definition shall have the meanings set forth in the Credit Agreement.</w:t>
      </w:r>
    </w:p>
    <w:p>
      <w:pPr>
        <w:spacing w:after="0" w:line="191"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20"/>
          <w:szCs w:val="20"/>
          <w:color w:val="auto"/>
        </w:rPr>
        <w:t>The undersigned Responsible Officer hereby certifies, solely in his/her capacity as a Responsible Officer of the Borrower Representative and not in any individual capacity, to Agent and Lenders that:</w:t>
      </w:r>
    </w:p>
    <w:p>
      <w:pPr>
        <w:spacing w:after="0" w:line="177" w:lineRule="exact"/>
        <w:rPr>
          <w:sz w:val="20"/>
          <w:szCs w:val="20"/>
          <w:color w:val="auto"/>
        </w:rPr>
      </w:pPr>
    </w:p>
    <w:p>
      <w:pPr>
        <w:jc w:val="both"/>
        <w:ind w:firstLine="757"/>
        <w:spacing w:after="0" w:line="283" w:lineRule="auto"/>
        <w:tabs>
          <w:tab w:leader="none" w:pos="1145"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financial statements delivered with this certificate in accordance with Section 4.1 of the Credit Agreement fairly present in all material respects the results of operations and financial condition of Borrowers and their Consolidated Subsidiaries as of the dates and the accounting period covered by such financial statements;]</w:t>
      </w:r>
      <w:r>
        <w:rPr>
          <w:rFonts w:ascii="Arial" w:cs="Arial" w:eastAsia="Arial" w:hAnsi="Arial"/>
          <w:sz w:val="26"/>
          <w:szCs w:val="26"/>
          <w:color w:val="auto"/>
          <w:vertAlign w:val="superscript"/>
        </w:rPr>
        <w:t>1</w:t>
      </w:r>
    </w:p>
    <w:p>
      <w:pPr>
        <w:spacing w:after="0" w:line="90" w:lineRule="exact"/>
        <w:rPr>
          <w:rFonts w:ascii="Arial" w:cs="Arial" w:eastAsia="Arial" w:hAnsi="Arial"/>
          <w:sz w:val="20"/>
          <w:szCs w:val="20"/>
          <w:color w:val="auto"/>
        </w:rPr>
      </w:pPr>
    </w:p>
    <w:p>
      <w:pPr>
        <w:ind w:left="1160" w:hanging="403"/>
        <w:spacing w:after="0"/>
        <w:tabs>
          <w:tab w:leader="none" w:pos="11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[reserved];</w:t>
      </w:r>
    </w:p>
    <w:p>
      <w:pPr>
        <w:spacing w:after="0" w:line="242" w:lineRule="exact"/>
        <w:rPr>
          <w:rFonts w:ascii="Arial" w:cs="Arial" w:eastAsia="Arial" w:hAnsi="Arial"/>
          <w:sz w:val="20"/>
          <w:szCs w:val="20"/>
          <w:color w:val="auto"/>
        </w:rPr>
      </w:pPr>
    </w:p>
    <w:p>
      <w:pPr>
        <w:jc w:val="both"/>
        <w:ind w:firstLine="757"/>
        <w:spacing w:after="0" w:line="288" w:lineRule="auto"/>
        <w:tabs>
          <w:tab w:leader="none" w:pos="1145"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I have reviewed the terms of the Credit Agreement and have made, or caused to be made under my supervision, a review in reasonable detail of the transactions and conditions of Borrowers and their Consolidated Subsidiaries during the accounting period covered by such financial statements, and such review has not disclosed the existence during or at the end of such accounting period, and I have no knowledge of the existence as of the date hereof, of any condition or event that constitutes a Default or an Event of Default, except as set forth in </w:t>
      </w:r>
      <w:r>
        <w:rPr>
          <w:rFonts w:ascii="Arial" w:cs="Arial" w:eastAsia="Arial" w:hAnsi="Arial"/>
          <w:sz w:val="19"/>
          <w:szCs w:val="19"/>
          <w:b w:val="1"/>
          <w:bCs w:val="1"/>
          <w:u w:val="single" w:color="auto"/>
          <w:color w:val="auto"/>
        </w:rPr>
        <w:t>Schedule 1</w:t>
      </w:r>
      <w:r>
        <w:rPr>
          <w:rFonts w:ascii="Arial" w:cs="Arial" w:eastAsia="Arial" w:hAnsi="Arial"/>
          <w:sz w:val="19"/>
          <w:szCs w:val="19"/>
          <w:color w:val="auto"/>
        </w:rPr>
        <w:t xml:space="preserve"> hereto, which includes a description of the nature and period of existence of such Default or an Event of Default and what action Borrowers have taken, are undertaking and propose to take with respect thereto;</w:t>
      </w:r>
    </w:p>
    <w:p>
      <w:pPr>
        <w:spacing w:after="0" w:line="175" w:lineRule="exact"/>
        <w:rPr>
          <w:rFonts w:ascii="Arial" w:cs="Arial" w:eastAsia="Arial" w:hAnsi="Arial"/>
          <w:sz w:val="19"/>
          <w:szCs w:val="19"/>
          <w:color w:val="auto"/>
        </w:rPr>
      </w:pPr>
    </w:p>
    <w:p>
      <w:pPr>
        <w:jc w:val="both"/>
        <w:ind w:firstLine="757"/>
        <w:spacing w:after="0" w:line="326" w:lineRule="auto"/>
        <w:tabs>
          <w:tab w:leader="none" w:pos="1145"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except as noted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attached hereto, </w:t>
      </w:r>
      <w:r>
        <w:rPr>
          <w:rFonts w:ascii="Arial" w:cs="Arial" w:eastAsia="Arial" w:hAnsi="Arial"/>
          <w:sz w:val="18"/>
          <w:szCs w:val="18"/>
          <w:u w:val="single" w:color="auto"/>
          <w:color w:val="auto"/>
        </w:rPr>
        <w:t>Schedule 9.2(b)</w:t>
      </w:r>
      <w:r>
        <w:rPr>
          <w:rFonts w:ascii="Arial" w:cs="Arial" w:eastAsia="Arial" w:hAnsi="Arial"/>
          <w:sz w:val="18"/>
          <w:szCs w:val="18"/>
          <w:color w:val="auto"/>
        </w:rPr>
        <w:t xml:space="preserve"> to the Credit Agreement contains a complete and accurate list of all business locations of Borrowers and Guarantors and all names under which Borrowers and Guarantors currently conduct business;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specifically notes any changes in the names under which any Borrower or Guarantors conduct business;</w:t>
      </w:r>
    </w:p>
    <w:p>
      <w:pPr>
        <w:spacing w:after="0" w:line="142" w:lineRule="exact"/>
        <w:rPr>
          <w:rFonts w:ascii="Arial" w:cs="Arial" w:eastAsia="Arial" w:hAnsi="Arial"/>
          <w:sz w:val="18"/>
          <w:szCs w:val="18"/>
          <w:color w:val="auto"/>
        </w:rPr>
      </w:pPr>
    </w:p>
    <w:p>
      <w:pPr>
        <w:jc w:val="both"/>
        <w:ind w:firstLine="757"/>
        <w:spacing w:after="0" w:line="276" w:lineRule="auto"/>
        <w:tabs>
          <w:tab w:leader="none" w:pos="1145" w:val="left"/>
        </w:tabs>
        <w:numPr>
          <w:ilvl w:val="0"/>
          <w:numId w:val="69"/>
        </w:numPr>
        <w:rPr>
          <w:rFonts w:ascii="Arial" w:cs="Arial" w:eastAsia="Arial" w:hAnsi="Arial"/>
          <w:sz w:val="20"/>
          <w:szCs w:val="20"/>
          <w:color w:val="auto"/>
        </w:rPr>
      </w:pPr>
      <w:r>
        <w:rPr>
          <w:rFonts w:ascii="Arial" w:cs="Arial" w:eastAsia="Arial" w:hAnsi="Arial"/>
          <w:sz w:val="20"/>
          <w:szCs w:val="20"/>
          <w:color w:val="auto"/>
        </w:rPr>
        <w:t xml:space="preserve">except as noted on </w:t>
      </w:r>
      <w:r>
        <w:rPr>
          <w:rFonts w:ascii="Arial" w:cs="Arial" w:eastAsia="Arial" w:hAnsi="Arial"/>
          <w:sz w:val="20"/>
          <w:szCs w:val="20"/>
          <w:b w:val="1"/>
          <w:bCs w:val="1"/>
          <w:u w:val="single" w:color="auto"/>
          <w:color w:val="auto"/>
        </w:rPr>
        <w:t>Schedule 3</w:t>
      </w:r>
      <w:r>
        <w:rPr>
          <w:rFonts w:ascii="Arial" w:cs="Arial" w:eastAsia="Arial" w:hAnsi="Arial"/>
          <w:sz w:val="20"/>
          <w:szCs w:val="20"/>
          <w:color w:val="auto"/>
        </w:rPr>
        <w:t xml:space="preserve"> attached hereto, the undersigned has no knowledge of (i) any federal or state tax liens (other than Permitted Liens) having been filed against any Borrower, Guarantor or any Collateral, or (ii) any failure of any Borrower or any Guarantors to make required payments of withholding or other tax obligations of any Borrower or any Guarantors during the accounting period to which the attached statements pertain or any subsequent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285432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7">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120" w:hanging="112"/>
        <w:spacing w:after="0"/>
        <w:tabs>
          <w:tab w:leader="none" w:pos="120" w:val="left"/>
        </w:tabs>
        <w:numPr>
          <w:ilvl w:val="0"/>
          <w:numId w:val="70"/>
        </w:numPr>
        <w:rPr>
          <w:rFonts w:ascii="Arial" w:cs="Arial" w:eastAsia="Arial" w:hAnsi="Arial"/>
          <w:sz w:val="24"/>
          <w:szCs w:val="24"/>
          <w:color w:val="auto"/>
          <w:vertAlign w:val="superscript"/>
        </w:rPr>
      </w:pPr>
      <w:r>
        <w:rPr>
          <w:rFonts w:ascii="Arial" w:cs="Arial" w:eastAsia="Arial" w:hAnsi="Arial"/>
          <w:sz w:val="18"/>
          <w:szCs w:val="18"/>
          <w:color w:val="auto"/>
        </w:rPr>
        <w:t>To be included only if requested by Agent.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First Amendment to A&amp;R Credit Agreement (Term Loan)</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\\DC - 036639/000090 - 16493382 v2  </w:t>
      </w: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4" w:name="page135"/>
    <w:bookmarkEnd w:id="134"/>
    <w:p>
      <w:pPr>
        <w:ind w:firstLine="833"/>
        <w:spacing w:after="0" w:line="288" w:lineRule="auto"/>
        <w:tabs>
          <w:tab w:leader="none" w:pos="1199" w:val="left"/>
        </w:tabs>
        <w:numPr>
          <w:ilvl w:val="1"/>
          <w:numId w:val="71"/>
        </w:numPr>
        <w:rPr>
          <w:rFonts w:ascii="Arial" w:cs="Arial" w:eastAsia="Arial" w:hAnsi="Arial"/>
          <w:sz w:val="20"/>
          <w:szCs w:val="20"/>
          <w:color w:val="auto"/>
        </w:rPr>
      </w:pPr>
      <w:r>
        <w:rPr>
          <w:rFonts w:ascii="Arial" w:cs="Arial" w:eastAsia="Arial" w:hAnsi="Arial"/>
          <w:sz w:val="20"/>
          <w:szCs w:val="20"/>
          <w:u w:val="single" w:color="auto"/>
          <w:color w:val="auto"/>
        </w:rPr>
        <w:t>Schedule 5.14</w:t>
      </w:r>
      <w:r>
        <w:rPr>
          <w:rFonts w:ascii="Arial" w:cs="Arial" w:eastAsia="Arial" w:hAnsi="Arial"/>
          <w:sz w:val="20"/>
          <w:szCs w:val="20"/>
          <w:color w:val="auto"/>
        </w:rPr>
        <w:t xml:space="preserve"> to the Credit Agreement contains a complete and accurate statement of all deposit accounts or investment accounts maintained by Borrowers and Guarantors;</w:t>
      </w:r>
    </w:p>
    <w:p>
      <w:pPr>
        <w:spacing w:after="0" w:line="171" w:lineRule="exact"/>
        <w:rPr>
          <w:rFonts w:ascii="Arial" w:cs="Arial" w:eastAsia="Arial" w:hAnsi="Arial"/>
          <w:sz w:val="20"/>
          <w:szCs w:val="20"/>
          <w:color w:val="auto"/>
        </w:rPr>
      </w:pPr>
    </w:p>
    <w:p>
      <w:pPr>
        <w:jc w:val="both"/>
        <w:ind w:firstLine="757"/>
        <w:spacing w:after="0" w:line="280" w:lineRule="auto"/>
        <w:tabs>
          <w:tab w:leader="none" w:pos="1145" w:val="left"/>
        </w:tabs>
        <w:numPr>
          <w:ilvl w:val="0"/>
          <w:numId w:val="72"/>
        </w:numPr>
        <w:rPr>
          <w:rFonts w:ascii="Arial" w:cs="Arial" w:eastAsia="Arial" w:hAnsi="Arial"/>
          <w:sz w:val="20"/>
          <w:szCs w:val="20"/>
          <w:color w:val="auto"/>
        </w:rPr>
      </w:pPr>
      <w:r>
        <w:rPr>
          <w:rFonts w:ascii="Arial" w:cs="Arial" w:eastAsia="Arial" w:hAnsi="Arial"/>
          <w:sz w:val="20"/>
          <w:szCs w:val="20"/>
          <w:color w:val="auto"/>
        </w:rPr>
        <w:t xml:space="preserve">[except as noted on </w:t>
      </w:r>
      <w:r>
        <w:rPr>
          <w:rFonts w:ascii="Arial" w:cs="Arial" w:eastAsia="Arial" w:hAnsi="Arial"/>
          <w:sz w:val="20"/>
          <w:szCs w:val="20"/>
          <w:b w:val="1"/>
          <w:bCs w:val="1"/>
          <w:u w:val="single" w:color="auto"/>
          <w:color w:val="auto"/>
        </w:rPr>
        <w:t>Schedule 4</w:t>
      </w:r>
      <w:r>
        <w:rPr>
          <w:rFonts w:ascii="Arial" w:cs="Arial" w:eastAsia="Arial" w:hAnsi="Arial"/>
          <w:sz w:val="20"/>
          <w:szCs w:val="20"/>
          <w:color w:val="auto"/>
        </w:rPr>
        <w:t xml:space="preserve"> attached hereto and </w:t>
      </w:r>
      <w:r>
        <w:rPr>
          <w:rFonts w:ascii="Arial" w:cs="Arial" w:eastAsia="Arial" w:hAnsi="Arial"/>
          <w:sz w:val="20"/>
          <w:szCs w:val="20"/>
          <w:u w:val="single" w:color="auto"/>
          <w:color w:val="auto"/>
        </w:rPr>
        <w:t>Schedule 3.6</w:t>
      </w:r>
      <w:r>
        <w:rPr>
          <w:rFonts w:ascii="Arial" w:cs="Arial" w:eastAsia="Arial" w:hAnsi="Arial"/>
          <w:sz w:val="20"/>
          <w:szCs w:val="20"/>
          <w:color w:val="auto"/>
        </w:rPr>
        <w:t xml:space="preserve"> to the Credit Agreement, the undersigned has no knowledge of any current, pending or threatened: (i) litigation against the Borrowers or any Guarantors, (ii) inquiries, investigations or proceedings concerning the business affairs, practices, licensing or reimbursement entitlements of Borrowers or any Guarantors, or (iii) default by Borrowers or any Guarantors under any Material Contract to which it is a party;]</w:t>
      </w:r>
      <w:r>
        <w:rPr>
          <w:rFonts w:ascii="Arial" w:cs="Arial" w:eastAsia="Arial" w:hAnsi="Arial"/>
          <w:sz w:val="26"/>
          <w:szCs w:val="26"/>
          <w:color w:val="auto"/>
          <w:vertAlign w:val="superscript"/>
        </w:rPr>
        <w:t>2</w:t>
      </w:r>
    </w:p>
    <w:p>
      <w:pPr>
        <w:spacing w:after="0" w:line="88" w:lineRule="exact"/>
        <w:rPr>
          <w:rFonts w:ascii="Arial" w:cs="Arial" w:eastAsia="Arial" w:hAnsi="Arial"/>
          <w:sz w:val="20"/>
          <w:szCs w:val="20"/>
          <w:color w:val="auto"/>
        </w:rPr>
      </w:pPr>
    </w:p>
    <w:p>
      <w:pPr>
        <w:jc w:val="both"/>
        <w:ind w:firstLine="757"/>
        <w:spacing w:after="0" w:line="312" w:lineRule="auto"/>
        <w:tabs>
          <w:tab w:leader="none" w:pos="1145"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[except as noted on </w:t>
      </w:r>
      <w:r>
        <w:rPr>
          <w:rFonts w:ascii="Arial" w:cs="Arial" w:eastAsia="Arial" w:hAnsi="Arial"/>
          <w:sz w:val="18"/>
          <w:szCs w:val="18"/>
          <w:b w:val="1"/>
          <w:bCs w:val="1"/>
          <w:u w:val="single" w:color="auto"/>
          <w:color w:val="auto"/>
        </w:rPr>
        <w:t>Schedule 5</w:t>
      </w:r>
      <w:r>
        <w:rPr>
          <w:rFonts w:ascii="Arial" w:cs="Arial" w:eastAsia="Arial" w:hAnsi="Arial"/>
          <w:sz w:val="18"/>
          <w:szCs w:val="18"/>
          <w:color w:val="auto"/>
        </w:rPr>
        <w:t xml:space="preserve"> attached hereto, no Borrower has acquired, by purchase, by the approval or granting of any application for registration (whether or not such application was previously disclosed to Agent by Borrowers) or otherwise, any Intellectual Property that is registered with any United States or foreign Governmental Authority, or has filed with any such United States or foreign Governmental Authority, any new application for the registration of any Intellectual Property, that has not previously been reported to Agent on </w:t>
      </w:r>
      <w:r>
        <w:rPr>
          <w:rFonts w:ascii="Arial" w:cs="Arial" w:eastAsia="Arial" w:hAnsi="Arial"/>
          <w:sz w:val="18"/>
          <w:szCs w:val="18"/>
          <w:u w:val="single" w:color="auto"/>
          <w:color w:val="auto"/>
        </w:rPr>
        <w:t>Schedule 3.19</w:t>
      </w:r>
      <w:r>
        <w:rPr>
          <w:rFonts w:ascii="Arial" w:cs="Arial" w:eastAsia="Arial" w:hAnsi="Arial"/>
          <w:sz w:val="18"/>
          <w:szCs w:val="18"/>
          <w:color w:val="auto"/>
        </w:rPr>
        <w:t xml:space="preserve"> to the Credit Agreement or any </w:t>
      </w:r>
      <w:r>
        <w:rPr>
          <w:rFonts w:ascii="Arial" w:cs="Arial" w:eastAsia="Arial" w:hAnsi="Arial"/>
          <w:sz w:val="18"/>
          <w:szCs w:val="18"/>
          <w:b w:val="1"/>
          <w:bCs w:val="1"/>
          <w:u w:val="single" w:color="auto"/>
          <w:color w:val="auto"/>
        </w:rPr>
        <w:t>Schedule 5</w:t>
      </w:r>
      <w:r>
        <w:rPr>
          <w:rFonts w:ascii="Arial" w:cs="Arial" w:eastAsia="Arial" w:hAnsi="Arial"/>
          <w:sz w:val="18"/>
          <w:szCs w:val="18"/>
          <w:color w:val="auto"/>
        </w:rPr>
        <w:t xml:space="preserve"> to any previous Compliance Certificate delivered by Borrower to Agent];</w:t>
      </w:r>
      <w:r>
        <w:rPr>
          <w:rFonts w:ascii="Arial" w:cs="Arial" w:eastAsia="Arial" w:hAnsi="Arial"/>
          <w:sz w:val="24"/>
          <w:szCs w:val="24"/>
          <w:color w:val="auto"/>
          <w:vertAlign w:val="superscript"/>
        </w:rPr>
        <w:t>3</w:t>
      </w:r>
    </w:p>
    <w:p>
      <w:pPr>
        <w:spacing w:after="0" w:line="63" w:lineRule="exact"/>
        <w:rPr>
          <w:rFonts w:ascii="Arial" w:cs="Arial" w:eastAsia="Arial" w:hAnsi="Arial"/>
          <w:sz w:val="18"/>
          <w:szCs w:val="18"/>
          <w:color w:val="auto"/>
        </w:rPr>
      </w:pPr>
    </w:p>
    <w:p>
      <w:pPr>
        <w:jc w:val="both"/>
        <w:ind w:firstLine="757"/>
        <w:spacing w:after="0" w:line="294" w:lineRule="auto"/>
        <w:tabs>
          <w:tab w:leader="none" w:pos="1145"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[except as noted on </w:t>
      </w:r>
      <w:r>
        <w:rPr>
          <w:rFonts w:ascii="Arial" w:cs="Arial" w:eastAsia="Arial" w:hAnsi="Arial"/>
          <w:sz w:val="19"/>
          <w:szCs w:val="19"/>
          <w:b w:val="1"/>
          <w:bCs w:val="1"/>
          <w:u w:val="single" w:color="auto"/>
          <w:color w:val="auto"/>
        </w:rPr>
        <w:t>Schedule 5</w:t>
      </w:r>
      <w:r>
        <w:rPr>
          <w:rFonts w:ascii="Arial" w:cs="Arial" w:eastAsia="Arial" w:hAnsi="Arial"/>
          <w:sz w:val="19"/>
          <w:szCs w:val="19"/>
          <w:color w:val="auto"/>
        </w:rPr>
        <w:t xml:space="preserve"> attached hereto, no entered into or become bound by any additional in-bound license or sublicense agreement that is material to Borrower’s business or any additional exclusive out-bound license or sublicense agreement (excluding agreements for in-bound licenses for (a) off-the-shelf software or services that are commercially available to the public, and (b) open source software), that has not previously been reported to Agent on </w:t>
      </w:r>
      <w:r>
        <w:rPr>
          <w:rFonts w:ascii="Arial" w:cs="Arial" w:eastAsia="Arial" w:hAnsi="Arial"/>
          <w:sz w:val="19"/>
          <w:szCs w:val="19"/>
          <w:u w:val="single" w:color="auto"/>
          <w:color w:val="auto"/>
        </w:rPr>
        <w:t>Schedule 3.19</w:t>
      </w:r>
      <w:r>
        <w:rPr>
          <w:rFonts w:ascii="Arial" w:cs="Arial" w:eastAsia="Arial" w:hAnsi="Arial"/>
          <w:sz w:val="19"/>
          <w:szCs w:val="19"/>
          <w:color w:val="auto"/>
        </w:rPr>
        <w:t xml:space="preserve"> to the Credit Agreement or any </w:t>
      </w:r>
      <w:r>
        <w:rPr>
          <w:rFonts w:ascii="Arial" w:cs="Arial" w:eastAsia="Arial" w:hAnsi="Arial"/>
          <w:sz w:val="19"/>
          <w:szCs w:val="19"/>
          <w:b w:val="1"/>
          <w:bCs w:val="1"/>
          <w:u w:val="single" w:color="auto"/>
          <w:color w:val="auto"/>
        </w:rPr>
        <w:t>Schedule 5</w:t>
      </w:r>
      <w:r>
        <w:rPr>
          <w:rFonts w:ascii="Arial" w:cs="Arial" w:eastAsia="Arial" w:hAnsi="Arial"/>
          <w:sz w:val="19"/>
          <w:szCs w:val="19"/>
          <w:color w:val="auto"/>
        </w:rPr>
        <w:t xml:space="preserve"> to any previous Compliance Certificate delivered by Borrower to Agent] ;</w:t>
      </w:r>
      <w:r>
        <w:rPr>
          <w:rFonts w:ascii="Arial" w:cs="Arial" w:eastAsia="Arial" w:hAnsi="Arial"/>
          <w:sz w:val="25"/>
          <w:szCs w:val="25"/>
          <w:color w:val="auto"/>
          <w:vertAlign w:val="superscript"/>
        </w:rPr>
        <w:t>4</w:t>
      </w:r>
    </w:p>
    <w:p>
      <w:pPr>
        <w:spacing w:after="0" w:line="75" w:lineRule="exact"/>
        <w:rPr>
          <w:rFonts w:ascii="Arial" w:cs="Arial" w:eastAsia="Arial" w:hAnsi="Arial"/>
          <w:sz w:val="19"/>
          <w:szCs w:val="19"/>
          <w:color w:val="auto"/>
        </w:rPr>
      </w:pPr>
    </w:p>
    <w:p>
      <w:pPr>
        <w:jc w:val="both"/>
        <w:ind w:firstLine="757"/>
        <w:spacing w:after="0" w:line="302" w:lineRule="auto"/>
        <w:tabs>
          <w:tab w:leader="none" w:pos="1145"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except as noted on </w:t>
      </w:r>
      <w:r>
        <w:rPr>
          <w:rFonts w:ascii="Arial" w:cs="Arial" w:eastAsia="Arial" w:hAnsi="Arial"/>
          <w:sz w:val="19"/>
          <w:szCs w:val="19"/>
          <w:b w:val="1"/>
          <w:bCs w:val="1"/>
          <w:u w:val="single" w:color="auto"/>
          <w:color w:val="auto"/>
        </w:rPr>
        <w:t>Schedule 6</w:t>
      </w:r>
      <w:r>
        <w:rPr>
          <w:rFonts w:ascii="Arial" w:cs="Arial" w:eastAsia="Arial" w:hAnsi="Arial"/>
          <w:sz w:val="19"/>
          <w:szCs w:val="19"/>
          <w:color w:val="auto"/>
        </w:rPr>
        <w:t xml:space="preserve"> attached hereto, no Borrower or Guarantor has acquired, by purchase or otherwise, any Chattel Paper, Letter of Credit Rights, Instruments, Documents or Investment Property that has not previously been reported to Agent on any </w:t>
      </w:r>
      <w:r>
        <w:rPr>
          <w:rFonts w:ascii="Arial" w:cs="Arial" w:eastAsia="Arial" w:hAnsi="Arial"/>
          <w:sz w:val="19"/>
          <w:szCs w:val="19"/>
          <w:b w:val="1"/>
          <w:bCs w:val="1"/>
          <w:u w:val="single" w:color="auto"/>
          <w:color w:val="auto"/>
        </w:rPr>
        <w:t>Schedule 6</w:t>
      </w:r>
      <w:r>
        <w:rPr>
          <w:rFonts w:ascii="Arial" w:cs="Arial" w:eastAsia="Arial" w:hAnsi="Arial"/>
          <w:sz w:val="19"/>
          <w:szCs w:val="19"/>
          <w:b w:val="1"/>
          <w:bCs w:val="1"/>
          <w:color w:val="auto"/>
        </w:rPr>
        <w:t xml:space="preserve"> </w:t>
      </w:r>
      <w:r>
        <w:rPr>
          <w:rFonts w:ascii="Arial" w:cs="Arial" w:eastAsia="Arial" w:hAnsi="Arial"/>
          <w:sz w:val="19"/>
          <w:szCs w:val="19"/>
          <w:color w:val="auto"/>
        </w:rPr>
        <w:t>to any previous Compliance Certificate delivered by Borrower Representative to Agent;</w:t>
      </w:r>
    </w:p>
    <w:p>
      <w:pPr>
        <w:spacing w:after="0" w:line="166" w:lineRule="exact"/>
        <w:rPr>
          <w:rFonts w:ascii="Arial" w:cs="Arial" w:eastAsia="Arial" w:hAnsi="Arial"/>
          <w:sz w:val="19"/>
          <w:szCs w:val="19"/>
          <w:color w:val="auto"/>
        </w:rPr>
      </w:pPr>
    </w:p>
    <w:p>
      <w:pPr>
        <w:jc w:val="both"/>
        <w:ind w:firstLine="757"/>
        <w:spacing w:after="0" w:line="278" w:lineRule="auto"/>
        <w:tabs>
          <w:tab w:leader="none" w:pos="1145" w:val="left"/>
        </w:tabs>
        <w:numPr>
          <w:ilvl w:val="0"/>
          <w:numId w:val="72"/>
        </w:numPr>
        <w:rPr>
          <w:rFonts w:ascii="Arial" w:cs="Arial" w:eastAsia="Arial" w:hAnsi="Arial"/>
          <w:sz w:val="20"/>
          <w:szCs w:val="20"/>
          <w:color w:val="auto"/>
        </w:rPr>
      </w:pPr>
      <w:r>
        <w:rPr>
          <w:rFonts w:ascii="Arial" w:cs="Arial" w:eastAsia="Arial" w:hAnsi="Arial"/>
          <w:sz w:val="20"/>
          <w:szCs w:val="20"/>
          <w:color w:val="auto"/>
        </w:rPr>
        <w:t xml:space="preserve">except as noted on </w:t>
      </w:r>
      <w:r>
        <w:rPr>
          <w:rFonts w:ascii="Arial" w:cs="Arial" w:eastAsia="Arial" w:hAnsi="Arial"/>
          <w:sz w:val="20"/>
          <w:szCs w:val="20"/>
          <w:u w:val="single" w:color="auto"/>
          <w:color w:val="auto"/>
        </w:rPr>
        <w:t>Schedule 7</w:t>
      </w:r>
      <w:r>
        <w:rPr>
          <w:rFonts w:ascii="Arial" w:cs="Arial" w:eastAsia="Arial" w:hAnsi="Arial"/>
          <w:sz w:val="20"/>
          <w:szCs w:val="20"/>
          <w:color w:val="auto"/>
        </w:rPr>
        <w:t xml:space="preserve"> attached hereto, no Borrower or Guarantor is aware of any commercial tort claim that has not previously been reported to Agent on any </w:t>
      </w:r>
      <w:r>
        <w:rPr>
          <w:rFonts w:ascii="Arial" w:cs="Arial" w:eastAsia="Arial" w:hAnsi="Arial"/>
          <w:sz w:val="20"/>
          <w:szCs w:val="20"/>
          <w:u w:val="single" w:color="auto"/>
          <w:color w:val="auto"/>
        </w:rPr>
        <w:t>Schedule 7</w:t>
      </w:r>
      <w:r>
        <w:rPr>
          <w:rFonts w:ascii="Arial" w:cs="Arial" w:eastAsia="Arial" w:hAnsi="Arial"/>
          <w:sz w:val="20"/>
          <w:szCs w:val="20"/>
          <w:color w:val="auto"/>
        </w:rPr>
        <w:t xml:space="preserve"> to any previous Compliance Certificate delivered by Borrower Representative to Agent; and</w:t>
      </w:r>
    </w:p>
    <w:p>
      <w:pPr>
        <w:spacing w:after="0" w:line="186" w:lineRule="exact"/>
        <w:rPr>
          <w:rFonts w:ascii="Arial" w:cs="Arial" w:eastAsia="Arial" w:hAnsi="Arial"/>
          <w:sz w:val="20"/>
          <w:szCs w:val="20"/>
          <w:color w:val="auto"/>
        </w:rPr>
      </w:pPr>
    </w:p>
    <w:p>
      <w:pPr>
        <w:ind w:firstLine="757"/>
        <w:spacing w:after="0" w:line="288" w:lineRule="auto"/>
        <w:tabs>
          <w:tab w:leader="none" w:pos="1172"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aggregate amount of cash and cash equivalents held by Borrowers (on a consolidated basis) as of the date hereof is $[__________];</w:t>
      </w:r>
    </w:p>
    <w:p>
      <w:pPr>
        <w:spacing w:after="0" w:line="177" w:lineRule="exact"/>
        <w:rPr>
          <w:rFonts w:ascii="Arial" w:cs="Arial" w:eastAsia="Arial" w:hAnsi="Arial"/>
          <w:sz w:val="20"/>
          <w:szCs w:val="20"/>
          <w:color w:val="auto"/>
        </w:rPr>
      </w:pPr>
    </w:p>
    <w:p>
      <w:pPr>
        <w:ind w:left="1160" w:hanging="403"/>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held by Excluded Subsidiaries as of the date hereof is $[__________];</w:t>
      </w:r>
    </w:p>
    <w:p>
      <w:pPr>
        <w:spacing w:after="0" w:line="265" w:lineRule="exact"/>
        <w:rPr>
          <w:rFonts w:ascii="Arial" w:cs="Arial" w:eastAsia="Arial" w:hAnsi="Arial"/>
          <w:sz w:val="18"/>
          <w:szCs w:val="18"/>
          <w:color w:val="auto"/>
        </w:rPr>
      </w:pPr>
    </w:p>
    <w:p>
      <w:pPr>
        <w:ind w:left="1160" w:hanging="403"/>
        <w:spacing w:after="0"/>
        <w:tabs>
          <w:tab w:leader="none" w:pos="11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aggregate amount of Borrower Unrestricted Cash as of the date hereof is $[__________];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28543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hanging="112"/>
        <w:spacing w:after="0"/>
        <w:tabs>
          <w:tab w:leader="none" w:pos="120" w:val="left"/>
        </w:tabs>
        <w:numPr>
          <w:ilvl w:val="0"/>
          <w:numId w:val="73"/>
        </w:numPr>
        <w:rPr>
          <w:rFonts w:ascii="Arial" w:cs="Arial" w:eastAsia="Arial" w:hAnsi="Arial"/>
          <w:sz w:val="24"/>
          <w:szCs w:val="24"/>
          <w:color w:val="auto"/>
          <w:vertAlign w:val="superscript"/>
        </w:rPr>
      </w:pPr>
      <w:r>
        <w:rPr>
          <w:rFonts w:ascii="Arial" w:cs="Arial" w:eastAsia="Arial" w:hAnsi="Arial"/>
          <w:sz w:val="18"/>
          <w:szCs w:val="18"/>
          <w:color w:val="auto"/>
        </w:rPr>
        <w:t>To be included only if requested by Agent.</w:t>
      </w:r>
    </w:p>
    <w:p>
      <w:pPr>
        <w:spacing w:after="0" w:line="170" w:lineRule="exact"/>
        <w:rPr>
          <w:sz w:val="20"/>
          <w:szCs w:val="20"/>
          <w:color w:val="auto"/>
        </w:rPr>
      </w:pPr>
    </w:p>
    <w:p>
      <w:pPr>
        <w:ind w:left="120" w:hanging="112"/>
        <w:spacing w:after="0"/>
        <w:tabs>
          <w:tab w:leader="none" w:pos="120" w:val="left"/>
        </w:tabs>
        <w:numPr>
          <w:ilvl w:val="0"/>
          <w:numId w:val="74"/>
        </w:numPr>
        <w:rPr>
          <w:rFonts w:ascii="Arial" w:cs="Arial" w:eastAsia="Arial" w:hAnsi="Arial"/>
          <w:sz w:val="24"/>
          <w:szCs w:val="24"/>
          <w:color w:val="auto"/>
          <w:vertAlign w:val="superscript"/>
        </w:rPr>
      </w:pPr>
      <w:r>
        <w:rPr>
          <w:rFonts w:ascii="Arial" w:cs="Arial" w:eastAsia="Arial" w:hAnsi="Arial"/>
          <w:sz w:val="18"/>
          <w:szCs w:val="18"/>
          <w:color w:val="auto"/>
        </w:rPr>
        <w:t>To be included in June 30 and December 31 compliance certificates.</w:t>
      </w:r>
    </w:p>
    <w:p>
      <w:pPr>
        <w:spacing w:after="0" w:line="170" w:lineRule="exact"/>
        <w:rPr>
          <w:sz w:val="20"/>
          <w:szCs w:val="20"/>
          <w:color w:val="auto"/>
        </w:rPr>
      </w:pPr>
    </w:p>
    <w:p>
      <w:pPr>
        <w:ind w:left="120" w:hanging="112"/>
        <w:spacing w:after="0"/>
        <w:tabs>
          <w:tab w:leader="none" w:pos="120" w:val="left"/>
        </w:tabs>
        <w:numPr>
          <w:ilvl w:val="0"/>
          <w:numId w:val="75"/>
        </w:numPr>
        <w:rPr>
          <w:rFonts w:ascii="Arial" w:cs="Arial" w:eastAsia="Arial" w:hAnsi="Arial"/>
          <w:sz w:val="24"/>
          <w:szCs w:val="24"/>
          <w:color w:val="auto"/>
          <w:vertAlign w:val="superscript"/>
        </w:rPr>
      </w:pPr>
      <w:r>
        <w:rPr>
          <w:rFonts w:ascii="Arial" w:cs="Arial" w:eastAsia="Arial" w:hAnsi="Arial"/>
          <w:sz w:val="18"/>
          <w:szCs w:val="18"/>
          <w:color w:val="auto"/>
        </w:rPr>
        <w:t>To be included in quarterly compliance certificates.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First Amendment to A&amp;R Credit Agreement (Term Loan)</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\\DC - 036639/000090 - 16493382 v2  </w:t>
      </w: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5" w:name="page136"/>
    <w:bookmarkEnd w:id="135"/>
    <w:p>
      <w:pPr>
        <w:ind w:left="760"/>
        <w:spacing w:after="0"/>
        <w:tabs>
          <w:tab w:leader="none" w:pos="1140" w:val="left"/>
          <w:tab w:leader="none" w:pos="9040" w:val="left"/>
        </w:tabs>
        <w:rPr>
          <w:sz w:val="20"/>
          <w:szCs w:val="20"/>
          <w:color w:val="auto"/>
        </w:rPr>
      </w:pPr>
      <w:r>
        <w:rPr>
          <w:rFonts w:ascii="Arial" w:cs="Arial" w:eastAsia="Arial" w:hAnsi="Arial"/>
          <w:sz w:val="20"/>
          <w:szCs w:val="20"/>
          <w:color w:val="auto"/>
        </w:rPr>
        <w:t>(o)</w:t>
        <w:tab/>
        <w:t>Net Revenue of Borrowers and Guarantors for the relevant Defined Period is equal to $</w:t>
      </w:r>
      <w:r>
        <w:rPr>
          <w:sz w:val="20"/>
          <w:szCs w:val="20"/>
          <w:color w:val="auto"/>
        </w:rPr>
        <w:tab/>
      </w:r>
      <w:r>
        <w:rPr>
          <w:rFonts w:ascii="Arial" w:cs="Arial" w:eastAsia="Arial" w:hAnsi="Arial"/>
          <w:sz w:val="18"/>
          <w:szCs w:val="18"/>
          <w:color w:val="auto"/>
        </w:rPr>
        <w:t>. Borrowers and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5120640</wp:posOffset>
            </wp:positionH>
            <wp:positionV relativeFrom="paragraph">
              <wp:posOffset>-14605</wp:posOffset>
            </wp:positionV>
            <wp:extent cx="63627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1">
                      <a:extLst>
                        <a:ext uri="{28A0092B-C50C-407E-A947-70E740481C1C}"/>
                      </a:extLst>
                    </a:blip>
                    <a:srcRect/>
                    <a:stretch>
                      <a:fillRect/>
                    </a:stretch>
                  </pic:blipFill>
                  <pic:spPr bwMode="auto">
                    <a:xfrm>
                      <a:off x="0" y="0"/>
                      <a:ext cx="636270" cy="8255"/>
                    </a:xfrm>
                    <a:prstGeom prst="rect">
                      <a:avLst/>
                    </a:prstGeom>
                    <a:noFill/>
                  </pic:spPr>
                </pic:pic>
              </a:graphicData>
            </a:graphic>
          </wp:anchor>
        </w:drawing>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 xml:space="preserve">are </w:t>
      </w:r>
      <w:r>
        <w:rPr>
          <w:rFonts w:ascii="Arial" w:cs="Arial" w:eastAsia="Arial" w:hAnsi="Arial"/>
          <w:sz w:val="20"/>
          <w:szCs w:val="20"/>
          <w:b w:val="1"/>
          <w:bCs w:val="1"/>
          <w:color w:val="auto"/>
        </w:rPr>
        <w:t>[NOT</w:t>
      </w:r>
      <w:r>
        <w:rPr>
          <w:rFonts w:ascii="Arial" w:cs="Arial" w:eastAsia="Arial" w:hAnsi="Arial"/>
          <w:sz w:val="20"/>
          <w:szCs w:val="20"/>
          <w:color w:val="auto"/>
        </w:rPr>
        <w:t>] in compliance with the covenant contained in Article 6 of the Credit Agreement, and in any Guarantee constituting a part of the Financing Documents, as demonstrated by the calculation of such covenants below, except as set forth below; in determining such compliance, the following calculations have been made: [See attached worksheets]. Such calculations and the certifications contained therein are true, correct and complete in all material respects.</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foregoing certifications and computations are made as of ________________, 202__ (end of month) and as of _____________,</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202__.</w:t>
      </w:r>
    </w:p>
    <w:p>
      <w:pPr>
        <w:spacing w:after="0" w:line="256"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Sincerely,</w:t>
      </w:r>
    </w:p>
    <w:p>
      <w:pPr>
        <w:spacing w:after="0" w:line="345" w:lineRule="exact"/>
        <w:rPr>
          <w:sz w:val="20"/>
          <w:szCs w:val="20"/>
          <w:color w:val="auto"/>
        </w:rPr>
      </w:pPr>
    </w:p>
    <w:p>
      <w:pPr>
        <w:ind w:left="5940"/>
        <w:spacing w:after="0"/>
        <w:rPr>
          <w:sz w:val="20"/>
          <w:szCs w:val="20"/>
          <w:color w:val="auto"/>
        </w:rPr>
      </w:pPr>
      <w:r>
        <w:rPr>
          <w:rFonts w:ascii="Arial" w:cs="Arial" w:eastAsia="Arial" w:hAnsi="Arial"/>
          <w:sz w:val="20"/>
          <w:szCs w:val="20"/>
          <w:b w:val="1"/>
          <w:bCs w:val="1"/>
          <w:color w:val="auto"/>
        </w:rPr>
        <w:t>SIGHT SCIENCES, INC.</w:t>
      </w:r>
    </w:p>
    <w:p>
      <w:pPr>
        <w:spacing w:after="0" w:line="357"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By: ________________________________</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Name: 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6028055</wp:posOffset>
            </wp:positionH>
            <wp:positionV relativeFrom="paragraph">
              <wp:posOffset>-14605</wp:posOffset>
            </wp:positionV>
            <wp:extent cx="2616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2">
                      <a:extLst>
                        <a:ext uri="{28A0092B-C50C-407E-A947-70E740481C1C}"/>
                      </a:extLst>
                    </a:blip>
                    <a:srcRect/>
                    <a:stretch>
                      <a:fillRect/>
                    </a:stretch>
                  </pic:blipFill>
                  <pic:spPr bwMode="auto">
                    <a:xfrm>
                      <a:off x="0" y="0"/>
                      <a:ext cx="261620" cy="8890"/>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Title: 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First Amendment to A&amp;R Credit Agreement (Term Loan)</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\\DC - 036639/000090 - 16493382 v2  </w:t>
      </w: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 Paul Badawi, certify that:</w:t>
      </w:r>
    </w:p>
    <w:p>
      <w:pPr>
        <w:spacing w:after="0" w:line="252"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period ended September 30, 2021 of Sight Sciences, Inc.;</w:t>
      </w:r>
    </w:p>
    <w:p>
      <w:pPr>
        <w:spacing w:after="0" w:line="252" w:lineRule="exact"/>
        <w:rPr>
          <w:rFonts w:ascii="Arial" w:cs="Arial" w:eastAsia="Arial" w:hAnsi="Arial"/>
          <w:sz w:val="18"/>
          <w:szCs w:val="18"/>
          <w:color w:val="auto"/>
        </w:rPr>
      </w:pPr>
    </w:p>
    <w:p>
      <w:pPr>
        <w:jc w:val="both"/>
        <w:ind w:left="460" w:right="320" w:hanging="452"/>
        <w:spacing w:after="0" w:line="279"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18"/>
          <w:szCs w:val="18"/>
          <w:color w:val="auto"/>
        </w:rPr>
      </w:pPr>
    </w:p>
    <w:p>
      <w:pPr>
        <w:ind w:left="460" w:right="280" w:hanging="452"/>
        <w:spacing w:after="0" w:line="324" w:lineRule="auto"/>
        <w:tabs>
          <w:tab w:leader="none" w:pos="4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7"/>
          <w:szCs w:val="17"/>
          <w:color w:val="auto"/>
        </w:rPr>
      </w:pPr>
    </w:p>
    <w:p>
      <w:pPr>
        <w:ind w:left="460" w:right="320" w:hanging="452"/>
        <w:spacing w:after="0" w:line="279"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Arial" w:cs="Arial" w:eastAsia="Arial" w:hAnsi="Arial"/>
          <w:sz w:val="18"/>
          <w:szCs w:val="18"/>
          <w:color w:val="auto"/>
        </w:rPr>
      </w:pPr>
    </w:p>
    <w:p>
      <w:pPr>
        <w:ind w:left="1460" w:right="200" w:hanging="329"/>
        <w:spacing w:after="0" w:line="303" w:lineRule="auto"/>
        <w:tabs>
          <w:tab w:leader="none" w:pos="1460" w:val="left"/>
        </w:tabs>
        <w:numPr>
          <w:ilvl w:val="1"/>
          <w:numId w:val="7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7"/>
          <w:szCs w:val="17"/>
          <w:color w:val="auto"/>
        </w:rPr>
      </w:pPr>
    </w:p>
    <w:p>
      <w:pPr>
        <w:ind w:left="1460" w:right="260" w:hanging="329"/>
        <w:spacing w:after="0" w:line="279" w:lineRule="auto"/>
        <w:tabs>
          <w:tab w:leader="none" w:pos="14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Arial" w:cs="Arial" w:eastAsia="Arial" w:hAnsi="Arial"/>
          <w:sz w:val="18"/>
          <w:szCs w:val="18"/>
          <w:color w:val="auto"/>
        </w:rPr>
      </w:pPr>
    </w:p>
    <w:p>
      <w:pPr>
        <w:jc w:val="both"/>
        <w:ind w:left="1460" w:right="60" w:hanging="329"/>
        <w:spacing w:after="0" w:line="359" w:lineRule="auto"/>
        <w:tabs>
          <w:tab w:leader="none" w:pos="14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6"/>
          <w:szCs w:val="16"/>
          <w:color w:val="auto"/>
        </w:rPr>
      </w:pPr>
    </w:p>
    <w:p>
      <w:pPr>
        <w:ind w:left="1460" w:right="100" w:hanging="329"/>
        <w:spacing w:after="0" w:line="279" w:lineRule="auto"/>
        <w:tabs>
          <w:tab w:leader="none" w:pos="14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8"/>
          <w:szCs w:val="18"/>
          <w:color w:val="auto"/>
        </w:rPr>
      </w:pPr>
    </w:p>
    <w:p>
      <w:pPr>
        <w:ind w:left="460" w:right="200" w:hanging="452"/>
        <w:spacing w:after="0" w:line="324" w:lineRule="auto"/>
        <w:tabs>
          <w:tab w:leader="none" w:pos="4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Arial" w:cs="Arial" w:eastAsia="Arial" w:hAnsi="Arial"/>
          <w:sz w:val="17"/>
          <w:szCs w:val="17"/>
          <w:color w:val="auto"/>
        </w:rPr>
      </w:pPr>
    </w:p>
    <w:p>
      <w:pPr>
        <w:ind w:left="1460" w:right="360" w:hanging="329"/>
        <w:spacing w:after="0" w:line="359" w:lineRule="auto"/>
        <w:tabs>
          <w:tab w:leader="none" w:pos="14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Arial" w:cs="Arial" w:eastAsia="Arial" w:hAnsi="Arial"/>
          <w:sz w:val="16"/>
          <w:szCs w:val="16"/>
          <w:color w:val="auto"/>
        </w:rPr>
      </w:pPr>
    </w:p>
    <w:p>
      <w:pPr>
        <w:ind w:left="1460" w:right="40" w:hanging="329"/>
        <w:spacing w:after="0" w:line="293" w:lineRule="auto"/>
        <w:tabs>
          <w:tab w:leader="none" w:pos="14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0"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10, 2021</w:t>
      </w:r>
    </w:p>
    <w:p>
      <w:pPr>
        <w:spacing w:after="0" w:line="50"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/s/ Paul Badawi</w:t>
      </w:r>
    </w:p>
    <w:p>
      <w:pPr>
        <w:spacing w:after="0" w:line="46" w:lineRule="exact"/>
        <w:rPr>
          <w:sz w:val="20"/>
          <w:szCs w:val="20"/>
          <w:color w:val="auto"/>
        </w:rPr>
      </w:pPr>
    </w:p>
    <w:p>
      <w:pPr>
        <w:ind w:left="7420"/>
        <w:spacing w:after="0"/>
        <w:rPr>
          <w:sz w:val="20"/>
          <w:szCs w:val="20"/>
          <w:color w:val="auto"/>
        </w:rPr>
      </w:pPr>
      <w:r>
        <w:rPr>
          <w:rFonts w:ascii="Arial" w:cs="Arial" w:eastAsia="Arial" w:hAnsi="Arial"/>
          <w:sz w:val="18"/>
          <w:szCs w:val="18"/>
          <w:b w:val="1"/>
          <w:bCs w:val="1"/>
          <w:color w:val="auto"/>
        </w:rPr>
        <w:t>Paul Badawi</w:t>
      </w:r>
    </w:p>
    <w:p>
      <w:pPr>
        <w:spacing w:after="0" w:line="27"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39" w:right="1440"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 Jesse Selnick, certify that:</w:t>
      </w:r>
    </w:p>
    <w:p>
      <w:pPr>
        <w:spacing w:after="0" w:line="251"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period ended September 30, 2021 of Sight Sciences, Inc.;</w:t>
      </w:r>
    </w:p>
    <w:p>
      <w:pPr>
        <w:spacing w:after="0" w:line="252" w:lineRule="exact"/>
        <w:rPr>
          <w:rFonts w:ascii="Arial" w:cs="Arial" w:eastAsia="Arial" w:hAnsi="Arial"/>
          <w:sz w:val="18"/>
          <w:szCs w:val="18"/>
          <w:color w:val="auto"/>
        </w:rPr>
      </w:pPr>
    </w:p>
    <w:p>
      <w:pPr>
        <w:jc w:val="both"/>
        <w:ind w:left="460" w:right="320" w:hanging="452"/>
        <w:spacing w:after="0" w:line="279"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18"/>
          <w:szCs w:val="18"/>
          <w:color w:val="auto"/>
        </w:rPr>
      </w:pPr>
    </w:p>
    <w:p>
      <w:pPr>
        <w:ind w:left="460" w:right="280" w:hanging="452"/>
        <w:spacing w:after="0" w:line="324" w:lineRule="auto"/>
        <w:tabs>
          <w:tab w:leader="none" w:pos="4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7"/>
          <w:szCs w:val="17"/>
          <w:color w:val="auto"/>
        </w:rPr>
      </w:pPr>
    </w:p>
    <w:p>
      <w:pPr>
        <w:ind w:left="460" w:right="320" w:hanging="452"/>
        <w:spacing w:after="0" w:line="279"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Arial" w:cs="Arial" w:eastAsia="Arial" w:hAnsi="Arial"/>
          <w:sz w:val="18"/>
          <w:szCs w:val="18"/>
          <w:color w:val="auto"/>
        </w:rPr>
      </w:pPr>
    </w:p>
    <w:p>
      <w:pPr>
        <w:ind w:left="1460" w:right="200" w:hanging="329"/>
        <w:spacing w:after="0" w:line="303" w:lineRule="auto"/>
        <w:tabs>
          <w:tab w:leader="none" w:pos="1460" w:val="left"/>
        </w:tabs>
        <w:numPr>
          <w:ilvl w:val="1"/>
          <w:numId w:val="7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7"/>
          <w:szCs w:val="17"/>
          <w:color w:val="auto"/>
        </w:rPr>
      </w:pPr>
    </w:p>
    <w:p>
      <w:pPr>
        <w:ind w:left="1460" w:right="260" w:hanging="329"/>
        <w:spacing w:after="0" w:line="279" w:lineRule="auto"/>
        <w:tabs>
          <w:tab w:leader="none" w:pos="14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Arial" w:cs="Arial" w:eastAsia="Arial" w:hAnsi="Arial"/>
          <w:sz w:val="18"/>
          <w:szCs w:val="18"/>
          <w:color w:val="auto"/>
        </w:rPr>
      </w:pPr>
    </w:p>
    <w:p>
      <w:pPr>
        <w:jc w:val="both"/>
        <w:ind w:left="1460" w:right="60" w:hanging="329"/>
        <w:spacing w:after="0" w:line="359" w:lineRule="auto"/>
        <w:tabs>
          <w:tab w:leader="none" w:pos="14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6"/>
          <w:szCs w:val="16"/>
          <w:color w:val="auto"/>
        </w:rPr>
      </w:pPr>
    </w:p>
    <w:p>
      <w:pPr>
        <w:ind w:left="1460" w:right="100" w:hanging="329"/>
        <w:spacing w:after="0" w:line="279" w:lineRule="auto"/>
        <w:tabs>
          <w:tab w:leader="none" w:pos="14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8"/>
          <w:szCs w:val="18"/>
          <w:color w:val="auto"/>
        </w:rPr>
      </w:pPr>
    </w:p>
    <w:p>
      <w:pPr>
        <w:ind w:left="460" w:right="200" w:hanging="452"/>
        <w:spacing w:after="0" w:line="324" w:lineRule="auto"/>
        <w:tabs>
          <w:tab w:leader="none" w:pos="4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Arial" w:cs="Arial" w:eastAsia="Arial" w:hAnsi="Arial"/>
          <w:sz w:val="17"/>
          <w:szCs w:val="17"/>
          <w:color w:val="auto"/>
        </w:rPr>
      </w:pPr>
    </w:p>
    <w:p>
      <w:pPr>
        <w:ind w:left="1460" w:right="360" w:hanging="329"/>
        <w:spacing w:after="0" w:line="359" w:lineRule="auto"/>
        <w:tabs>
          <w:tab w:leader="none" w:pos="14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Arial" w:cs="Arial" w:eastAsia="Arial" w:hAnsi="Arial"/>
          <w:sz w:val="16"/>
          <w:szCs w:val="16"/>
          <w:color w:val="auto"/>
        </w:rPr>
      </w:pPr>
    </w:p>
    <w:p>
      <w:pPr>
        <w:ind w:left="1460" w:right="40" w:hanging="329"/>
        <w:spacing w:after="0" w:line="293" w:lineRule="auto"/>
        <w:tabs>
          <w:tab w:leader="none" w:pos="14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10, 2021</w:t>
      </w:r>
    </w:p>
    <w:p>
      <w:pPr>
        <w:spacing w:after="0" w:line="50"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Jesse Selnick</w:t>
      </w:r>
    </w:p>
    <w:p>
      <w:pPr>
        <w:spacing w:after="0" w:line="46"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Jesse Selnick</w:t>
      </w:r>
    </w:p>
    <w:p>
      <w:pPr>
        <w:spacing w:after="0" w:line="27"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9" w:name="page140"/>
    <w:bookmarkEnd w:id="139"/>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39" w:right="1440" w:bottom="1440" w:gutter="0" w:footer="0" w:header="0"/>
        </w:sectPr>
      </w:pPr>
    </w:p>
    <w:bookmarkStart w:id="140" w:name="page141"/>
    <w:bookmarkEnd w:id="140"/>
    <w:p>
      <w:pPr>
        <w:jc w:val="right"/>
        <w:spacing w:after="0"/>
        <w:rPr>
          <w:sz w:val="20"/>
          <w:szCs w:val="20"/>
          <w:color w:val="auto"/>
        </w:rPr>
      </w:pPr>
      <w:r>
        <w:rPr>
          <w:rFonts w:ascii="Arial" w:cs="Arial" w:eastAsia="Arial" w:hAnsi="Arial"/>
          <w:sz w:val="22"/>
          <w:szCs w:val="22"/>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283" w:lineRule="exact"/>
        <w:rPr>
          <w:sz w:val="20"/>
          <w:szCs w:val="20"/>
          <w:color w:val="auto"/>
        </w:rPr>
      </w:pPr>
    </w:p>
    <w:p>
      <w:pPr>
        <w:ind w:right="20" w:firstLine="432"/>
        <w:spacing w:after="0" w:line="276" w:lineRule="auto"/>
        <w:rPr>
          <w:sz w:val="20"/>
          <w:szCs w:val="20"/>
          <w:color w:val="auto"/>
        </w:rPr>
      </w:pPr>
      <w:r>
        <w:rPr>
          <w:rFonts w:ascii="Arial" w:cs="Arial" w:eastAsia="Arial" w:hAnsi="Arial"/>
          <w:sz w:val="22"/>
          <w:szCs w:val="22"/>
          <w:color w:val="auto"/>
        </w:rPr>
        <w:t>Pursuant to 18 U.S.C. § 1350, as created by Section 906 of the Sarbanes-Oxley Act of 2002, the undersigned officer of Sight Sciences, Inc. (the “</w:t>
      </w:r>
      <w:r>
        <w:rPr>
          <w:rFonts w:ascii="Arial" w:cs="Arial" w:eastAsia="Arial" w:hAnsi="Arial"/>
          <w:sz w:val="22"/>
          <w:szCs w:val="22"/>
          <w:u w:val="single" w:color="auto"/>
          <w:color w:val="auto"/>
        </w:rPr>
        <w:t>Company</w:t>
      </w:r>
      <w:r>
        <w:rPr>
          <w:rFonts w:ascii="Arial" w:cs="Arial" w:eastAsia="Arial" w:hAnsi="Arial"/>
          <w:sz w:val="22"/>
          <w:szCs w:val="22"/>
          <w:color w:val="auto"/>
        </w:rPr>
        <w:t>”) hereby certifies that:</w:t>
      </w:r>
    </w:p>
    <w:p>
      <w:pPr>
        <w:spacing w:after="0" w:line="228" w:lineRule="exact"/>
        <w:rPr>
          <w:sz w:val="20"/>
          <w:szCs w:val="20"/>
          <w:color w:val="auto"/>
        </w:rPr>
      </w:pPr>
    </w:p>
    <w:p>
      <w:pPr>
        <w:ind w:left="1180" w:hanging="657"/>
        <w:spacing w:after="0"/>
        <w:tabs>
          <w:tab w:leader="none" w:pos="1180"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Quarterly Report on Form 10-Q of the Company for the quarterly period ended September 30, 2021 (the</w:t>
      </w:r>
    </w:p>
    <w:p>
      <w:pPr>
        <w:spacing w:after="0" w:line="32" w:lineRule="exact"/>
        <w:rPr>
          <w:rFonts w:ascii="Arial" w:cs="Arial" w:eastAsia="Arial" w:hAnsi="Arial"/>
          <w:sz w:val="21"/>
          <w:szCs w:val="21"/>
          <w:color w:val="auto"/>
        </w:rPr>
      </w:pPr>
    </w:p>
    <w:p>
      <w:pPr>
        <w:ind w:left="1180" w:right="340"/>
        <w:spacing w:after="0" w:line="272" w:lineRule="auto"/>
        <w:rPr>
          <w:rFonts w:ascii="Arial" w:cs="Arial" w:eastAsia="Arial" w:hAnsi="Arial"/>
          <w:sz w:val="21"/>
          <w:szCs w:val="21"/>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w:t>
      </w:r>
      <w:r>
        <w:rPr>
          <w:rFonts w:ascii="Arial" w:cs="Arial" w:eastAsia="Arial" w:hAnsi="Arial"/>
          <w:sz w:val="22"/>
          <w:szCs w:val="22"/>
          <w:color w:val="auto"/>
        </w:rPr>
        <w:t>”) fully complies with the requirements of Section 13(a) or Section 15(d), as applicable, of the Securities Exchange Act of 1934, as amended; and</w:t>
      </w:r>
    </w:p>
    <w:p>
      <w:pPr>
        <w:spacing w:after="0" w:line="232" w:lineRule="exact"/>
        <w:rPr>
          <w:rFonts w:ascii="Arial" w:cs="Arial" w:eastAsia="Arial" w:hAnsi="Arial"/>
          <w:sz w:val="21"/>
          <w:szCs w:val="21"/>
          <w:color w:val="auto"/>
        </w:rPr>
      </w:pPr>
    </w:p>
    <w:p>
      <w:pPr>
        <w:ind w:left="1180" w:right="40" w:hanging="657"/>
        <w:spacing w:after="0" w:line="276" w:lineRule="auto"/>
        <w:tabs>
          <w:tab w:leader="none" w:pos="118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9" w:lineRule="exact"/>
        <w:rPr>
          <w:sz w:val="20"/>
          <w:szCs w:val="20"/>
          <w:color w:val="auto"/>
        </w:rPr>
      </w:pPr>
    </w:p>
    <w:tbl>
      <w:tblPr>
        <w:tblLayout w:type="fixed"/>
        <w:tblInd w:w="380" w:type="dxa"/>
        <w:tblCellMar>
          <w:top w:w="0" w:type="dxa"/>
          <w:left w:w="0" w:type="dxa"/>
          <w:bottom w:w="0" w:type="dxa"/>
          <w:right w:w="0" w:type="dxa"/>
        </w:tblCellMar>
      </w:tblPr>
      <w:tr>
        <w:trPr>
          <w:trHeight w:val="253"/>
        </w:trPr>
        <w:tc>
          <w:tcPr>
            <w:tcW w:w="2600" w:type="dxa"/>
            <w:vAlign w:val="bottom"/>
          </w:tcPr>
          <w:p>
            <w:pPr>
              <w:spacing w:after="0"/>
              <w:rPr>
                <w:sz w:val="20"/>
                <w:szCs w:val="20"/>
                <w:color w:val="auto"/>
              </w:rPr>
            </w:pPr>
            <w:r>
              <w:rPr>
                <w:rFonts w:ascii="Arial" w:cs="Arial" w:eastAsia="Arial" w:hAnsi="Arial"/>
                <w:sz w:val="22"/>
                <w:szCs w:val="22"/>
                <w:color w:val="auto"/>
                <w:w w:val="97"/>
              </w:rPr>
              <w:t>Dated: November 10, 2021</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Paul Badawi</w:t>
            </w:r>
          </w:p>
        </w:tc>
        <w:tc>
          <w:tcPr>
            <w:tcW w:w="580" w:type="dxa"/>
            <w:vAlign w:val="bottom"/>
          </w:tcPr>
          <w:p>
            <w:pPr>
              <w:spacing w:after="0"/>
              <w:rPr>
                <w:sz w:val="21"/>
                <w:szCs w:val="21"/>
                <w:color w:val="auto"/>
              </w:rPr>
            </w:pPr>
          </w:p>
        </w:tc>
      </w:tr>
      <w:tr>
        <w:trPr>
          <w:trHeight w:val="296"/>
        </w:trPr>
        <w:tc>
          <w:tcPr>
            <w:tcW w:w="2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2"/>
          </w:tcPr>
          <w:p>
            <w:pPr>
              <w:ind w:left="560"/>
              <w:spacing w:after="0"/>
              <w:rPr>
                <w:sz w:val="20"/>
                <w:szCs w:val="20"/>
                <w:color w:val="auto"/>
              </w:rPr>
            </w:pPr>
            <w:r>
              <w:rPr>
                <w:rFonts w:ascii="Arial" w:cs="Arial" w:eastAsia="Arial" w:hAnsi="Arial"/>
                <w:sz w:val="22"/>
                <w:szCs w:val="22"/>
                <w:color w:val="auto"/>
              </w:rPr>
              <w:t>Paul Badawi</w:t>
            </w:r>
          </w:p>
        </w:tc>
      </w:tr>
      <w:tr>
        <w:trPr>
          <w:trHeight w:val="274"/>
        </w:trPr>
        <w:tc>
          <w:tcPr>
            <w:tcW w:w="2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40" w:type="dxa"/>
            <w:vAlign w:val="bottom"/>
            <w:gridSpan w:val="2"/>
          </w:tcPr>
          <w:p>
            <w:pPr>
              <w:ind w:left="560"/>
              <w:spacing w:after="0"/>
              <w:rPr>
                <w:sz w:val="20"/>
                <w:szCs w:val="20"/>
                <w:color w:val="auto"/>
              </w:rPr>
            </w:pPr>
            <w:r>
              <w:rPr>
                <w:rFonts w:ascii="Arial" w:cs="Arial" w:eastAsia="Arial" w:hAnsi="Arial"/>
                <w:sz w:val="22"/>
                <w:szCs w:val="22"/>
                <w:color w:val="auto"/>
                <w:w w:val="92"/>
              </w:rPr>
              <w:t>Chief Executive Officer</w:t>
            </w:r>
          </w:p>
        </w:tc>
      </w:tr>
    </w:tbl>
    <w:p>
      <w:pPr>
        <w:spacing w:after="0" w:line="266" w:lineRule="exact"/>
        <w:rPr>
          <w:sz w:val="20"/>
          <w:szCs w:val="20"/>
          <w:color w:val="auto"/>
        </w:rPr>
      </w:pPr>
    </w:p>
    <w:p>
      <w:pPr>
        <w:spacing w:after="0" w:line="262" w:lineRule="auto"/>
        <w:rPr>
          <w:sz w:val="20"/>
          <w:szCs w:val="20"/>
          <w:color w:val="auto"/>
        </w:rPr>
      </w:pPr>
      <w:r>
        <w:rPr>
          <w:rFonts w:ascii="Arial" w:cs="Arial" w:eastAsia="Arial" w:hAnsi="Arial"/>
          <w:sz w:val="22"/>
          <w:szCs w:val="22"/>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 SV_DOCS\131912.1[W2000]||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2"/>
          <w:szCs w:val="22"/>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283" w:lineRule="exact"/>
        <w:rPr>
          <w:sz w:val="20"/>
          <w:szCs w:val="20"/>
          <w:color w:val="auto"/>
        </w:rPr>
      </w:pPr>
    </w:p>
    <w:p>
      <w:pPr>
        <w:ind w:right="20" w:firstLine="432"/>
        <w:spacing w:after="0" w:line="276" w:lineRule="auto"/>
        <w:rPr>
          <w:sz w:val="20"/>
          <w:szCs w:val="20"/>
          <w:color w:val="auto"/>
        </w:rPr>
      </w:pPr>
      <w:r>
        <w:rPr>
          <w:rFonts w:ascii="Arial" w:cs="Arial" w:eastAsia="Arial" w:hAnsi="Arial"/>
          <w:sz w:val="22"/>
          <w:szCs w:val="22"/>
          <w:color w:val="auto"/>
        </w:rPr>
        <w:t>Pursuant to 18 U.S.C. § 1350, as created by Section 906 of the Sarbanes-Oxley Act of 2002, the undersigned officer of Sight Sciences, Inc.(the “</w:t>
      </w:r>
      <w:r>
        <w:rPr>
          <w:rFonts w:ascii="Arial" w:cs="Arial" w:eastAsia="Arial" w:hAnsi="Arial"/>
          <w:sz w:val="22"/>
          <w:szCs w:val="22"/>
          <w:u w:val="single" w:color="auto"/>
          <w:color w:val="auto"/>
        </w:rPr>
        <w:t>Company</w:t>
      </w:r>
      <w:r>
        <w:rPr>
          <w:rFonts w:ascii="Arial" w:cs="Arial" w:eastAsia="Arial" w:hAnsi="Arial"/>
          <w:sz w:val="22"/>
          <w:szCs w:val="22"/>
          <w:color w:val="auto"/>
        </w:rPr>
        <w:t>”) hereby certifies that:</w:t>
      </w:r>
    </w:p>
    <w:p>
      <w:pPr>
        <w:spacing w:after="0" w:line="228" w:lineRule="exact"/>
        <w:rPr>
          <w:sz w:val="20"/>
          <w:szCs w:val="20"/>
          <w:color w:val="auto"/>
        </w:rPr>
      </w:pPr>
    </w:p>
    <w:p>
      <w:pPr>
        <w:ind w:left="1180" w:hanging="657"/>
        <w:spacing w:after="0"/>
        <w:tabs>
          <w:tab w:leader="none" w:pos="1180"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the Quarterly Report on Form 10-Q of the Company for the quarterly period ended September 30, 2021 (the</w:t>
      </w:r>
    </w:p>
    <w:p>
      <w:pPr>
        <w:spacing w:after="0" w:line="32" w:lineRule="exact"/>
        <w:rPr>
          <w:rFonts w:ascii="Arial" w:cs="Arial" w:eastAsia="Arial" w:hAnsi="Arial"/>
          <w:sz w:val="21"/>
          <w:szCs w:val="21"/>
          <w:color w:val="auto"/>
        </w:rPr>
      </w:pPr>
    </w:p>
    <w:p>
      <w:pPr>
        <w:ind w:left="1180" w:right="340"/>
        <w:spacing w:after="0" w:line="272" w:lineRule="auto"/>
        <w:rPr>
          <w:rFonts w:ascii="Arial" w:cs="Arial" w:eastAsia="Arial" w:hAnsi="Arial"/>
          <w:sz w:val="21"/>
          <w:szCs w:val="21"/>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w:t>
      </w:r>
      <w:r>
        <w:rPr>
          <w:rFonts w:ascii="Arial" w:cs="Arial" w:eastAsia="Arial" w:hAnsi="Arial"/>
          <w:sz w:val="22"/>
          <w:szCs w:val="22"/>
          <w:color w:val="auto"/>
        </w:rPr>
        <w:t>”) fully complies with the requirements of Section 13(a) or Section 15(d), as applicable, of the Securities Exchange Act of 1934, as amended; and</w:t>
      </w:r>
    </w:p>
    <w:p>
      <w:pPr>
        <w:spacing w:after="0" w:line="232" w:lineRule="exact"/>
        <w:rPr>
          <w:rFonts w:ascii="Arial" w:cs="Arial" w:eastAsia="Arial" w:hAnsi="Arial"/>
          <w:sz w:val="21"/>
          <w:szCs w:val="21"/>
          <w:color w:val="auto"/>
        </w:rPr>
      </w:pPr>
    </w:p>
    <w:p>
      <w:pPr>
        <w:ind w:left="1180" w:right="40" w:hanging="657"/>
        <w:spacing w:after="0" w:line="276" w:lineRule="auto"/>
        <w:tabs>
          <w:tab w:leader="none" w:pos="118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40" w:type="dxa"/>
            <w:vAlign w:val="bottom"/>
          </w:tcPr>
          <w:p>
            <w:pPr>
              <w:spacing w:after="0"/>
              <w:rPr>
                <w:sz w:val="20"/>
                <w:szCs w:val="20"/>
                <w:color w:val="auto"/>
              </w:rPr>
            </w:pPr>
            <w:r>
              <w:rPr>
                <w:rFonts w:ascii="Arial" w:cs="Arial" w:eastAsia="Arial" w:hAnsi="Arial"/>
                <w:sz w:val="22"/>
                <w:szCs w:val="22"/>
                <w:color w:val="auto"/>
              </w:rPr>
              <w:t>Dated: November 10, 2021</w:t>
            </w:r>
          </w:p>
        </w:tc>
        <w:tc>
          <w:tcPr>
            <w:tcW w:w="3880" w:type="dxa"/>
            <w:vAlign w:val="bottom"/>
            <w:tcBorders>
              <w:bottom w:val="single" w:sz="8" w:color="auto"/>
            </w:tcBorders>
          </w:tcPr>
          <w:p>
            <w:pPr>
              <w:ind w:left="860"/>
              <w:spacing w:after="0"/>
              <w:rPr>
                <w:sz w:val="20"/>
                <w:szCs w:val="20"/>
                <w:color w:val="auto"/>
              </w:rPr>
            </w:pPr>
            <w:r>
              <w:rPr>
                <w:rFonts w:ascii="Arial" w:cs="Arial" w:eastAsia="Arial" w:hAnsi="Arial"/>
                <w:sz w:val="22"/>
                <w:szCs w:val="22"/>
                <w:color w:val="auto"/>
              </w:rPr>
              <w:t>/s/ Jesse Selnick</w:t>
            </w:r>
          </w:p>
        </w:tc>
      </w:tr>
      <w:tr>
        <w:trPr>
          <w:trHeight w:val="296"/>
        </w:trPr>
        <w:tc>
          <w:tcPr>
            <w:tcW w:w="3040" w:type="dxa"/>
            <w:vAlign w:val="bottom"/>
          </w:tcPr>
          <w:p>
            <w:pPr>
              <w:spacing w:after="0"/>
              <w:rPr>
                <w:sz w:val="24"/>
                <w:szCs w:val="24"/>
                <w:color w:val="auto"/>
              </w:rPr>
            </w:pPr>
          </w:p>
        </w:tc>
        <w:tc>
          <w:tcPr>
            <w:tcW w:w="3880" w:type="dxa"/>
            <w:vAlign w:val="bottom"/>
          </w:tcPr>
          <w:p>
            <w:pPr>
              <w:ind w:left="1460"/>
              <w:spacing w:after="0"/>
              <w:rPr>
                <w:sz w:val="20"/>
                <w:szCs w:val="20"/>
                <w:color w:val="auto"/>
              </w:rPr>
            </w:pPr>
            <w:r>
              <w:rPr>
                <w:rFonts w:ascii="Arial" w:cs="Arial" w:eastAsia="Arial" w:hAnsi="Arial"/>
                <w:sz w:val="22"/>
                <w:szCs w:val="22"/>
                <w:color w:val="auto"/>
              </w:rPr>
              <w:t>Jesse Selnick</w:t>
            </w:r>
          </w:p>
        </w:tc>
      </w:tr>
      <w:tr>
        <w:trPr>
          <w:trHeight w:val="274"/>
        </w:trPr>
        <w:tc>
          <w:tcPr>
            <w:tcW w:w="3040" w:type="dxa"/>
            <w:vAlign w:val="bottom"/>
          </w:tcPr>
          <w:p>
            <w:pPr>
              <w:spacing w:after="0"/>
              <w:rPr>
                <w:sz w:val="23"/>
                <w:szCs w:val="23"/>
                <w:color w:val="auto"/>
              </w:rPr>
            </w:pPr>
          </w:p>
        </w:tc>
        <w:tc>
          <w:tcPr>
            <w:tcW w:w="3880" w:type="dxa"/>
            <w:vAlign w:val="bottom"/>
          </w:tcPr>
          <w:p>
            <w:pPr>
              <w:ind w:left="1460"/>
              <w:spacing w:after="0"/>
              <w:rPr>
                <w:sz w:val="20"/>
                <w:szCs w:val="20"/>
                <w:color w:val="auto"/>
              </w:rPr>
            </w:pPr>
            <w:r>
              <w:rPr>
                <w:rFonts w:ascii="Arial" w:cs="Arial" w:eastAsia="Arial" w:hAnsi="Arial"/>
                <w:sz w:val="22"/>
                <w:szCs w:val="22"/>
                <w:color w:val="auto"/>
              </w:rPr>
              <w:t>Chief Financial Officer</w:t>
            </w:r>
          </w:p>
        </w:tc>
      </w:tr>
    </w:tbl>
    <w:p>
      <w:pPr>
        <w:spacing w:after="0" w:line="266" w:lineRule="exact"/>
        <w:rPr>
          <w:sz w:val="20"/>
          <w:szCs w:val="20"/>
          <w:color w:val="auto"/>
        </w:rPr>
      </w:pPr>
    </w:p>
    <w:p>
      <w:pPr>
        <w:spacing w:after="0" w:line="262" w:lineRule="auto"/>
        <w:rPr>
          <w:sz w:val="20"/>
          <w:szCs w:val="20"/>
          <w:color w:val="auto"/>
        </w:rPr>
      </w:pPr>
      <w:r>
        <w:rPr>
          <w:rFonts w:ascii="Arial" w:cs="Arial" w:eastAsia="Arial" w:hAnsi="Arial"/>
          <w:sz w:val="22"/>
          <w:szCs w:val="22"/>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 SV_DOCS\131912.1[W2000]||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2" w:name="page143"/>
    <w:bookmarkEnd w:id="1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1)"/>
      <w:numFmt w:val="lowerRoman"/>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1)"/>
      <w:numFmt w:val="upperLetter"/>
      <w:start w:val="9"/>
    </w:lvl>
  </w:abstractNum>
  <w:abstractNum w:abstractNumId="11">
    <w:nsid w:val="7A6D8D3C"/>
    <w:multiLevelType w:val="hybridMultilevel"/>
    <w:lvl w:ilvl="0">
      <w:lvlJc w:val="left"/>
      <w:lvlText w:val="%1"/>
      <w:numFmt w:val="upperLetter"/>
      <w:start w:val="6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1."/>
      <w:numFmt w:val="upperLetter"/>
      <w:start w:val="1"/>
    </w:lvl>
  </w:abstractNum>
  <w:abstractNum w:abstractNumId="41">
    <w:nsid w:val="D34B6A8"/>
    <w:multiLevelType w:val="hybridMultilevel"/>
    <w:lvl w:ilvl="0">
      <w:lvlJc w:val="left"/>
      <w:lvlText w:val="%1."/>
      <w:numFmt w:val="decimal"/>
      <w:start w:val="1"/>
    </w:lvl>
    <w:lvl w:ilvl="1">
      <w:lvlJc w:val="left"/>
      <w:lvlText w:val="(%2)"/>
      <w:numFmt w:val="lowerLetter"/>
      <w:start w:val="1"/>
    </w:lvl>
  </w:abstractNum>
  <w:abstractNum w:abstractNumId="42">
    <w:nsid w:val="10233C99"/>
    <w:multiLevelType w:val="hybridMultilevel"/>
    <w:lvl w:ilvl="0">
      <w:lvlJc w:val="left"/>
      <w:lvlText w:val="(%1)"/>
      <w:numFmt w:val="lowerLetter"/>
      <w:start w:val="2"/>
    </w:lvl>
  </w:abstractNum>
  <w:abstractNum w:abstractNumId="43">
    <w:nsid w:val="3F6AB60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Letter"/>
      <w:start w:val="1"/>
    </w:lvl>
  </w:abstractNum>
  <w:abstractNum w:abstractNumId="44">
    <w:nsid w:val="61574095"/>
    <w:multiLevelType w:val="hybridMultilevel"/>
    <w:lvl w:ilvl="0">
      <w:lvlJc w:val="left"/>
      <w:lvlText w:val="(%1)"/>
      <w:numFmt w:val="decimal"/>
      <w:start w:val="5"/>
    </w:lvl>
    <w:lvl w:ilvl="1">
      <w:lvlJc w:val="left"/>
      <w:lvlText w:val="(%2)"/>
      <w:numFmt w:val="lowerLetter"/>
      <w:start w:val="6"/>
    </w:lvl>
    <w:lvl w:ilvl="2">
      <w:lvlJc w:val="left"/>
      <w:lvlText w:val="(%3)"/>
      <w:numFmt w:val="lowerRoman"/>
      <w:start w:val="1"/>
    </w:lvl>
    <w:lvl w:ilvl="3">
      <w:lvlJc w:val="left"/>
      <w:lvlText w:val="(%4)"/>
      <w:numFmt w:val="lowerLetter"/>
      <w:start w:val="61"/>
    </w:lvl>
  </w:abstractNum>
  <w:abstractNum w:abstractNumId="45">
    <w:nsid w:val="7E0C57B1"/>
    <w:multiLevelType w:val="hybridMultilevel"/>
    <w:lvl w:ilvl="0">
      <w:lvlJc w:val="left"/>
      <w:lvlText w:val="(%1)"/>
      <w:numFmt w:val="lowerLetter"/>
      <w:start w:val="1"/>
    </w:lvl>
  </w:abstractNum>
  <w:abstractNum w:abstractNumId="46">
    <w:nsid w:val="77AE35EB"/>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lvl w:ilvl="3">
      <w:lvlJc w:val="left"/>
      <w:lvlText w:val="(%4)"/>
      <w:numFmt w:val="lowerLetter"/>
      <w:start w:val="61"/>
    </w:lvl>
  </w:abstractNum>
  <w:abstractNum w:abstractNumId="47">
    <w:nsid w:val="579BE4F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48">
    <w:nsid w:val="310C50B3"/>
    <w:multiLevelType w:val="hybridMultilevel"/>
    <w:lvl w:ilvl="0">
      <w:lvlJc w:val="left"/>
      <w:lvlText w:val="%1."/>
      <w:numFmt w:val="decimal"/>
      <w:start w:val="4"/>
    </w:lvl>
    <w:lvl w:ilvl="1">
      <w:lvlJc w:val="left"/>
      <w:lvlText w:val="(%2)"/>
      <w:numFmt w:val="lowerLetter"/>
      <w:start w:val="1"/>
    </w:lvl>
  </w:abstractNum>
  <w:abstractNum w:abstractNumId="49">
    <w:nsid w:val="5FF87E05"/>
    <w:multiLevelType w:val="hybridMultilevel"/>
    <w:lvl w:ilvl="0">
      <w:lvlJc w:val="left"/>
      <w:lvlText w:val="%1."/>
      <w:numFmt w:val="decimal"/>
      <w:start w:val="8"/>
    </w:lvl>
    <w:lvl w:ilvl="1">
      <w:lvlJc w:val="left"/>
      <w:lvlText w:val="(%2)"/>
      <w:numFmt w:val="lowerLetter"/>
      <w:start w:val="1"/>
    </w:lvl>
  </w:abstractNum>
  <w:abstractNum w:abstractNumId="50">
    <w:nsid w:val="2F305DEF"/>
    <w:multiLevelType w:val="hybridMultilevel"/>
    <w:lvl w:ilvl="0">
      <w:lvlJc w:val="left"/>
      <w:lvlText w:val="(%1)"/>
      <w:numFmt w:val="lowerLetter"/>
      <w:start w:val="5"/>
    </w:lvl>
  </w:abstractNum>
  <w:abstractNum w:abstractNumId="51">
    <w:nsid w:val="25A70BF7"/>
    <w:multiLevelType w:val="hybridMultilevel"/>
    <w:lvl w:ilvl="0">
      <w:lvlJc w:val="left"/>
      <w:lvlText w:val="(%1)"/>
      <w:numFmt w:val="lowerLetter"/>
      <w:start w:val="1"/>
    </w:lvl>
  </w:abstractNum>
  <w:abstractNum w:abstractNumId="52">
    <w:nsid w:val="1DBABF00"/>
    <w:multiLevelType w:val="hybridMultilevel"/>
    <w:lvl w:ilvl="0">
      <w:lvlJc w:val="left"/>
      <w:lvlText w:val="1"/>
      <w:numFmt w:val="bullet"/>
      <w:start w:val="1"/>
    </w:lvl>
  </w:abstractNum>
  <w:abstractNum w:abstractNumId="53">
    <w:nsid w:val="4AD084E9"/>
    <w:multiLevelType w:val="hybridMultilevel"/>
    <w:lvl w:ilvl="0">
      <w:lvlJc w:val="left"/>
      <w:lvlText w:val="(%1)"/>
      <w:numFmt w:val="lowerLetter"/>
      <w:start w:val="6"/>
    </w:lvl>
  </w:abstractNum>
  <w:abstractNum w:abstractNumId="54">
    <w:nsid w:val="1F48EAA1"/>
    <w:multiLevelType w:val="hybridMultilevel"/>
    <w:lvl w:ilvl="0">
      <w:lvlJc w:val="left"/>
      <w:lvlText w:val="2"/>
      <w:numFmt w:val="bullet"/>
      <w:start w:val="1"/>
    </w:lvl>
  </w:abstractNum>
  <w:abstractNum w:abstractNumId="55">
    <w:nsid w:val="1381823A"/>
    <w:multiLevelType w:val="hybridMultilevel"/>
    <w:lvl w:ilvl="0">
      <w:lvlJc w:val="left"/>
      <w:lvlText w:val="3"/>
      <w:numFmt w:val="bullet"/>
      <w:start w:val="1"/>
    </w:lvl>
  </w:abstractNum>
  <w:abstractNum w:abstractNumId="56">
    <w:nsid w:val="5DB70AE5"/>
    <w:multiLevelType w:val="hybridMultilevel"/>
    <w:lvl w:ilvl="0">
      <w:lvlJc w:val="left"/>
      <w:lvlText w:val="4"/>
      <w:numFmt w:val="bullet"/>
      <w:start w:val="1"/>
    </w:lvl>
  </w:abstractNum>
  <w:abstractNum w:abstractNumId="57">
    <w:nsid w:val="100F8FCA"/>
    <w:multiLevelType w:val="hybridMultilevel"/>
    <w:lvl w:ilvl="0">
      <w:lvlJc w:val="left"/>
      <w:lvlText w:val="%1."/>
      <w:numFmt w:val="upperLetter"/>
      <w:start w:val="1"/>
    </w:lvl>
  </w:abstractNum>
  <w:abstractNum w:abstractNumId="58">
    <w:nsid w:val="6590700B"/>
    <w:multiLevelType w:val="hybridMultilevel"/>
    <w:lvl w:ilvl="0">
      <w:lvlJc w:val="left"/>
      <w:lvlText w:val="%1."/>
      <w:numFmt w:val="decimal"/>
      <w:start w:val="1"/>
    </w:lvl>
    <w:lvl w:ilvl="1">
      <w:lvlJc w:val="left"/>
      <w:lvlText w:val="(%2)"/>
      <w:numFmt w:val="lowerLetter"/>
      <w:start w:val="1"/>
    </w:lvl>
  </w:abstractNum>
  <w:abstractNum w:abstractNumId="59">
    <w:nsid w:val="15014AC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Letter"/>
      <w:start w:val="1"/>
    </w:lvl>
  </w:abstractNum>
  <w:abstractNum w:abstractNumId="60">
    <w:nsid w:val="5F5E7FD0"/>
    <w:multiLevelType w:val="hybridMultilevel"/>
    <w:lvl w:ilvl="0">
      <w:lvlJc w:val="left"/>
      <w:lvlText w:val="(%1)"/>
      <w:numFmt w:val="decimal"/>
      <w:start w:val="5"/>
    </w:lvl>
    <w:lvl w:ilvl="1">
      <w:lvlJc w:val="left"/>
      <w:lvlText w:val="(%2)"/>
      <w:numFmt w:val="lowerLetter"/>
      <w:start w:val="6"/>
    </w:lvl>
    <w:lvl w:ilvl="2">
      <w:lvlJc w:val="left"/>
      <w:lvlText w:val="(%3)"/>
      <w:numFmt w:val="lowerRoman"/>
      <w:start w:val="1"/>
    </w:lvl>
    <w:lvl w:ilvl="3">
      <w:lvlJc w:val="left"/>
      <w:lvlText w:val="(%4)"/>
      <w:numFmt w:val="lowerLetter"/>
      <w:start w:val="61"/>
    </w:lvl>
  </w:abstractNum>
  <w:abstractNum w:abstractNumId="61">
    <w:nsid w:val="98A3148"/>
    <w:multiLevelType w:val="hybridMultilevel"/>
    <w:lvl w:ilvl="0">
      <w:lvlJc w:val="left"/>
      <w:lvlText w:val="(%1)"/>
      <w:numFmt w:val="lowerLetter"/>
      <w:start w:val="1"/>
    </w:lvl>
  </w:abstractNum>
  <w:abstractNum w:abstractNumId="62">
    <w:nsid w:val="799D0247"/>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lvl w:ilvl="3">
      <w:lvlJc w:val="left"/>
      <w:lvlText w:val="(%4)"/>
      <w:numFmt w:val="lowerLetter"/>
      <w:start w:val="61"/>
    </w:lvl>
  </w:abstractNum>
  <w:abstractNum w:abstractNumId="63">
    <w:nsid w:val="6B9476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64">
    <w:nsid w:val="42C296BD"/>
    <w:multiLevelType w:val="hybridMultilevel"/>
    <w:lvl w:ilvl="0">
      <w:lvlJc w:val="left"/>
      <w:lvlText w:val="%1"/>
      <w:numFmt w:val="decimal"/>
      <w:start w:val="1"/>
    </w:lvl>
    <w:lvl w:ilvl="1">
      <w:lvlJc w:val="left"/>
      <w:lvlText w:val="(%2)"/>
      <w:numFmt w:val="lowerLetter"/>
      <w:start w:val="2"/>
    </w:lvl>
  </w:abstractNum>
  <w:abstractNum w:abstractNumId="65">
    <w:nsid w:val="168E121F"/>
    <w:multiLevelType w:val="hybridMultilevel"/>
    <w:lvl w:ilvl="0">
      <w:lvlJc w:val="left"/>
      <w:lvlText w:val="%1."/>
      <w:numFmt w:val="decimal"/>
      <w:start w:val="5"/>
    </w:lvl>
    <w:lvl w:ilvl="1">
      <w:lvlJc w:val="left"/>
      <w:lvlText w:val="%2"/>
      <w:numFmt w:val="lowerLetter"/>
      <w:start w:val="1"/>
    </w:lvl>
  </w:abstractNum>
  <w:abstractNum w:abstractNumId="66">
    <w:nsid w:val="1EBA5D23"/>
    <w:multiLevelType w:val="hybridMultilevel"/>
    <w:lvl w:ilvl="0">
      <w:lvlJc w:val="left"/>
      <w:lvlText w:val="%1."/>
      <w:numFmt w:val="decimal"/>
      <w:start w:val="8"/>
    </w:lvl>
    <w:lvl w:ilvl="1">
      <w:lvlJc w:val="left"/>
      <w:lvlText w:val="(%2)"/>
      <w:numFmt w:val="lowerLetter"/>
      <w:start w:val="1"/>
    </w:lvl>
  </w:abstractNum>
  <w:abstractNum w:abstractNumId="67">
    <w:nsid w:val="661E3F1E"/>
    <w:multiLevelType w:val="hybridMultilevel"/>
    <w:lvl w:ilvl="0">
      <w:lvlJc w:val="left"/>
      <w:lvlText w:val="(%1)"/>
      <w:numFmt w:val="lowerLetter"/>
      <w:start w:val="7"/>
    </w:lvl>
  </w:abstractNum>
  <w:abstractNum w:abstractNumId="68">
    <w:nsid w:val="5DC79EA8"/>
    <w:multiLevelType w:val="hybridMultilevel"/>
    <w:lvl w:ilvl="0">
      <w:lvlJc w:val="left"/>
      <w:lvlText w:val="(%1)"/>
      <w:numFmt w:val="lowerLetter"/>
      <w:start w:val="1"/>
    </w:lvl>
  </w:abstractNum>
  <w:abstractNum w:abstractNumId="69">
    <w:nsid w:val="540A471C"/>
    <w:multiLevelType w:val="hybridMultilevel"/>
    <w:lvl w:ilvl="0">
      <w:lvlJc w:val="left"/>
      <w:lvlText w:val="1"/>
      <w:numFmt w:val="bullet"/>
      <w:start w:val="1"/>
    </w:lvl>
  </w:abstractNum>
  <w:abstractNum w:abstractNumId="70">
    <w:nsid w:val="7BD3EE7B"/>
    <w:multiLevelType w:val="hybridMultilevel"/>
    <w:lvl w:ilvl="0">
      <w:lvlJc w:val="left"/>
      <w:lvlText w:val="%1"/>
      <w:numFmt w:val="lowerLetter"/>
      <w:start w:val="1"/>
    </w:lvl>
    <w:lvl w:ilvl="1">
      <w:lvlJc w:val="left"/>
      <w:lvlText w:val="(%2)"/>
      <w:numFmt w:val="lowerLetter"/>
      <w:start w:val="6"/>
    </w:lvl>
  </w:abstractNum>
  <w:abstractNum w:abstractNumId="71">
    <w:nsid w:val="51D9C564"/>
    <w:multiLevelType w:val="hybridMultilevel"/>
    <w:lvl w:ilvl="0">
      <w:lvlJc w:val="left"/>
      <w:lvlText w:val="(%1)"/>
      <w:numFmt w:val="lowerLetter"/>
      <w:start w:val="7"/>
    </w:lvl>
    <w:lvl w:ilvl="1">
      <w:lvlJc w:val="left"/>
      <w:lvlText w:val="%2"/>
      <w:numFmt w:val="lowerLetter"/>
      <w:start w:val="1"/>
    </w:lvl>
  </w:abstractNum>
  <w:abstractNum w:abstractNumId="72">
    <w:nsid w:val="613EFDC5"/>
    <w:multiLevelType w:val="hybridMultilevel"/>
    <w:lvl w:ilvl="0">
      <w:lvlJc w:val="left"/>
      <w:lvlText w:val="2"/>
      <w:numFmt w:val="bullet"/>
      <w:start w:val="1"/>
    </w:lvl>
  </w:abstractNum>
  <w:abstractNum w:abstractNumId="73">
    <w:nsid w:val="BF72B14"/>
    <w:multiLevelType w:val="hybridMultilevel"/>
    <w:lvl w:ilvl="0">
      <w:lvlJc w:val="left"/>
      <w:lvlText w:val="3"/>
      <w:numFmt w:val="bullet"/>
      <w:start w:val="1"/>
    </w:lvl>
  </w:abstractNum>
  <w:abstractNum w:abstractNumId="74">
    <w:nsid w:val="11447B73"/>
    <w:multiLevelType w:val="hybridMultilevel"/>
    <w:lvl w:ilvl="0">
      <w:lvlJc w:val="left"/>
      <w:lvlText w:val="4"/>
      <w:numFmt w:val="bullet"/>
      <w:start w:val="1"/>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48" Type="http://schemas.openxmlformats.org/officeDocument/2006/relationships/image" Target="media/image328.png"/><Relationship Id="rId349" Type="http://schemas.openxmlformats.org/officeDocument/2006/relationships/image" Target="media/image329.png"/><Relationship Id="rId350" Type="http://schemas.openxmlformats.org/officeDocument/2006/relationships/image" Target="media/image330.png"/><Relationship Id="rId351" Type="http://schemas.openxmlformats.org/officeDocument/2006/relationships/image" Target="media/image331.png"/><Relationship Id="rId352" Type="http://schemas.openxmlformats.org/officeDocument/2006/relationships/image" Target="media/image332.png"/><Relationship Id="rId353" Type="http://schemas.openxmlformats.org/officeDocument/2006/relationships/image" Target="media/image333.png"/><Relationship Id="rId354" Type="http://schemas.openxmlformats.org/officeDocument/2006/relationships/image" Target="media/image334.png"/><Relationship Id="rId355" Type="http://schemas.openxmlformats.org/officeDocument/2006/relationships/image" Target="media/image335.png"/><Relationship Id="rId356" Type="http://schemas.openxmlformats.org/officeDocument/2006/relationships/image" Target="media/image336.png"/><Relationship Id="rId357" Type="http://schemas.openxmlformats.org/officeDocument/2006/relationships/image" Target="media/image337.png"/><Relationship Id="rId358" Type="http://schemas.openxmlformats.org/officeDocument/2006/relationships/image" Target="media/image338.png"/><Relationship Id="rId359" Type="http://schemas.openxmlformats.org/officeDocument/2006/relationships/image" Target="media/image339.png"/><Relationship Id="rId360" Type="http://schemas.openxmlformats.org/officeDocument/2006/relationships/image" Target="media/image340.png"/><Relationship Id="rId361" Type="http://schemas.openxmlformats.org/officeDocument/2006/relationships/image" Target="media/image341.png"/><Relationship Id="rId362" Type="http://schemas.openxmlformats.org/officeDocument/2006/relationships/image" Target="media/image342.png"/><Relationship Id="rId363" Type="http://schemas.openxmlformats.org/officeDocument/2006/relationships/image" Target="media/image343.png"/><Relationship Id="rId364" Type="http://schemas.openxmlformats.org/officeDocument/2006/relationships/image" Target="media/image344.png"/><Relationship Id="rId365" Type="http://schemas.openxmlformats.org/officeDocument/2006/relationships/image" Target="media/image345.png"/><Relationship Id="rId366" Type="http://schemas.openxmlformats.org/officeDocument/2006/relationships/image" Target="media/image346.png"/><Relationship Id="rId367" Type="http://schemas.openxmlformats.org/officeDocument/2006/relationships/image" Target="media/image347.png"/><Relationship Id="rId368" Type="http://schemas.openxmlformats.org/officeDocument/2006/relationships/image" Target="media/image348.png"/><Relationship Id="rId369" Type="http://schemas.openxmlformats.org/officeDocument/2006/relationships/image" Target="media/image349.png"/><Relationship Id="rId370" Type="http://schemas.openxmlformats.org/officeDocument/2006/relationships/image" Target="media/image350.png"/><Relationship Id="rId371" Type="http://schemas.openxmlformats.org/officeDocument/2006/relationships/image" Target="media/image351.png"/><Relationship Id="rId372" Type="http://schemas.openxmlformats.org/officeDocument/2006/relationships/image" Target="media/image352.png"/><Relationship Id="rId373" Type="http://schemas.openxmlformats.org/officeDocument/2006/relationships/image" Target="media/image353.png"/><Relationship Id="rId374" Type="http://schemas.openxmlformats.org/officeDocument/2006/relationships/image" Target="media/image354.png"/><Relationship Id="rId375" Type="http://schemas.openxmlformats.org/officeDocument/2006/relationships/image" Target="media/image355.png"/><Relationship Id="rId376" Type="http://schemas.openxmlformats.org/officeDocument/2006/relationships/image" Target="media/image356.png"/><Relationship Id="rId377" Type="http://schemas.openxmlformats.org/officeDocument/2006/relationships/image" Target="media/image357.png"/><Relationship Id="rId378" Type="http://schemas.openxmlformats.org/officeDocument/2006/relationships/image" Target="media/image358.png"/><Relationship Id="rId379" Type="http://schemas.openxmlformats.org/officeDocument/2006/relationships/image" Target="media/image359.png"/><Relationship Id="rId380" Type="http://schemas.openxmlformats.org/officeDocument/2006/relationships/image" Target="media/image360.png"/><Relationship Id="rId381" Type="http://schemas.openxmlformats.org/officeDocument/2006/relationships/image" Target="media/image361.png"/><Relationship Id="rId382" Type="http://schemas.openxmlformats.org/officeDocument/2006/relationships/image" Target="media/image362.png"/><Relationship Id="rId383" Type="http://schemas.openxmlformats.org/officeDocument/2006/relationships/image" Target="media/image363.png"/><Relationship Id="rId384" Type="http://schemas.openxmlformats.org/officeDocument/2006/relationships/image" Target="media/image364.png"/><Relationship Id="rId385" Type="http://schemas.openxmlformats.org/officeDocument/2006/relationships/image" Target="media/image365.png"/><Relationship Id="rId386" Type="http://schemas.openxmlformats.org/officeDocument/2006/relationships/image" Target="media/image366.png"/><Relationship Id="rId387" Type="http://schemas.openxmlformats.org/officeDocument/2006/relationships/image" Target="media/image367.png"/><Relationship Id="rId388" Type="http://schemas.openxmlformats.org/officeDocument/2006/relationships/image" Target="media/image368.png"/><Relationship Id="rId389" Type="http://schemas.openxmlformats.org/officeDocument/2006/relationships/image" Target="media/image369.png"/><Relationship Id="rId390" Type="http://schemas.openxmlformats.org/officeDocument/2006/relationships/image" Target="media/image370.png"/><Relationship Id="rId391" Type="http://schemas.openxmlformats.org/officeDocument/2006/relationships/image" Target="media/image371.png"/><Relationship Id="rId335" Type="http://schemas.openxmlformats.org/officeDocument/2006/relationships/hyperlink" Target="https://www.sec.gov/Archives/edgar/data/1531177/000119312521218705/d116785dex31.htm" TargetMode="External"/><Relationship Id="rId336" Type="http://schemas.openxmlformats.org/officeDocument/2006/relationships/hyperlink" Target="https://www.sec.gov/Archives/edgar/data/1531177/000119312521218705/d116785dex32.htm" TargetMode="External"/><Relationship Id="rId337" Type="http://schemas.openxmlformats.org/officeDocument/2006/relationships/hyperlink" Target="https://www.sec.gov/Archives/edgar/data/1531177/000119312521210231/d90195dex41.htm" TargetMode="External"/><Relationship Id="rId338" Type="http://schemas.openxmlformats.org/officeDocument/2006/relationships/hyperlink" Target="https://www.sec.gov/Archives/edgar/data/1531177/000119312521210231/d90195dex42.htm" TargetMode="External"/><Relationship Id="rId339" Type="http://schemas.openxmlformats.org/officeDocument/2006/relationships/hyperlink" Target="https://www.sec.gov/Archives/edgar/data/1531177/000119312521197314/d90195dex43.htm" TargetMode="External"/><Relationship Id="rId340" Type="http://schemas.openxmlformats.org/officeDocument/2006/relationships/hyperlink" Target="https://www.sec.gov/Archives/edgar/data/1531177/000119312521210231/d90195dex102.htm" TargetMode="External"/><Relationship Id="rId341" Type="http://schemas.openxmlformats.org/officeDocument/2006/relationships/hyperlink" Target="https://www.sec.gov/Archives/edgar/data/1531177/000119312521210231/d90195dex103.htm" TargetMode="External"/><Relationship Id="rId342" Type="http://schemas.openxmlformats.org/officeDocument/2006/relationships/hyperlink" Target="https://www.sec.gov/Archives/edgar/data/1531177/000119312521210231/d90195dex104.htm" TargetMode="External"/><Relationship Id="rId343" Type="http://schemas.openxmlformats.org/officeDocument/2006/relationships/hyperlink" Target="https://www.sec.gov/Archives/edgar/data/1531177/000119312521210231/d90195dex105.htm" TargetMode="External"/><Relationship Id="rId344" Type="http://schemas.openxmlformats.org/officeDocument/2006/relationships/hyperlink" Target="https://www.sec.gov/Archives/edgar/data/1531177/000119312521210231/d90195dex1011.htm" TargetMode="External"/><Relationship Id="rId345" Type="http://schemas.openxmlformats.org/officeDocument/2006/relationships/hyperlink" Target="https://www.sec.gov/Archives/edgar/data/1531177/000119312521210231/d90195dex1012.htm" TargetMode="External"/><Relationship Id="rId346" Type="http://schemas.openxmlformats.org/officeDocument/2006/relationships/hyperlink" Target="https://www.sec.gov/Archives/edgar/data/1531177/000119312521210231/d90195dex1013.htm" TargetMode="External"/><Relationship Id="rId347" Type="http://schemas.openxmlformats.org/officeDocument/2006/relationships/hyperlink" Target="https://www.sec.gov/Archives/edgar/data/1531177/000119312521210231/d90195dex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2021-11-10T15:52:27Z</dcterms:created>
  <dcterms:modified xsi:type="dcterms:W3CDTF">2021-11-10T15:52:27Z</dcterms:modified>
</cp:coreProperties>
</file>