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40" w:hanging="4079"/>
        <w:spacing w:after="0" w:line="291" w:lineRule="auto"/>
        <w:tabs>
          <w:tab w:leader="none" w:pos="48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ind w:left="480"/>
        <w:spacing w:after="0"/>
        <w:tabs>
          <w:tab w:leader="none" w:pos="252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SIGHT SCIENCES, INC.</w:t>
      </w:r>
    </w:p>
    <w:p>
      <w:pPr>
        <w:sectPr>
          <w:pgSz w:w="11900" w:h="16838" w:orient="portrait"/>
          <w:cols w:equalWidth="0" w:num="1">
            <w:col w:w="11240"/>
          </w:cols>
          <w:pgMar w:left="320" w:top="377" w:right="339" w:bottom="1440" w:gutter="0" w:footer="0" w:header="0"/>
        </w:sectPr>
      </w:pPr>
    </w:p>
    <w:p>
      <w:pPr>
        <w:spacing w:after="0" w:line="20"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80-0625749</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4"/>
          <w:szCs w:val="24"/>
          <w:color w:val="auto"/>
        </w:rPr>
      </w:pPr>
    </w:p>
    <w:p>
      <w:pPr>
        <w:sectPr>
          <w:pgSz w:w="11900" w:h="16838" w:orient="portrait"/>
          <w:cols w:equalWidth="0" w:num="2">
            <w:col w:w="7460" w:space="480"/>
            <w:col w:w="3300"/>
          </w:cols>
          <w:pgMar w:left="320" w:top="377" w:right="339" w:bottom="1440" w:gutter="0" w:footer="0" w:header="0"/>
          <w:type w:val="continuous"/>
        </w:sectPr>
      </w:pPr>
    </w:p>
    <w:p>
      <w:pPr>
        <w:ind w:left="1680"/>
        <w:spacing w:after="0"/>
        <w:rPr>
          <w:sz w:val="20"/>
          <w:szCs w:val="20"/>
          <w:color w:val="auto"/>
        </w:rPr>
      </w:pPr>
      <w:r>
        <w:rPr>
          <w:rFonts w:ascii="Arial" w:cs="Arial" w:eastAsia="Arial" w:hAnsi="Arial"/>
          <w:sz w:val="18"/>
          <w:szCs w:val="18"/>
          <w:b w:val="1"/>
          <w:bCs w:val="1"/>
          <w:color w:val="auto"/>
        </w:rPr>
        <w:t>4040 Campbell Ave, Suite 100</w:t>
      </w:r>
    </w:p>
    <w:p>
      <w:pPr>
        <w:ind w:left="2180"/>
        <w:spacing w:after="0"/>
        <w:tabs>
          <w:tab w:leader="none" w:pos="8180" w:val="left"/>
        </w:tabs>
        <w:rPr>
          <w:sz w:val="20"/>
          <w:szCs w:val="20"/>
          <w:color w:val="auto"/>
        </w:rPr>
      </w:pPr>
      <w:r>
        <w:rPr>
          <w:rFonts w:ascii="Arial" w:cs="Arial" w:eastAsia="Arial" w:hAnsi="Arial"/>
          <w:sz w:val="18"/>
          <w:szCs w:val="18"/>
          <w:b w:val="1"/>
          <w:bCs w:val="1"/>
          <w:color w:val="auto"/>
        </w:rPr>
        <w:t>Menlo Park, CA</w:t>
      </w:r>
      <w:r>
        <w:rPr>
          <w:sz w:val="20"/>
          <w:szCs w:val="20"/>
          <w:color w:val="auto"/>
        </w:rPr>
        <w:tab/>
      </w:r>
      <w:r>
        <w:rPr>
          <w:rFonts w:ascii="Arial" w:cs="Arial" w:eastAsia="Arial" w:hAnsi="Arial"/>
          <w:sz w:val="16"/>
          <w:szCs w:val="16"/>
          <w:b w:val="1"/>
          <w:bCs w:val="1"/>
          <w:color w:val="auto"/>
        </w:rPr>
        <w:t>94025</w:t>
      </w:r>
    </w:p>
    <w:p>
      <w:pPr>
        <w:spacing w:after="0" w:line="3"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30"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Registrant’s telephone number, including area code: (877) 266-1144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68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7"/>
              </w:rPr>
              <w:t>Trading</w:t>
            </w:r>
          </w:p>
        </w:tc>
        <w:tc>
          <w:tcPr>
            <w:tcW w:w="4160" w:type="dxa"/>
            <w:vAlign w:val="bottom"/>
            <w:vMerge w:val="restart"/>
          </w:tcPr>
          <w:p>
            <w:pPr>
              <w:jc w:val="center"/>
              <w:ind w:right="807"/>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jc w:val="center"/>
              <w:spacing w:after="0"/>
              <w:rPr>
                <w:sz w:val="20"/>
                <w:szCs w:val="20"/>
                <w:color w:val="auto"/>
              </w:rPr>
            </w:pPr>
            <w:r>
              <w:rPr>
                <w:rFonts w:ascii="Arial" w:cs="Arial" w:eastAsia="Arial" w:hAnsi="Arial"/>
                <w:sz w:val="16"/>
                <w:szCs w:val="16"/>
                <w:color w:val="auto"/>
                <w:w w:val="91"/>
              </w:rPr>
              <w:t>Common Stock, par value $0.001</w:t>
            </w:r>
          </w:p>
        </w:tc>
        <w:tc>
          <w:tcPr>
            <w:tcW w:w="120" w:type="dxa"/>
            <w:vAlign w:val="bottom"/>
          </w:tcPr>
          <w:p>
            <w:pPr>
              <w:spacing w:after="0"/>
              <w:rPr>
                <w:sz w:val="17"/>
                <w:szCs w:val="17"/>
                <w:color w:val="auto"/>
              </w:rPr>
            </w:pPr>
          </w:p>
        </w:tc>
        <w:tc>
          <w:tcPr>
            <w:tcW w:w="2680" w:type="dxa"/>
            <w:vAlign w:val="bottom"/>
            <w:gridSpan w:val="3"/>
          </w:tcPr>
          <w:p>
            <w:pPr>
              <w:jc w:val="center"/>
              <w:ind w:right="1000"/>
              <w:spacing w:after="0"/>
              <w:rPr>
                <w:sz w:val="20"/>
                <w:szCs w:val="20"/>
                <w:color w:val="auto"/>
              </w:rPr>
            </w:pPr>
            <w:r>
              <w:rPr>
                <w:rFonts w:ascii="Arial" w:cs="Arial" w:eastAsia="Arial" w:hAnsi="Arial"/>
                <w:sz w:val="15"/>
                <w:szCs w:val="15"/>
                <w:color w:val="auto"/>
                <w:w w:val="95"/>
              </w:rPr>
              <w:t>SGHT</w:t>
            </w:r>
          </w:p>
        </w:tc>
        <w:tc>
          <w:tcPr>
            <w:tcW w:w="4160" w:type="dxa"/>
            <w:vAlign w:val="bottom"/>
          </w:tcPr>
          <w:p>
            <w:pPr>
              <w:jc w:val="center"/>
              <w:ind w:right="807"/>
              <w:spacing w:after="0"/>
              <w:rPr>
                <w:sz w:val="20"/>
                <w:szCs w:val="20"/>
                <w:color w:val="auto"/>
              </w:rPr>
            </w:pPr>
            <w:r>
              <w:rPr>
                <w:rFonts w:ascii="Arial" w:cs="Arial" w:eastAsia="Arial" w:hAnsi="Arial"/>
                <w:sz w:val="15"/>
                <w:szCs w:val="15"/>
                <w:color w:val="auto"/>
                <w:w w:val="92"/>
              </w:rPr>
              <w:t>The Nasdaq Global Select Market</w:t>
            </w:r>
          </w:p>
        </w:tc>
        <w:tc>
          <w:tcPr>
            <w:tcW w:w="0" w:type="dxa"/>
            <w:vAlign w:val="bottom"/>
          </w:tcPr>
          <w:p>
            <w:pPr>
              <w:spacing w:after="0"/>
              <w:rPr>
                <w:sz w:val="1"/>
                <w:szCs w:val="1"/>
                <w:color w:val="auto"/>
              </w:rPr>
            </w:pPr>
          </w:p>
        </w:tc>
      </w:tr>
      <w:tr>
        <w:trPr>
          <w:trHeight w:val="199"/>
        </w:trPr>
        <w:tc>
          <w:tcPr>
            <w:tcW w:w="428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40" w:type="dxa"/>
            <w:vAlign w:val="bottom"/>
            <w:gridSpan w:val="6"/>
          </w:tcPr>
          <w:p>
            <w:pPr>
              <w:spacing w:after="0" w:line="184"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26"/>
        </w:trPr>
        <w:tc>
          <w:tcPr>
            <w:tcW w:w="7080" w:type="dxa"/>
            <w:vAlign w:val="bottom"/>
            <w:gridSpan w:val="5"/>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not required to file reports pursuant to Section 13 or 15(d) of the Act. YES </w:t>
            </w:r>
            <w:r>
              <w:rPr>
                <w:rFonts w:ascii="MS PGothic" w:cs="MS PGothic" w:eastAsia="MS PGothic" w:hAnsi="MS PGothic"/>
                <w:sz w:val="14"/>
                <w:szCs w:val="14"/>
                <w:color w:val="auto"/>
                <w:w w:val="95"/>
              </w:rPr>
              <w:t>☐</w:t>
            </w:r>
          </w:p>
        </w:tc>
        <w:tc>
          <w:tcPr>
            <w:tcW w:w="416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4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100"/>
              <w:spacing w:after="0"/>
              <w:rPr>
                <w:sz w:val="20"/>
                <w:szCs w:val="20"/>
                <w:color w:val="auto"/>
              </w:rPr>
            </w:pPr>
            <w:r>
              <w:rPr>
                <w:rFonts w:ascii="Arial" w:cs="Arial" w:eastAsia="Arial" w:hAnsi="Arial"/>
                <w:sz w:val="14"/>
                <w:szCs w:val="14"/>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2"/>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100"/>
              <w:spacing w:after="0"/>
              <w:rPr>
                <w:sz w:val="20"/>
                <w:szCs w:val="20"/>
                <w:color w:val="auto"/>
              </w:rPr>
            </w:pPr>
            <w:r>
              <w:rPr>
                <w:rFonts w:ascii="Arial" w:cs="Arial" w:eastAsia="Arial" w:hAnsi="Arial"/>
                <w:sz w:val="14"/>
                <w:szCs w:val="14"/>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0"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3" w:lineRule="exact"/>
        <w:tabs>
          <w:tab w:leader="none" w:pos="72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5"/>
          <w:szCs w:val="15"/>
          <w:color w:val="auto"/>
        </w:rPr>
        <w:t>☒</w:t>
      </w:r>
    </w:p>
    <w:p>
      <w:pPr>
        <w:spacing w:after="0" w:line="75"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The registrant was not a public company as of the last business day of its most recently completed second fiscal quarter, and therefore cannot calculate the aggregate market value of its voting and non-voting common equity held by non-affiliates as of such date.</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18, 2022 was 47,586,682.</w:t>
      </w:r>
    </w:p>
    <w:p>
      <w:pPr>
        <w:spacing w:after="0" w:line="55"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ind w:right="600"/>
        <w:spacing w:after="0" w:line="273" w:lineRule="auto"/>
        <w:rPr>
          <w:sz w:val="20"/>
          <w:szCs w:val="20"/>
          <w:color w:val="auto"/>
        </w:rPr>
      </w:pPr>
      <w:r>
        <w:rPr>
          <w:rFonts w:ascii="Arial" w:cs="Arial" w:eastAsia="Arial" w:hAnsi="Arial"/>
          <w:sz w:val="14"/>
          <w:szCs w:val="14"/>
          <w:color w:val="auto"/>
        </w:rPr>
        <w:t>Portions of the registrant's definitive Proxy Statement relating to its 2022 Annual Meeting of Stockholders to be filed with the SEC within 120 days after the end of the fiscal year ended December 31, 2021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2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9200" w:type="dxa"/>
            <w:vAlign w:val="bottom"/>
            <w:gridSpan w:val="20"/>
          </w:tcPr>
          <w:p>
            <w:pPr>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1A.</w:t>
            </w: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0"/>
          </w:tcPr>
          <w:p>
            <w:pPr>
              <w:spacing w:after="0" w:line="169" w:lineRule="exact"/>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1B.</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17"/>
            <w:vMerge w:val="restart"/>
          </w:tcPr>
          <w:p>
            <w:pPr>
              <w:spacing w:after="0" w:line="189" w:lineRule="exact"/>
              <w:rPr>
                <w:rFonts w:ascii="Arial" w:cs="Arial" w:eastAsia="Arial" w:hAnsi="Arial"/>
                <w:sz w:val="18"/>
                <w:szCs w:val="18"/>
                <w:color w:val="0000FF"/>
              </w:rPr>
            </w:pPr>
            <w:hyperlink w:anchor="page96">
              <w:r>
                <w:rPr>
                  <w:rFonts w:ascii="Arial" w:cs="Arial" w:eastAsia="Arial" w:hAnsi="Arial"/>
                  <w:sz w:val="18"/>
                  <w:szCs w:val="18"/>
                  <w:color w:val="0000FF"/>
                </w:rPr>
                <w:t>Staff Comments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 w:type="dxa"/>
            <w:vAlign w:val="bottom"/>
            <w:gridSpan w:val="3"/>
          </w:tcPr>
          <w:p>
            <w:pPr>
              <w:spacing w:after="0" w:line="169" w:lineRule="exact"/>
              <w:rPr>
                <w:rFonts w:ascii="Arial" w:cs="Arial" w:eastAsia="Arial" w:hAnsi="Arial"/>
                <w:sz w:val="18"/>
                <w:szCs w:val="18"/>
                <w:color w:val="0000FF"/>
                <w:w w:val="96"/>
              </w:rPr>
            </w:pPr>
            <w:hyperlink w:anchor="page96">
              <w:r>
                <w:rPr>
                  <w:rFonts w:ascii="Arial" w:cs="Arial" w:eastAsia="Arial" w:hAnsi="Arial"/>
                  <w:sz w:val="18"/>
                  <w:szCs w:val="18"/>
                  <w:color w:val="0000FF"/>
                  <w:w w:val="96"/>
                </w:rPr>
                <w:t>Unresolved</w:t>
              </w:r>
            </w:hyperlink>
          </w:p>
        </w:tc>
        <w:tc>
          <w:tcPr>
            <w:tcW w:w="8280" w:type="dxa"/>
            <w:vAlign w:val="bottom"/>
            <w:gridSpan w:val="17"/>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2.</w:t>
            </w:r>
          </w:p>
        </w:tc>
        <w:tc>
          <w:tcPr>
            <w:tcW w:w="76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2040" w:type="dxa"/>
            <w:vAlign w:val="bottom"/>
            <w:gridSpan w:val="8"/>
          </w:tcPr>
          <w:p>
            <w:pPr>
              <w:spacing w:after="0" w:line="169" w:lineRule="exact"/>
              <w:rPr>
                <w:rFonts w:ascii="Arial" w:cs="Arial" w:eastAsia="Arial" w:hAnsi="Arial"/>
                <w:sz w:val="18"/>
                <w:szCs w:val="18"/>
                <w:color w:val="0000FF"/>
              </w:rPr>
            </w:pPr>
            <w:hyperlink w:anchor="page96">
              <w:r>
                <w:rPr>
                  <w:rFonts w:ascii="Arial" w:cs="Arial" w:eastAsia="Arial" w:hAnsi="Arial"/>
                  <w:sz w:val="18"/>
                  <w:szCs w:val="18"/>
                  <w:color w:val="0000FF"/>
                </w:rPr>
                <w:t>Properties</w:t>
              </w:r>
            </w:hyperlink>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3.</w:t>
            </w:r>
          </w:p>
        </w:tc>
        <w:tc>
          <w:tcPr>
            <w:tcW w:w="7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0"/>
          </w:tcPr>
          <w:p>
            <w:pPr>
              <w:spacing w:after="0" w:line="169" w:lineRule="exact"/>
              <w:rPr>
                <w:rFonts w:ascii="Arial" w:cs="Arial" w:eastAsia="Arial" w:hAnsi="Arial"/>
                <w:sz w:val="18"/>
                <w:szCs w:val="18"/>
                <w:color w:val="0000FF"/>
              </w:rPr>
            </w:pPr>
            <w:hyperlink w:anchor="page96">
              <w:r>
                <w:rPr>
                  <w:rFonts w:ascii="Arial" w:cs="Arial" w:eastAsia="Arial" w:hAnsi="Arial"/>
                  <w:sz w:val="18"/>
                  <w:szCs w:val="18"/>
                  <w:color w:val="0000FF"/>
                </w:rPr>
                <w:t>Legal Proceedings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4.</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0"/>
          </w:tcPr>
          <w:p>
            <w:pPr>
              <w:spacing w:after="0" w:line="169" w:lineRule="exact"/>
              <w:rPr>
                <w:rFonts w:ascii="Arial" w:cs="Arial" w:eastAsia="Arial" w:hAnsi="Arial"/>
                <w:sz w:val="18"/>
                <w:szCs w:val="18"/>
                <w:color w:val="0000FF"/>
              </w:rPr>
            </w:pPr>
            <w:hyperlink w:anchor="page96">
              <w:r>
                <w:rPr>
                  <w:rFonts w:ascii="Arial" w:cs="Arial" w:eastAsia="Arial" w:hAnsi="Arial"/>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200" w:type="dxa"/>
            <w:vAlign w:val="bottom"/>
            <w:gridSpan w:val="20"/>
          </w:tcPr>
          <w:p>
            <w:pPr>
              <w:spacing w:after="0" w:line="190" w:lineRule="exact"/>
              <w:rPr>
                <w:rFonts w:ascii="Arial" w:cs="Arial" w:eastAsia="Arial" w:hAnsi="Arial"/>
                <w:sz w:val="18"/>
                <w:szCs w:val="18"/>
                <w:color w:val="0000FF"/>
              </w:rPr>
            </w:pPr>
            <w:hyperlink w:anchor="page97">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7.</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93</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8080" w:type="dxa"/>
            <w:vAlign w:val="bottom"/>
            <w:gridSpan w:val="19"/>
          </w:tcPr>
          <w:p>
            <w:pPr>
              <w:spacing w:after="0" w:line="169" w:lineRule="exact"/>
              <w:rPr>
                <w:rFonts w:ascii="Arial" w:cs="Arial" w:eastAsia="Arial" w:hAnsi="Arial"/>
                <w:sz w:val="18"/>
                <w:szCs w:val="18"/>
                <w:color w:val="0000FF"/>
              </w:rPr>
            </w:pPr>
            <w:hyperlink w:anchor="page98">
              <w:r>
                <w:rPr>
                  <w:rFonts w:ascii="Arial" w:cs="Arial" w:eastAsia="Arial" w:hAnsi="Arial"/>
                  <w:sz w:val="18"/>
                  <w:szCs w:val="18"/>
                  <w:color w:val="0000FF"/>
                </w:rPr>
                <w:t>Management’s Discussion and Analysis of Financial Condition and Results of Operations</w:t>
              </w:r>
            </w:hyperlink>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7A.</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103</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6460" w:type="dxa"/>
            <w:vAlign w:val="bottom"/>
            <w:gridSpan w:val="16"/>
          </w:tcPr>
          <w:p>
            <w:pPr>
              <w:spacing w:after="0" w:line="169" w:lineRule="exact"/>
              <w:rPr>
                <w:rFonts w:ascii="Arial" w:cs="Arial" w:eastAsia="Arial" w:hAnsi="Arial"/>
                <w:sz w:val="18"/>
                <w:szCs w:val="18"/>
                <w:color w:val="0000FF"/>
              </w:rPr>
            </w:pPr>
            <w:hyperlink w:anchor="page108">
              <w:r>
                <w:rPr>
                  <w:rFonts w:ascii="Arial" w:cs="Arial" w:eastAsia="Arial" w:hAnsi="Arial"/>
                  <w:sz w:val="18"/>
                  <w:szCs w:val="18"/>
                  <w:color w:val="0000FF"/>
                </w:rPr>
                <w:t>Quantitative and Qualitative Disclosures About Market Risk</w:t>
              </w:r>
            </w:hyperlink>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8.</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104</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4360" w:type="dxa"/>
            <w:vAlign w:val="bottom"/>
            <w:gridSpan w:val="13"/>
          </w:tcPr>
          <w:p>
            <w:pPr>
              <w:spacing w:after="0" w:line="169" w:lineRule="exact"/>
              <w:rPr>
                <w:rFonts w:ascii="Arial" w:cs="Arial" w:eastAsia="Arial" w:hAnsi="Arial"/>
                <w:sz w:val="18"/>
                <w:szCs w:val="18"/>
                <w:color w:val="0000FF"/>
              </w:rPr>
            </w:pPr>
            <w:hyperlink w:anchor="page109">
              <w:r>
                <w:rPr>
                  <w:rFonts w:ascii="Arial" w:cs="Arial" w:eastAsia="Arial" w:hAnsi="Arial"/>
                  <w:sz w:val="18"/>
                  <w:szCs w:val="18"/>
                  <w:color w:val="0000FF"/>
                </w:rPr>
                <w:t>Financial Statements and Supplementary Data</w:t>
              </w:r>
            </w:hyperlink>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9.</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130</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0"/>
          </w:tcPr>
          <w:p>
            <w:pPr>
              <w:spacing w:after="0" w:line="169" w:lineRule="exact"/>
              <w:rPr>
                <w:rFonts w:ascii="Arial" w:cs="Arial" w:eastAsia="Arial" w:hAnsi="Arial"/>
                <w:sz w:val="18"/>
                <w:szCs w:val="18"/>
                <w:color w:val="0000FF"/>
              </w:rPr>
            </w:pPr>
            <w:hyperlink w:anchor="page135">
              <w:r>
                <w:rPr>
                  <w:rFonts w:ascii="Arial" w:cs="Arial" w:eastAsia="Arial" w:hAnsi="Arial"/>
                  <w:sz w:val="18"/>
                  <w:szCs w:val="18"/>
                  <w:color w:val="0000FF"/>
                </w:rPr>
                <w:t>Changes in and Disagreements With Accountants on Accounting and Financial Disclosure</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9A.</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130</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6520" w:type="dxa"/>
            <w:vAlign w:val="bottom"/>
            <w:gridSpan w:val="17"/>
          </w:tcPr>
          <w:p>
            <w:pPr>
              <w:spacing w:after="0" w:line="169" w:lineRule="exact"/>
              <w:rPr>
                <w:rFonts w:ascii="Arial" w:cs="Arial" w:eastAsia="Arial" w:hAnsi="Arial"/>
                <w:sz w:val="18"/>
                <w:szCs w:val="18"/>
                <w:color w:val="0000FF"/>
              </w:rPr>
            </w:pPr>
            <w:hyperlink w:anchor="page135">
              <w:r>
                <w:rPr>
                  <w:rFonts w:ascii="Arial" w:cs="Arial" w:eastAsia="Arial" w:hAnsi="Arial"/>
                  <w:sz w:val="18"/>
                  <w:szCs w:val="18"/>
                  <w:color w:val="0000FF"/>
                </w:rPr>
                <w:t>Controls and Procedures</w:t>
              </w:r>
            </w:hyperlink>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9B.</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40" w:type="dxa"/>
            <w:vAlign w:val="bottom"/>
            <w:gridSpan w:val="2"/>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gridSpan w:val="2"/>
            <w:vMerge w:val="restart"/>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131</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1780" w:type="dxa"/>
            <w:vAlign w:val="bottom"/>
            <w:gridSpan w:val="6"/>
          </w:tcPr>
          <w:p>
            <w:pPr>
              <w:spacing w:after="0" w:line="169" w:lineRule="exact"/>
              <w:rPr>
                <w:rFonts w:ascii="Arial" w:cs="Arial" w:eastAsia="Arial" w:hAnsi="Arial"/>
                <w:sz w:val="18"/>
                <w:szCs w:val="18"/>
                <w:color w:val="0000FF"/>
              </w:rPr>
            </w:pPr>
            <w:hyperlink w:anchor="page136">
              <w:r>
                <w:rPr>
                  <w:rFonts w:ascii="Arial" w:cs="Arial" w:eastAsia="Arial" w:hAnsi="Arial"/>
                  <w:sz w:val="18"/>
                  <w:szCs w:val="18"/>
                  <w:color w:val="0000FF"/>
                </w:rPr>
                <w:t>Other Information</w:t>
              </w:r>
            </w:hyperlink>
          </w:p>
        </w:tc>
        <w:tc>
          <w:tcPr>
            <w:tcW w:w="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9C.</w:t>
            </w:r>
          </w:p>
        </w:tc>
        <w:tc>
          <w:tcPr>
            <w:tcW w:w="1340" w:type="dxa"/>
            <w:vAlign w:val="bottom"/>
            <w:tcBorders>
              <w:left w:val="single" w:sz="8" w:color="0000EE"/>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131</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9200" w:type="dxa"/>
            <w:vAlign w:val="bottom"/>
            <w:gridSpan w:val="20"/>
          </w:tcPr>
          <w:p>
            <w:pPr>
              <w:spacing w:after="0" w:line="169" w:lineRule="exact"/>
              <w:rPr>
                <w:rFonts w:ascii="Arial" w:cs="Arial" w:eastAsia="Arial" w:hAnsi="Arial"/>
                <w:sz w:val="18"/>
                <w:szCs w:val="18"/>
                <w:color w:val="0000FF"/>
              </w:rPr>
            </w:pPr>
            <w:hyperlink w:anchor="page136">
              <w:r>
                <w:rPr>
                  <w:rFonts w:ascii="Arial" w:cs="Arial" w:eastAsia="Arial" w:hAnsi="Arial"/>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200" w:type="dxa"/>
            <w:vAlign w:val="bottom"/>
            <w:gridSpan w:val="20"/>
          </w:tcPr>
          <w:p>
            <w:pPr>
              <w:spacing w:after="0" w:line="190" w:lineRule="exact"/>
              <w:rPr>
                <w:rFonts w:ascii="Arial" w:cs="Arial" w:eastAsia="Arial" w:hAnsi="Arial"/>
                <w:sz w:val="18"/>
                <w:szCs w:val="18"/>
                <w:color w:val="0000FF"/>
              </w:rPr>
            </w:pPr>
            <w:hyperlink w:anchor="page137">
              <w:r>
                <w:rPr>
                  <w:rFonts w:ascii="Arial" w:cs="Arial" w:eastAsia="Arial" w:hAnsi="Arial"/>
                  <w:sz w:val="18"/>
                  <w:szCs w:val="18"/>
                  <w:color w:val="0000FF"/>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11.</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133</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4100" w:type="dxa"/>
            <w:vAlign w:val="bottom"/>
            <w:gridSpan w:val="12"/>
          </w:tcPr>
          <w:p>
            <w:pPr>
              <w:spacing w:after="0" w:line="169" w:lineRule="exact"/>
              <w:rPr>
                <w:rFonts w:ascii="Arial" w:cs="Arial" w:eastAsia="Arial" w:hAnsi="Arial"/>
                <w:sz w:val="18"/>
                <w:szCs w:val="18"/>
                <w:color w:val="0000FF"/>
              </w:rPr>
            </w:pPr>
            <w:hyperlink w:anchor="page138">
              <w:r>
                <w:rPr>
                  <w:rFonts w:ascii="Arial" w:cs="Arial" w:eastAsia="Arial" w:hAnsi="Arial"/>
                  <w:sz w:val="18"/>
                  <w:szCs w:val="18"/>
                  <w:color w:val="0000FF"/>
                </w:rPr>
                <w:t>Executive Compensation</w:t>
              </w:r>
            </w:hyperlink>
          </w:p>
        </w:tc>
        <w:tc>
          <w:tcPr>
            <w:tcW w:w="13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12.</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7380" w:type="dxa"/>
            <w:vAlign w:val="bottom"/>
            <w:gridSpan w:val="13"/>
            <w:vMerge w:val="restart"/>
          </w:tcPr>
          <w:p>
            <w:pPr>
              <w:spacing w:after="0" w:line="189" w:lineRule="exact"/>
              <w:rPr>
                <w:rFonts w:ascii="Arial" w:cs="Arial" w:eastAsia="Arial" w:hAnsi="Arial"/>
                <w:sz w:val="18"/>
                <w:szCs w:val="18"/>
                <w:color w:val="0000FF"/>
              </w:rPr>
            </w:pPr>
            <w:hyperlink w:anchor="page138">
              <w:r>
                <w:rPr>
                  <w:rFonts w:ascii="Arial" w:cs="Arial" w:eastAsia="Arial" w:hAnsi="Arial"/>
                  <w:sz w:val="18"/>
                  <w:szCs w:val="18"/>
                  <w:color w:val="0000FF"/>
                </w:rPr>
                <w:t>Certain Beneficial Owners and Management and Related Stockholder Matters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133</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1820" w:type="dxa"/>
            <w:vAlign w:val="bottom"/>
            <w:gridSpan w:val="7"/>
          </w:tcPr>
          <w:p>
            <w:pPr>
              <w:spacing w:after="0" w:line="169" w:lineRule="exact"/>
              <w:rPr>
                <w:rFonts w:ascii="Arial" w:cs="Arial" w:eastAsia="Arial" w:hAnsi="Arial"/>
                <w:sz w:val="18"/>
                <w:szCs w:val="18"/>
                <w:color w:val="0000FF"/>
              </w:rPr>
            </w:pPr>
            <w:hyperlink w:anchor="page138">
              <w:r>
                <w:rPr>
                  <w:rFonts w:ascii="Arial" w:cs="Arial" w:eastAsia="Arial" w:hAnsi="Arial"/>
                  <w:sz w:val="18"/>
                  <w:szCs w:val="18"/>
                  <w:color w:val="0000FF"/>
                </w:rPr>
                <w:t>Security Ownership of</w:t>
              </w:r>
            </w:hyperlink>
          </w:p>
        </w:tc>
        <w:tc>
          <w:tcPr>
            <w:tcW w:w="7380" w:type="dxa"/>
            <w:vAlign w:val="bottom"/>
            <w:gridSpan w:val="1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13.</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133</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7300" w:type="dxa"/>
            <w:vAlign w:val="bottom"/>
            <w:gridSpan w:val="18"/>
          </w:tcPr>
          <w:p>
            <w:pPr>
              <w:spacing w:after="0" w:line="169" w:lineRule="exact"/>
              <w:rPr>
                <w:rFonts w:ascii="Arial" w:cs="Arial" w:eastAsia="Arial" w:hAnsi="Arial"/>
                <w:sz w:val="18"/>
                <w:szCs w:val="18"/>
                <w:color w:val="0000FF"/>
              </w:rPr>
            </w:pPr>
            <w:hyperlink w:anchor="page138">
              <w:r>
                <w:rPr>
                  <w:rFonts w:ascii="Arial" w:cs="Arial" w:eastAsia="Arial" w:hAnsi="Arial"/>
                  <w:sz w:val="18"/>
                  <w:szCs w:val="18"/>
                  <w:color w:val="0000FF"/>
                </w:rPr>
                <w:t>Certain Relationships and Related Transactions, and Director Independence</w:t>
              </w:r>
            </w:hyperlink>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14.</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4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133</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5460" w:type="dxa"/>
            <w:vAlign w:val="bottom"/>
            <w:gridSpan w:val="15"/>
          </w:tcPr>
          <w:p>
            <w:pPr>
              <w:spacing w:after="0" w:line="169" w:lineRule="exact"/>
              <w:rPr>
                <w:rFonts w:ascii="Arial" w:cs="Arial" w:eastAsia="Arial" w:hAnsi="Arial"/>
                <w:sz w:val="18"/>
                <w:szCs w:val="18"/>
                <w:color w:val="0000FF"/>
              </w:rPr>
            </w:pPr>
            <w:hyperlink w:anchor="page138">
              <w:r>
                <w:rPr>
                  <w:rFonts w:ascii="Arial" w:cs="Arial" w:eastAsia="Arial" w:hAnsi="Arial"/>
                  <w:sz w:val="18"/>
                  <w:szCs w:val="18"/>
                  <w:color w:val="0000FF"/>
                </w:rPr>
                <w:t>Principal Accountant Fees and Services</w:t>
              </w:r>
            </w:hyperlink>
          </w:p>
        </w:tc>
        <w:tc>
          <w:tcPr>
            <w:tcW w:w="374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200" w:type="dxa"/>
            <w:vAlign w:val="bottom"/>
            <w:gridSpan w:val="20"/>
          </w:tcPr>
          <w:p>
            <w:pPr>
              <w:spacing w:after="0" w:line="190" w:lineRule="exact"/>
              <w:rPr>
                <w:rFonts w:ascii="Arial" w:cs="Arial" w:eastAsia="Arial" w:hAnsi="Arial"/>
                <w:sz w:val="18"/>
                <w:szCs w:val="18"/>
                <w:color w:val="0000FF"/>
              </w:rPr>
            </w:pPr>
            <w:hyperlink w:anchor="page139">
              <w:r>
                <w:rPr>
                  <w:rFonts w:ascii="Arial" w:cs="Arial" w:eastAsia="Arial" w:hAnsi="Arial"/>
                  <w:sz w:val="18"/>
                  <w:szCs w:val="18"/>
                  <w:color w:val="0000FF"/>
                </w:rPr>
                <w:t>Exhibits and Financial Statement Schedules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16.</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04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134</w:t>
            </w:r>
          </w:p>
        </w:tc>
        <w:tc>
          <w:tcPr>
            <w:tcW w:w="0" w:type="dxa"/>
            <w:vAlign w:val="bottom"/>
          </w:tcPr>
          <w:p>
            <w:pPr>
              <w:spacing w:after="0" w:line="20" w:lineRule="exact"/>
              <w:rPr>
                <w:sz w:val="1"/>
                <w:szCs w:val="1"/>
                <w:color w:val="auto"/>
              </w:rPr>
            </w:pPr>
          </w:p>
        </w:tc>
      </w:tr>
      <w:tr>
        <w:trPr>
          <w:trHeight w:val="169"/>
        </w:trPr>
        <w:tc>
          <w:tcPr>
            <w:tcW w:w="1260" w:type="dxa"/>
            <w:vAlign w:val="bottom"/>
            <w:vMerge w:val="continue"/>
          </w:tcPr>
          <w:p>
            <w:pPr>
              <w:spacing w:after="0"/>
              <w:rPr>
                <w:sz w:val="14"/>
                <w:szCs w:val="14"/>
                <w:color w:val="auto"/>
              </w:rPr>
            </w:pPr>
          </w:p>
        </w:tc>
        <w:tc>
          <w:tcPr>
            <w:tcW w:w="3160" w:type="dxa"/>
            <w:vAlign w:val="bottom"/>
            <w:gridSpan w:val="10"/>
          </w:tcPr>
          <w:p>
            <w:pPr>
              <w:spacing w:after="0" w:line="169" w:lineRule="exact"/>
              <w:rPr>
                <w:rFonts w:ascii="Arial" w:cs="Arial" w:eastAsia="Arial" w:hAnsi="Arial"/>
                <w:sz w:val="18"/>
                <w:szCs w:val="18"/>
                <w:color w:val="0000FF"/>
              </w:rPr>
            </w:pPr>
            <w:hyperlink w:anchor="page139">
              <w:r>
                <w:rPr>
                  <w:rFonts w:ascii="Arial" w:cs="Arial" w:eastAsia="Arial" w:hAnsi="Arial"/>
                  <w:sz w:val="18"/>
                  <w:szCs w:val="18"/>
                  <w:color w:val="0000FF"/>
                </w:rPr>
                <w:t>Form 10-K Summary</w:t>
              </w:r>
            </w:hyperlink>
          </w:p>
        </w:tc>
        <w:tc>
          <w:tcPr>
            <w:tcW w:w="6040" w:type="dxa"/>
            <w:vAlign w:val="bottom"/>
            <w:gridSpan w:val="10"/>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45"/>
        </w:trPr>
        <w:tc>
          <w:tcPr>
            <w:tcW w:w="126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31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Unless the context otherwise requires, references in this Annual Report on Form 10-K to the “Company,” “Sight Sciences,” “we,” “us” and “our” refer to Sight Sciences, Inc.</w:t>
      </w:r>
    </w:p>
    <w:p>
      <w:pPr>
        <w:spacing w:after="0" w:line="6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83"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total addressable market, future revenue, expenses, capital requirements, and our needs for additional financing;</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and compete in new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our customers’ and suppliers’ businesses and the general economy;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infrastructure;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and grow our business by expanding our sales to existing customers or introducing our products to new customers;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extensive government regulation;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sufficient reimbursement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abilities to protect and scale our intellectual property portfolio;</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in future offerings;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time during which we will be an emerging growth company under the Jumpstart Our Business Startups Act (the “JOBS Act”);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proper and effective internal controls.</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Actual events or results may differ from those expressed in forward-looking statements. As such, 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Annual Report on Form 10-K. Moreover, we operate in a highly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right="60"/>
        <w:spacing w:after="0" w:line="243" w:lineRule="auto"/>
        <w:rPr>
          <w:sz w:val="20"/>
          <w:szCs w:val="20"/>
          <w:color w:val="auto"/>
        </w:rPr>
      </w:pPr>
      <w:r>
        <w:rPr>
          <w:rFonts w:ascii="Arial" w:cs="Arial" w:eastAsia="Arial" w:hAnsi="Arial"/>
          <w:sz w:val="18"/>
          <w:szCs w:val="18"/>
          <w:color w:val="auto"/>
        </w:rPr>
        <w:t>The forward-looking statements in this Annual Report on Form 10-K are based on information available to us as of the date of this Annual Report on Form 10-K.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You should read this Annual Report on Form 10-K and the documents that we reference in this Annual Report on Form 10-K and have filed as exhibits to this Annual Report on Form 10-K with the understanding that our actual future results, performance and achievements may be materially different from what we expect. We qualify all of our forward-looking statements by these cautionary statements. 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of Risk Factors</w:t>
      </w:r>
    </w:p>
    <w:p>
      <w:pPr>
        <w:spacing w:after="0" w:line="10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74" w:lineRule="exact"/>
        <w:rPr>
          <w:sz w:val="20"/>
          <w:szCs w:val="20"/>
          <w:color w:val="auto"/>
        </w:rPr>
      </w:pPr>
    </w:p>
    <w:p>
      <w:pPr>
        <w:ind w:left="320" w:right="500" w:hanging="312"/>
        <w:spacing w:after="0" w:line="261"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and expect to incur significant additional losses for the foreseeable future which may make it difficult to evaluate the success of our business to date and to assess the prospects for our future viability;</w:t>
      </w:r>
    </w:p>
    <w:p>
      <w:pPr>
        <w:spacing w:after="0" w:line="62" w:lineRule="exact"/>
        <w:rPr>
          <w:rFonts w:ascii="Arial" w:cs="Arial" w:eastAsia="Arial" w:hAnsi="Arial"/>
          <w:sz w:val="18"/>
          <w:szCs w:val="18"/>
          <w:color w:val="auto"/>
        </w:rPr>
      </w:pPr>
    </w:p>
    <w:p>
      <w:pPr>
        <w:ind w:left="320" w:right="160" w:hanging="312"/>
        <w:spacing w:after="0" w:line="270"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is highly dependent on the success of two current commercial products, and in particular OMNI. The development of TearCare for expanded indications depends upon positive clinical data, and the safety and efficacy of our products are not yet supported by long-term clinical data, which could delay or prevent clearance by regulatory authorities or limit sales if cleared, certified or approved;</w:t>
      </w:r>
    </w:p>
    <w:p>
      <w:pPr>
        <w:spacing w:after="0" w:line="55" w:lineRule="exact"/>
        <w:rPr>
          <w:rFonts w:ascii="Arial" w:cs="Arial" w:eastAsia="Arial" w:hAnsi="Arial"/>
          <w:sz w:val="17"/>
          <w:szCs w:val="17"/>
          <w:color w:val="auto"/>
        </w:rPr>
      </w:pPr>
    </w:p>
    <w:p>
      <w:pPr>
        <w:ind w:left="320" w:right="340" w:hanging="312"/>
        <w:spacing w:after="0" w:line="261"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additional funding in order to finance our planned operations. The inability to raise funds on acceptable terms, if at all, when needed, may force us to delay, reduce or eliminate our product development programs and commercialization efforts;</w:t>
      </w:r>
    </w:p>
    <w:p>
      <w:pPr>
        <w:spacing w:after="0" w:line="62" w:lineRule="exact"/>
        <w:rPr>
          <w:rFonts w:ascii="Arial" w:cs="Arial" w:eastAsia="Arial" w:hAnsi="Arial"/>
          <w:sz w:val="18"/>
          <w:szCs w:val="18"/>
          <w:color w:val="auto"/>
        </w:rPr>
      </w:pPr>
    </w:p>
    <w:p>
      <w:pPr>
        <w:ind w:left="320" w:right="440" w:hanging="312"/>
        <w:spacing w:after="0" w:line="261"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has impacted, and likely will continue to impact, our operations and financial results and may materially and adversely affect our business and financial results in the future;</w:t>
      </w:r>
    </w:p>
    <w:p>
      <w:pPr>
        <w:spacing w:after="0" w:line="62" w:lineRule="exact"/>
        <w:rPr>
          <w:rFonts w:ascii="Arial" w:cs="Arial" w:eastAsia="Arial" w:hAnsi="Arial"/>
          <w:sz w:val="18"/>
          <w:szCs w:val="18"/>
          <w:color w:val="auto"/>
        </w:rPr>
      </w:pPr>
    </w:p>
    <w:p>
      <w:pPr>
        <w:ind w:left="320" w:right="620" w:hanging="312"/>
        <w:spacing w:after="0" w:line="324"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subject to extensive and costly government regulation on federal, state and foreign levels and we may not receive, or may be delayed in receiving, the necessary regulatory clearances, certifications or approvals for our future products or modifications to our current products;</w:t>
      </w:r>
    </w:p>
    <w:p>
      <w:pPr>
        <w:spacing w:after="0" w:line="16" w:lineRule="exact"/>
        <w:rPr>
          <w:rFonts w:ascii="Arial" w:cs="Arial" w:eastAsia="Arial" w:hAnsi="Arial"/>
          <w:sz w:val="16"/>
          <w:szCs w:val="16"/>
          <w:color w:val="auto"/>
        </w:rPr>
      </w:pPr>
    </w:p>
    <w:p>
      <w:pPr>
        <w:ind w:left="320" w:right="320" w:hanging="312"/>
        <w:spacing w:after="0" w:line="261"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incur significant liability if it is determined that we are not complying with federal, state or foreign regulatory requirements, such as if it is determined that we are promoting off-label uses of our products;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private and public health insurance coverage and reimbursement rates may affect the adoption of our products and our future revenue;</w:t>
      </w:r>
    </w:p>
    <w:p>
      <w:pPr>
        <w:spacing w:after="0" w:line="126" w:lineRule="exact"/>
        <w:rPr>
          <w:rFonts w:ascii="Arial" w:cs="Arial" w:eastAsia="Arial" w:hAnsi="Arial"/>
          <w:sz w:val="16"/>
          <w:szCs w:val="16"/>
          <w:color w:val="auto"/>
        </w:rPr>
      </w:pPr>
    </w:p>
    <w:p>
      <w:pPr>
        <w:ind w:left="320" w:hanging="312"/>
        <w:spacing w:after="0" w:line="261"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by competitors may render our products or technologies obsolete or noncompetitive and the development of new products, technologies, procedures, medications or other therapies could replace or reduce the importance of our products;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for the manufacture and supply of OMNI and TearCare;</w:t>
      </w:r>
    </w:p>
    <w:p>
      <w:pPr>
        <w:spacing w:after="0" w:line="103" w:lineRule="exact"/>
        <w:rPr>
          <w:rFonts w:ascii="Arial" w:cs="Arial" w:eastAsia="Arial" w:hAnsi="Arial"/>
          <w:sz w:val="18"/>
          <w:szCs w:val="18"/>
          <w:color w:val="auto"/>
        </w:rPr>
      </w:pPr>
    </w:p>
    <w:p>
      <w:pPr>
        <w:ind w:left="320" w:right="660" w:hanging="312"/>
        <w:spacing w:after="0" w:line="291"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on a limited number of single source suppliers for some of the components, accessories, and materials used in the manufacture and assembly of OMNI and TearCare and any shortfall in the supply chain may cause our business to materially suffer;</w:t>
      </w:r>
    </w:p>
    <w:p>
      <w:pPr>
        <w:spacing w:after="0" w:line="38" w:lineRule="exact"/>
        <w:rPr>
          <w:rFonts w:ascii="Arial" w:cs="Arial" w:eastAsia="Arial" w:hAnsi="Arial"/>
          <w:sz w:val="17"/>
          <w:szCs w:val="17"/>
          <w:color w:val="auto"/>
        </w:rPr>
      </w:pPr>
    </w:p>
    <w:p>
      <w:pPr>
        <w:ind w:left="320" w:right="140" w:hanging="312"/>
        <w:spacing w:after="0" w:line="243"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obtain, protect, maintain, enforce and adequately protect our intellectual property rights with respect to our technology and current and future products, or if the scope of the patent protection obtained is not sufficiently broad, our competitors could develop and commercialize technology and products similar or identical to ours, and our ability to successfully develop and commercialize our technology and current and future products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ind w:left="312" w:hanging="312"/>
        <w:spacing w:after="0" w:line="294" w:lineRule="auto"/>
        <w:tabs>
          <w:tab w:leader="none" w:pos="312" w:val="left"/>
        </w:tabs>
        <w:numPr>
          <w:ilvl w:val="0"/>
          <w:numId w:val="5"/>
        </w:numPr>
        <w:rPr>
          <w:rFonts w:ascii="Arial" w:cs="Arial" w:eastAsia="Arial" w:hAnsi="Arial"/>
          <w:sz w:val="16"/>
          <w:szCs w:val="16"/>
          <w:color w:val="auto"/>
        </w:rPr>
      </w:pPr>
      <w:r>
        <w:rPr>
          <w:rFonts w:ascii="Arial" w:cs="Arial" w:eastAsia="Arial" w:hAnsi="Arial"/>
          <w:sz w:val="16"/>
          <w:szCs w:val="16"/>
          <w:color w:val="auto"/>
        </w:rPr>
        <w:t>Litigation related to infringement and other intellectual property claims, with or without merit, is unpredictable, may be expensive and time-consuming and may divert management's attention from our core business. Our intellectual property has not been tested in litigation. Litigation that we initiate to protect our rights could result in invalidation of our patents, which may undermine our competitive position in our current or anticipated markets; and</w:t>
      </w:r>
    </w:p>
    <w:p>
      <w:pPr>
        <w:spacing w:after="0" w:line="39" w:lineRule="exact"/>
        <w:rPr>
          <w:rFonts w:ascii="Arial" w:cs="Arial" w:eastAsia="Arial" w:hAnsi="Arial"/>
          <w:sz w:val="16"/>
          <w:szCs w:val="16"/>
          <w:color w:val="auto"/>
        </w:rPr>
      </w:pPr>
    </w:p>
    <w:p>
      <w:pPr>
        <w:ind w:left="312" w:right="160" w:hanging="312"/>
        <w:spacing w:after="0" w:line="261" w:lineRule="auto"/>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lose key management or scientific personnel, cannot recruit qualified employees, directors, officers or other significant personnel or experience increases in our compensation costs, our business may materially suffer.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430530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36" w:right="35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16" w:lineRule="exact"/>
        <w:rPr>
          <w:sz w:val="20"/>
          <w:szCs w:val="20"/>
          <w:color w:val="auto"/>
        </w:rPr>
      </w:pPr>
    </w:p>
    <w:p>
      <w:pPr>
        <w:ind w:right="80" w:firstLine="419"/>
        <w:spacing w:after="0" w:line="253" w:lineRule="auto"/>
        <w:rPr>
          <w:sz w:val="20"/>
          <w:szCs w:val="20"/>
          <w:color w:val="auto"/>
        </w:rPr>
      </w:pPr>
      <w:r>
        <w:rPr>
          <w:rFonts w:ascii="Arial" w:cs="Arial" w:eastAsia="Arial" w:hAnsi="Arial"/>
          <w:sz w:val="17"/>
          <w:szCs w:val="17"/>
          <w:color w:val="231F20"/>
        </w:rPr>
        <w:t>Our mission is to transform ophthalmology and optometry through the development and commercialization of proprietary devices that target the underlying causes of the world’s most prevalent eye diseases. We are passionate about improving patients’ lives. Our business philosophy is grounded in the following principles: comprehensively understanding disease physiology; developing products that are intended to restore natural physiological functionality to diseased eyes; developing and marketing products that achieve superior effectiveness versus current treatment paradigms while minimizing complications or side effects; providing intuitive, patient friendly solutions to ophthalmologists and optometrists (together, eyecare professionals or ECPs); and delivering compelling economic value to all stakeholders, including patients, providers and third- party payors such as Medicare and commercial insurers. Our objective is to develop and market products for use in new treatment paradigms and to create an interventional mindset in eyecare whereby our products may be used in procedures which supplant conventional outdated approaches. We believe current eyecare treatment models rely heavily on prescription medications, symptom relief, or either flawed or highly invasive, later-stage procedural interventions, and often fail to adequately address the true underlying cause of disease.</w:t>
      </w:r>
    </w:p>
    <w:p>
      <w:pPr>
        <w:spacing w:after="0" w:line="180" w:lineRule="exact"/>
        <w:rPr>
          <w:sz w:val="20"/>
          <w:szCs w:val="20"/>
          <w:color w:val="auto"/>
        </w:rPr>
      </w:pPr>
    </w:p>
    <w:p>
      <w:pPr>
        <w:ind w:firstLine="419"/>
        <w:spacing w:after="0" w:line="241" w:lineRule="auto"/>
        <w:rPr>
          <w:sz w:val="20"/>
          <w:szCs w:val="20"/>
          <w:color w:val="auto"/>
        </w:rPr>
      </w:pPr>
      <w:r>
        <w:rPr>
          <w:rFonts w:ascii="Arial" w:cs="Arial" w:eastAsia="Arial" w:hAnsi="Arial"/>
          <w:sz w:val="18"/>
          <w:szCs w:val="18"/>
          <w:color w:val="231F20"/>
        </w:rPr>
        <w:t>We have focused our initial product development efforts on the treatment of two of the world’s most prevalent and underserved eye diseases, glaucoma and dry eye disease, or DED. We estimate the annual addressable U.S. market opportunities for the products in our Surgical Glaucoma and Dry Eye segments are approximately $6 billion and approximately $10 billion, respectively, while 2020 U.S. manufacturer revenues in the surgical glaucoma and DED markets were approximately $350 million and $2.4 billion, respectively, demonstrating that currently available solutions have not addressed a large part of the market need.</w:t>
      </w:r>
    </w:p>
    <w:p>
      <w:pPr>
        <w:spacing w:after="0" w:line="189" w:lineRule="exact"/>
        <w:rPr>
          <w:sz w:val="20"/>
          <w:szCs w:val="20"/>
          <w:color w:val="auto"/>
        </w:rPr>
      </w:pPr>
    </w:p>
    <w:p>
      <w:pPr>
        <w:ind w:right="100" w:firstLine="419"/>
        <w:spacing w:after="0" w:line="274" w:lineRule="auto"/>
        <w:rPr>
          <w:sz w:val="20"/>
          <w:szCs w:val="20"/>
          <w:color w:val="auto"/>
        </w:rPr>
      </w:pPr>
      <w:r>
        <w:rPr>
          <w:rFonts w:ascii="Arial" w:cs="Arial" w:eastAsia="Arial" w:hAnsi="Arial"/>
          <w:sz w:val="16"/>
          <w:szCs w:val="16"/>
          <w:color w:val="231F20"/>
        </w:rPr>
        <w:t>Glaucoma, a group of chronic, often asymptomatic, diseases that damage the optic nerve, is the world’s leading cause of irreversible blindness. Glaucoma does not have a cure and is a progressive disease; if left untreated or insufficiently treated, glaucoma can lead to irreversible disability and blindness. An estimated 102 million people worldwide suffer from glaucoma. Primary open-angle glaucoma, or POAG, is the most prevalent form of glaucoma and affects over 60 million people worldwide, including approximately 4.1 million people in the United States, of whom an estimated 3.4 million have been diagnosed. One of the greatest risk factors for POAG, and the only risk factor that can be controlled, is elevated intraocular pressure, or IOP. Elevated IOP is often caused by malfunctioning drainage pathways in the eye that provide abnormal resistance to the outflow of aqueous humor, a clear, watery fluid which bathes and nourishes the lens and maintains pressure within the eye.</w:t>
      </w:r>
    </w:p>
    <w:p>
      <w:pPr>
        <w:spacing w:after="0" w:line="163" w:lineRule="exact"/>
        <w:rPr>
          <w:sz w:val="20"/>
          <w:szCs w:val="20"/>
          <w:color w:val="auto"/>
        </w:rPr>
      </w:pPr>
    </w:p>
    <w:p>
      <w:pPr>
        <w:ind w:right="20" w:firstLine="419"/>
        <w:spacing w:after="0" w:line="270" w:lineRule="auto"/>
        <w:rPr>
          <w:sz w:val="20"/>
          <w:szCs w:val="20"/>
          <w:color w:val="auto"/>
        </w:rPr>
      </w:pPr>
      <w:r>
        <w:rPr>
          <w:rFonts w:ascii="Arial" w:cs="Arial" w:eastAsia="Arial" w:hAnsi="Arial"/>
          <w:sz w:val="16"/>
          <w:szCs w:val="16"/>
          <w:color w:val="231F20"/>
        </w:rPr>
        <w:t xml:space="preserve">Our OMNI Surgical System, or OMNI, is a handheld, single use, therapeutic device that allows ophthalmic surgeons to reduce IOP in adult glaucoma patients. OMNI allows the ophthalmic surgeon to sequentially complete two well-established but historically invasive </w:t>
      </w:r>
      <w:r>
        <w:rPr>
          <w:rFonts w:ascii="Arial" w:cs="Arial" w:eastAsia="Arial" w:hAnsi="Arial"/>
          <w:sz w:val="16"/>
          <w:szCs w:val="16"/>
          <w:i w:val="1"/>
          <w:iCs w:val="1"/>
          <w:color w:val="231F20"/>
        </w:rPr>
        <w:t>ab externo</w:t>
      </w:r>
      <w:r>
        <w:rPr>
          <w:rFonts w:ascii="Arial" w:cs="Arial" w:eastAsia="Arial" w:hAnsi="Arial"/>
          <w:sz w:val="16"/>
          <w:szCs w:val="16"/>
          <w:color w:val="231F20"/>
        </w:rPr>
        <w:t xml:space="preserve"> glaucoma procedures, canaloplasty and trabeculotomy, in an efficient, minimally invasive manner using a single, bloodless and sutureless clear corneal microincision. OMNI allows ophthalmic surgeons to transform these two distinct, historically invasive </w:t>
      </w:r>
      <w:r>
        <w:rPr>
          <w:rFonts w:ascii="Arial" w:cs="Arial" w:eastAsia="Arial" w:hAnsi="Arial"/>
          <w:sz w:val="16"/>
          <w:szCs w:val="16"/>
          <w:i w:val="1"/>
          <w:iCs w:val="1"/>
          <w:color w:val="231F20"/>
        </w:rPr>
        <w:t>ab externo</w:t>
      </w:r>
      <w:r>
        <w:rPr>
          <w:rFonts w:ascii="Arial" w:cs="Arial" w:eastAsia="Arial" w:hAnsi="Arial"/>
          <w:sz w:val="16"/>
          <w:szCs w:val="16"/>
          <w:color w:val="231F20"/>
        </w:rPr>
        <w:t xml:space="preserve"> glaucoma procedures into a sequential, </w:t>
      </w:r>
      <w:r>
        <w:rPr>
          <w:rFonts w:ascii="Arial" w:cs="Arial" w:eastAsia="Arial" w:hAnsi="Arial"/>
          <w:sz w:val="16"/>
          <w:szCs w:val="16"/>
          <w:i w:val="1"/>
          <w:iCs w:val="1"/>
          <w:color w:val="231F20"/>
        </w:rPr>
        <w:t xml:space="preserve">ab interno </w:t>
      </w:r>
      <w:r>
        <w:rPr>
          <w:rFonts w:ascii="Arial" w:cs="Arial" w:eastAsia="Arial" w:hAnsi="Arial"/>
          <w:sz w:val="16"/>
          <w:szCs w:val="16"/>
          <w:color w:val="231F20"/>
        </w:rPr>
        <w:t>minimally invasive glaucoma surgery, or MIGS, procedure. MIGS procedures are performed through a one to two millimeter clear corneal</w:t>
      </w:r>
      <w:r>
        <w:rPr>
          <w:rFonts w:ascii="Arial" w:cs="Arial" w:eastAsia="Arial" w:hAnsi="Arial"/>
          <w:sz w:val="16"/>
          <w:szCs w:val="16"/>
          <w:i w:val="1"/>
          <w:iCs w:val="1"/>
          <w:color w:val="231F20"/>
        </w:rPr>
        <w:t xml:space="preserve"> </w:t>
      </w:r>
      <w:r>
        <w:rPr>
          <w:rFonts w:ascii="Arial" w:cs="Arial" w:eastAsia="Arial" w:hAnsi="Arial"/>
          <w:sz w:val="16"/>
          <w:szCs w:val="16"/>
          <w:color w:val="231F20"/>
        </w:rPr>
        <w:t>incision similar to those used in cataract surgery for intraocular access and have a strong demonstrated safety profile, characterized by minimal trauma to the eye and quick patient recovery times. The FDA has authorized the use of OMNI for reducing IOP in all adult POAG patients both by itself on a standalone basis, which we refer to as Standalone procedures, or in combination with cataract surgery, which we refer to as Combination Cataract procedures. Several competing MIGS devices, including the current market leaders, have only been authorized by the FDA for use in Combination Cataract procedures for adult patients with Mild-to-Moderate severity. We estimate that over 85% of the U.S. addressable market opportunity for POAG cannot be served with Combination Cataract procedures because less than 15% of POAG patients receive cataract surgery in any given year.</w:t>
      </w:r>
    </w:p>
    <w:p>
      <w:pPr>
        <w:spacing w:after="0" w:line="167" w:lineRule="exact"/>
        <w:rPr>
          <w:sz w:val="20"/>
          <w:szCs w:val="20"/>
          <w:color w:val="auto"/>
        </w:rPr>
      </w:pPr>
    </w:p>
    <w:p>
      <w:pPr>
        <w:ind w:right="40" w:firstLine="419"/>
        <w:spacing w:after="0" w:line="270" w:lineRule="auto"/>
        <w:rPr>
          <w:sz w:val="20"/>
          <w:szCs w:val="20"/>
          <w:color w:val="auto"/>
        </w:rPr>
      </w:pPr>
      <w:r>
        <w:rPr>
          <w:rFonts w:ascii="Arial" w:cs="Arial" w:eastAsia="Arial" w:hAnsi="Arial"/>
          <w:sz w:val="17"/>
          <w:szCs w:val="17"/>
          <w:color w:val="231F20"/>
        </w:rPr>
        <w:t>We believe that OMNI delivers the highest level of effectiveness of any available MIGS product, as it is the only device that provides access to 360 degrees of the diseased conventional outflow pathway and can address all three primary points of resistance in the conventional outflow pathway (trabecular meshwork, Schlemm’s canal, and the distal collector channels), through a single clear corneal incision.</w:t>
      </w:r>
    </w:p>
    <w:p>
      <w:pPr>
        <w:spacing w:after="0" w:line="164" w:lineRule="exact"/>
        <w:rPr>
          <w:sz w:val="20"/>
          <w:szCs w:val="20"/>
          <w:color w:val="auto"/>
        </w:rPr>
      </w:pPr>
    </w:p>
    <w:p>
      <w:pPr>
        <w:ind w:right="160" w:firstLine="419"/>
        <w:spacing w:after="0" w:line="261" w:lineRule="auto"/>
        <w:rPr>
          <w:sz w:val="20"/>
          <w:szCs w:val="20"/>
          <w:color w:val="auto"/>
        </w:rPr>
      </w:pPr>
      <w:r>
        <w:rPr>
          <w:rFonts w:ascii="Arial" w:cs="Arial" w:eastAsia="Arial" w:hAnsi="Arial"/>
          <w:sz w:val="18"/>
          <w:szCs w:val="18"/>
          <w:color w:val="231F20"/>
        </w:rPr>
        <w:t>OMNI’s indication for use, which we believe is among the most comprehensive in MIGS, was cleared by the FDA in March 2021 based upon the review of clinical data from ROMEO, our U.S. multi-center clinical study of OMNI in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4" w:right="399" w:bottom="1440" w:gutter="0" w:footer="0" w:header="0"/>
        </w:sectPr>
      </w:pPr>
    </w:p>
    <w:bookmarkStart w:id="6" w:name="page7"/>
    <w:bookmarkEnd w:id="6"/>
    <w:p>
      <w:pPr>
        <w:spacing w:after="0" w:line="252" w:lineRule="auto"/>
        <w:rPr>
          <w:sz w:val="20"/>
          <w:szCs w:val="20"/>
          <w:color w:val="auto"/>
        </w:rPr>
      </w:pPr>
      <w:r>
        <w:rPr>
          <w:rFonts w:ascii="Arial" w:cs="Arial" w:eastAsia="Arial" w:hAnsi="Arial"/>
          <w:sz w:val="17"/>
          <w:szCs w:val="17"/>
          <w:color w:val="231F20"/>
        </w:rPr>
        <w:t>Combination Cataract and Standalone procedures. OMNI has received 510(k) clearance from the FDA and a CE mark to be marketed in the U.S. and the European Union, or EU, respectively, for canaloplasty (microcatheterization and transluminal viscodilation of Schlemm’s canal) followed by trabeculotomy (cutting of trabecular meshwork) to reduce IOP in adult patients with POAG in the U.S. or with open-angle glaucoma, or OAG, in the EU. OMNI is cleared by the FDA to lower IOP in both Combination Cataract and Standalone cases for all adults with POAG. By comparison, trabecular bypass stents are indicated for use only in Combination Cataract procedures for patients with Mild-to-Moderate severity in the U.S. Trabecular bypass stents were the first MIGS implant devices to be authorized by the FDA. We believe the combination of their restricted indication for use and their market leadership position has unnaturally skewed the U.S. MIGS market towards Combination Cataract procedures. In November 2021, the FDA granted an Investigational Device Exemption, or IDE, authorizing us to conduct a clinical study, which we refer to as PRECISION, to assess the safety and effectiveness of a new, higher volume investigational OMNI device to perform canaloplasty alone to lower IOP in adults with POAG. We are conducting this canaloplasty alone IDE trial to support a premarket notification to the FDA seeking clearance for use to perform canaloplasty-alone procedures in adults with POAG.</w:t>
      </w:r>
    </w:p>
    <w:p>
      <w:pPr>
        <w:spacing w:after="0" w:line="186" w:lineRule="exact"/>
        <w:rPr>
          <w:sz w:val="20"/>
          <w:szCs w:val="20"/>
          <w:color w:val="auto"/>
        </w:rPr>
      </w:pPr>
    </w:p>
    <w:p>
      <w:pPr>
        <w:ind w:right="140" w:firstLine="419"/>
        <w:spacing w:after="0" w:line="238" w:lineRule="auto"/>
        <w:rPr>
          <w:sz w:val="20"/>
          <w:szCs w:val="20"/>
          <w:color w:val="auto"/>
        </w:rPr>
      </w:pPr>
      <w:r>
        <w:rPr>
          <w:rFonts w:ascii="Arial" w:cs="Arial" w:eastAsia="Arial" w:hAnsi="Arial"/>
          <w:sz w:val="18"/>
          <w:szCs w:val="18"/>
          <w:color w:val="231F20"/>
        </w:rPr>
        <w:t>Our goal is to establish OMNI as the standard of care for all POAG patients by continuing to grow its adoption and utilization in the existing Combination Cataract market segment, which we believe remains underpenetrated and estimate is capturing less than one-third of its current potential procedural volume, and by pioneering the development of the Standalone market segment (over 85% of the potential U.S. POAG market). We believe the consistent therapeutic outcomes OMNI delivers are important for patients and surgeons alike, especially those considering a Standalone MIGS procedure. For patients, we believe the anxiety that may accompany the need for ocular surgery can be tempered by driving education and awareness of these consistent outcomes. For surgeons, consistent outcomes simplify the treatment choice and the decision to perform a procedure. We believe delivering consistently effective results will be crucial to unlocking the Standalone market, as well as capitalizing on the full potential of the Combination Cataract market.</w:t>
      </w:r>
    </w:p>
    <w:p>
      <w:pPr>
        <w:spacing w:after="0" w:line="194" w:lineRule="exact"/>
        <w:rPr>
          <w:sz w:val="20"/>
          <w:szCs w:val="20"/>
          <w:color w:val="auto"/>
        </w:rPr>
      </w:pPr>
    </w:p>
    <w:p>
      <w:pPr>
        <w:ind w:firstLine="419"/>
        <w:spacing w:after="0" w:line="253" w:lineRule="auto"/>
        <w:rPr>
          <w:sz w:val="20"/>
          <w:szCs w:val="20"/>
          <w:color w:val="auto"/>
        </w:rPr>
      </w:pPr>
      <w:r>
        <w:rPr>
          <w:rFonts w:ascii="Arial" w:cs="Arial" w:eastAsia="Arial" w:hAnsi="Arial"/>
          <w:sz w:val="17"/>
          <w:szCs w:val="17"/>
          <w:color w:val="231F20"/>
        </w:rPr>
        <w:t>After receiving our initial FDA 510(k) clearance for OMNI in late 2017, we began the commercial sale of the device in February 2018. We primarily sell OMNI in the U.S. through our dedicated Surgical Glaucoma sales team. Our commercial strategy for OMNI centers on building confidence and conviction amongst the glaucoma community through continued execution of our clinical trials and publishing their results in peer- reviewed journals. In addition, our highly involved sales and training model serves to promote a world-class surgical experience and identify additional OMNI use cases within its cleared indication, including in additional Standalone procedures and across all addressable POAG severities. The procedure enabled by OMNI, canaloplasty followed by trabeculotomy, is covered and reimbursed by all Medicare Administrative Contractors, or MACs, and numerous private insurers, covering an estimated 74% of U.S. POAG sufferers. Designed for use in well-established clinical procedures, and with advantages that have been observed to promote safe, effective and highly consistent clinical outcomes, we believe that OMNI has the potential to establish a more proactive, interventional paradigm for IOP reduction in POAG. Our Surgical Glaucoma segment, which includes OMNI, represented 95% of our total revenues for the year ended December 31, 2021.</w:t>
      </w:r>
    </w:p>
    <w:p>
      <w:pPr>
        <w:spacing w:after="0" w:line="180" w:lineRule="exact"/>
        <w:rPr>
          <w:sz w:val="20"/>
          <w:szCs w:val="20"/>
          <w:color w:val="auto"/>
        </w:rPr>
      </w:pPr>
    </w:p>
    <w:p>
      <w:pPr>
        <w:ind w:right="20" w:firstLine="419"/>
        <w:spacing w:after="0" w:line="239" w:lineRule="auto"/>
        <w:rPr>
          <w:sz w:val="20"/>
          <w:szCs w:val="20"/>
          <w:color w:val="auto"/>
        </w:rPr>
      </w:pPr>
      <w:r>
        <w:rPr>
          <w:rFonts w:ascii="Arial" w:cs="Arial" w:eastAsia="Arial" w:hAnsi="Arial"/>
          <w:sz w:val="18"/>
          <w:szCs w:val="18"/>
          <w:color w:val="231F20"/>
        </w:rPr>
        <w:t>The TearCare System, or TearCare, is a unique open-eye heating and expression device designed to melt and remove meibomian gland obstructions. We believe TearCare has a compelling physiological profile to address obstruction from meibomian gland disease, or MGD, which is the primary cause of evaporative DED, a disease characterized by low quality tears that evaporate prematurely. Dry eye complaints are the most common reason for a patient visit to an eye doctor. There are an estimated 739 million people globally who suffer from DED. DED is the most common reason for a patient visit to an eye doctor, yet of the 38 million people with DED in the U.S., only an estimated 17 million have been diagnosed with DED. Dry eye symptoms have a significant impact on the quality of life and productivity of patients suffering from DED. If left untreated, DED can be extremely painful, leading to permanent cornea damage and vision impairment.</w:t>
      </w:r>
    </w:p>
    <w:p>
      <w:pPr>
        <w:spacing w:after="0" w:line="191" w:lineRule="exact"/>
        <w:rPr>
          <w:sz w:val="20"/>
          <w:szCs w:val="20"/>
          <w:color w:val="auto"/>
        </w:rPr>
      </w:pPr>
    </w:p>
    <w:p>
      <w:pPr>
        <w:ind w:right="60" w:firstLine="419"/>
        <w:spacing w:after="0" w:line="274" w:lineRule="auto"/>
        <w:rPr>
          <w:sz w:val="20"/>
          <w:szCs w:val="20"/>
          <w:color w:val="auto"/>
        </w:rPr>
      </w:pPr>
      <w:r>
        <w:rPr>
          <w:rFonts w:ascii="Arial" w:cs="Arial" w:eastAsia="Arial" w:hAnsi="Arial"/>
          <w:sz w:val="16"/>
          <w:szCs w:val="16"/>
          <w:color w:val="231F20"/>
        </w:rPr>
        <w:t>Studies have shown that evaporative DED resulting from MGD is associated with approximately 86% of all DED cases. In healthy eyes, there are 25-30 meibomian glands located within each of the upper and lower eyelids. These glands produce and secrete an oily substance called meibum which forms the outer layer of healthy tears, which is also known as the lipid layer. Meibum normally has an olive oil-like consistency and contributes a vital element of the tear film that prevents premature tear evaporation. In patients with MGD, meibum hardens within the glands causing obstructions that can partially or completely block the oily secretions from reaching the tear film. The resulting compromised outer surface of the tear leads to accelerated tear evaporation and DED. Third-party clinical studies have also demonstrated that treating MGD by liquefying and removing clogged meibum is the most effective method of eliminating obstructions and restoring a healthy tear film lipid layer, thereby preventing premature evaporation of tears.</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7" w:name="page8"/>
    <w:bookmarkEnd w:id="7"/>
    <w:p>
      <w:pPr>
        <w:ind w:firstLine="419"/>
        <w:spacing w:after="0" w:line="252" w:lineRule="auto"/>
        <w:rPr>
          <w:sz w:val="20"/>
          <w:szCs w:val="20"/>
          <w:color w:val="auto"/>
        </w:rPr>
      </w:pPr>
      <w:r>
        <w:rPr>
          <w:rFonts w:ascii="Arial" w:cs="Arial" w:eastAsia="Arial" w:hAnsi="Arial"/>
          <w:sz w:val="17"/>
          <w:szCs w:val="17"/>
          <w:color w:val="231F20"/>
        </w:rPr>
        <w:t>TearCare is designed to enable ECPs to heat and liquefy meibomian gland blockages, followed promptly by manual, comprehensive clearing of these blockages with a separate clearance tool. We developed TearCare to serve as an elegant, compact, portable, and intuitive solution comprised of a reusable hardware controller, the SmartHub, and a breakthrough, wearable, software-controlled eyelid technology, the SmartLids. Applied adhesively and non-invasively to the outside of the eyelids, single-use SmartLids deliver a precise therapeutic level of heat into the meibomian glands. Engineering SmartLids to remain comfortably adhered to virtually all shapes and sizes of eyelids while allowing freedom to blink and delivering precise therapeutic heat is one of our most significant design accomplishments. This heating process follows clinically proven guidelines for temperature and duration required to melt obstructions in the glands and restore the production and secretion of healthy, clear meibum onto the tear surface. The proprietary, highly conformant, open-eye design of TearCare allows patients to blink naturally throughout the thermal portion of the procedure, which provides a comfortable patient experience. TearCare can be utilized by an ECP in a straightforward in-office procedure and can be accommodated during the course of a routine patient visit. Additionally, TearCare does not require a large capital equipment investment by ECPs, and we believe that it offers an attractive economic value proposition to providers, patients and third- party payors.</w:t>
      </w:r>
    </w:p>
    <w:p>
      <w:pPr>
        <w:spacing w:after="0" w:line="186" w:lineRule="exact"/>
        <w:rPr>
          <w:sz w:val="20"/>
          <w:szCs w:val="20"/>
          <w:color w:val="auto"/>
        </w:rPr>
      </w:pPr>
    </w:p>
    <w:p>
      <w:pPr>
        <w:ind w:right="20" w:firstLine="419"/>
        <w:spacing w:after="0" w:line="241" w:lineRule="auto"/>
        <w:rPr>
          <w:sz w:val="20"/>
          <w:szCs w:val="20"/>
          <w:color w:val="auto"/>
        </w:rPr>
      </w:pPr>
      <w:r>
        <w:rPr>
          <w:rFonts w:ascii="Arial" w:cs="Arial" w:eastAsia="Arial" w:hAnsi="Arial"/>
          <w:sz w:val="18"/>
          <w:szCs w:val="18"/>
          <w:color w:val="231F20"/>
        </w:rPr>
        <w:t>In OLYMPIA, our large multi-center, randomized control trial, or RCT, TearCare was associated with statistically significant clinical improvements in all assessed signs and symptoms of DED. This included tear breakup time, or TBUT, and meibomian gland secretion score, or MGSS, objective measurements of DED that were the trial’s primary endpoints, as well as patient-reported symptoms surveys, including Ehlers Danlos syndrome, or EDS, ocular surface disease index, or OSDI, and symptom assessment in dry eye, or SANDE, at all time periods measured (both two weeks and four weeks post-treatment).</w:t>
      </w:r>
    </w:p>
    <w:p>
      <w:pPr>
        <w:spacing w:after="0" w:line="189" w:lineRule="exact"/>
        <w:rPr>
          <w:sz w:val="20"/>
          <w:szCs w:val="20"/>
          <w:color w:val="auto"/>
        </w:rPr>
      </w:pPr>
    </w:p>
    <w:p>
      <w:pPr>
        <w:ind w:right="20" w:firstLine="419"/>
        <w:spacing w:after="0"/>
        <w:rPr>
          <w:sz w:val="20"/>
          <w:szCs w:val="20"/>
          <w:color w:val="auto"/>
        </w:rPr>
      </w:pPr>
      <w:r>
        <w:rPr>
          <w:rFonts w:ascii="Arial" w:cs="Arial" w:eastAsia="Arial" w:hAnsi="Arial"/>
          <w:sz w:val="18"/>
          <w:szCs w:val="18"/>
          <w:color w:val="231F20"/>
        </w:rPr>
        <w:t>We believe the MGD market requires additional ECP and patient education, including clinical data to differentiate procedural and product alternatives, and enhanced patient access through the potential advancement of reimbursement coverage. Our goals with the development of TearCare are to fully transform the current outdated treatment paradigm based primarily on over-the-counter, or OTC, and prescription eyedrops which do not address obstruction of the meibomian glands, the primary root cause of MGD, and establish use of TearCare as the standard of care for the millions of patients suffering from evaporative DED caused by MGD. Revenues from our Dry Eye segment, which includes TearCare and related accessories, represented 5% of our total revenues for the year ended December 31, 2021</w:t>
      </w:r>
    </w:p>
    <w:p>
      <w:pPr>
        <w:spacing w:after="0" w:line="189" w:lineRule="exact"/>
        <w:rPr>
          <w:sz w:val="20"/>
          <w:szCs w:val="20"/>
          <w:color w:val="auto"/>
        </w:rPr>
      </w:pPr>
    </w:p>
    <w:p>
      <w:pPr>
        <w:ind w:right="80" w:firstLine="419"/>
        <w:spacing w:after="0" w:line="248" w:lineRule="auto"/>
        <w:rPr>
          <w:sz w:val="20"/>
          <w:szCs w:val="20"/>
          <w:color w:val="auto"/>
        </w:rPr>
      </w:pPr>
      <w:r>
        <w:rPr>
          <w:rFonts w:ascii="Arial" w:cs="Arial" w:eastAsia="Arial" w:hAnsi="Arial"/>
          <w:sz w:val="18"/>
          <w:szCs w:val="18"/>
          <w:color w:val="231F20"/>
        </w:rPr>
        <w:t>In December 2021, the FDA cleared TearCare for the application of localized heat therapy in adult patients with evaporative DED due to MGD, when used in conjunction with manual expression of the meibomian glands. We modified our commercial efforts to incorporate this expanded indication for use, which we believe will make TearCare more attractive to our customers and their patients.</w:t>
      </w:r>
    </w:p>
    <w:p>
      <w:pPr>
        <w:spacing w:after="0" w:line="182" w:lineRule="exact"/>
        <w:rPr>
          <w:sz w:val="20"/>
          <w:szCs w:val="20"/>
          <w:color w:val="auto"/>
        </w:rPr>
      </w:pPr>
    </w:p>
    <w:p>
      <w:pPr>
        <w:ind w:right="180" w:firstLine="419"/>
        <w:spacing w:after="0" w:line="248" w:lineRule="auto"/>
        <w:rPr>
          <w:sz w:val="20"/>
          <w:szCs w:val="20"/>
          <w:color w:val="auto"/>
        </w:rPr>
      </w:pPr>
      <w:r>
        <w:rPr>
          <w:rFonts w:ascii="Arial" w:cs="Arial" w:eastAsia="Arial" w:hAnsi="Arial"/>
          <w:sz w:val="18"/>
          <w:szCs w:val="18"/>
          <w:color w:val="231F20"/>
        </w:rPr>
        <w:t>We focus on continuous innovation and seek regular input from our network of expert employees (including several ophthalmologists on staff), advisors and customers to rapidly iterate our pre- and post-commercial product designs with the aim of better satisfying the needs of our customers and their patients, and increasing adoption and utilization of our solutions.</w:t>
      </w:r>
    </w:p>
    <w:p>
      <w:pPr>
        <w:spacing w:after="0" w:line="182" w:lineRule="exact"/>
        <w:rPr>
          <w:sz w:val="20"/>
          <w:szCs w:val="20"/>
          <w:color w:val="auto"/>
        </w:rPr>
      </w:pPr>
    </w:p>
    <w:p>
      <w:pPr>
        <w:ind w:right="340" w:firstLine="419"/>
        <w:spacing w:after="0" w:line="243" w:lineRule="auto"/>
        <w:rPr>
          <w:sz w:val="20"/>
          <w:szCs w:val="20"/>
          <w:color w:val="auto"/>
        </w:rPr>
      </w:pPr>
      <w:r>
        <w:rPr>
          <w:rFonts w:ascii="Arial" w:cs="Arial" w:eastAsia="Arial" w:hAnsi="Arial"/>
          <w:sz w:val="18"/>
          <w:szCs w:val="18"/>
          <w:color w:val="231F20"/>
        </w:rPr>
        <w:t>Our ability to continuously and rapidly innovate our products is a core competency of our company. Our product innovation has resulted in a comprehensive portfolio of 30 issued U.S. patents, 45 issued patents outside of the U.S. (including five issued European patents and their national validations), 19 pending U.S. non-provisional patent applications, 18 pending foreign patent applications and two pending Patent Cooperation Treaty patent applications as of December 31, 2021.</w:t>
      </w:r>
    </w:p>
    <w:p>
      <w:pPr>
        <w:spacing w:after="0" w:line="188" w:lineRule="exact"/>
        <w:rPr>
          <w:sz w:val="20"/>
          <w:szCs w:val="20"/>
          <w:color w:val="auto"/>
        </w:rPr>
      </w:pPr>
    </w:p>
    <w:p>
      <w:pPr>
        <w:ind w:right="120" w:firstLine="419"/>
        <w:spacing w:after="0" w:line="243" w:lineRule="auto"/>
        <w:rPr>
          <w:sz w:val="20"/>
          <w:szCs w:val="20"/>
          <w:color w:val="auto"/>
        </w:rPr>
      </w:pPr>
      <w:r>
        <w:rPr>
          <w:rFonts w:ascii="Arial" w:cs="Arial" w:eastAsia="Arial" w:hAnsi="Arial"/>
          <w:sz w:val="18"/>
          <w:szCs w:val="18"/>
          <w:color w:val="231F20"/>
        </w:rPr>
        <w:t>The overall success of our innovative approach to eyecare to date has been confirmed by the over 85,000 estimated uses of OMNI and its direct predicates in over 1,200 hospitals and ambulatory service centers, or ASCs, in the U.S. and EU, and over 15,000 estimated uses of TearCare in over 550 eyecare facilities in the U.S. through December 31, 2021. We have experienced significant growth and market adoption since launching OMNI and are executing a long-term plan for further development of the market for TearCare.</w:t>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231F20"/>
        </w:rPr>
        <w:t>Our Solutions</w:t>
      </w:r>
    </w:p>
    <w:p>
      <w:pPr>
        <w:spacing w:after="0" w:line="216" w:lineRule="exact"/>
        <w:rPr>
          <w:sz w:val="20"/>
          <w:szCs w:val="20"/>
          <w:color w:val="auto"/>
        </w:rPr>
      </w:pPr>
    </w:p>
    <w:p>
      <w:pPr>
        <w:jc w:val="both"/>
        <w:ind w:right="280" w:firstLine="419"/>
        <w:spacing w:after="0" w:line="248" w:lineRule="auto"/>
        <w:rPr>
          <w:sz w:val="20"/>
          <w:szCs w:val="20"/>
          <w:color w:val="auto"/>
        </w:rPr>
      </w:pPr>
      <w:r>
        <w:rPr>
          <w:rFonts w:ascii="Arial" w:cs="Arial" w:eastAsia="Arial" w:hAnsi="Arial"/>
          <w:sz w:val="18"/>
          <w:szCs w:val="18"/>
          <w:color w:val="231F20"/>
        </w:rPr>
        <w:t>We have designed OMNI and TearCare to be interventional ophthalmology devices. We believe that both glaucoma and DED are significantly underserved by current treatment offerings and that there are large market opportunities for effective solutions that restore the natural functionality of diseased eyes.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Product Development Approach</w:t>
      </w:r>
    </w:p>
    <w:p>
      <w:pPr>
        <w:spacing w:after="0" w:line="212" w:lineRule="exact"/>
        <w:rPr>
          <w:sz w:val="20"/>
          <w:szCs w:val="20"/>
          <w:color w:val="auto"/>
        </w:rPr>
      </w:pPr>
    </w:p>
    <w:p>
      <w:pPr>
        <w:jc w:val="both"/>
        <w:ind w:firstLine="419"/>
        <w:spacing w:after="0" w:line="324" w:lineRule="auto"/>
        <w:rPr>
          <w:sz w:val="20"/>
          <w:szCs w:val="20"/>
          <w:color w:val="auto"/>
        </w:rPr>
      </w:pPr>
      <w:r>
        <w:rPr>
          <w:rFonts w:ascii="Arial" w:cs="Arial" w:eastAsia="Arial" w:hAnsi="Arial"/>
          <w:sz w:val="16"/>
          <w:szCs w:val="16"/>
          <w:color w:val="231F20"/>
        </w:rPr>
        <w:t>The past, current, and ongoing development of OMNI and TearCare follows our internal product development approach, which is governed by four fundamental requirements that we believe are critical to delivering the most effective, safe and consistent clinical outcomes for patients with eye disease.</w:t>
      </w:r>
    </w:p>
    <w:p>
      <w:pPr>
        <w:spacing w:after="0" w:line="120" w:lineRule="exact"/>
        <w:rPr>
          <w:sz w:val="20"/>
          <w:szCs w:val="20"/>
          <w:color w:val="auto"/>
        </w:rPr>
      </w:pPr>
    </w:p>
    <w:p>
      <w:pPr>
        <w:ind w:left="820" w:right="380" w:hanging="303"/>
        <w:spacing w:after="0" w:line="329" w:lineRule="auto"/>
        <w:tabs>
          <w:tab w:leader="none" w:pos="820" w:val="left"/>
        </w:tabs>
        <w:numPr>
          <w:ilvl w:val="0"/>
          <w:numId w:val="6"/>
        </w:numPr>
        <w:rPr>
          <w:rFonts w:ascii="Arial" w:cs="Arial" w:eastAsia="Arial" w:hAnsi="Arial"/>
          <w:sz w:val="16"/>
          <w:szCs w:val="16"/>
          <w:color w:val="231F20"/>
        </w:rPr>
      </w:pPr>
      <w:r>
        <w:rPr>
          <w:rFonts w:ascii="Arial" w:cs="Arial" w:eastAsia="Arial" w:hAnsi="Arial"/>
          <w:sz w:val="16"/>
          <w:szCs w:val="16"/>
          <w:b w:val="1"/>
          <w:bCs w:val="1"/>
          <w:color w:val="231F20"/>
        </w:rPr>
        <w:t xml:space="preserve">Comprehensive Understanding of Disease Physiology. </w:t>
      </w:r>
      <w:r>
        <w:rPr>
          <w:rFonts w:ascii="Arial" w:cs="Arial" w:eastAsia="Arial" w:hAnsi="Arial"/>
          <w:sz w:val="16"/>
          <w:szCs w:val="16"/>
          <w:color w:val="231F20"/>
        </w:rPr>
        <w:t>We review and analyze all available clinical data, science, and literature that is</w:t>
      </w:r>
      <w:r>
        <w:rPr>
          <w:rFonts w:ascii="Arial" w:cs="Arial" w:eastAsia="Arial" w:hAnsi="Arial"/>
          <w:sz w:val="16"/>
          <w:szCs w:val="16"/>
          <w:b w:val="1"/>
          <w:bCs w:val="1"/>
          <w:color w:val="231F20"/>
        </w:rPr>
        <w:t xml:space="preserve"> </w:t>
      </w:r>
      <w:r>
        <w:rPr>
          <w:rFonts w:ascii="Arial" w:cs="Arial" w:eastAsia="Arial" w:hAnsi="Arial"/>
          <w:sz w:val="16"/>
          <w:szCs w:val="16"/>
          <w:color w:val="231F20"/>
        </w:rPr>
        <w:t>relevant to a disease to achieve a sound understanding of its underlying cause(s), which guides the development of our products.</w:t>
      </w:r>
    </w:p>
    <w:p>
      <w:pPr>
        <w:spacing w:after="0" w:line="8" w:lineRule="exact"/>
        <w:rPr>
          <w:rFonts w:ascii="Arial" w:cs="Arial" w:eastAsia="Arial" w:hAnsi="Arial"/>
          <w:sz w:val="16"/>
          <w:szCs w:val="16"/>
          <w:color w:val="231F20"/>
        </w:rPr>
      </w:pPr>
    </w:p>
    <w:p>
      <w:pPr>
        <w:ind w:left="800" w:right="740" w:hanging="283"/>
        <w:spacing w:after="0" w:line="250" w:lineRule="auto"/>
        <w:tabs>
          <w:tab w:leader="none" w:pos="80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231F20"/>
        </w:rPr>
        <w:t xml:space="preserve">Treatment of Underlying Causes. </w:t>
      </w:r>
      <w:r>
        <w:rPr>
          <w:rFonts w:ascii="Arial" w:cs="Arial" w:eastAsia="Arial" w:hAnsi="Arial"/>
          <w:sz w:val="18"/>
          <w:szCs w:val="18"/>
          <w:color w:val="231F20"/>
        </w:rPr>
        <w:t>Healthy eyes are self-regulating marvels of evolution, biomechanics, chemistry and physiology.</w:t>
      </w:r>
      <w:r>
        <w:rPr>
          <w:rFonts w:ascii="Arial" w:cs="Arial" w:eastAsia="Arial" w:hAnsi="Arial"/>
          <w:sz w:val="18"/>
          <w:szCs w:val="18"/>
          <w:b w:val="1"/>
          <w:bCs w:val="1"/>
          <w:color w:val="231F20"/>
        </w:rPr>
        <w:t xml:space="preserve"> </w:t>
      </w:r>
      <w:r>
        <w:rPr>
          <w:rFonts w:ascii="Arial" w:cs="Arial" w:eastAsia="Arial" w:hAnsi="Arial"/>
          <w:sz w:val="18"/>
          <w:szCs w:val="18"/>
          <w:color w:val="231F20"/>
        </w:rPr>
        <w:t>We believe that restoring the natural functionality of diseased eyes by comprehensively treating underlying cause(s) of disease provides the optimal combination of effectiveness and safety.</w:t>
      </w:r>
    </w:p>
    <w:p>
      <w:pPr>
        <w:spacing w:after="0" w:line="68" w:lineRule="exact"/>
        <w:rPr>
          <w:rFonts w:ascii="Arial" w:cs="Arial" w:eastAsia="Arial" w:hAnsi="Arial"/>
          <w:sz w:val="18"/>
          <w:szCs w:val="18"/>
          <w:color w:val="231F20"/>
        </w:rPr>
      </w:pPr>
    </w:p>
    <w:p>
      <w:pPr>
        <w:ind w:left="820" w:right="280" w:hanging="303"/>
        <w:spacing w:after="0" w:line="250" w:lineRule="auto"/>
        <w:tabs>
          <w:tab w:leader="none" w:pos="82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231F20"/>
        </w:rPr>
        <w:t xml:space="preserve">Intuitive Design. </w:t>
      </w:r>
      <w:r>
        <w:rPr>
          <w:rFonts w:ascii="Arial" w:cs="Arial" w:eastAsia="Arial" w:hAnsi="Arial"/>
          <w:sz w:val="18"/>
          <w:szCs w:val="18"/>
          <w:color w:val="231F20"/>
        </w:rPr>
        <w:t>Our products are designed to transform complex, impractical or invasive treatment approaches into intuitive, minimally</w:t>
      </w:r>
      <w:r>
        <w:rPr>
          <w:rFonts w:ascii="Arial" w:cs="Arial" w:eastAsia="Arial" w:hAnsi="Arial"/>
          <w:sz w:val="18"/>
          <w:szCs w:val="18"/>
          <w:b w:val="1"/>
          <w:bCs w:val="1"/>
          <w:color w:val="231F20"/>
        </w:rPr>
        <w:t xml:space="preserve"> </w:t>
      </w:r>
      <w:r>
        <w:rPr>
          <w:rFonts w:ascii="Arial" w:cs="Arial" w:eastAsia="Arial" w:hAnsi="Arial"/>
          <w:sz w:val="18"/>
          <w:szCs w:val="18"/>
          <w:color w:val="231F20"/>
        </w:rPr>
        <w:t>invasive, user-friendly procedures. Our product development goals are focused on delivering a preferred “go to” treatment of choice for ophthalmologists and optometrists.</w:t>
      </w:r>
    </w:p>
    <w:p>
      <w:pPr>
        <w:spacing w:after="0" w:line="68" w:lineRule="exact"/>
        <w:rPr>
          <w:rFonts w:ascii="Arial" w:cs="Arial" w:eastAsia="Arial" w:hAnsi="Arial"/>
          <w:sz w:val="18"/>
          <w:szCs w:val="18"/>
          <w:color w:val="231F20"/>
        </w:rPr>
      </w:pPr>
    </w:p>
    <w:p>
      <w:pPr>
        <w:ind w:left="820" w:right="180" w:hanging="303"/>
        <w:spacing w:after="0" w:line="286" w:lineRule="auto"/>
        <w:tabs>
          <w:tab w:leader="none" w:pos="820" w:val="left"/>
        </w:tabs>
        <w:numPr>
          <w:ilvl w:val="0"/>
          <w:numId w:val="6"/>
        </w:numPr>
        <w:rPr>
          <w:rFonts w:ascii="Arial" w:cs="Arial" w:eastAsia="Arial" w:hAnsi="Arial"/>
          <w:sz w:val="16"/>
          <w:szCs w:val="16"/>
          <w:color w:val="231F20"/>
        </w:rPr>
      </w:pPr>
      <w:r>
        <w:rPr>
          <w:rFonts w:ascii="Arial" w:cs="Arial" w:eastAsia="Arial" w:hAnsi="Arial"/>
          <w:sz w:val="16"/>
          <w:szCs w:val="16"/>
          <w:b w:val="1"/>
          <w:bCs w:val="1"/>
          <w:color w:val="231F20"/>
        </w:rPr>
        <w:t xml:space="preserve">Patient Access. </w:t>
      </w:r>
      <w:r>
        <w:rPr>
          <w:rFonts w:ascii="Arial" w:cs="Arial" w:eastAsia="Arial" w:hAnsi="Arial"/>
          <w:sz w:val="16"/>
          <w:szCs w:val="16"/>
          <w:color w:val="231F20"/>
        </w:rPr>
        <w:t>We seek to maximize availability and accessibility of our products for as many patients as possible. We believe that our</w:t>
      </w:r>
      <w:r>
        <w:rPr>
          <w:rFonts w:ascii="Arial" w:cs="Arial" w:eastAsia="Arial" w:hAnsi="Arial"/>
          <w:sz w:val="16"/>
          <w:szCs w:val="16"/>
          <w:b w:val="1"/>
          <w:bCs w:val="1"/>
          <w:color w:val="231F20"/>
        </w:rPr>
        <w:t xml:space="preserve"> </w:t>
      </w:r>
      <w:r>
        <w:rPr>
          <w:rFonts w:ascii="Arial" w:cs="Arial" w:eastAsia="Arial" w:hAnsi="Arial"/>
          <w:sz w:val="16"/>
          <w:szCs w:val="16"/>
          <w:color w:val="231F20"/>
        </w:rPr>
        <w:t>devices have the potential to offer differentiated clinical, experiential and economic value to all eyecare stakeholders. For conditions where patients lack optimal treatment access due to insurance coverage limitations or difficult patient-pay economics, we plan to demonstrate the value proposition of our solutions through data from rigorous clinical trial data and real-world results to improve access.</w:t>
      </w:r>
    </w:p>
    <w:p>
      <w:pPr>
        <w:spacing w:after="0" w:line="45" w:lineRule="exact"/>
        <w:rPr>
          <w:sz w:val="20"/>
          <w:szCs w:val="20"/>
          <w:color w:val="auto"/>
        </w:rPr>
      </w:pPr>
    </w:p>
    <w:p>
      <w:pPr>
        <w:jc w:val="both"/>
        <w:ind w:right="20" w:firstLine="419"/>
        <w:spacing w:after="0" w:line="284" w:lineRule="auto"/>
        <w:rPr>
          <w:sz w:val="20"/>
          <w:szCs w:val="20"/>
          <w:color w:val="auto"/>
        </w:rPr>
      </w:pPr>
      <w:r>
        <w:rPr>
          <w:rFonts w:ascii="Arial" w:cs="Arial" w:eastAsia="Arial" w:hAnsi="Arial"/>
          <w:sz w:val="16"/>
          <w:szCs w:val="16"/>
          <w:color w:val="231F20"/>
        </w:rPr>
        <w:t>We aim and expect to be a clinical leader in every eyecare segment we enter and seek to achieve all four criteria in any of our product development projects. From device ideation to commercialization, we take into consideration the perspectives of patients, providers and third-party payors throughout our product development process. When possible, we seek to streamline our product commercialization process by judiciously designing our products to achieve the most efficient routes for FDA clearance or authorization for each applicable indication and reimbursement coverage by third-party payors.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OMNI Surgical System</w:t>
      </w:r>
    </w:p>
    <w:p>
      <w:pPr>
        <w:spacing w:after="0" w:line="212" w:lineRule="exact"/>
        <w:rPr>
          <w:sz w:val="20"/>
          <w:szCs w:val="20"/>
          <w:color w:val="auto"/>
        </w:rPr>
      </w:pPr>
    </w:p>
    <w:p>
      <w:pPr>
        <w:ind w:right="380" w:firstLine="419"/>
        <w:spacing w:after="0" w:line="291" w:lineRule="auto"/>
        <w:rPr>
          <w:sz w:val="20"/>
          <w:szCs w:val="20"/>
          <w:color w:val="auto"/>
        </w:rPr>
      </w:pPr>
      <w:r>
        <w:rPr>
          <w:rFonts w:ascii="Arial" w:cs="Arial" w:eastAsia="Arial" w:hAnsi="Arial"/>
          <w:sz w:val="17"/>
          <w:szCs w:val="17"/>
          <w:color w:val="231F20"/>
        </w:rPr>
        <w:t>OMNI is a handheld, single use, therapeutic device for minimally invasive glaucoma surgery, or MIGS. OMNI is designed to restore the eye’s natural drainage system without compromising the structural integrity of the eye or leaving implants behind post-surgery.</w:t>
      </w:r>
    </w:p>
    <w:p>
      <w:pPr>
        <w:spacing w:after="0" w:line="147" w:lineRule="exact"/>
        <w:rPr>
          <w:sz w:val="20"/>
          <w:szCs w:val="20"/>
          <w:color w:val="auto"/>
        </w:rPr>
      </w:pPr>
    </w:p>
    <w:p>
      <w:pPr>
        <w:ind w:right="40" w:firstLine="419"/>
        <w:spacing w:after="0" w:line="270" w:lineRule="auto"/>
        <w:rPr>
          <w:sz w:val="20"/>
          <w:szCs w:val="20"/>
          <w:color w:val="auto"/>
        </w:rPr>
      </w:pPr>
      <w:r>
        <w:rPr>
          <w:rFonts w:ascii="Arial" w:cs="Arial" w:eastAsia="Arial" w:hAnsi="Arial"/>
          <w:sz w:val="16"/>
          <w:szCs w:val="16"/>
          <w:color w:val="231F20"/>
        </w:rPr>
        <w:t xml:space="preserve">We believe that OMNI is the first and only MIGS device that the FDA has indicated for </w:t>
      </w:r>
      <w:r>
        <w:rPr>
          <w:rFonts w:ascii="Arial" w:cs="Arial" w:eastAsia="Arial" w:hAnsi="Arial"/>
          <w:sz w:val="16"/>
          <w:szCs w:val="16"/>
          <w:i w:val="1"/>
          <w:iCs w:val="1"/>
          <w:color w:val="231F20"/>
        </w:rPr>
        <w:t>ab interno</w:t>
      </w:r>
      <w:r>
        <w:rPr>
          <w:rFonts w:ascii="Arial" w:cs="Arial" w:eastAsia="Arial" w:hAnsi="Arial"/>
          <w:sz w:val="16"/>
          <w:szCs w:val="16"/>
          <w:color w:val="231F20"/>
        </w:rPr>
        <w:t xml:space="preserve"> procedures to lower IOP across all severities of POAG, including Standalone procedures. We further believe that OMNI is also the first and only multi-procedure MIGS device dually indicated for canaloplasty followed by trabeculotomy. Canaloplasty primarily addresses distal resistance (i.e., collapsed Schlemm’s canal, blocked collector channel ostia) and has some presumed effects on the inner wall of Schlemm’s canal and the trabecular meshwork due to dilation and stretching. In a trabeculotomy procedure, a surgeon unroofs Schlemm’s canal by cutting the trabecular meshwork to provide aqueous humor with direct access to the drainage points in the conventional outflow pathway. Trabeculotomy addresses proximal resistance (i.e., outflow resistance in the trabecular meshwork and inner wall of Schlemm’s canal). We believe that the sequential combination of canaloplasty followed by trabeculotomy is uniquely capable of treating all three primary points of resistance in the conventional outflow pathway of the eye. We believe treating all three primary points of resistance is critical to achieving the consistency and level of effectiveness in reducing IOP and medication requirements necessary to expand the use case for MIGS procedures to the Standalone market and to all disease severities among adult POAG patients.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4" w:right="439" w:bottom="1440" w:gutter="0" w:footer="0" w:header="0"/>
        </w:sectPr>
      </w:pPr>
    </w:p>
    <w:bookmarkStart w:id="9" w:name="page10"/>
    <w:bookmarkEnd w:id="9"/>
    <w:p>
      <w:pPr>
        <w:ind w:right="40" w:firstLine="419"/>
        <w:spacing w:after="0" w:line="271" w:lineRule="auto"/>
        <w:rPr>
          <w:sz w:val="20"/>
          <w:szCs w:val="20"/>
          <w:color w:val="auto"/>
        </w:rPr>
      </w:pPr>
      <w:r>
        <w:rPr>
          <w:rFonts w:ascii="Arial" w:cs="Arial" w:eastAsia="Arial" w:hAnsi="Arial"/>
          <w:sz w:val="16"/>
          <w:szCs w:val="16"/>
          <w:color w:val="231F20"/>
        </w:rPr>
        <w:t>We have applied our medical expertise, as well as specialized design and engineering capabilities, to create a complex device that is simple in appearance and intuitive to use. Each OMNI device consists of 29 separate precision-engineered parts that have been optimized for performance, effectiveness and usability. After inserting the cannula tip into the corneal microincision and accessing Schlemm’s canal, the surgeon can advance and retract the catheter with a fingertip dial up to 180 degrees. Upon retraction of the catheter, OMNI delivers viscoelastic fluid to complete the viscodilation of Schlemm’s canal. The surgeon can complete a full 360 degree canaloplasty by reinserting the catheter and advancing it in the opposite direction. To perform the trabeculotomy following the canaloplasty, the same microcatheter can be reinserted into Schlemm’s canal and used to deroof the trabecular meshwork in a titratable manner (90, 180, 270 or 360 degrees). OMNI’s versatility and titratable functionality, which we believe are unmatched by other MIGS products currently on the market, enable surgeons to perform sequential comprehensive outflow treatments that they can customize based on an individual patient’s disease severity and eye anatomy in both Combination Cataract and Standalone settings.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TearCare System</w:t>
      </w:r>
    </w:p>
    <w:p>
      <w:pPr>
        <w:spacing w:after="0" w:line="212" w:lineRule="exact"/>
        <w:rPr>
          <w:sz w:val="20"/>
          <w:szCs w:val="20"/>
          <w:color w:val="auto"/>
        </w:rPr>
      </w:pPr>
    </w:p>
    <w:p>
      <w:pPr>
        <w:ind w:firstLine="419"/>
        <w:spacing w:after="0" w:line="253" w:lineRule="auto"/>
        <w:rPr>
          <w:sz w:val="20"/>
          <w:szCs w:val="20"/>
          <w:color w:val="auto"/>
        </w:rPr>
      </w:pPr>
      <w:r>
        <w:rPr>
          <w:rFonts w:ascii="Arial" w:cs="Arial" w:eastAsia="Arial" w:hAnsi="Arial"/>
          <w:sz w:val="17"/>
          <w:szCs w:val="17"/>
          <w:color w:val="231F20"/>
        </w:rPr>
        <w:t>In an effort to address the treatment of evaporative DED due to MGD, we custom designed TearCare to facilitate what we believe is the optimal method for clearing meibomian gland obstructions based on numerous clinical studies: warming the glands to a minimum of 41 degrees Celsius for 15 minutes to melt congealed meibum followed by manual, clinician customized and performed removal of the liquefied obstructions using forceps to help facilitate restoration of healthy meibum production to naturally fortify the tear’s protective lipid layer. Tear film is a complex, continuously renewed solution that is necessary for maintaining a healthy cornea and optical clarity. Tears consist of three layers: an inner mucous layer that nourishes the cornea and helps stabilize and anchor the tear film; a middle aqueous layer that lubricates the eye, removes particles and prevents infection; and an outer lipid layer, or meibum, that prevents premature evaporation and maintains tear film stability. MGD occurs when meibum accumulates and hardens within the meibomian gland. Over time, the glands can become blocked or clogged, which prevents meibum from reaching the tear, fortifying the outermost tear lipid layer, and protecting the integrity of the tear. The goal of TearCare treatments is to restore the eyelid’s natural ability to produce healthy lipid secretions and recover the integrity of the tear film.</w:t>
      </w:r>
    </w:p>
    <w:p>
      <w:pPr>
        <w:spacing w:after="0" w:line="180" w:lineRule="exact"/>
        <w:rPr>
          <w:sz w:val="20"/>
          <w:szCs w:val="20"/>
          <w:color w:val="auto"/>
        </w:rPr>
      </w:pPr>
    </w:p>
    <w:p>
      <w:pPr>
        <w:ind w:firstLine="419"/>
        <w:spacing w:after="0" w:line="253" w:lineRule="auto"/>
        <w:rPr>
          <w:sz w:val="20"/>
          <w:szCs w:val="20"/>
          <w:color w:val="auto"/>
        </w:rPr>
      </w:pPr>
      <w:r>
        <w:rPr>
          <w:rFonts w:ascii="Arial" w:cs="Arial" w:eastAsia="Arial" w:hAnsi="Arial"/>
          <w:sz w:val="17"/>
          <w:szCs w:val="17"/>
          <w:color w:val="231F20"/>
        </w:rPr>
        <w:t>Our TearCare System includes a pair of single-use SmartLids, the first wearable, highly conformant, precision heating device for the eyelids. SmartLids allow for eyes to be open and blink during the thermal portion of the process and are software-controlled, delivering precise heat to the tarsal plates of the eyelids directly overlying the meibomian glands while continuously monitoring temperature and communicating 144 times per second with the SmartHub, a compact, finely calibrated power source and control unit which can make instantaneous adjustments to ensure delivery of the desired amount of heat and therapeutic temperature level. Engineering SmartLids to remain comfortably adhered to virtually all shapes and sizes of eyelids while allowing freedom to blink and delivering precise therapeutic heat is one of our most significant design accomplishments. Following therapeutic heat application by TearCare, ECPs may use forceps to manually express melted meibum from each gland. ECPs can tailor the amount of pressure applied during expression to specific glands based on a desired full evacuation of the glands, thereby allowing the eyelids to resume the production and secretion of meibum to coat and protect tears.</w:t>
      </w:r>
    </w:p>
    <w:p>
      <w:pPr>
        <w:spacing w:after="0" w:line="184" w:lineRule="exact"/>
        <w:rPr>
          <w:sz w:val="20"/>
          <w:szCs w:val="20"/>
          <w:color w:val="auto"/>
        </w:rPr>
      </w:pPr>
    </w:p>
    <w:p>
      <w:pPr>
        <w:ind w:right="100" w:firstLine="419"/>
        <w:spacing w:after="0" w:line="276" w:lineRule="auto"/>
        <w:rPr>
          <w:sz w:val="20"/>
          <w:szCs w:val="20"/>
          <w:color w:val="auto"/>
        </w:rPr>
      </w:pPr>
      <w:r>
        <w:rPr>
          <w:rFonts w:ascii="Arial" w:cs="Arial" w:eastAsia="Arial" w:hAnsi="Arial"/>
          <w:sz w:val="16"/>
          <w:szCs w:val="16"/>
          <w:color w:val="231F20"/>
        </w:rPr>
        <w:t>According to patient and ECP feedback, treatments using TearCare are comfortable for patients since they can keep their eyes open during the thermal portion of the procedure and have the freedom to blink naturally. Additionally, TearCare was designed to be administered during the course of a routine office visit to an ECP, which makes it convenient for patients, and allows providers to maintain procedural throughput in their practices. We believe that these features of the patient and ECP experience with TearCare procedures offer a stark contrast to other available alternatives which we believe are burdened by ineffective and suboptimal product design, including awkward and uncomfortable patient experiences through closed eye solutions and/or manual solutions that require extremely close patient proximity to the ECP throughout the treatment.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Success Factors</w:t>
      </w:r>
    </w:p>
    <w:p>
      <w:pPr>
        <w:spacing w:after="0" w:line="216" w:lineRule="exact"/>
        <w:rPr>
          <w:sz w:val="20"/>
          <w:szCs w:val="20"/>
          <w:color w:val="auto"/>
        </w:rPr>
      </w:pPr>
    </w:p>
    <w:p>
      <w:pPr>
        <w:jc w:val="both"/>
        <w:ind w:right="400" w:firstLine="419"/>
        <w:spacing w:after="0" w:line="248" w:lineRule="auto"/>
        <w:rPr>
          <w:sz w:val="20"/>
          <w:szCs w:val="20"/>
          <w:color w:val="auto"/>
        </w:rPr>
      </w:pPr>
      <w:r>
        <w:rPr>
          <w:rFonts w:ascii="Arial" w:cs="Arial" w:eastAsia="Arial" w:hAnsi="Arial"/>
          <w:sz w:val="18"/>
          <w:szCs w:val="18"/>
          <w:color w:val="231F20"/>
        </w:rPr>
        <w:t>Our mission is to transform eyecare by developing products that address the underlying causes of the world’s most prevalent eye diseases. We design our products to enable ECPs to perform safe and effective interventional procedures that can transform treatment paradigms. We believe the following success factors will drive the growth of our company:</w:t>
      </w:r>
    </w:p>
    <w:p>
      <w:pPr>
        <w:spacing w:after="0" w:line="178" w:lineRule="exact"/>
        <w:rPr>
          <w:sz w:val="20"/>
          <w:szCs w:val="20"/>
          <w:color w:val="auto"/>
        </w:rPr>
      </w:pPr>
    </w:p>
    <w:p>
      <w:pPr>
        <w:ind w:right="80" w:firstLine="419"/>
        <w:spacing w:after="0" w:line="250" w:lineRule="auto"/>
        <w:rPr>
          <w:sz w:val="20"/>
          <w:szCs w:val="20"/>
          <w:color w:val="auto"/>
        </w:rPr>
      </w:pPr>
      <w:r>
        <w:rPr>
          <w:rFonts w:ascii="Arial" w:cs="Arial" w:eastAsia="Arial" w:hAnsi="Arial"/>
          <w:sz w:val="18"/>
          <w:szCs w:val="18"/>
          <w:b w:val="1"/>
          <w:bCs w:val="1"/>
          <w:color w:val="231F20"/>
        </w:rPr>
        <w:t xml:space="preserve">Large market opportunities in eyecare with flawed treatment paradigms. </w:t>
      </w:r>
      <w:r>
        <w:rPr>
          <w:rFonts w:ascii="Arial" w:cs="Arial" w:eastAsia="Arial" w:hAnsi="Arial"/>
          <w:sz w:val="18"/>
          <w:szCs w:val="18"/>
          <w:color w:val="231F20"/>
        </w:rPr>
        <w:t>We estimate the total addressable annual market opportunities in the</w:t>
      </w:r>
      <w:r>
        <w:rPr>
          <w:rFonts w:ascii="Arial" w:cs="Arial" w:eastAsia="Arial" w:hAnsi="Arial"/>
          <w:sz w:val="18"/>
          <w:szCs w:val="18"/>
          <w:b w:val="1"/>
          <w:bCs w:val="1"/>
          <w:color w:val="231F20"/>
        </w:rPr>
        <w:t xml:space="preserve"> </w:t>
      </w:r>
      <w:r>
        <w:rPr>
          <w:rFonts w:ascii="Arial" w:cs="Arial" w:eastAsia="Arial" w:hAnsi="Arial"/>
          <w:sz w:val="18"/>
          <w:szCs w:val="18"/>
          <w:color w:val="231F20"/>
        </w:rPr>
        <w:t>U.S. for OMNI and TearCare are approximately $6 billion and approximately $10 billion, respectively, yet combined 2020 U.S. manufacturer revenues in these markets implied less than 20% total</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10" w:name="page11"/>
    <w:bookmarkEnd w:id="10"/>
    <w:p>
      <w:pPr>
        <w:spacing w:after="0" w:line="274" w:lineRule="auto"/>
        <w:rPr>
          <w:sz w:val="20"/>
          <w:szCs w:val="20"/>
          <w:color w:val="auto"/>
        </w:rPr>
      </w:pPr>
      <w:r>
        <w:rPr>
          <w:rFonts w:ascii="Arial" w:cs="Arial" w:eastAsia="Arial" w:hAnsi="Arial"/>
          <w:sz w:val="16"/>
          <w:szCs w:val="16"/>
          <w:color w:val="231F20"/>
        </w:rPr>
        <w:t>addressable market penetration. We believe the addressable market penetration in Standalone MIGS and in MGD procedures are less than 10% each. We believe that market leading MIGS alternatives do not consistently and comprehensively address the underlying causes of POAG and do not adequately treat a broad enough range of disease sufferers. In POAG, we estimate that over 85% of diagnosed sufferers can be treated only with Standalone procedures because they do not require cataract surgery. Similarly, we believe that the market leading DED products do not address the primary underlying cause of the disease, MGD, while those that do attempt to treat MGD lack user friendly design and do not provide broad patient access. Given the narrow historical product development focus on aqueous deficiency, DED patients are currently limited by a mismatched treatment set (typically prescription or OTC eyedrops) which do not address the root causes of MGD, the predominant underlying cause of the condition.</w:t>
      </w:r>
    </w:p>
    <w:p>
      <w:pPr>
        <w:spacing w:after="0" w:line="159" w:lineRule="exact"/>
        <w:rPr>
          <w:sz w:val="20"/>
          <w:szCs w:val="20"/>
          <w:color w:val="auto"/>
        </w:rPr>
      </w:pPr>
    </w:p>
    <w:p>
      <w:pPr>
        <w:ind w:right="260" w:firstLine="419"/>
        <w:spacing w:after="0" w:line="241" w:lineRule="auto"/>
        <w:rPr>
          <w:sz w:val="20"/>
          <w:szCs w:val="20"/>
          <w:color w:val="auto"/>
        </w:rPr>
      </w:pPr>
      <w:r>
        <w:rPr>
          <w:rFonts w:ascii="Arial" w:cs="Arial" w:eastAsia="Arial" w:hAnsi="Arial"/>
          <w:sz w:val="18"/>
          <w:szCs w:val="18"/>
          <w:b w:val="1"/>
          <w:bCs w:val="1"/>
          <w:color w:val="231F20"/>
        </w:rPr>
        <w:t>Continual development of innovative technologies</w:t>
      </w:r>
      <w:r>
        <w:rPr>
          <w:rFonts w:ascii="Arial" w:cs="Arial" w:eastAsia="Arial" w:hAnsi="Arial"/>
          <w:sz w:val="18"/>
          <w:szCs w:val="18"/>
          <w:color w:val="231F20"/>
        </w:rPr>
        <w:t>. Our ability to transform treatment paradigms in large, underserved eyecare markets will</w:t>
      </w:r>
      <w:r>
        <w:rPr>
          <w:rFonts w:ascii="Arial" w:cs="Arial" w:eastAsia="Arial" w:hAnsi="Arial"/>
          <w:sz w:val="18"/>
          <w:szCs w:val="18"/>
          <w:b w:val="1"/>
          <w:bCs w:val="1"/>
          <w:color w:val="231F20"/>
        </w:rPr>
        <w:t xml:space="preserve"> </w:t>
      </w:r>
      <w:r>
        <w:rPr>
          <w:rFonts w:ascii="Arial" w:cs="Arial" w:eastAsia="Arial" w:hAnsi="Arial"/>
          <w:sz w:val="18"/>
          <w:szCs w:val="18"/>
          <w:color w:val="231F20"/>
        </w:rPr>
        <w:t>depend on our ability to develop and commercialize products which are differentiated in how they treat underlying diseases, in their safety and effectiveness, in the breadth of their patient access and in their ease of use for the ECP. We believe our product development approach is a key differentiator of our team and our company. We design and iterate our products with continual input from our advisor network, an elite group of ECPs who prioritize efficiency, safety and effectiveness. Once our products are authorized by the FDA and launched, our customer feedback loop helps us further develop our products.</w:t>
      </w:r>
    </w:p>
    <w:p>
      <w:pPr>
        <w:spacing w:after="0" w:line="184" w:lineRule="exact"/>
        <w:rPr>
          <w:sz w:val="20"/>
          <w:szCs w:val="20"/>
          <w:color w:val="auto"/>
        </w:rPr>
      </w:pPr>
    </w:p>
    <w:p>
      <w:pPr>
        <w:ind w:right="80" w:firstLine="419"/>
        <w:spacing w:after="0"/>
        <w:rPr>
          <w:sz w:val="20"/>
          <w:szCs w:val="20"/>
          <w:color w:val="auto"/>
        </w:rPr>
      </w:pPr>
      <w:r>
        <w:rPr>
          <w:rFonts w:ascii="Arial" w:cs="Arial" w:eastAsia="Arial" w:hAnsi="Arial"/>
          <w:sz w:val="18"/>
          <w:szCs w:val="18"/>
          <w:b w:val="1"/>
          <w:bCs w:val="1"/>
          <w:color w:val="231F20"/>
        </w:rPr>
        <w:t xml:space="preserve">Consistent delivery of exceptional customer experience. </w:t>
      </w:r>
      <w:r>
        <w:rPr>
          <w:rFonts w:ascii="Arial" w:cs="Arial" w:eastAsia="Arial" w:hAnsi="Arial"/>
          <w:sz w:val="18"/>
          <w:szCs w:val="18"/>
          <w:color w:val="231F20"/>
        </w:rPr>
        <w:t>One of the key drivers of our success will be fully developing the potential addressable</w:t>
      </w:r>
      <w:r>
        <w:rPr>
          <w:rFonts w:ascii="Arial" w:cs="Arial" w:eastAsia="Arial" w:hAnsi="Arial"/>
          <w:sz w:val="18"/>
          <w:szCs w:val="18"/>
          <w:b w:val="1"/>
          <w:bCs w:val="1"/>
          <w:color w:val="231F20"/>
        </w:rPr>
        <w:t xml:space="preserve"> </w:t>
      </w:r>
      <w:r>
        <w:rPr>
          <w:rFonts w:ascii="Arial" w:cs="Arial" w:eastAsia="Arial" w:hAnsi="Arial"/>
          <w:sz w:val="18"/>
          <w:szCs w:val="18"/>
          <w:color w:val="231F20"/>
        </w:rPr>
        <w:t>markets for POAG and MGD by maximizing the breadth of patients that our products can serve. We believe developing our target markets requires a consistent, exceptional customer experience, which is best accomplished through a differentiated, highly involved commercial model. Our sales professionals provide ECPs with the necessary education, training and support to adopt and continue to use our products for their authorized uses. We devote significant resources to onboarding our sales professionals and to continuously augmenting their knowledge and capabilities. Our management team and commercial organization are highly experienced in developing primary markets and commercializing disruptive products designed to satisfy unmet patient needs.</w:t>
      </w:r>
    </w:p>
    <w:p>
      <w:pPr>
        <w:spacing w:after="0" w:line="185" w:lineRule="exact"/>
        <w:rPr>
          <w:sz w:val="20"/>
          <w:szCs w:val="20"/>
          <w:color w:val="auto"/>
        </w:rPr>
      </w:pPr>
    </w:p>
    <w:p>
      <w:pPr>
        <w:ind w:right="40" w:firstLine="419"/>
        <w:spacing w:after="0" w:line="275" w:lineRule="auto"/>
        <w:rPr>
          <w:sz w:val="20"/>
          <w:szCs w:val="20"/>
          <w:color w:val="auto"/>
        </w:rPr>
      </w:pPr>
      <w:r>
        <w:rPr>
          <w:rFonts w:ascii="Arial" w:cs="Arial" w:eastAsia="Arial" w:hAnsi="Arial"/>
          <w:sz w:val="16"/>
          <w:szCs w:val="16"/>
          <w:b w:val="1"/>
          <w:bCs w:val="1"/>
          <w:color w:val="231F20"/>
        </w:rPr>
        <w:t xml:space="preserve">Prioritization of clinical excellence and market education. </w:t>
      </w:r>
      <w:r>
        <w:rPr>
          <w:rFonts w:ascii="Arial" w:cs="Arial" w:eastAsia="Arial" w:hAnsi="Arial"/>
          <w:sz w:val="16"/>
          <w:szCs w:val="16"/>
          <w:color w:val="231F20"/>
        </w:rPr>
        <w:t>We are deeply committed to a robust clinical trial program and are investing</w:t>
      </w:r>
      <w:r>
        <w:rPr>
          <w:rFonts w:ascii="Arial" w:cs="Arial" w:eastAsia="Arial" w:hAnsi="Arial"/>
          <w:sz w:val="16"/>
          <w:szCs w:val="16"/>
          <w:b w:val="1"/>
          <w:bCs w:val="1"/>
          <w:color w:val="231F20"/>
        </w:rPr>
        <w:t xml:space="preserve"> </w:t>
      </w:r>
      <w:r>
        <w:rPr>
          <w:rFonts w:ascii="Arial" w:cs="Arial" w:eastAsia="Arial" w:hAnsi="Arial"/>
          <w:sz w:val="16"/>
          <w:szCs w:val="16"/>
          <w:color w:val="231F20"/>
        </w:rPr>
        <w:t>significant resources to generate additional scientific evidence regarding the safety and effectiveness of OMNI and TearCare through numerous clinical studies and the publication of our findings in leading peer-reviewed journals. We believe OMNI is growing rapidly in adoption because of its superior effectiveness and comparable safety compared to alternative MIGS devices and that patients, surgeons and other stakeholders will all benefit from our continued investment in clinical trials and our broader market education initiatives, which include actively engaging in scientific conventions, presenting at conferences, and conducting educational and promotional activities, including peer-to-peer events. We also believe that treatment decisions should be evidence-based and that rigorous clinical studies with high quality data are crucial to achieving and maintaining optimal patient access.</w:t>
      </w:r>
    </w:p>
    <w:p>
      <w:pPr>
        <w:spacing w:after="0" w:line="158" w:lineRule="exact"/>
        <w:rPr>
          <w:sz w:val="20"/>
          <w:szCs w:val="20"/>
          <w:color w:val="auto"/>
        </w:rPr>
      </w:pPr>
    </w:p>
    <w:p>
      <w:pPr>
        <w:ind w:right="180" w:firstLine="419"/>
        <w:spacing w:after="0" w:line="253" w:lineRule="auto"/>
        <w:rPr>
          <w:sz w:val="20"/>
          <w:szCs w:val="20"/>
          <w:color w:val="auto"/>
        </w:rPr>
      </w:pPr>
      <w:r>
        <w:rPr>
          <w:rFonts w:ascii="Arial" w:cs="Arial" w:eastAsia="Arial" w:hAnsi="Arial"/>
          <w:sz w:val="17"/>
          <w:szCs w:val="17"/>
          <w:b w:val="1"/>
          <w:bCs w:val="1"/>
          <w:color w:val="231F20"/>
        </w:rPr>
        <w:t>Focus on compelling economics and value creation for all eyecare stakeholders</w:t>
      </w:r>
      <w:r>
        <w:rPr>
          <w:rFonts w:ascii="Arial" w:cs="Arial" w:eastAsia="Arial" w:hAnsi="Arial"/>
          <w:sz w:val="17"/>
          <w:szCs w:val="17"/>
          <w:color w:val="231F20"/>
        </w:rPr>
        <w:t>. We focus on developing products to generate substantial</w:t>
      </w:r>
      <w:r>
        <w:rPr>
          <w:rFonts w:ascii="Arial" w:cs="Arial" w:eastAsia="Arial" w:hAnsi="Arial"/>
          <w:sz w:val="17"/>
          <w:szCs w:val="17"/>
          <w:b w:val="1"/>
          <w:bCs w:val="1"/>
          <w:color w:val="231F20"/>
        </w:rPr>
        <w:t xml:space="preserve"> </w:t>
      </w:r>
      <w:r>
        <w:rPr>
          <w:rFonts w:ascii="Arial" w:cs="Arial" w:eastAsia="Arial" w:hAnsi="Arial"/>
          <w:sz w:val="17"/>
          <w:szCs w:val="17"/>
          <w:color w:val="231F20"/>
        </w:rPr>
        <w:t>benefits for patients, providers and payors. We believe use of our devices will ultimately reduce the all-in cost of treating these diseases for payors. For the sequential procedures using OMNI, surgeons and facilities use the longstanding permanent Category I CPT code for canaloplasty, which is broadly covered by Medicare and private payors. TearCare can provide ECP practices with an attractive recurring revenue business model with only a modest initial investment. While there is a viable patient-pay market for TearCare, we believe that improving access to treatments using TearCare through insurance coverage by Medicare and private payors will be the most effective way to reach the largest number of patients. Leveraging the results from our OLYMPIA RCT, we received FDA clearance to expand TearCare’s indication for use and plan to pursue further clearances for more robust indications for use as we build out our library of clinical trial and real-world data regarding the benefits of TearCare treatments. DED is the most common reason for patient visits to an ECP and has major negative effects on patient health and society. One study estimated the overall direct and indirect costs of DED in the U.S. to be $55.4 billion per year.</w:t>
      </w:r>
    </w:p>
    <w:p>
      <w:pPr>
        <w:spacing w:after="0" w:line="180" w:lineRule="exact"/>
        <w:rPr>
          <w:sz w:val="20"/>
          <w:szCs w:val="20"/>
          <w:color w:val="auto"/>
        </w:rPr>
      </w:pPr>
    </w:p>
    <w:p>
      <w:pPr>
        <w:ind w:right="40" w:firstLine="419"/>
        <w:spacing w:after="0" w:line="241" w:lineRule="auto"/>
        <w:rPr>
          <w:sz w:val="20"/>
          <w:szCs w:val="20"/>
          <w:color w:val="auto"/>
        </w:rPr>
      </w:pPr>
      <w:r>
        <w:rPr>
          <w:rFonts w:ascii="Arial" w:cs="Arial" w:eastAsia="Arial" w:hAnsi="Arial"/>
          <w:sz w:val="18"/>
          <w:szCs w:val="18"/>
          <w:b w:val="1"/>
          <w:bCs w:val="1"/>
          <w:color w:val="231F20"/>
        </w:rPr>
        <w:t>Scale culture built on community, passion, courage and perseverance</w:t>
      </w:r>
      <w:r>
        <w:rPr>
          <w:rFonts w:ascii="Arial" w:cs="Arial" w:eastAsia="Arial" w:hAnsi="Arial"/>
          <w:sz w:val="18"/>
          <w:szCs w:val="18"/>
          <w:color w:val="231F20"/>
        </w:rPr>
        <w:t>. Our organization is designed to be nimble, innovative, adaptive and</w:t>
      </w:r>
      <w:r>
        <w:rPr>
          <w:rFonts w:ascii="Arial" w:cs="Arial" w:eastAsia="Arial" w:hAnsi="Arial"/>
          <w:sz w:val="18"/>
          <w:szCs w:val="18"/>
          <w:b w:val="1"/>
          <w:bCs w:val="1"/>
          <w:color w:val="231F20"/>
        </w:rPr>
        <w:t xml:space="preserve"> </w:t>
      </w:r>
      <w:r>
        <w:rPr>
          <w:rFonts w:ascii="Arial" w:cs="Arial" w:eastAsia="Arial" w:hAnsi="Arial"/>
          <w:sz w:val="18"/>
          <w:szCs w:val="18"/>
          <w:color w:val="231F20"/>
        </w:rPr>
        <w:t>growth oriented. We have an entrepreneurial and creative foundation that is complemented with an experienced executive team, who provide deep relationships throughout the eyecare community. We share a passion for improving the lives of people suffering from eye diseases and our success has engendered significant esprit-de-corps at all levels of our organization. We believe that our focus on thought leadership, high performance and collaboration, as well as our hiring and recruiting processes, have enabled us to attract and retain a world class team that is prepared to transform eyecare for all stakeholders.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231F20"/>
        </w:rPr>
        <w:t>Our Growth Strategy</w:t>
      </w:r>
    </w:p>
    <w:p>
      <w:pPr>
        <w:spacing w:after="0" w:line="216" w:lineRule="exact"/>
        <w:rPr>
          <w:sz w:val="20"/>
          <w:szCs w:val="20"/>
          <w:color w:val="auto"/>
        </w:rPr>
      </w:pPr>
    </w:p>
    <w:p>
      <w:pPr>
        <w:ind w:firstLine="419"/>
        <w:spacing w:after="0" w:line="248" w:lineRule="auto"/>
        <w:rPr>
          <w:sz w:val="20"/>
          <w:szCs w:val="20"/>
          <w:color w:val="auto"/>
        </w:rPr>
      </w:pPr>
      <w:r>
        <w:rPr>
          <w:rFonts w:ascii="Arial" w:cs="Arial" w:eastAsia="Arial" w:hAnsi="Arial"/>
          <w:sz w:val="18"/>
          <w:szCs w:val="18"/>
          <w:color w:val="231F20"/>
        </w:rPr>
        <w:t>The fundamental objectives of our growth strategy are to establish robust clinical data to support the development of our target markets and the continued commercialization of our products and to deliver an exceptional customer experience to the ECPs and patients who utilize our products. Our current growth strategies include:</w:t>
      </w:r>
    </w:p>
    <w:p>
      <w:pPr>
        <w:spacing w:after="0" w:line="178" w:lineRule="exact"/>
        <w:rPr>
          <w:sz w:val="20"/>
          <w:szCs w:val="20"/>
          <w:color w:val="auto"/>
        </w:rPr>
      </w:pPr>
    </w:p>
    <w:p>
      <w:pPr>
        <w:ind w:left="800" w:right="560" w:hanging="283"/>
        <w:spacing w:after="0" w:line="275" w:lineRule="auto"/>
        <w:tabs>
          <w:tab w:leader="none" w:pos="800" w:val="left"/>
        </w:tabs>
        <w:numPr>
          <w:ilvl w:val="0"/>
          <w:numId w:val="7"/>
        </w:numPr>
        <w:rPr>
          <w:rFonts w:ascii="Arial" w:cs="Arial" w:eastAsia="Arial" w:hAnsi="Arial"/>
          <w:sz w:val="16"/>
          <w:szCs w:val="16"/>
          <w:color w:val="231F20"/>
        </w:rPr>
      </w:pPr>
      <w:r>
        <w:rPr>
          <w:rFonts w:ascii="Arial" w:cs="Arial" w:eastAsia="Arial" w:hAnsi="Arial"/>
          <w:sz w:val="16"/>
          <w:szCs w:val="16"/>
          <w:b w:val="1"/>
          <w:bCs w:val="1"/>
          <w:color w:val="231F20"/>
        </w:rPr>
        <w:t xml:space="preserve">Establish OMNI as the standard of care for interventional glaucoma treatment among MIGS-trained surgeons. </w:t>
      </w:r>
      <w:r>
        <w:rPr>
          <w:rFonts w:ascii="Arial" w:cs="Arial" w:eastAsia="Arial" w:hAnsi="Arial"/>
          <w:sz w:val="16"/>
          <w:szCs w:val="16"/>
          <w:color w:val="231F20"/>
        </w:rPr>
        <w:t>We believe</w:t>
      </w:r>
      <w:r>
        <w:rPr>
          <w:rFonts w:ascii="Arial" w:cs="Arial" w:eastAsia="Arial" w:hAnsi="Arial"/>
          <w:sz w:val="16"/>
          <w:szCs w:val="16"/>
          <w:b w:val="1"/>
          <w:bCs w:val="1"/>
          <w:color w:val="231F20"/>
        </w:rPr>
        <w:t xml:space="preserve"> </w:t>
      </w:r>
      <w:r>
        <w:rPr>
          <w:rFonts w:ascii="Arial" w:cs="Arial" w:eastAsia="Arial" w:hAnsi="Arial"/>
          <w:sz w:val="16"/>
          <w:szCs w:val="16"/>
          <w:color w:val="231F20"/>
        </w:rPr>
        <w:t>OMNI has the unique potential to transform the treatment paradigm for IOP reduction in adult POAG patients by greatly expanding the universe of patients who can be treated with MIGS treatment alternatives. We believe OMNI has distinct advantages with respect to effectiveness, safety and its broad indication for use to reduce IOP across all adult POAG patients in both Standalone and Combination Cataract procedures. High-volume cataract surgeons who are familiar with MIGS procedures are our highest priority customer acquisition targets and we have directed our initial commercial efforts towards them. We have successfully gained commercial traction with many of these surgeons, who typically first learn to use OMNI during Combination Cataract procedures.</w:t>
      </w:r>
    </w:p>
    <w:p>
      <w:pPr>
        <w:spacing w:after="0" w:line="49" w:lineRule="exact"/>
        <w:rPr>
          <w:rFonts w:ascii="Arial" w:cs="Arial" w:eastAsia="Arial" w:hAnsi="Arial"/>
          <w:sz w:val="16"/>
          <w:szCs w:val="16"/>
          <w:color w:val="231F20"/>
        </w:rPr>
      </w:pPr>
    </w:p>
    <w:p>
      <w:pPr>
        <w:ind w:left="800" w:right="540" w:hanging="283"/>
        <w:spacing w:after="0" w:line="271" w:lineRule="auto"/>
        <w:tabs>
          <w:tab w:leader="none" w:pos="800" w:val="left"/>
        </w:tabs>
        <w:numPr>
          <w:ilvl w:val="0"/>
          <w:numId w:val="7"/>
        </w:numPr>
        <w:rPr>
          <w:rFonts w:ascii="Arial" w:cs="Arial" w:eastAsia="Arial" w:hAnsi="Arial"/>
          <w:sz w:val="16"/>
          <w:szCs w:val="16"/>
          <w:color w:val="231F20"/>
        </w:rPr>
      </w:pPr>
      <w:r>
        <w:rPr>
          <w:rFonts w:ascii="Arial" w:cs="Arial" w:eastAsia="Arial" w:hAnsi="Arial"/>
          <w:sz w:val="16"/>
          <w:szCs w:val="16"/>
          <w:b w:val="1"/>
          <w:bCs w:val="1"/>
          <w:color w:val="231F20"/>
        </w:rPr>
        <w:t xml:space="preserve">Pioneer the $5 billion Standalone MIGS segment. </w:t>
      </w:r>
      <w:r>
        <w:rPr>
          <w:rFonts w:ascii="Arial" w:cs="Arial" w:eastAsia="Arial" w:hAnsi="Arial"/>
          <w:sz w:val="16"/>
          <w:szCs w:val="16"/>
          <w:color w:val="231F20"/>
        </w:rPr>
        <w:t>Based on our field research, we believe that after gaining experience using</w:t>
      </w:r>
      <w:r>
        <w:rPr>
          <w:rFonts w:ascii="Arial" w:cs="Arial" w:eastAsia="Arial" w:hAnsi="Arial"/>
          <w:sz w:val="16"/>
          <w:szCs w:val="16"/>
          <w:b w:val="1"/>
          <w:bCs w:val="1"/>
          <w:color w:val="231F20"/>
        </w:rPr>
        <w:t xml:space="preserve"> </w:t>
      </w:r>
      <w:r>
        <w:rPr>
          <w:rFonts w:ascii="Arial" w:cs="Arial" w:eastAsia="Arial" w:hAnsi="Arial"/>
          <w:sz w:val="16"/>
          <w:szCs w:val="16"/>
          <w:color w:val="231F20"/>
        </w:rPr>
        <w:t xml:space="preserve">OMNI and confidence in its consistency and effectiveness in familiar Combination Cataract cases, surgeons will often expand the use case for OMNI to include more proactive and interventional POAG cases. We believe many of these cases will involve Mild-to-Moderate Standalone procedures for which we believe OMNI is the only MIGS device authorized by the FDA for lowering IOP via an </w:t>
      </w:r>
      <w:r>
        <w:rPr>
          <w:rFonts w:ascii="Arial" w:cs="Arial" w:eastAsia="Arial" w:hAnsi="Arial"/>
          <w:sz w:val="16"/>
          <w:szCs w:val="16"/>
          <w:i w:val="1"/>
          <w:iCs w:val="1"/>
          <w:color w:val="231F20"/>
        </w:rPr>
        <w:t>ab interno</w:t>
      </w:r>
      <w:r>
        <w:rPr>
          <w:rFonts w:ascii="Arial" w:cs="Arial" w:eastAsia="Arial" w:hAnsi="Arial"/>
          <w:sz w:val="16"/>
          <w:szCs w:val="16"/>
          <w:color w:val="231F20"/>
        </w:rPr>
        <w:t xml:space="preserve"> approach. A year-end 2020 internal field study of our user base has indicated that Standalone procedures in 2020 constituted an estimated greater than 20% of our responding customers’ total OMNI procedures. Given these strong initial results, we have continued to invest resources to execute our interventional POAG market development plan, which includes educating surgeons, Facility administrators, primary care ECP referral networks and patients on the clinical benefits of OMNI, particularly in Standalone procedures. Our ongoing and planned clinical studies feature Standalone and Combination Cataract trials, including head-to-head RCTs versus a leading trabecular bypass stent and a leading prescription OAG medication.</w:t>
      </w:r>
    </w:p>
    <w:p>
      <w:pPr>
        <w:spacing w:after="0" w:line="55" w:lineRule="exact"/>
        <w:rPr>
          <w:rFonts w:ascii="Arial" w:cs="Arial" w:eastAsia="Arial" w:hAnsi="Arial"/>
          <w:sz w:val="16"/>
          <w:szCs w:val="16"/>
          <w:color w:val="231F20"/>
        </w:rPr>
      </w:pPr>
    </w:p>
    <w:p>
      <w:pPr>
        <w:ind w:left="800" w:right="560" w:hanging="283"/>
        <w:spacing w:after="0" w:line="270" w:lineRule="auto"/>
        <w:tabs>
          <w:tab w:leader="none" w:pos="800" w:val="left"/>
        </w:tabs>
        <w:numPr>
          <w:ilvl w:val="0"/>
          <w:numId w:val="7"/>
        </w:numPr>
        <w:rPr>
          <w:rFonts w:ascii="Arial" w:cs="Arial" w:eastAsia="Arial" w:hAnsi="Arial"/>
          <w:sz w:val="16"/>
          <w:szCs w:val="16"/>
          <w:color w:val="231F20"/>
        </w:rPr>
      </w:pPr>
      <w:r>
        <w:rPr>
          <w:rFonts w:ascii="Arial" w:cs="Arial" w:eastAsia="Arial" w:hAnsi="Arial"/>
          <w:sz w:val="16"/>
          <w:szCs w:val="16"/>
          <w:b w:val="1"/>
          <w:bCs w:val="1"/>
          <w:color w:val="231F20"/>
        </w:rPr>
        <w:t xml:space="preserve">Develop the MGD treatment market through a patient access-led strategy. </w:t>
      </w:r>
      <w:r>
        <w:rPr>
          <w:rFonts w:ascii="Arial" w:cs="Arial" w:eastAsia="Arial" w:hAnsi="Arial"/>
          <w:sz w:val="16"/>
          <w:szCs w:val="16"/>
          <w:color w:val="231F20"/>
        </w:rPr>
        <w:t>We are executing a comprehensive long-term</w:t>
      </w:r>
      <w:r>
        <w:rPr>
          <w:rFonts w:ascii="Arial" w:cs="Arial" w:eastAsia="Arial" w:hAnsi="Arial"/>
          <w:sz w:val="16"/>
          <w:szCs w:val="16"/>
          <w:b w:val="1"/>
          <w:bCs w:val="1"/>
          <w:color w:val="231F20"/>
        </w:rPr>
        <w:t xml:space="preserve"> </w:t>
      </w:r>
      <w:r>
        <w:rPr>
          <w:rFonts w:ascii="Arial" w:cs="Arial" w:eastAsia="Arial" w:hAnsi="Arial"/>
          <w:sz w:val="16"/>
          <w:szCs w:val="16"/>
          <w:color w:val="231F20"/>
        </w:rPr>
        <w:t>strategy to increase patient access to TearCare beyond its current patient-pay market. Our long-term goal is for TearCare procedures to achieve broad reimbursement from private payors and Medicare for effectively treating the signs and symptoms of DED due to MGD. We believe the MGD market is the most underserved in eyecare and that current treatment protocols either fail to directly address MGD’s root cause, require cost-prohibitive capital equipment purchases, lack elegant and user-friendly design, and/or lack the compelling clinical data required to transform treatment paradigms and properly develop the market. Key components of our strategy include: pursuing clearance from the FDA to continue expanding TearCare’s indications for use to treat DED due to MGD; execution of our SAHARA RCT, which will compare treatments using TearCare to the leading prescription eyedrop treatment and assess the durability of TearCare procedures over a 24 month period (SAHARA was designed specifically to provide key clinical data that could support potential reimbursement decisions by third-party payors); developing real-world prior authorization and reimbursement claims evidence to educate payors on the benefits of TearCare for its authorized uses, facilitated by our market access team; and converting our temporary Category III CPT code for TearCare to a permanent Category I CPT code.</w:t>
      </w:r>
    </w:p>
    <w:p>
      <w:pPr>
        <w:spacing w:after="0" w:line="54" w:lineRule="exact"/>
        <w:rPr>
          <w:rFonts w:ascii="Arial" w:cs="Arial" w:eastAsia="Arial" w:hAnsi="Arial"/>
          <w:sz w:val="16"/>
          <w:szCs w:val="16"/>
          <w:color w:val="231F20"/>
        </w:rPr>
      </w:pPr>
    </w:p>
    <w:p>
      <w:pPr>
        <w:ind w:left="800" w:right="600" w:hanging="283"/>
        <w:spacing w:after="0" w:line="255" w:lineRule="auto"/>
        <w:tabs>
          <w:tab w:leader="none" w:pos="800" w:val="left"/>
        </w:tabs>
        <w:numPr>
          <w:ilvl w:val="0"/>
          <w:numId w:val="7"/>
        </w:numPr>
        <w:rPr>
          <w:rFonts w:ascii="Arial" w:cs="Arial" w:eastAsia="Arial" w:hAnsi="Arial"/>
          <w:sz w:val="17"/>
          <w:szCs w:val="17"/>
          <w:color w:val="231F20"/>
        </w:rPr>
      </w:pPr>
      <w:r>
        <w:rPr>
          <w:rFonts w:ascii="Arial" w:cs="Arial" w:eastAsia="Arial" w:hAnsi="Arial"/>
          <w:sz w:val="17"/>
          <w:szCs w:val="17"/>
          <w:b w:val="1"/>
          <w:bCs w:val="1"/>
          <w:color w:val="231F20"/>
        </w:rPr>
        <w:t xml:space="preserve">Drive adoption and utilization of our products by leveraging additional clinical trials and market education. </w:t>
      </w:r>
      <w:r>
        <w:rPr>
          <w:rFonts w:ascii="Arial" w:cs="Arial" w:eastAsia="Arial" w:hAnsi="Arial"/>
          <w:sz w:val="17"/>
          <w:szCs w:val="17"/>
          <w:color w:val="231F20"/>
        </w:rPr>
        <w:t>We believe our</w:t>
      </w:r>
      <w:r>
        <w:rPr>
          <w:rFonts w:ascii="Arial" w:cs="Arial" w:eastAsia="Arial" w:hAnsi="Arial"/>
          <w:sz w:val="17"/>
          <w:szCs w:val="17"/>
          <w:b w:val="1"/>
          <w:bCs w:val="1"/>
          <w:color w:val="231F20"/>
        </w:rPr>
        <w:t xml:space="preserve"> </w:t>
      </w:r>
      <w:r>
        <w:rPr>
          <w:rFonts w:ascii="Arial" w:cs="Arial" w:eastAsia="Arial" w:hAnsi="Arial"/>
          <w:sz w:val="17"/>
          <w:szCs w:val="17"/>
          <w:color w:val="231F20"/>
        </w:rPr>
        <w:t>existing clinical data demonstrates the compelling safety and effectiveness of OMNI for its cleared indication, and we plan to continue delivering additional clinical evidence regarding its safety and effectiveness. We have dedicated significant resources to further establish definitive clinical studies regarding the use of OMNI for IOP reduction and/or medication reduction in adult patients. We received clearance from the FDA for an expanded indication for use for TearCare in December 2021, supported by the effectiveness and safety data from our OLYMPIA RCT We have two additional ongoing and planned studies intended to evaluate the safety and effectiveness of TearCare. We believe the results of these studies will support potential clearances for expanded indications for use and our patient access development strategy.</w:t>
      </w:r>
    </w:p>
    <w:p>
      <w:pPr>
        <w:spacing w:after="0" w:line="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40" w:top="324" w:right="599" w:bottom="1440" w:gutter="0" w:footer="0" w:header="0"/>
        </w:sectPr>
      </w:pPr>
    </w:p>
    <w:bookmarkStart w:id="12" w:name="page13"/>
    <w:bookmarkEnd w:id="12"/>
    <w:p>
      <w:pPr>
        <w:ind w:left="283" w:hanging="283"/>
        <w:spacing w:after="0" w:line="251" w:lineRule="auto"/>
        <w:tabs>
          <w:tab w:leader="none" w:pos="283" w:val="left"/>
        </w:tabs>
        <w:numPr>
          <w:ilvl w:val="0"/>
          <w:numId w:val="8"/>
        </w:numPr>
        <w:rPr>
          <w:rFonts w:ascii="Arial" w:cs="Arial" w:eastAsia="Arial" w:hAnsi="Arial"/>
          <w:sz w:val="17"/>
          <w:szCs w:val="17"/>
          <w:color w:val="231F20"/>
        </w:rPr>
      </w:pPr>
      <w:r>
        <w:rPr>
          <w:rFonts w:ascii="Arial" w:cs="Arial" w:eastAsia="Arial" w:hAnsi="Arial"/>
          <w:sz w:val="17"/>
          <w:szCs w:val="17"/>
          <w:b w:val="1"/>
          <w:bCs w:val="1"/>
          <w:color w:val="231F20"/>
        </w:rPr>
        <w:t>Deepen and broaden our commercial organization</w:t>
      </w:r>
      <w:r>
        <w:rPr>
          <w:rFonts w:ascii="Arial" w:cs="Arial" w:eastAsia="Arial" w:hAnsi="Arial"/>
          <w:sz w:val="17"/>
          <w:szCs w:val="17"/>
          <w:color w:val="231F20"/>
        </w:rPr>
        <w:t>. We plan to continue investing resources to grow our commercial team, both</w:t>
      </w:r>
      <w:r>
        <w:rPr>
          <w:rFonts w:ascii="Arial" w:cs="Arial" w:eastAsia="Arial" w:hAnsi="Arial"/>
          <w:sz w:val="17"/>
          <w:szCs w:val="17"/>
          <w:b w:val="1"/>
          <w:bCs w:val="1"/>
          <w:color w:val="231F20"/>
        </w:rPr>
        <w:t xml:space="preserve"> </w:t>
      </w:r>
      <w:r>
        <w:rPr>
          <w:rFonts w:ascii="Arial" w:cs="Arial" w:eastAsia="Arial" w:hAnsi="Arial"/>
          <w:sz w:val="17"/>
          <w:szCs w:val="17"/>
          <w:color w:val="231F20"/>
        </w:rPr>
        <w:t>in the U.S. and internationally. In addition to competing in the market for devices used for Combination Cataract MIGS procedures in adult POAG patients, we are investing significant resources in our Standalone market development plan, which includes a team of representatives focused on educating ECPs, ophthalmic surgeons and patients on the broad utility and use cases for OMNI and on Standalone treatment alternatives generally. Through December 31, 2021, we had sold OMNI and its predicate devices to over 1,200 facilities in the U.S. As of December 31, 2021, there were over 750 currently active (i.e., ordering with past 90 days) ordering facilities. There are over 10,000 ophthalmologists focused on performing cataract and glaucoma surgeries in the U.S. and over 3,000 are currently MIGS trained, a figure that is expected to grow as MIGS utilization increases, in part driven by the benefits offered by OMNI. As of December 31, 2021, approximately 1,500 surgeons have been trained to use OMNI. This customer base has seen very low churn levels, with strong retention of surgeons following a multi-month training and trial period. Our targeted and controlled launch of TearCare in the U.S. through a small, dedicated sales team has been successful in demonstrating that DED-experienced customers have strong reorder levels and in providing insights into the large patient- pay market. To help our customers secure appropriate reimbursement from payors for utilizing either OMNI or TearCare in treating their patients, our Market Access group added a dedicated field based Reimbursement Account Executive team that is now fully on board. We plan to grow our commercial organization over time by matching its growth to the achievement of key milestones in our long-term plan to develop our target markets.</w:t>
      </w:r>
    </w:p>
    <w:p>
      <w:pPr>
        <w:spacing w:after="0" w:line="77" w:lineRule="exact"/>
        <w:rPr>
          <w:rFonts w:ascii="Arial" w:cs="Arial" w:eastAsia="Arial" w:hAnsi="Arial"/>
          <w:sz w:val="17"/>
          <w:szCs w:val="17"/>
          <w:color w:val="231F20"/>
        </w:rPr>
      </w:pPr>
    </w:p>
    <w:p>
      <w:pPr>
        <w:ind w:left="283" w:hanging="283"/>
        <w:spacing w:after="0" w:line="254" w:lineRule="auto"/>
        <w:tabs>
          <w:tab w:leader="none" w:pos="283" w:val="left"/>
        </w:tabs>
        <w:numPr>
          <w:ilvl w:val="0"/>
          <w:numId w:val="8"/>
        </w:numPr>
        <w:rPr>
          <w:rFonts w:ascii="Arial" w:cs="Arial" w:eastAsia="Arial" w:hAnsi="Arial"/>
          <w:sz w:val="17"/>
          <w:szCs w:val="17"/>
          <w:color w:val="231F20"/>
        </w:rPr>
      </w:pPr>
      <w:r>
        <w:rPr>
          <w:rFonts w:ascii="Arial" w:cs="Arial" w:eastAsia="Arial" w:hAnsi="Arial"/>
          <w:sz w:val="17"/>
          <w:szCs w:val="17"/>
          <w:b w:val="1"/>
          <w:bCs w:val="1"/>
          <w:color w:val="231F20"/>
        </w:rPr>
        <w:t>Expand into international markets</w:t>
      </w:r>
      <w:r>
        <w:rPr>
          <w:rFonts w:ascii="Arial" w:cs="Arial" w:eastAsia="Arial" w:hAnsi="Arial"/>
          <w:sz w:val="17"/>
          <w:szCs w:val="17"/>
          <w:color w:val="231F20"/>
        </w:rPr>
        <w:t>. We believe there is a substantial market opportunity for clinically effective glaucoma and</w:t>
      </w:r>
      <w:r>
        <w:rPr>
          <w:rFonts w:ascii="Arial" w:cs="Arial" w:eastAsia="Arial" w:hAnsi="Arial"/>
          <w:sz w:val="17"/>
          <w:szCs w:val="17"/>
          <w:b w:val="1"/>
          <w:bCs w:val="1"/>
          <w:color w:val="231F20"/>
        </w:rPr>
        <w:t xml:space="preserve"> </w:t>
      </w:r>
      <w:r>
        <w:rPr>
          <w:rFonts w:ascii="Arial" w:cs="Arial" w:eastAsia="Arial" w:hAnsi="Arial"/>
          <w:sz w:val="17"/>
          <w:szCs w:val="17"/>
          <w:color w:val="231F20"/>
        </w:rPr>
        <w:t>DED products such as OMNI and TearCare outside of the U.S., or OUS. Over the next several years, we intend to increase our OUS investment. The number of U.S. POAG and DED sufferers represents a small fraction of global sufferers — approximately 6% and 5%, respectively — yet the U.S. represents approximately 60% and approximately 40% of the global glaucoma surgical device and DED treatment markets, respectively. There are currently a number of developed OUS markets with ECPs who have relevant ophthalmologic and optometric experience and existing reimbursement for MIGS devices, particularly in the EU where OMNI has a broad CE mark to lower IOP for all adult OAG patients. Trabecular bypass stents have established significant markets in Europe and other geographies. We also believe that a number of OUS market fundamentals are attractive with respect to potential OMNI adoption throughout Europe and Asia:</w:t>
      </w:r>
    </w:p>
    <w:p>
      <w:pPr>
        <w:spacing w:after="0" w:line="72" w:lineRule="exact"/>
        <w:rPr>
          <w:rFonts w:ascii="Arial" w:cs="Arial" w:eastAsia="Arial" w:hAnsi="Arial"/>
          <w:sz w:val="17"/>
          <w:szCs w:val="17"/>
          <w:color w:val="231F20"/>
        </w:rPr>
      </w:pPr>
    </w:p>
    <w:p>
      <w:pPr>
        <w:ind w:left="703" w:hanging="298"/>
        <w:spacing w:after="0" w:line="261" w:lineRule="auto"/>
        <w:tabs>
          <w:tab w:leader="none" w:pos="703" w:val="left"/>
        </w:tabs>
        <w:numPr>
          <w:ilvl w:val="1"/>
          <w:numId w:val="8"/>
        </w:numPr>
        <w:rPr>
          <w:rFonts w:ascii="Arial" w:cs="Arial" w:eastAsia="Arial" w:hAnsi="Arial"/>
          <w:sz w:val="18"/>
          <w:szCs w:val="18"/>
          <w:color w:val="231F20"/>
        </w:rPr>
      </w:pPr>
      <w:r>
        <w:rPr>
          <w:rFonts w:ascii="Arial" w:cs="Arial" w:eastAsia="Arial" w:hAnsi="Arial"/>
          <w:sz w:val="18"/>
          <w:szCs w:val="18"/>
          <w:color w:val="231F20"/>
        </w:rPr>
        <w:t>Surgeons in certain OUS markets choose to intervene at a later stage of eye disease which places increased criticality on highly robust and dependable effectiveness;</w:t>
      </w:r>
    </w:p>
    <w:p>
      <w:pPr>
        <w:spacing w:after="0" w:line="62" w:lineRule="exact"/>
        <w:rPr>
          <w:rFonts w:ascii="Arial" w:cs="Arial" w:eastAsia="Arial" w:hAnsi="Arial"/>
          <w:sz w:val="18"/>
          <w:szCs w:val="18"/>
          <w:color w:val="231F20"/>
        </w:rPr>
      </w:pPr>
    </w:p>
    <w:p>
      <w:pPr>
        <w:ind w:left="703" w:right="100" w:hanging="298"/>
        <w:spacing w:after="0" w:line="248" w:lineRule="auto"/>
        <w:tabs>
          <w:tab w:leader="none" w:pos="703" w:val="left"/>
        </w:tabs>
        <w:numPr>
          <w:ilvl w:val="1"/>
          <w:numId w:val="8"/>
        </w:numPr>
        <w:rPr>
          <w:rFonts w:ascii="Arial" w:cs="Arial" w:eastAsia="Arial" w:hAnsi="Arial"/>
          <w:sz w:val="18"/>
          <w:szCs w:val="18"/>
          <w:color w:val="231F20"/>
        </w:rPr>
      </w:pPr>
      <w:r>
        <w:rPr>
          <w:rFonts w:ascii="Arial" w:cs="Arial" w:eastAsia="Arial" w:hAnsi="Arial"/>
          <w:sz w:val="18"/>
          <w:szCs w:val="18"/>
          <w:color w:val="231F20"/>
        </w:rPr>
        <w:t xml:space="preserve">Circumferential canal procedures are widely accepted and adopted in select large OUS markets. For add addexample, </w:t>
      </w:r>
      <w:r>
        <w:rPr>
          <w:rFonts w:ascii="Arial" w:cs="Arial" w:eastAsia="Arial" w:hAnsi="Arial"/>
          <w:sz w:val="18"/>
          <w:szCs w:val="18"/>
          <w:i w:val="1"/>
          <w:iCs w:val="1"/>
          <w:color w:val="231F20"/>
        </w:rPr>
        <w:t>ab</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externo </w:t>
      </w:r>
      <w:r>
        <w:rPr>
          <w:rFonts w:ascii="Arial" w:cs="Arial" w:eastAsia="Arial" w:hAnsi="Arial"/>
          <w:sz w:val="18"/>
          <w:szCs w:val="18"/>
          <w:color w:val="231F20"/>
        </w:rPr>
        <w:t>canaloplasty has been very successful in Germany and</w:t>
      </w:r>
      <w:r>
        <w:rPr>
          <w:rFonts w:ascii="Arial" w:cs="Arial" w:eastAsia="Arial" w:hAnsi="Arial"/>
          <w:sz w:val="18"/>
          <w:szCs w:val="18"/>
          <w:i w:val="1"/>
          <w:iCs w:val="1"/>
          <w:color w:val="231F20"/>
        </w:rPr>
        <w:t xml:space="preserve"> ab externo </w:t>
      </w:r>
      <w:r>
        <w:rPr>
          <w:rFonts w:ascii="Arial" w:cs="Arial" w:eastAsia="Arial" w:hAnsi="Arial"/>
          <w:sz w:val="18"/>
          <w:szCs w:val="18"/>
          <w:color w:val="231F20"/>
        </w:rPr>
        <w:t>circumferential trabeculotomy has been a preferred</w:t>
      </w:r>
      <w:r>
        <w:rPr>
          <w:rFonts w:ascii="Arial" w:cs="Arial" w:eastAsia="Arial" w:hAnsi="Arial"/>
          <w:sz w:val="18"/>
          <w:szCs w:val="18"/>
          <w:i w:val="1"/>
          <w:iCs w:val="1"/>
          <w:color w:val="231F20"/>
        </w:rPr>
        <w:t xml:space="preserve"> </w:t>
      </w:r>
      <w:r>
        <w:rPr>
          <w:rFonts w:ascii="Arial" w:cs="Arial" w:eastAsia="Arial" w:hAnsi="Arial"/>
          <w:sz w:val="18"/>
          <w:szCs w:val="18"/>
          <w:color w:val="231F20"/>
        </w:rPr>
        <w:t>glaucoma surgery for many years in Japan; and</w:t>
      </w:r>
    </w:p>
    <w:p>
      <w:pPr>
        <w:spacing w:after="0" w:line="73" w:lineRule="exact"/>
        <w:rPr>
          <w:rFonts w:ascii="Arial" w:cs="Arial" w:eastAsia="Arial" w:hAnsi="Arial"/>
          <w:sz w:val="18"/>
          <w:szCs w:val="18"/>
          <w:color w:val="231F20"/>
        </w:rPr>
      </w:pPr>
    </w:p>
    <w:p>
      <w:pPr>
        <w:ind w:left="703" w:right="100" w:hanging="298"/>
        <w:spacing w:after="0" w:line="248" w:lineRule="auto"/>
        <w:tabs>
          <w:tab w:leader="none" w:pos="703" w:val="left"/>
        </w:tabs>
        <w:numPr>
          <w:ilvl w:val="1"/>
          <w:numId w:val="8"/>
        </w:numPr>
        <w:rPr>
          <w:rFonts w:ascii="Arial" w:cs="Arial" w:eastAsia="Arial" w:hAnsi="Arial"/>
          <w:sz w:val="18"/>
          <w:szCs w:val="18"/>
          <w:color w:val="231F20"/>
        </w:rPr>
      </w:pPr>
      <w:r>
        <w:rPr>
          <w:rFonts w:ascii="Arial" w:cs="Arial" w:eastAsia="Arial" w:hAnsi="Arial"/>
          <w:sz w:val="18"/>
          <w:szCs w:val="18"/>
          <w:color w:val="231F20"/>
        </w:rPr>
        <w:t>Surgeons in certain OUS markets are typically salaried and less specialized than U.S. peers and while procedural efficiency and/or potential case volumes are still significant considerations for these OUS surgeons, clinical effectiveness is of increased relative importance.</w:t>
      </w:r>
    </w:p>
    <w:p>
      <w:pPr>
        <w:spacing w:after="0" w:line="74" w:lineRule="exact"/>
        <w:rPr>
          <w:sz w:val="20"/>
          <w:szCs w:val="20"/>
          <w:color w:val="auto"/>
        </w:rPr>
      </w:pPr>
    </w:p>
    <w:p>
      <w:pPr>
        <w:ind w:left="323" w:right="60"/>
        <w:spacing w:after="0" w:line="253" w:lineRule="auto"/>
        <w:rPr>
          <w:sz w:val="20"/>
          <w:szCs w:val="20"/>
          <w:color w:val="auto"/>
        </w:rPr>
      </w:pPr>
      <w:r>
        <w:rPr>
          <w:rFonts w:ascii="Arial" w:cs="Arial" w:eastAsia="Arial" w:hAnsi="Arial"/>
          <w:sz w:val="17"/>
          <w:szCs w:val="17"/>
          <w:color w:val="231F20"/>
        </w:rPr>
        <w:t>We believe that OUS markets can be particularly compelling for clinically differentiated products. Our OMNI clinical trial program includes head-to-head RCTs against competing treatments in European markets that are designed to address the needs of regulatory bodies and third-party payors in those markets. We believe the results of these trials will help OMNI penetrate and gain adoption in these geographies. We also plan to commercialize TearCare in OUS markets and believe MGD procedures have significant potential. We currently rely on a combination of direct sales personnel and independent distributors to sell our products in Europe. In 2021, we hired our first direct sales personnel in the U.K. and have continued to add to our U.K.-based sales teams. We plan to both deepen that team and expand through a combination of direct resources and distributor sales into other geographies in 2022 and beyond. We will also be expanding our Market Access capabilities as appropriate in 2022 to ensure that we secure optimal coverage and reimbursement for OMNI.</w:t>
      </w:r>
    </w:p>
    <w:p>
      <w:pPr>
        <w:spacing w:after="0" w:line="72" w:lineRule="exact"/>
        <w:rPr>
          <w:sz w:val="20"/>
          <w:szCs w:val="20"/>
          <w:color w:val="auto"/>
        </w:rPr>
      </w:pPr>
    </w:p>
    <w:p>
      <w:pPr>
        <w:ind w:left="283" w:right="280" w:hanging="283"/>
        <w:spacing w:after="0" w:line="250" w:lineRule="auto"/>
        <w:tabs>
          <w:tab w:leader="none" w:pos="283" w:val="left"/>
        </w:tabs>
        <w:numPr>
          <w:ilvl w:val="0"/>
          <w:numId w:val="9"/>
        </w:numPr>
        <w:rPr>
          <w:rFonts w:ascii="Arial" w:cs="Arial" w:eastAsia="Arial" w:hAnsi="Arial"/>
          <w:sz w:val="18"/>
          <w:szCs w:val="18"/>
          <w:color w:val="231F20"/>
        </w:rPr>
      </w:pPr>
      <w:r>
        <w:rPr>
          <w:rFonts w:ascii="Arial" w:cs="Arial" w:eastAsia="Arial" w:hAnsi="Arial"/>
          <w:sz w:val="18"/>
          <w:szCs w:val="18"/>
          <w:b w:val="1"/>
          <w:bCs w:val="1"/>
          <w:color w:val="231F20"/>
        </w:rPr>
        <w:t xml:space="preserve">Continuously innovate premium product offerings throughout eyecare. </w:t>
      </w:r>
      <w:r>
        <w:rPr>
          <w:rFonts w:ascii="Arial" w:cs="Arial" w:eastAsia="Arial" w:hAnsi="Arial"/>
          <w:sz w:val="18"/>
          <w:szCs w:val="18"/>
          <w:color w:val="231F20"/>
        </w:rPr>
        <w:t>Over the course of our ten year operating history, we</w:t>
      </w:r>
      <w:r>
        <w:rPr>
          <w:rFonts w:ascii="Arial" w:cs="Arial" w:eastAsia="Arial" w:hAnsi="Arial"/>
          <w:sz w:val="18"/>
          <w:szCs w:val="18"/>
          <w:b w:val="1"/>
          <w:bCs w:val="1"/>
          <w:color w:val="231F20"/>
        </w:rPr>
        <w:t xml:space="preserve"> </w:t>
      </w:r>
      <w:r>
        <w:rPr>
          <w:rFonts w:ascii="Arial" w:cs="Arial" w:eastAsia="Arial" w:hAnsi="Arial"/>
          <w:sz w:val="18"/>
          <w:szCs w:val="18"/>
          <w:color w:val="231F20"/>
        </w:rPr>
        <w:t>have successfully brought to market multiple iterations of OMNI, its predicate devices and TearCare. Our product development approach, which targets underserved eyecare</w:t>
      </w:r>
    </w:p>
    <w:p>
      <w:pPr>
        <w:spacing w:after="0" w:line="181" w:lineRule="exact"/>
        <w:rPr>
          <w:sz w:val="20"/>
          <w:szCs w:val="20"/>
          <w:color w:val="auto"/>
        </w:rPr>
      </w:pPr>
    </w:p>
    <w:p>
      <w:pPr>
        <w:jc w:val="center"/>
        <w:ind w:right="-122"/>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3"/>
          </w:cols>
          <w:pgMar w:left="957" w:top="324" w:right="1099" w:bottom="1440" w:gutter="0" w:footer="0" w:header="0"/>
        </w:sectPr>
      </w:pPr>
    </w:p>
    <w:bookmarkStart w:id="13" w:name="page14"/>
    <w:bookmarkEnd w:id="13"/>
    <w:p>
      <w:pPr>
        <w:ind w:left="800" w:right="640"/>
        <w:spacing w:after="0" w:line="272" w:lineRule="auto"/>
        <w:rPr>
          <w:sz w:val="20"/>
          <w:szCs w:val="20"/>
          <w:color w:val="auto"/>
        </w:rPr>
      </w:pPr>
      <w:r>
        <w:rPr>
          <w:rFonts w:ascii="Arial" w:cs="Arial" w:eastAsia="Arial" w:hAnsi="Arial"/>
          <w:sz w:val="16"/>
          <w:szCs w:val="16"/>
          <w:color w:val="231F20"/>
        </w:rPr>
        <w:t>populations, and our ability to effectively navigate commercialization pathways, has enabled us to launch our products in a highly capital efficient manner, which we believe is distinctive relative to other medical device technology companies and allows us to retain financial flexibility to continue investing in further product enhancements or to explore other avenues of research and development for future pipeline products in eyecare, including drug therapies, sustained release drug delivery platforms and devices. Our internal and external advisor and customer networks provide us with ongoing real-world feedback, which we use to rapidly implement improvements and further develop our products. Our product development roadmap focuses on improving our current products, seeking required FDA authorizations, and disrupting other eyecare categories where stakeholders’ needs remain unmet. We believe our product development capabilities and process provide us with a competitive advantage.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Clinical Data</w:t>
      </w:r>
    </w:p>
    <w:p>
      <w:pPr>
        <w:spacing w:after="0" w:line="216" w:lineRule="exact"/>
        <w:rPr>
          <w:sz w:val="20"/>
          <w:szCs w:val="20"/>
          <w:color w:val="auto"/>
        </w:rPr>
      </w:pPr>
    </w:p>
    <w:p>
      <w:pPr>
        <w:ind w:right="20" w:firstLine="419"/>
        <w:spacing w:after="0" w:line="241" w:lineRule="auto"/>
        <w:rPr>
          <w:sz w:val="20"/>
          <w:szCs w:val="20"/>
          <w:color w:val="auto"/>
        </w:rPr>
      </w:pPr>
      <w:r>
        <w:rPr>
          <w:rFonts w:ascii="Arial" w:cs="Arial" w:eastAsia="Arial" w:hAnsi="Arial"/>
          <w:sz w:val="18"/>
          <w:szCs w:val="18"/>
          <w:color w:val="231F20"/>
        </w:rPr>
        <w:t>We believe that treatment decisions should be evidence-based and hold ourselves to the highest clinical and ethical standards to build and maintain credibility in the medical community. We are deeply committed to conducting studies to evaluate the safety, effectiveness and durability of treatments using our products, and subjecting the results to the rigorous peer review process for publication in leading journals. Our robust and growing libraries of evidence to support OMNI and TearCare are helping to drive their awareness and adoption, and ultimately advancing patient care in ophthalmology and optometry.</w:t>
      </w:r>
    </w:p>
    <w:p>
      <w:pPr>
        <w:spacing w:after="0" w:line="189" w:lineRule="exact"/>
        <w:rPr>
          <w:sz w:val="20"/>
          <w:szCs w:val="20"/>
          <w:color w:val="auto"/>
        </w:rPr>
      </w:pPr>
    </w:p>
    <w:p>
      <w:pPr>
        <w:ind w:firstLine="419"/>
        <w:spacing w:after="0" w:line="324" w:lineRule="auto"/>
        <w:rPr>
          <w:sz w:val="20"/>
          <w:szCs w:val="20"/>
          <w:color w:val="auto"/>
        </w:rPr>
      </w:pPr>
      <w:r>
        <w:rPr>
          <w:rFonts w:ascii="Arial" w:cs="Arial" w:eastAsia="Arial" w:hAnsi="Arial"/>
          <w:sz w:val="16"/>
          <w:szCs w:val="16"/>
          <w:color w:val="231F20"/>
        </w:rPr>
        <w:t>We are currently conducting active and robust clinical trial programs in both POAG and MGD. Our completed, ongoing, and planned clinical trials include several head-to-head RCTs against market leading treatments. We also plan to continue supporting our investigator-initiated trial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OMNI Surgical System</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231F20"/>
        </w:rPr>
        <w:t>OMNI Clinical Program Overview</w:t>
      </w:r>
    </w:p>
    <w:p>
      <w:pPr>
        <w:spacing w:after="0" w:line="212" w:lineRule="exact"/>
        <w:rPr>
          <w:sz w:val="20"/>
          <w:szCs w:val="20"/>
          <w:color w:val="auto"/>
        </w:rPr>
      </w:pPr>
    </w:p>
    <w:p>
      <w:pPr>
        <w:ind w:right="100" w:firstLine="419"/>
        <w:spacing w:after="0" w:line="276" w:lineRule="auto"/>
        <w:rPr>
          <w:sz w:val="20"/>
          <w:szCs w:val="20"/>
          <w:color w:val="auto"/>
        </w:rPr>
      </w:pPr>
      <w:r>
        <w:rPr>
          <w:rFonts w:ascii="Arial" w:cs="Arial" w:eastAsia="Arial" w:hAnsi="Arial"/>
          <w:sz w:val="16"/>
          <w:szCs w:val="16"/>
          <w:color w:val="231F20"/>
        </w:rPr>
        <w:t>Building on a solid foundation of completed and ongoing clinical trials, we are investing significant resources to further develop clinical data regarding the use of OMNI. Clinical trial designs for OMNI include both RCTs and retrospective real-world studies, based on our belief that each of these approaches has unique strengths. Since 2018, there have been 15 articles published in peer-reviewed journals for OMNI and its Sight Sciences predicate devices and procedures. Our robust clinical trial program for OMNI intends to include nearly 2,000 subjects across our trials. Our completed trials include ROMEO and GEMINI. ROMEO was used to support OMNI’s indication for use expansion in the U.S. in March 2021 and resulted in two published articles in peer-reviewed journals. GEMINI was a prospective, multi-center, historical control, single-arm, U.S. study.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28"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231F20"/>
        </w:rPr>
        <w:t>Table 2: Sight Sciences OMNI Ongoing and Planned Clinical Studies</w:t>
      </w:r>
    </w:p>
    <w:p>
      <w:pPr>
        <w:spacing w:after="0" w:line="230" w:lineRule="exact"/>
        <w:rPr>
          <w:sz w:val="20"/>
          <w:szCs w:val="20"/>
          <w:color w:val="auto"/>
        </w:rPr>
      </w:pPr>
    </w:p>
    <w:tbl>
      <w:tblPr>
        <w:tblLayout w:type="fixed"/>
        <w:tblInd w:w="370" w:type="dxa"/>
        <w:tblCellMar>
          <w:top w:w="0" w:type="dxa"/>
          <w:left w:w="0" w:type="dxa"/>
          <w:bottom w:w="0" w:type="dxa"/>
          <w:right w:w="0" w:type="dxa"/>
        </w:tblCellMar>
      </w:tblPr>
      <w:tr>
        <w:trPr>
          <w:trHeight w:val="189"/>
        </w:trPr>
        <w:tc>
          <w:tcPr>
            <w:tcW w:w="18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6"/>
                <w:szCs w:val="16"/>
                <w:b w:val="1"/>
                <w:bCs w:val="1"/>
                <w:color w:val="auto"/>
              </w:rPr>
              <w:t>Name</w:t>
            </w:r>
          </w:p>
        </w:tc>
        <w:tc>
          <w:tcPr>
            <w:tcW w:w="8720" w:type="dxa"/>
            <w:vAlign w:val="bottom"/>
            <w:tcBorders>
              <w:bottom w:val="single" w:sz="8" w:color="auto"/>
            </w:tcBorders>
          </w:tcPr>
          <w:p>
            <w:pPr>
              <w:ind w:left="41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37"/>
        </w:trPr>
        <w:tc>
          <w:tcPr>
            <w:tcW w:w="1840" w:type="dxa"/>
            <w:vAlign w:val="bottom"/>
            <w:tcBorders>
              <w:left w:val="single" w:sz="8" w:color="auto"/>
            </w:tcBorders>
          </w:tcPr>
          <w:p>
            <w:pPr>
              <w:ind w:left="100"/>
              <w:spacing w:after="0" w:line="137" w:lineRule="exact"/>
              <w:rPr>
                <w:sz w:val="20"/>
                <w:szCs w:val="20"/>
                <w:color w:val="auto"/>
              </w:rPr>
            </w:pPr>
            <w:r>
              <w:rPr>
                <w:rFonts w:ascii="Arial" w:cs="Arial" w:eastAsia="Arial" w:hAnsi="Arial"/>
                <w:sz w:val="14"/>
                <w:szCs w:val="14"/>
                <w:b w:val="1"/>
                <w:bCs w:val="1"/>
                <w:color w:val="auto"/>
              </w:rPr>
              <w:t>TRIDENT</w:t>
            </w:r>
          </w:p>
        </w:tc>
        <w:tc>
          <w:tcPr>
            <w:tcW w:w="8720" w:type="dxa"/>
            <w:vAlign w:val="bottom"/>
          </w:tcPr>
          <w:p>
            <w:pPr>
              <w:ind w:left="440"/>
              <w:spacing w:after="0" w:line="137" w:lineRule="exact"/>
              <w:rPr>
                <w:sz w:val="20"/>
                <w:szCs w:val="20"/>
                <w:color w:val="auto"/>
              </w:rPr>
            </w:pPr>
            <w:r>
              <w:rPr>
                <w:rFonts w:ascii="Arial" w:cs="Arial" w:eastAsia="Arial" w:hAnsi="Arial"/>
                <w:sz w:val="14"/>
                <w:szCs w:val="14"/>
                <w:color w:val="auto"/>
                <w:w w:val="96"/>
              </w:rPr>
              <w:t>NCT04658095: A Prospective, Randomized, Multicenter Study To Compare The Safety And Effectiveness Of The OMNI® Surgical System</w:t>
            </w:r>
          </w:p>
        </w:tc>
        <w:tc>
          <w:tcPr>
            <w:tcW w:w="0" w:type="dxa"/>
            <w:vAlign w:val="bottom"/>
          </w:tcPr>
          <w:p>
            <w:pPr>
              <w:spacing w:after="0"/>
              <w:rPr>
                <w:sz w:val="1"/>
                <w:szCs w:val="1"/>
                <w:color w:val="auto"/>
              </w:rPr>
            </w:pPr>
          </w:p>
        </w:tc>
      </w:tr>
      <w:tr>
        <w:trPr>
          <w:trHeight w:val="148"/>
        </w:trPr>
        <w:tc>
          <w:tcPr>
            <w:tcW w:w="1840" w:type="dxa"/>
            <w:vAlign w:val="bottom"/>
            <w:tcBorders>
              <w:left w:val="single" w:sz="8" w:color="auto"/>
            </w:tcBorders>
          </w:tcPr>
          <w:p>
            <w:pPr>
              <w:spacing w:after="0"/>
              <w:rPr>
                <w:sz w:val="12"/>
                <w:szCs w:val="12"/>
                <w:color w:val="auto"/>
              </w:rPr>
            </w:pPr>
          </w:p>
        </w:tc>
        <w:tc>
          <w:tcPr>
            <w:tcW w:w="8720" w:type="dxa"/>
            <w:vAlign w:val="bottom"/>
          </w:tcPr>
          <w:p>
            <w:pPr>
              <w:ind w:left="440"/>
              <w:spacing w:after="0" w:line="149" w:lineRule="exact"/>
              <w:rPr>
                <w:sz w:val="20"/>
                <w:szCs w:val="20"/>
                <w:color w:val="auto"/>
              </w:rPr>
            </w:pPr>
            <w:r>
              <w:rPr>
                <w:rFonts w:ascii="Arial" w:cs="Arial" w:eastAsia="Arial" w:hAnsi="Arial"/>
                <w:sz w:val="14"/>
                <w:szCs w:val="14"/>
                <w:color w:val="auto"/>
              </w:rPr>
              <w:t>And The iStent Inject In Pseudophakic Eyes With Open Angle Glaucoma. Three-armed RCT in Europe evaluating the safety and</w:t>
            </w:r>
          </w:p>
        </w:tc>
        <w:tc>
          <w:tcPr>
            <w:tcW w:w="0" w:type="dxa"/>
            <w:vAlign w:val="bottom"/>
          </w:tcPr>
          <w:p>
            <w:pPr>
              <w:spacing w:after="0"/>
              <w:rPr>
                <w:sz w:val="1"/>
                <w:szCs w:val="1"/>
                <w:color w:val="auto"/>
              </w:rPr>
            </w:pPr>
          </w:p>
        </w:tc>
      </w:tr>
      <w:tr>
        <w:trPr>
          <w:trHeight w:val="148"/>
        </w:trPr>
        <w:tc>
          <w:tcPr>
            <w:tcW w:w="1840" w:type="dxa"/>
            <w:vAlign w:val="bottom"/>
            <w:tcBorders>
              <w:left w:val="single" w:sz="8" w:color="auto"/>
            </w:tcBorders>
          </w:tcPr>
          <w:p>
            <w:pPr>
              <w:spacing w:after="0"/>
              <w:rPr>
                <w:sz w:val="12"/>
                <w:szCs w:val="12"/>
                <w:color w:val="auto"/>
              </w:rPr>
            </w:pPr>
          </w:p>
        </w:tc>
        <w:tc>
          <w:tcPr>
            <w:tcW w:w="8720" w:type="dxa"/>
            <w:vAlign w:val="bottom"/>
          </w:tcPr>
          <w:p>
            <w:pPr>
              <w:ind w:left="440"/>
              <w:spacing w:after="0" w:line="149" w:lineRule="exact"/>
              <w:rPr>
                <w:sz w:val="20"/>
                <w:szCs w:val="20"/>
                <w:color w:val="auto"/>
              </w:rPr>
            </w:pPr>
            <w:r>
              <w:rPr>
                <w:rFonts w:ascii="Arial" w:cs="Arial" w:eastAsia="Arial" w:hAnsi="Arial"/>
                <w:sz w:val="14"/>
                <w:szCs w:val="14"/>
                <w:color w:val="auto"/>
                <w:w w:val="95"/>
              </w:rPr>
              <w:t>effectiveness of (1) canaloplasty alone using OMNI, (2) canaloplasty followed by trabeculotomy using OMNI and (3) trabecular bypass canal</w:t>
            </w:r>
          </w:p>
        </w:tc>
        <w:tc>
          <w:tcPr>
            <w:tcW w:w="0" w:type="dxa"/>
            <w:vAlign w:val="bottom"/>
          </w:tcPr>
          <w:p>
            <w:pPr>
              <w:spacing w:after="0"/>
              <w:rPr>
                <w:sz w:val="1"/>
                <w:szCs w:val="1"/>
                <w:color w:val="auto"/>
              </w:rPr>
            </w:pPr>
          </w:p>
        </w:tc>
      </w:tr>
      <w:tr>
        <w:trPr>
          <w:trHeight w:val="176"/>
        </w:trPr>
        <w:tc>
          <w:tcPr>
            <w:tcW w:w="1840" w:type="dxa"/>
            <w:vAlign w:val="bottom"/>
            <w:tcBorders>
              <w:lef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PRECISION</w:t>
            </w:r>
          </w:p>
        </w:tc>
        <w:tc>
          <w:tcPr>
            <w:tcW w:w="8720" w:type="dxa"/>
            <w:vAlign w:val="bottom"/>
          </w:tcPr>
          <w:p>
            <w:pPr>
              <w:ind w:left="440"/>
              <w:spacing w:after="0"/>
              <w:rPr>
                <w:sz w:val="20"/>
                <w:szCs w:val="20"/>
                <w:color w:val="auto"/>
              </w:rPr>
            </w:pPr>
            <w:r>
              <w:rPr>
                <w:rFonts w:ascii="Arial" w:cs="Arial" w:eastAsia="Arial" w:hAnsi="Arial"/>
                <w:sz w:val="14"/>
                <w:szCs w:val="14"/>
                <w:color w:val="auto"/>
              </w:rPr>
              <w:t>implants all as standalone intervention in pseudophakic eyes.</w:t>
            </w:r>
          </w:p>
        </w:tc>
        <w:tc>
          <w:tcPr>
            <w:tcW w:w="0" w:type="dxa"/>
            <w:vAlign w:val="bottom"/>
          </w:tcPr>
          <w:p>
            <w:pPr>
              <w:spacing w:after="0"/>
              <w:rPr>
                <w:sz w:val="1"/>
                <w:szCs w:val="1"/>
                <w:color w:val="auto"/>
              </w:rPr>
            </w:pPr>
          </w:p>
        </w:tc>
      </w:tr>
      <w:tr>
        <w:trPr>
          <w:trHeight w:val="148"/>
        </w:trPr>
        <w:tc>
          <w:tcPr>
            <w:tcW w:w="1840" w:type="dxa"/>
            <w:vAlign w:val="bottom"/>
            <w:tcBorders>
              <w:left w:val="single" w:sz="8" w:color="auto"/>
            </w:tcBorders>
            <w:vMerge w:val="continue"/>
          </w:tcPr>
          <w:p>
            <w:pPr>
              <w:spacing w:after="0"/>
              <w:rPr>
                <w:sz w:val="12"/>
                <w:szCs w:val="12"/>
                <w:color w:val="auto"/>
              </w:rPr>
            </w:pPr>
          </w:p>
        </w:tc>
        <w:tc>
          <w:tcPr>
            <w:tcW w:w="8720" w:type="dxa"/>
            <w:vAlign w:val="bottom"/>
          </w:tcPr>
          <w:p>
            <w:pPr>
              <w:ind w:left="440"/>
              <w:spacing w:after="0" w:line="149" w:lineRule="exact"/>
              <w:rPr>
                <w:sz w:val="20"/>
                <w:szCs w:val="20"/>
                <w:color w:val="auto"/>
              </w:rPr>
            </w:pPr>
            <w:r>
              <w:rPr>
                <w:rFonts w:ascii="Arial" w:cs="Arial" w:eastAsia="Arial" w:hAnsi="Arial"/>
                <w:sz w:val="14"/>
                <w:szCs w:val="14"/>
                <w:color w:val="auto"/>
                <w:w w:val="97"/>
              </w:rPr>
              <w:t>Three-armed RCT IDE evaluating the safety and effectiveness of (1) canaloplasty alone using new higher volume OMNI, (2) canaloplasty</w:t>
            </w:r>
          </w:p>
        </w:tc>
        <w:tc>
          <w:tcPr>
            <w:tcW w:w="0" w:type="dxa"/>
            <w:vAlign w:val="bottom"/>
          </w:tcPr>
          <w:p>
            <w:pPr>
              <w:spacing w:after="0"/>
              <w:rPr>
                <w:sz w:val="1"/>
                <w:szCs w:val="1"/>
                <w:color w:val="auto"/>
              </w:rPr>
            </w:pPr>
          </w:p>
        </w:tc>
      </w:tr>
      <w:tr>
        <w:trPr>
          <w:trHeight w:val="148"/>
        </w:trPr>
        <w:tc>
          <w:tcPr>
            <w:tcW w:w="1840" w:type="dxa"/>
            <w:vAlign w:val="bottom"/>
            <w:tcBorders>
              <w:left w:val="single" w:sz="8" w:color="auto"/>
            </w:tcBorders>
          </w:tcPr>
          <w:p>
            <w:pPr>
              <w:spacing w:after="0"/>
              <w:rPr>
                <w:sz w:val="12"/>
                <w:szCs w:val="12"/>
                <w:color w:val="auto"/>
              </w:rPr>
            </w:pPr>
          </w:p>
        </w:tc>
        <w:tc>
          <w:tcPr>
            <w:tcW w:w="8720" w:type="dxa"/>
            <w:vAlign w:val="bottom"/>
          </w:tcPr>
          <w:p>
            <w:pPr>
              <w:ind w:left="440"/>
              <w:spacing w:after="0" w:line="149" w:lineRule="exact"/>
              <w:rPr>
                <w:sz w:val="20"/>
                <w:szCs w:val="20"/>
                <w:color w:val="auto"/>
              </w:rPr>
            </w:pPr>
            <w:r>
              <w:rPr>
                <w:rFonts w:ascii="Arial" w:cs="Arial" w:eastAsia="Arial" w:hAnsi="Arial"/>
                <w:sz w:val="14"/>
                <w:szCs w:val="14"/>
                <w:color w:val="auto"/>
              </w:rPr>
              <w:t>followed by trabeculotomy using new higher volume OMNI and (3) trabecular bypass canal implants, all in conjunction with cataract</w:t>
            </w:r>
          </w:p>
        </w:tc>
        <w:tc>
          <w:tcPr>
            <w:tcW w:w="0" w:type="dxa"/>
            <w:vAlign w:val="bottom"/>
          </w:tcPr>
          <w:p>
            <w:pPr>
              <w:spacing w:after="0"/>
              <w:rPr>
                <w:sz w:val="1"/>
                <w:szCs w:val="1"/>
                <w:color w:val="auto"/>
              </w:rPr>
            </w:pPr>
          </w:p>
        </w:tc>
      </w:tr>
      <w:tr>
        <w:trPr>
          <w:trHeight w:val="176"/>
        </w:trPr>
        <w:tc>
          <w:tcPr>
            <w:tcW w:w="1840" w:type="dxa"/>
            <w:vAlign w:val="bottom"/>
            <w:tcBorders>
              <w:lef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JAEGER</w:t>
            </w:r>
          </w:p>
        </w:tc>
        <w:tc>
          <w:tcPr>
            <w:tcW w:w="8720" w:type="dxa"/>
            <w:vAlign w:val="bottom"/>
          </w:tcPr>
          <w:p>
            <w:pPr>
              <w:ind w:left="440"/>
              <w:spacing w:after="0"/>
              <w:rPr>
                <w:sz w:val="20"/>
                <w:szCs w:val="20"/>
                <w:color w:val="auto"/>
              </w:rPr>
            </w:pPr>
            <w:r>
              <w:rPr>
                <w:rFonts w:ascii="Arial" w:cs="Arial" w:eastAsia="Arial" w:hAnsi="Arial"/>
                <w:sz w:val="14"/>
                <w:szCs w:val="14"/>
                <w:color w:val="auto"/>
              </w:rPr>
              <w:t>extraction. IDE could be used to support a canaloplasty alone indication for use for OMNI</w:t>
            </w:r>
          </w:p>
        </w:tc>
        <w:tc>
          <w:tcPr>
            <w:tcW w:w="0" w:type="dxa"/>
            <w:vAlign w:val="bottom"/>
          </w:tcPr>
          <w:p>
            <w:pPr>
              <w:spacing w:after="0"/>
              <w:rPr>
                <w:sz w:val="1"/>
                <w:szCs w:val="1"/>
                <w:color w:val="auto"/>
              </w:rPr>
            </w:pPr>
          </w:p>
        </w:tc>
      </w:tr>
      <w:tr>
        <w:trPr>
          <w:trHeight w:val="148"/>
        </w:trPr>
        <w:tc>
          <w:tcPr>
            <w:tcW w:w="1840" w:type="dxa"/>
            <w:vAlign w:val="bottom"/>
            <w:tcBorders>
              <w:left w:val="single" w:sz="8" w:color="auto"/>
            </w:tcBorders>
            <w:vMerge w:val="continue"/>
          </w:tcPr>
          <w:p>
            <w:pPr>
              <w:spacing w:after="0"/>
              <w:rPr>
                <w:sz w:val="12"/>
                <w:szCs w:val="12"/>
                <w:color w:val="auto"/>
              </w:rPr>
            </w:pPr>
          </w:p>
        </w:tc>
        <w:tc>
          <w:tcPr>
            <w:tcW w:w="8720" w:type="dxa"/>
            <w:vAlign w:val="bottom"/>
          </w:tcPr>
          <w:p>
            <w:pPr>
              <w:ind w:left="440"/>
              <w:spacing w:after="0" w:line="149" w:lineRule="exact"/>
              <w:rPr>
                <w:sz w:val="20"/>
                <w:szCs w:val="20"/>
                <w:color w:val="auto"/>
              </w:rPr>
            </w:pPr>
            <w:r>
              <w:rPr>
                <w:rFonts w:ascii="Arial" w:cs="Arial" w:eastAsia="Arial" w:hAnsi="Arial"/>
                <w:sz w:val="14"/>
                <w:szCs w:val="14"/>
                <w:color w:val="auto"/>
                <w:w w:val="97"/>
              </w:rPr>
              <w:t>Three-armed RCT IDE evaluating the safety and effectiveness of (1) canaloplasty alone using new higher volume OMNI, (2) canaloplasty</w:t>
            </w:r>
          </w:p>
        </w:tc>
        <w:tc>
          <w:tcPr>
            <w:tcW w:w="0" w:type="dxa"/>
            <w:vAlign w:val="bottom"/>
          </w:tcPr>
          <w:p>
            <w:pPr>
              <w:spacing w:after="0"/>
              <w:rPr>
                <w:sz w:val="1"/>
                <w:szCs w:val="1"/>
                <w:color w:val="auto"/>
              </w:rPr>
            </w:pPr>
          </w:p>
        </w:tc>
      </w:tr>
      <w:tr>
        <w:trPr>
          <w:trHeight w:val="176"/>
        </w:trPr>
        <w:tc>
          <w:tcPr>
            <w:tcW w:w="1840" w:type="dxa"/>
            <w:vAlign w:val="bottom"/>
            <w:tcBorders>
              <w:lef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TREY</w:t>
            </w:r>
          </w:p>
        </w:tc>
        <w:tc>
          <w:tcPr>
            <w:tcW w:w="8720" w:type="dxa"/>
            <w:vAlign w:val="bottom"/>
          </w:tcPr>
          <w:p>
            <w:pPr>
              <w:ind w:left="440"/>
              <w:spacing w:after="0"/>
              <w:rPr>
                <w:sz w:val="20"/>
                <w:szCs w:val="20"/>
                <w:color w:val="auto"/>
              </w:rPr>
            </w:pPr>
            <w:r>
              <w:rPr>
                <w:rFonts w:ascii="Arial" w:cs="Arial" w:eastAsia="Arial" w:hAnsi="Arial"/>
                <w:sz w:val="14"/>
                <w:szCs w:val="14"/>
                <w:color w:val="auto"/>
              </w:rPr>
              <w:t>followed by trabeculotomy using new higher volume OMNI and (3) hypotensive medication</w:t>
            </w:r>
          </w:p>
        </w:tc>
        <w:tc>
          <w:tcPr>
            <w:tcW w:w="0" w:type="dxa"/>
            <w:vAlign w:val="bottom"/>
          </w:tcPr>
          <w:p>
            <w:pPr>
              <w:spacing w:after="0"/>
              <w:rPr>
                <w:sz w:val="1"/>
                <w:szCs w:val="1"/>
                <w:color w:val="auto"/>
              </w:rPr>
            </w:pPr>
          </w:p>
        </w:tc>
      </w:tr>
      <w:tr>
        <w:trPr>
          <w:trHeight w:val="148"/>
        </w:trPr>
        <w:tc>
          <w:tcPr>
            <w:tcW w:w="1840" w:type="dxa"/>
            <w:vAlign w:val="bottom"/>
            <w:tcBorders>
              <w:left w:val="single" w:sz="8" w:color="auto"/>
            </w:tcBorders>
            <w:vMerge w:val="continue"/>
          </w:tcPr>
          <w:p>
            <w:pPr>
              <w:spacing w:after="0"/>
              <w:rPr>
                <w:sz w:val="12"/>
                <w:szCs w:val="12"/>
                <w:color w:val="auto"/>
              </w:rPr>
            </w:pPr>
          </w:p>
        </w:tc>
        <w:tc>
          <w:tcPr>
            <w:tcW w:w="8720" w:type="dxa"/>
            <w:vAlign w:val="bottom"/>
          </w:tcPr>
          <w:p>
            <w:pPr>
              <w:ind w:left="440"/>
              <w:spacing w:after="0" w:line="149" w:lineRule="exact"/>
              <w:rPr>
                <w:sz w:val="20"/>
                <w:szCs w:val="20"/>
                <w:color w:val="auto"/>
              </w:rPr>
            </w:pPr>
            <w:r>
              <w:rPr>
                <w:rFonts w:ascii="Arial" w:cs="Arial" w:eastAsia="Arial" w:hAnsi="Arial"/>
                <w:sz w:val="14"/>
                <w:szCs w:val="14"/>
                <w:color w:val="auto"/>
                <w:w w:val="97"/>
              </w:rPr>
              <w:t>Retrospective study evaluating the effectiveness of Standalone intervention using OMNI in eyes with uncontrolled IOP previously treated</w:t>
            </w:r>
          </w:p>
        </w:tc>
        <w:tc>
          <w:tcPr>
            <w:tcW w:w="0" w:type="dxa"/>
            <w:vAlign w:val="bottom"/>
          </w:tcPr>
          <w:p>
            <w:pPr>
              <w:spacing w:after="0"/>
              <w:rPr>
                <w:sz w:val="1"/>
                <w:szCs w:val="1"/>
                <w:color w:val="auto"/>
              </w:rPr>
            </w:pPr>
          </w:p>
        </w:tc>
      </w:tr>
      <w:tr>
        <w:trPr>
          <w:trHeight w:val="175"/>
        </w:trPr>
        <w:tc>
          <w:tcPr>
            <w:tcW w:w="1840" w:type="dxa"/>
            <w:vAlign w:val="bottom"/>
            <w:tcBorders>
              <w:lef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ROMEO II</w:t>
            </w:r>
          </w:p>
        </w:tc>
        <w:tc>
          <w:tcPr>
            <w:tcW w:w="8720" w:type="dxa"/>
            <w:vAlign w:val="bottom"/>
          </w:tcPr>
          <w:p>
            <w:pPr>
              <w:ind w:left="440"/>
              <w:spacing w:after="0"/>
              <w:rPr>
                <w:sz w:val="20"/>
                <w:szCs w:val="20"/>
                <w:color w:val="auto"/>
              </w:rPr>
            </w:pPr>
            <w:r>
              <w:rPr>
                <w:rFonts w:ascii="Arial" w:cs="Arial" w:eastAsia="Arial" w:hAnsi="Arial"/>
                <w:sz w:val="14"/>
                <w:szCs w:val="14"/>
                <w:color w:val="auto"/>
              </w:rPr>
              <w:t>with trabecular bypass canal implants</w:t>
            </w:r>
          </w:p>
        </w:tc>
        <w:tc>
          <w:tcPr>
            <w:tcW w:w="0" w:type="dxa"/>
            <w:vAlign w:val="bottom"/>
          </w:tcPr>
          <w:p>
            <w:pPr>
              <w:spacing w:after="0"/>
              <w:rPr>
                <w:sz w:val="1"/>
                <w:szCs w:val="1"/>
                <w:color w:val="auto"/>
              </w:rPr>
            </w:pPr>
          </w:p>
        </w:tc>
      </w:tr>
      <w:tr>
        <w:trPr>
          <w:trHeight w:val="172"/>
        </w:trPr>
        <w:tc>
          <w:tcPr>
            <w:tcW w:w="1840" w:type="dxa"/>
            <w:vAlign w:val="bottom"/>
            <w:tcBorders>
              <w:left w:val="single" w:sz="8" w:color="auto"/>
            </w:tcBorders>
            <w:vMerge w:val="continue"/>
          </w:tcPr>
          <w:p>
            <w:pPr>
              <w:spacing w:after="0"/>
              <w:rPr>
                <w:sz w:val="14"/>
                <w:szCs w:val="14"/>
                <w:color w:val="auto"/>
              </w:rPr>
            </w:pPr>
          </w:p>
        </w:tc>
        <w:tc>
          <w:tcPr>
            <w:tcW w:w="8720" w:type="dxa"/>
            <w:vAlign w:val="bottom"/>
          </w:tcPr>
          <w:p>
            <w:pPr>
              <w:ind w:left="440"/>
              <w:spacing w:after="0"/>
              <w:rPr>
                <w:sz w:val="20"/>
                <w:szCs w:val="20"/>
                <w:color w:val="auto"/>
              </w:rPr>
            </w:pPr>
            <w:r>
              <w:rPr>
                <w:rFonts w:ascii="Arial" w:cs="Arial" w:eastAsia="Arial" w:hAnsi="Arial"/>
                <w:sz w:val="14"/>
                <w:szCs w:val="14"/>
                <w:color w:val="auto"/>
              </w:rPr>
              <w:t>Multi-center study to evaluate longer term outcomes (18-24 months) from Elevated IOP cohort (&gt;18 mmHg) in ROMEO study</w:t>
            </w:r>
          </w:p>
        </w:tc>
        <w:tc>
          <w:tcPr>
            <w:tcW w:w="0" w:type="dxa"/>
            <w:vAlign w:val="bottom"/>
          </w:tcPr>
          <w:p>
            <w:pPr>
              <w:spacing w:after="0"/>
              <w:rPr>
                <w:sz w:val="1"/>
                <w:szCs w:val="1"/>
                <w:color w:val="auto"/>
              </w:rPr>
            </w:pPr>
          </w:p>
        </w:tc>
      </w:tr>
      <w:tr>
        <w:trPr>
          <w:trHeight w:val="153"/>
        </w:trPr>
        <w:tc>
          <w:tcPr>
            <w:tcW w:w="1840" w:type="dxa"/>
            <w:vAlign w:val="bottom"/>
            <w:tcBorders>
              <w:left w:val="single" w:sz="8" w:color="auto"/>
            </w:tcBorders>
          </w:tcPr>
          <w:p>
            <w:pPr>
              <w:ind w:left="100"/>
              <w:spacing w:after="0" w:line="153" w:lineRule="exact"/>
              <w:rPr>
                <w:sz w:val="20"/>
                <w:szCs w:val="20"/>
                <w:color w:val="auto"/>
              </w:rPr>
            </w:pPr>
            <w:r>
              <w:rPr>
                <w:rFonts w:ascii="Arial" w:cs="Arial" w:eastAsia="Arial" w:hAnsi="Arial"/>
                <w:sz w:val="14"/>
                <w:szCs w:val="14"/>
                <w:b w:val="1"/>
                <w:bCs w:val="1"/>
                <w:color w:val="auto"/>
              </w:rPr>
              <w:t>GEMINI 2.0</w:t>
            </w:r>
          </w:p>
        </w:tc>
        <w:tc>
          <w:tcPr>
            <w:tcW w:w="8720" w:type="dxa"/>
            <w:vAlign w:val="bottom"/>
          </w:tcPr>
          <w:p>
            <w:pPr>
              <w:ind w:left="440"/>
              <w:spacing w:after="0" w:line="153" w:lineRule="exact"/>
              <w:rPr>
                <w:sz w:val="20"/>
                <w:szCs w:val="20"/>
                <w:color w:val="auto"/>
              </w:rPr>
            </w:pPr>
            <w:r>
              <w:rPr>
                <w:rFonts w:ascii="Arial" w:cs="Arial" w:eastAsia="Arial" w:hAnsi="Arial"/>
                <w:sz w:val="14"/>
                <w:szCs w:val="14"/>
                <w:color w:val="auto"/>
                <w:w w:val="97"/>
              </w:rPr>
              <w:t>NCT05044793: An Observational Multicenter Clinical Study To Assess The Long-Term Safety And Effectiveness Of The OMNI® Surgical</w:t>
            </w:r>
          </w:p>
        </w:tc>
        <w:tc>
          <w:tcPr>
            <w:tcW w:w="0" w:type="dxa"/>
            <w:vAlign w:val="bottom"/>
          </w:tcPr>
          <w:p>
            <w:pPr>
              <w:spacing w:after="0"/>
              <w:rPr>
                <w:sz w:val="1"/>
                <w:szCs w:val="1"/>
                <w:color w:val="auto"/>
              </w:rPr>
            </w:pPr>
          </w:p>
        </w:tc>
      </w:tr>
      <w:tr>
        <w:trPr>
          <w:trHeight w:val="176"/>
        </w:trPr>
        <w:tc>
          <w:tcPr>
            <w:tcW w:w="1840" w:type="dxa"/>
            <w:vAlign w:val="bottom"/>
            <w:tcBorders>
              <w:lef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ORION 2.0</w:t>
            </w:r>
          </w:p>
        </w:tc>
        <w:tc>
          <w:tcPr>
            <w:tcW w:w="8720" w:type="dxa"/>
            <w:vAlign w:val="bottom"/>
          </w:tcPr>
          <w:p>
            <w:pPr>
              <w:ind w:left="440"/>
              <w:spacing w:after="0"/>
              <w:rPr>
                <w:sz w:val="20"/>
                <w:szCs w:val="20"/>
                <w:color w:val="auto"/>
              </w:rPr>
            </w:pPr>
            <w:r>
              <w:rPr>
                <w:rFonts w:ascii="Arial" w:cs="Arial" w:eastAsia="Arial" w:hAnsi="Arial"/>
                <w:sz w:val="14"/>
                <w:szCs w:val="14"/>
                <w:color w:val="auto"/>
              </w:rPr>
              <w:t>System In Combination With Cataract Surgery In Eyes With Open Angle Glaucoma</w:t>
            </w:r>
          </w:p>
        </w:tc>
        <w:tc>
          <w:tcPr>
            <w:tcW w:w="0" w:type="dxa"/>
            <w:vAlign w:val="bottom"/>
          </w:tcPr>
          <w:p>
            <w:pPr>
              <w:spacing w:after="0"/>
              <w:rPr>
                <w:sz w:val="1"/>
                <w:szCs w:val="1"/>
                <w:color w:val="auto"/>
              </w:rPr>
            </w:pPr>
          </w:p>
        </w:tc>
      </w:tr>
      <w:tr>
        <w:trPr>
          <w:trHeight w:val="148"/>
        </w:trPr>
        <w:tc>
          <w:tcPr>
            <w:tcW w:w="1840" w:type="dxa"/>
            <w:vAlign w:val="bottom"/>
            <w:tcBorders>
              <w:left w:val="single" w:sz="8" w:color="auto"/>
            </w:tcBorders>
            <w:vMerge w:val="continue"/>
          </w:tcPr>
          <w:p>
            <w:pPr>
              <w:spacing w:after="0"/>
              <w:rPr>
                <w:sz w:val="12"/>
                <w:szCs w:val="12"/>
                <w:color w:val="auto"/>
              </w:rPr>
            </w:pPr>
          </w:p>
        </w:tc>
        <w:tc>
          <w:tcPr>
            <w:tcW w:w="8720" w:type="dxa"/>
            <w:vAlign w:val="bottom"/>
          </w:tcPr>
          <w:p>
            <w:pPr>
              <w:ind w:left="440"/>
              <w:spacing w:after="0" w:line="149" w:lineRule="exact"/>
              <w:rPr>
                <w:sz w:val="20"/>
                <w:szCs w:val="20"/>
                <w:color w:val="auto"/>
              </w:rPr>
            </w:pPr>
            <w:r>
              <w:rPr>
                <w:rFonts w:ascii="Arial" w:cs="Arial" w:eastAsia="Arial" w:hAnsi="Arial"/>
                <w:sz w:val="14"/>
                <w:szCs w:val="14"/>
                <w:color w:val="auto"/>
                <w:w w:val="98"/>
              </w:rPr>
              <w:t>NCT04872348: An Observational Multicenter Clinical Study To Assess The Safety And Effectiveness Of The OMNI® Surgical System In</w:t>
            </w:r>
          </w:p>
        </w:tc>
        <w:tc>
          <w:tcPr>
            <w:tcW w:w="0" w:type="dxa"/>
            <w:vAlign w:val="bottom"/>
          </w:tcPr>
          <w:p>
            <w:pPr>
              <w:spacing w:after="0"/>
              <w:rPr>
                <w:sz w:val="1"/>
                <w:szCs w:val="1"/>
                <w:color w:val="auto"/>
              </w:rPr>
            </w:pPr>
          </w:p>
        </w:tc>
      </w:tr>
      <w:tr>
        <w:trPr>
          <w:trHeight w:val="182"/>
        </w:trPr>
        <w:tc>
          <w:tcPr>
            <w:tcW w:w="1840" w:type="dxa"/>
            <w:vAlign w:val="bottom"/>
            <w:tcBorders>
              <w:left w:val="single" w:sz="8" w:color="auto"/>
            </w:tcBorders>
          </w:tcPr>
          <w:p>
            <w:pPr>
              <w:spacing w:after="0"/>
              <w:rPr>
                <w:sz w:val="15"/>
                <w:szCs w:val="15"/>
                <w:color w:val="auto"/>
              </w:rPr>
            </w:pPr>
          </w:p>
        </w:tc>
        <w:tc>
          <w:tcPr>
            <w:tcW w:w="8720" w:type="dxa"/>
            <w:vAlign w:val="bottom"/>
          </w:tcPr>
          <w:p>
            <w:pPr>
              <w:ind w:left="440"/>
              <w:spacing w:after="0"/>
              <w:rPr>
                <w:sz w:val="20"/>
                <w:szCs w:val="20"/>
                <w:color w:val="auto"/>
              </w:rPr>
            </w:pPr>
            <w:r>
              <w:rPr>
                <w:rFonts w:ascii="Arial" w:cs="Arial" w:eastAsia="Arial" w:hAnsi="Arial"/>
                <w:sz w:val="14"/>
                <w:szCs w:val="14"/>
                <w:color w:val="auto"/>
              </w:rPr>
              <w:t>Pseudophakic Eyes With Primary Open Angle Glaucoma. Evaluate 24-month durability of effectiveness and safety for OMNI</w:t>
            </w:r>
          </w:p>
        </w:tc>
        <w:tc>
          <w:tcPr>
            <w:tcW w:w="0" w:type="dxa"/>
            <w:vAlign w:val="bottom"/>
          </w:tcPr>
          <w:p>
            <w:pPr>
              <w:spacing w:after="0"/>
              <w:rPr>
                <w:sz w:val="1"/>
                <w:szCs w:val="1"/>
                <w:color w:val="auto"/>
              </w:rPr>
            </w:pPr>
          </w:p>
        </w:tc>
      </w:tr>
      <w:tr>
        <w:trPr>
          <w:trHeight w:val="323"/>
        </w:trPr>
        <w:tc>
          <w:tcPr>
            <w:tcW w:w="184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AAO/IRIS® Registry</w:t>
            </w:r>
          </w:p>
        </w:tc>
        <w:tc>
          <w:tcPr>
            <w:tcW w:w="8720" w:type="dxa"/>
            <w:vAlign w:val="bottom"/>
          </w:tcPr>
          <w:p>
            <w:pPr>
              <w:ind w:left="440"/>
              <w:spacing w:after="0"/>
              <w:rPr>
                <w:sz w:val="20"/>
                <w:szCs w:val="20"/>
                <w:color w:val="auto"/>
              </w:rPr>
            </w:pPr>
            <w:r>
              <w:rPr>
                <w:rFonts w:ascii="Arial" w:cs="Arial" w:eastAsia="Arial" w:hAnsi="Arial"/>
                <w:sz w:val="14"/>
                <w:szCs w:val="14"/>
                <w:color w:val="auto"/>
              </w:rPr>
              <w:t>Evaluate historical data for OMNI and competing products from IRIS® Registry in the U.S.</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231F20"/>
        </w:rPr>
        <w:t>ROMEO Study</w:t>
      </w:r>
    </w:p>
    <w:p>
      <w:pPr>
        <w:spacing w:after="0" w:line="212" w:lineRule="exact"/>
        <w:rPr>
          <w:sz w:val="20"/>
          <w:szCs w:val="20"/>
          <w:color w:val="auto"/>
        </w:rPr>
      </w:pPr>
    </w:p>
    <w:p>
      <w:pPr>
        <w:ind w:right="180" w:firstLine="419"/>
        <w:spacing w:after="0" w:line="241" w:lineRule="auto"/>
        <w:rPr>
          <w:sz w:val="20"/>
          <w:szCs w:val="20"/>
          <w:color w:val="auto"/>
        </w:rPr>
      </w:pPr>
      <w:r>
        <w:rPr>
          <w:rFonts w:ascii="Arial" w:cs="Arial" w:eastAsia="Arial" w:hAnsi="Arial"/>
          <w:sz w:val="18"/>
          <w:szCs w:val="18"/>
          <w:color w:val="231F20"/>
        </w:rPr>
        <w:t xml:space="preserve">The ROMEO study was a multi-center retrospective study conducted from February 2018 through April 2020 and designed to assess safety and effectiveness of OMNI in reducing IOP and hypotensive medication usage in Mild-to-Moderate OAG patients at 12 months post-operation. This study evaluated the clinical effect of </w:t>
      </w:r>
      <w:r>
        <w:rPr>
          <w:rFonts w:ascii="Arial" w:cs="Arial" w:eastAsia="Arial" w:hAnsi="Arial"/>
          <w:sz w:val="18"/>
          <w:szCs w:val="18"/>
          <w:i w:val="1"/>
          <w:iCs w:val="1"/>
          <w:color w:val="231F20"/>
        </w:rPr>
        <w:t>ab interno</w:t>
      </w:r>
      <w:r>
        <w:rPr>
          <w:rFonts w:ascii="Arial" w:cs="Arial" w:eastAsia="Arial" w:hAnsi="Arial"/>
          <w:sz w:val="18"/>
          <w:szCs w:val="18"/>
          <w:color w:val="231F20"/>
        </w:rPr>
        <w:t xml:space="preserve"> canaloplasty and trabeculotomy performed using OMNI in both Standalone and Combination Cataract procedures, the use of ocular hypotensive medications and safety in patients with OAG. Clinical data from ROMEO supported our March 2021 FDA 510(k) clearance for an expanded indication for use of OMNI.</w:t>
      </w:r>
    </w:p>
    <w:p>
      <w:pPr>
        <w:spacing w:after="0" w:line="189" w:lineRule="exact"/>
        <w:rPr>
          <w:sz w:val="20"/>
          <w:szCs w:val="20"/>
          <w:color w:val="auto"/>
        </w:rPr>
      </w:pPr>
    </w:p>
    <w:p>
      <w:pPr>
        <w:ind w:right="60" w:firstLine="419"/>
        <w:spacing w:after="0" w:line="270" w:lineRule="auto"/>
        <w:rPr>
          <w:sz w:val="20"/>
          <w:szCs w:val="20"/>
          <w:color w:val="auto"/>
        </w:rPr>
      </w:pPr>
      <w:r>
        <w:rPr>
          <w:rFonts w:ascii="Arial" w:cs="Arial" w:eastAsia="Arial" w:hAnsi="Arial"/>
          <w:sz w:val="16"/>
          <w:szCs w:val="16"/>
          <w:color w:val="231F20"/>
        </w:rPr>
        <w:t>The study evaluated two different groups of patients based on baseline IOP with different treatment goals: The Elevated IOP Group had a preoperative IOP greater than 18 mmHg and its treatment goal was IOP reduction. The Controlled IOP Group had a preoperative IOP less than or equal to 18 mmHg, with a treatment goal of IOP maintenance and medication reduction. The primary endpoint was defined as the proportion of subjects at 12 months post-operation with IOP between 6 mmHg and 18 mmHg or with a 20% or greater reduction from preoperative baseline IOP, on the same or fewer number of ocular hypotensive medications compared to the preoperative baseline, and with no additional IOP-lowering surgery or laser treatment. IOP of 18 mmHg or below is a well-established benchmark by the clinical community for control of POAG progression and is based on the belief that maintenance of IOP control should be considered a “success” for patients already controlled on medication. For patients not controlled on medication, a 20% reduction in IOP is the recommended primary efficacy endpoint according to FDA guidance for implantable MIGS devices, which we have relied upon in designing our retrospective non-implantable device study. Safety endpoints included ocular adverse events, and efficacy endpoints included secondary surgical interventions. In ROMEO, 77.5% of all patients met the success criteria, including 80.2% of Combination Cataract patients and 72.9% of Standalone patients. There have been two articles published in peer-reviewed journals based on data from ROMEO.</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231F20"/>
        </w:rPr>
        <w:t>GEMINI Study</w:t>
      </w:r>
    </w:p>
    <w:p>
      <w:pPr>
        <w:spacing w:after="0" w:line="212" w:lineRule="exact"/>
        <w:rPr>
          <w:sz w:val="20"/>
          <w:szCs w:val="20"/>
          <w:color w:val="auto"/>
        </w:rPr>
      </w:pPr>
    </w:p>
    <w:p>
      <w:pPr>
        <w:ind w:firstLine="419"/>
        <w:spacing w:after="0" w:line="239" w:lineRule="auto"/>
        <w:rPr>
          <w:sz w:val="20"/>
          <w:szCs w:val="20"/>
          <w:color w:val="auto"/>
        </w:rPr>
      </w:pPr>
      <w:r>
        <w:rPr>
          <w:rFonts w:ascii="Arial" w:cs="Arial" w:eastAsia="Arial" w:hAnsi="Arial"/>
          <w:sz w:val="18"/>
          <w:szCs w:val="18"/>
          <w:color w:val="231F20"/>
        </w:rPr>
        <w:t>The GEMINI study was a prospective, multi-center, single-arm, historic-controlled, interventional clinical trial designed to assess the safety and effectiveness of OMNI in Combination Cataract surgery in patients with Mild-to-Moderate OAG at 12 months postoperatively. The GEMINI study initiated in February 2019, completed enrollment in March 2020 (n=145) and completed final patient 12-month follow up by the end of April 2021. An article published in a peer-reviewed journal in the third quarter of 2021 based on results from GEMINI showed that Combination Cataract MIGS using OMNI resulted in a significant reduction in overall mean IOP from baseline, and in a post hoc analysis, a reduction in the variation and amplitude of mean IOP was observed at each diurnal time point evaluated. In the study, 95% of patients had a diminished peak IOP postoperatively when compared to preoperative measurements. The difference between “high”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4" w:right="439" w:bottom="1440" w:gutter="0" w:footer="0" w:header="0"/>
        </w:sectPr>
      </w:pPr>
    </w:p>
    <w:bookmarkStart w:id="15" w:name="page16"/>
    <w:bookmarkEnd w:id="15"/>
    <w:p>
      <w:pPr>
        <w:ind w:right="140"/>
        <w:spacing w:after="0" w:line="261" w:lineRule="auto"/>
        <w:rPr>
          <w:sz w:val="20"/>
          <w:szCs w:val="20"/>
          <w:color w:val="auto"/>
        </w:rPr>
      </w:pPr>
      <w:r>
        <w:rPr>
          <w:rFonts w:ascii="Arial" w:cs="Arial" w:eastAsia="Arial" w:hAnsi="Arial"/>
          <w:sz w:val="18"/>
          <w:szCs w:val="18"/>
          <w:color w:val="231F20"/>
        </w:rPr>
        <w:t>and “low” IOP at 12 months reduced an average of 36% compared to preoperative measurements. We expect two additional articles based on data from GEMINI to be published in peer-reviewed journals in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TearCare System</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231F20"/>
        </w:rPr>
        <w:t>TearCare Clinical Program Overview</w:t>
      </w:r>
    </w:p>
    <w:p>
      <w:pPr>
        <w:spacing w:after="0" w:line="212" w:lineRule="exact"/>
        <w:rPr>
          <w:sz w:val="20"/>
          <w:szCs w:val="20"/>
          <w:color w:val="auto"/>
        </w:rPr>
      </w:pPr>
    </w:p>
    <w:p>
      <w:pPr>
        <w:ind w:right="120" w:firstLine="419"/>
        <w:spacing w:after="0" w:line="238" w:lineRule="auto"/>
        <w:rPr>
          <w:sz w:val="20"/>
          <w:szCs w:val="20"/>
          <w:color w:val="auto"/>
        </w:rPr>
      </w:pPr>
      <w:r>
        <w:rPr>
          <w:rFonts w:ascii="Arial" w:cs="Arial" w:eastAsia="Arial" w:hAnsi="Arial"/>
          <w:sz w:val="18"/>
          <w:szCs w:val="18"/>
          <w:color w:val="231F20"/>
        </w:rPr>
        <w:t>We designed TearCare to comprehensively address meibomian gland disease, which we believe to be the primary underlying cause of evaporative DED. We have developed robust clinical data evaluating TearCare. We have completed one RCT for TearCare (OLYMPIA), have one RCT enrolling patients (SAHARA) and have one additional study in the planning stage (RESTORE). In our completed OLYMPIA RCT, we observed significant improvements in the signs and all symptoms of DED as assessed by an array of measures including both functional and biologic markers, and patient-reported symptoms surveys. We observed TearCare to be safe and well tolerated, with only minor adverse events that resolved without any further treatment. Data from OLYMPIA supported the FDA clearance of TearCare’s expanded indication for use in December 2021. Our two ongoing and planned studies are intended to evaluate the safety and effectiveness of TearCare in reducing signs and symptoms of DED due to MGD. We plan to leverage the results of these studies to support FDA clearances to further expand indications for use of TearCare and to support our patient access strategy.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Table 3: Sight Sciences TearCare Ongoing and Planned Clinical Studies</w:t>
      </w:r>
    </w:p>
    <w:p>
      <w:pPr>
        <w:spacing w:after="0" w:line="207" w:lineRule="exact"/>
        <w:rPr>
          <w:sz w:val="20"/>
          <w:szCs w:val="20"/>
          <w:color w:val="auto"/>
        </w:rPr>
      </w:pPr>
    </w:p>
    <w:tbl>
      <w:tblPr>
        <w:tblLayout w:type="fixed"/>
        <w:tblInd w:w="350" w:type="dxa"/>
        <w:tblCellMar>
          <w:top w:w="0" w:type="dxa"/>
          <w:left w:w="0" w:type="dxa"/>
          <w:bottom w:w="0" w:type="dxa"/>
          <w:right w:w="0" w:type="dxa"/>
        </w:tblCellMar>
      </w:tblPr>
      <w:tr>
        <w:trPr>
          <w:trHeight w:val="254"/>
        </w:trPr>
        <w:tc>
          <w:tcPr>
            <w:tcW w:w="244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8220" w:type="dxa"/>
            <w:vAlign w:val="bottom"/>
            <w:tcBorders>
              <w:top w:val="single" w:sz="8" w:color="auto"/>
              <w:right w:val="single" w:sz="8" w:color="auto"/>
            </w:tcBorders>
          </w:tcPr>
          <w:p>
            <w:pPr>
              <w:ind w:left="3660"/>
              <w:spacing w:after="0"/>
              <w:rPr>
                <w:sz w:val="20"/>
                <w:szCs w:val="20"/>
                <w:color w:val="auto"/>
              </w:rPr>
            </w:pPr>
            <w:r>
              <w:rPr>
                <w:rFonts w:ascii="Arial" w:cs="Arial" w:eastAsia="Arial" w:hAnsi="Arial"/>
                <w:sz w:val="18"/>
                <w:szCs w:val="18"/>
                <w:b w:val="1"/>
                <w:bCs w:val="1"/>
                <w:color w:val="auto"/>
              </w:rPr>
              <w:t>Description</w:t>
            </w:r>
          </w:p>
        </w:tc>
      </w:tr>
      <w:tr>
        <w:trPr>
          <w:trHeight w:val="130"/>
        </w:trPr>
        <w:tc>
          <w:tcPr>
            <w:tcW w:w="2440" w:type="dxa"/>
            <w:vAlign w:val="bottom"/>
            <w:tcBorders>
              <w:left w:val="single" w:sz="8" w:color="auto"/>
              <w:bottom w:val="single" w:sz="8" w:color="auto"/>
              <w:right w:val="single" w:sz="8" w:color="auto"/>
            </w:tcBorders>
          </w:tcPr>
          <w:p>
            <w:pPr>
              <w:spacing w:after="0"/>
              <w:rPr>
                <w:sz w:val="11"/>
                <w:szCs w:val="11"/>
                <w:color w:val="auto"/>
              </w:rPr>
            </w:pPr>
          </w:p>
        </w:tc>
        <w:tc>
          <w:tcPr>
            <w:tcW w:w="8220" w:type="dxa"/>
            <w:vAlign w:val="bottom"/>
            <w:tcBorders>
              <w:bottom w:val="single" w:sz="8" w:color="auto"/>
              <w:right w:val="single" w:sz="8" w:color="auto"/>
            </w:tcBorders>
          </w:tcPr>
          <w:p>
            <w:pPr>
              <w:spacing w:after="0"/>
              <w:rPr>
                <w:sz w:val="11"/>
                <w:szCs w:val="11"/>
                <w:color w:val="auto"/>
              </w:rPr>
            </w:pPr>
          </w:p>
        </w:tc>
      </w:tr>
      <w:tr>
        <w:trPr>
          <w:trHeight w:val="139"/>
        </w:trPr>
        <w:tc>
          <w:tcPr>
            <w:tcW w:w="2440" w:type="dxa"/>
            <w:vAlign w:val="bottom"/>
            <w:tcBorders>
              <w:left w:val="single" w:sz="8" w:color="auto"/>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SAHARA</w:t>
            </w:r>
          </w:p>
        </w:tc>
        <w:tc>
          <w:tcPr>
            <w:tcW w:w="822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6"/>
                <w:szCs w:val="16"/>
                <w:color w:val="auto"/>
              </w:rPr>
              <w:t>NCT04795752: Prospective, Randomized, Masked, Controlled Trial To Evaluate The Safety And Effectiveness</w:t>
            </w:r>
          </w:p>
        </w:tc>
      </w:tr>
      <w:tr>
        <w:trPr>
          <w:trHeight w:val="176"/>
        </w:trPr>
        <w:tc>
          <w:tcPr>
            <w:tcW w:w="2440" w:type="dxa"/>
            <w:vAlign w:val="bottom"/>
            <w:tcBorders>
              <w:left w:val="single" w:sz="8" w:color="auto"/>
              <w:right w:val="single" w:sz="8" w:color="auto"/>
            </w:tcBorders>
          </w:tcPr>
          <w:p>
            <w:pPr>
              <w:spacing w:after="0"/>
              <w:rPr>
                <w:sz w:val="15"/>
                <w:szCs w:val="15"/>
                <w:color w:val="auto"/>
              </w:rPr>
            </w:pPr>
          </w:p>
        </w:tc>
        <w:tc>
          <w:tcPr>
            <w:tcW w:w="822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8"/>
                <w:szCs w:val="18"/>
                <w:color w:val="auto"/>
                <w:w w:val="92"/>
              </w:rPr>
              <w:t>Of The TearCare® System In The Treatment Of The Signs And Symptoms Of Dry Eye Disease. Control group</w:t>
            </w:r>
          </w:p>
        </w:tc>
      </w:tr>
      <w:tr>
        <w:trPr>
          <w:trHeight w:val="230"/>
        </w:trPr>
        <w:tc>
          <w:tcPr>
            <w:tcW w:w="2440" w:type="dxa"/>
            <w:vAlign w:val="bottom"/>
            <w:tcBorders>
              <w:left w:val="single" w:sz="8" w:color="auto"/>
              <w:right w:val="single" w:sz="8" w:color="auto"/>
            </w:tcBorders>
          </w:tcPr>
          <w:p>
            <w:pPr>
              <w:spacing w:after="0"/>
              <w:rPr>
                <w:sz w:val="20"/>
                <w:szCs w:val="20"/>
                <w:color w:val="auto"/>
              </w:rPr>
            </w:pPr>
          </w:p>
        </w:tc>
        <w:tc>
          <w:tcPr>
            <w:tcW w:w="8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will self-administer Restasis® for six months then receive one TearCare treatment</w:t>
            </w:r>
          </w:p>
        </w:tc>
      </w:tr>
      <w:tr>
        <w:trPr>
          <w:trHeight w:val="526"/>
        </w:trPr>
        <w:tc>
          <w:tcPr>
            <w:tcW w:w="2440" w:type="dxa"/>
            <w:vAlign w:val="bottom"/>
            <w:tcBorders>
              <w:left w:val="single" w:sz="8" w:color="auto"/>
              <w:bottom w:val="single" w:sz="8" w:color="auto"/>
              <w:right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r>
      <w:tr>
        <w:trPr>
          <w:trHeight w:val="155"/>
        </w:trPr>
        <w:tc>
          <w:tcPr>
            <w:tcW w:w="2440" w:type="dxa"/>
            <w:vAlign w:val="bottom"/>
            <w:tcBorders>
              <w:left w:val="single" w:sz="8" w:color="auto"/>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RESTORE</w:t>
            </w:r>
          </w:p>
        </w:tc>
        <w:tc>
          <w:tcPr>
            <w:tcW w:w="8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w w:val="98"/>
              </w:rPr>
              <w:t>Evaluate the safety and effectiveness of TearCare® to treat the signs and symptoms of DED in patients</w:t>
            </w:r>
          </w:p>
        </w:tc>
      </w:tr>
      <w:tr>
        <w:trPr>
          <w:trHeight w:val="230"/>
        </w:trPr>
        <w:tc>
          <w:tcPr>
            <w:tcW w:w="2440" w:type="dxa"/>
            <w:vAlign w:val="bottom"/>
            <w:tcBorders>
              <w:left w:val="single" w:sz="8" w:color="auto"/>
              <w:right w:val="single" w:sz="8" w:color="auto"/>
            </w:tcBorders>
          </w:tcPr>
          <w:p>
            <w:pPr>
              <w:spacing w:after="0"/>
              <w:rPr>
                <w:sz w:val="20"/>
                <w:szCs w:val="20"/>
                <w:color w:val="auto"/>
              </w:rPr>
            </w:pPr>
          </w:p>
        </w:tc>
        <w:tc>
          <w:tcPr>
            <w:tcW w:w="8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previously treated with Restasis® or Xiidra®</w:t>
            </w:r>
          </w:p>
        </w:tc>
      </w:tr>
      <w:tr>
        <w:trPr>
          <w:trHeight w:val="229"/>
        </w:trPr>
        <w:tc>
          <w:tcPr>
            <w:tcW w:w="2440" w:type="dxa"/>
            <w:vAlign w:val="bottom"/>
            <w:tcBorders>
              <w:left w:val="single" w:sz="8" w:color="auto"/>
              <w:bottom w:val="single" w:sz="8" w:color="auto"/>
              <w:right w:val="single" w:sz="8" w:color="auto"/>
            </w:tcBorders>
          </w:tcPr>
          <w:p>
            <w:pPr>
              <w:spacing w:after="0"/>
              <w:rPr>
                <w:sz w:val="19"/>
                <w:szCs w:val="19"/>
                <w:color w:val="auto"/>
              </w:rPr>
            </w:pPr>
          </w:p>
        </w:tc>
        <w:tc>
          <w:tcPr>
            <w:tcW w:w="8220" w:type="dxa"/>
            <w:vAlign w:val="bottom"/>
            <w:tcBorders>
              <w:bottom w:val="single" w:sz="8" w:color="auto"/>
              <w:right w:val="single" w:sz="8" w:color="auto"/>
            </w:tcBorders>
          </w:tcPr>
          <w:p>
            <w:pPr>
              <w:spacing w:after="0"/>
              <w:rPr>
                <w:sz w:val="19"/>
                <w:szCs w:val="19"/>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Commercial Approach</w:t>
      </w:r>
    </w:p>
    <w:p>
      <w:pPr>
        <w:spacing w:after="0" w:line="216" w:lineRule="exact"/>
        <w:rPr>
          <w:sz w:val="20"/>
          <w:szCs w:val="20"/>
          <w:color w:val="auto"/>
        </w:rPr>
      </w:pPr>
    </w:p>
    <w:p>
      <w:pPr>
        <w:ind w:right="80" w:firstLine="419"/>
        <w:spacing w:after="0" w:line="272" w:lineRule="auto"/>
        <w:rPr>
          <w:sz w:val="20"/>
          <w:szCs w:val="20"/>
          <w:color w:val="auto"/>
        </w:rPr>
      </w:pPr>
      <w:r>
        <w:rPr>
          <w:rFonts w:ascii="Arial" w:cs="Arial" w:eastAsia="Arial" w:hAnsi="Arial"/>
          <w:sz w:val="16"/>
          <w:szCs w:val="16"/>
          <w:color w:val="231F20"/>
        </w:rPr>
        <w:t>We have built a world-class direct sales commercial organization that features professionals and executives with substantial leadership experience from leading ophthalmic product companies. In particular, we have recruited professionals with track records that include launching new technologies, growing primary demand, changing treatment paradigms and securing market access from payors. We believe this expertise is crucial to achieve our market development objectives for interventional Standalone MIGS and MGD treatment. Sales representatives typically have relevant experience across all facets of medical device and/or pharmaceutical sales focused on eyecare to ensure the development of a trusted consultative relationship with our ECPs. As we have continued to develop additional clinical data and brand recognition, we believe our team has differentiated our product offerings and gained commercial traction through exceptional, highly involved training, support and ongoing professional education. As of December 31, 2021, our overall commercial team consisted of over 100 professionals dedicated to sales, marketing, commercial support, training and professional relations.</w:t>
      </w:r>
    </w:p>
    <w:p>
      <w:pPr>
        <w:spacing w:after="0" w:line="168" w:lineRule="exact"/>
        <w:rPr>
          <w:sz w:val="20"/>
          <w:szCs w:val="20"/>
          <w:color w:val="auto"/>
        </w:rPr>
      </w:pPr>
    </w:p>
    <w:p>
      <w:pPr>
        <w:ind w:right="40" w:firstLine="419"/>
        <w:spacing w:after="0" w:line="243" w:lineRule="auto"/>
        <w:rPr>
          <w:sz w:val="20"/>
          <w:szCs w:val="20"/>
          <w:color w:val="auto"/>
        </w:rPr>
      </w:pPr>
      <w:r>
        <w:rPr>
          <w:rFonts w:ascii="Arial" w:cs="Arial" w:eastAsia="Arial" w:hAnsi="Arial"/>
          <w:sz w:val="18"/>
          <w:szCs w:val="18"/>
          <w:color w:val="231F20"/>
        </w:rPr>
        <w:t>We created distinct sales, marketing, and training teams to sell OMNI and TearCare because the products are predominantly sold to different types of customers and require specialized product specific sales expertise and ECP training to integrate our products into their practices. We sell OMNI to facilities where ophthalmic surgeons perform outpatient procedures, mainly ambulatory surgery centers, or ASCs and hospital outpatient departments, or HOPDs. We sell TearCare to optometry and ophthalmology practices.</w:t>
      </w:r>
    </w:p>
    <w:p>
      <w:pPr>
        <w:spacing w:after="0" w:line="188" w:lineRule="exact"/>
        <w:rPr>
          <w:sz w:val="20"/>
          <w:szCs w:val="20"/>
          <w:color w:val="auto"/>
        </w:rPr>
      </w:pPr>
    </w:p>
    <w:p>
      <w:pPr>
        <w:ind w:firstLine="419"/>
        <w:spacing w:after="0" w:line="243" w:lineRule="auto"/>
        <w:rPr>
          <w:sz w:val="20"/>
          <w:szCs w:val="20"/>
          <w:color w:val="auto"/>
        </w:rPr>
      </w:pPr>
      <w:r>
        <w:rPr>
          <w:rFonts w:ascii="Arial" w:cs="Arial" w:eastAsia="Arial" w:hAnsi="Arial"/>
          <w:sz w:val="18"/>
          <w:szCs w:val="18"/>
          <w:color w:val="231F20"/>
        </w:rPr>
        <w:t>Our marketing efforts are centered around increasing awareness of our products and presenting clinical study results through leading medical publications and at-large industry and scientific meetings, both directly and through our advisors. We have also partnered with early-adopting ECPs to speak to peers on our behalf through educational forums either in-person or via virtual meetings. Clinical data that demonstrate the benefits of OMNI and TearCare for their authorized uses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16" w:name="page17"/>
    <w:bookmarkEnd w:id="16"/>
    <w:p>
      <w:pPr>
        <w:ind w:right="60"/>
        <w:spacing w:after="0" w:line="261" w:lineRule="auto"/>
        <w:rPr>
          <w:sz w:val="20"/>
          <w:szCs w:val="20"/>
          <w:color w:val="auto"/>
        </w:rPr>
      </w:pPr>
      <w:r>
        <w:rPr>
          <w:rFonts w:ascii="Arial" w:cs="Arial" w:eastAsia="Arial" w:hAnsi="Arial"/>
          <w:sz w:val="18"/>
          <w:szCs w:val="18"/>
          <w:color w:val="231F20"/>
        </w:rPr>
        <w:t>will continue to underpin our commercial efforts and we will continue to devote significant resources to conduct new clinical studies and publish articles in peer- reviewed journals.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OMNI</w:t>
      </w:r>
    </w:p>
    <w:p>
      <w:pPr>
        <w:spacing w:after="0" w:line="212" w:lineRule="exact"/>
        <w:rPr>
          <w:sz w:val="20"/>
          <w:szCs w:val="20"/>
          <w:color w:val="auto"/>
        </w:rPr>
      </w:pPr>
    </w:p>
    <w:p>
      <w:pPr>
        <w:ind w:right="960" w:firstLine="419"/>
        <w:spacing w:after="0" w:line="261" w:lineRule="auto"/>
        <w:rPr>
          <w:sz w:val="20"/>
          <w:szCs w:val="20"/>
          <w:color w:val="auto"/>
        </w:rPr>
      </w:pPr>
      <w:r>
        <w:rPr>
          <w:rFonts w:ascii="Arial" w:cs="Arial" w:eastAsia="Arial" w:hAnsi="Arial"/>
          <w:sz w:val="18"/>
          <w:szCs w:val="18"/>
          <w:color w:val="231F20"/>
        </w:rPr>
        <w:t>Since the commercial launch of OMNI in February 2018, we have pursued a three-part strategy to gain rapid commercial adoption and simultaneously expand its potential market:</w:t>
      </w:r>
    </w:p>
    <w:p>
      <w:pPr>
        <w:spacing w:after="0" w:line="63" w:lineRule="exact"/>
        <w:rPr>
          <w:sz w:val="20"/>
          <w:szCs w:val="20"/>
          <w:color w:val="auto"/>
        </w:rPr>
      </w:pPr>
    </w:p>
    <w:p>
      <w:pPr>
        <w:ind w:left="800" w:right="920" w:hanging="283"/>
        <w:spacing w:after="0" w:line="261" w:lineRule="auto"/>
        <w:tabs>
          <w:tab w:leader="none" w:pos="80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Target and train the over 3,000 high volume cataract surgeons who are already familiar with MIGS approaches (</w:t>
      </w:r>
      <w:r>
        <w:rPr>
          <w:rFonts w:ascii="Arial" w:cs="Arial" w:eastAsia="Arial" w:hAnsi="Arial"/>
          <w:sz w:val="18"/>
          <w:szCs w:val="18"/>
          <w:i w:val="1"/>
          <w:iCs w:val="1"/>
          <w:color w:val="231F20"/>
        </w:rPr>
        <w:t>ab interno</w:t>
      </w:r>
      <w:r>
        <w:rPr>
          <w:rFonts w:ascii="Arial" w:cs="Arial" w:eastAsia="Arial" w:hAnsi="Arial"/>
          <w:sz w:val="18"/>
          <w:szCs w:val="18"/>
          <w:color w:val="231F20"/>
        </w:rPr>
        <w:t xml:space="preserve"> access techniques) and have a willingness to trial new technologies;</w:t>
      </w:r>
    </w:p>
    <w:p>
      <w:pPr>
        <w:spacing w:after="0" w:line="62" w:lineRule="exact"/>
        <w:rPr>
          <w:rFonts w:ascii="Arial" w:cs="Arial" w:eastAsia="Arial" w:hAnsi="Arial"/>
          <w:sz w:val="18"/>
          <w:szCs w:val="18"/>
          <w:color w:val="231F20"/>
        </w:rPr>
      </w:pPr>
    </w:p>
    <w:p>
      <w:pPr>
        <w:ind w:left="800" w:right="960" w:hanging="283"/>
        <w:spacing w:after="0" w:line="261" w:lineRule="auto"/>
        <w:tabs>
          <w:tab w:leader="none" w:pos="80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Leverage positive clinical experiences and outcomes to expand the utilization of OMNI among these MIGS-trained surgeons and drive adoption from additional surgeons and facilities; and</w:t>
      </w:r>
    </w:p>
    <w:p>
      <w:pPr>
        <w:spacing w:after="0" w:line="63" w:lineRule="exact"/>
        <w:rPr>
          <w:sz w:val="20"/>
          <w:szCs w:val="20"/>
          <w:color w:val="auto"/>
        </w:rPr>
      </w:pPr>
    </w:p>
    <w:p>
      <w:pPr>
        <w:ind w:left="800" w:right="860" w:hanging="291"/>
        <w:spacing w:after="0" w:line="261" w:lineRule="auto"/>
        <w:rPr>
          <w:sz w:val="20"/>
          <w:szCs w:val="20"/>
          <w:color w:val="auto"/>
        </w:rPr>
      </w:pPr>
      <w:r>
        <w:rPr>
          <w:rFonts w:ascii="Arial" w:cs="Arial" w:eastAsia="Arial" w:hAnsi="Arial"/>
          <w:sz w:val="18"/>
          <w:szCs w:val="18"/>
          <w:color w:val="231F20"/>
        </w:rPr>
        <w:t>(iii)Educate ECPs on the clinical benefits of interventional Standalone treatments with OMNI for the larger population of adult POAG patients for whom other leading MIGS devices are not indicated.</w:t>
      </w:r>
    </w:p>
    <w:p>
      <w:pPr>
        <w:spacing w:after="0" w:line="63" w:lineRule="exact"/>
        <w:rPr>
          <w:sz w:val="20"/>
          <w:szCs w:val="20"/>
          <w:color w:val="auto"/>
        </w:rPr>
      </w:pPr>
    </w:p>
    <w:p>
      <w:pPr>
        <w:ind w:right="100" w:firstLine="419"/>
        <w:spacing w:after="0" w:line="272" w:lineRule="auto"/>
        <w:rPr>
          <w:sz w:val="20"/>
          <w:szCs w:val="20"/>
          <w:color w:val="auto"/>
        </w:rPr>
      </w:pPr>
      <w:r>
        <w:rPr>
          <w:rFonts w:ascii="Arial" w:cs="Arial" w:eastAsia="Arial" w:hAnsi="Arial"/>
          <w:sz w:val="16"/>
          <w:szCs w:val="16"/>
          <w:color w:val="231F20"/>
        </w:rPr>
        <w:t>The majority of our OMNI sales representatives cover dedicated geographic territories or specialized customer segments, such as academic or government institutions, across the U.S. These sales representatives establish new accounts, train new surgeons and operating room personnel and nurture the continuing use of OMNI at existing accounts. We have created a team of Strategic Account Managers, who focus on serving teaching institutions and government facilities, and a team of Glaucoma Clinical Consultants, whose goal is to educate primary care ECPs regarding the potential benefits of OMNI in interventional Standalone procedures in adult patients with POAG. The general ophthalmologists and optometrists who provide primary eyecare services are typically the first to diagnose POAG and deliver first line treatment. We aim to educate these primary care ECPs regarding the clinical benefits and use cases for OMNI as they often have referral relationships with ophthalmic surgeons for patients who require advanced treatment. We seek to increase usage of OMNI among the ophthalmic surgeons who have already been trained and convert those who are not.</w:t>
      </w:r>
    </w:p>
    <w:p>
      <w:pPr>
        <w:spacing w:after="0" w:line="168" w:lineRule="exact"/>
        <w:rPr>
          <w:sz w:val="20"/>
          <w:szCs w:val="20"/>
          <w:color w:val="auto"/>
        </w:rPr>
      </w:pPr>
    </w:p>
    <w:p>
      <w:pPr>
        <w:ind w:right="40" w:firstLine="419"/>
        <w:spacing w:after="0" w:line="243" w:lineRule="auto"/>
        <w:rPr>
          <w:sz w:val="20"/>
          <w:szCs w:val="20"/>
          <w:color w:val="auto"/>
        </w:rPr>
      </w:pPr>
      <w:r>
        <w:rPr>
          <w:rFonts w:ascii="Arial" w:cs="Arial" w:eastAsia="Arial" w:hAnsi="Arial"/>
          <w:sz w:val="18"/>
          <w:szCs w:val="18"/>
          <w:color w:val="231F20"/>
        </w:rPr>
        <w:t>We believe our initial commercial efforts for OMNI have been successful and we plan to accelerate growth with the expansion of our team to cover more geographic territories and provide increased support to accounts, as well as roll-out large-scale marketing programs for the interventional Standalone opportunity. Although the vast majority of our sales are in the U.S., we have also begun to sell OMNI in select European countries both on a direct basis and through distributors.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TearCare</w:t>
      </w:r>
    </w:p>
    <w:p>
      <w:pPr>
        <w:spacing w:after="0" w:line="212" w:lineRule="exact"/>
        <w:rPr>
          <w:sz w:val="20"/>
          <w:szCs w:val="20"/>
          <w:color w:val="auto"/>
        </w:rPr>
      </w:pPr>
    </w:p>
    <w:p>
      <w:pPr>
        <w:ind w:right="100" w:firstLine="419"/>
        <w:spacing w:after="0" w:line="291" w:lineRule="auto"/>
        <w:rPr>
          <w:sz w:val="20"/>
          <w:szCs w:val="20"/>
          <w:color w:val="auto"/>
        </w:rPr>
      </w:pPr>
      <w:r>
        <w:rPr>
          <w:rFonts w:ascii="Arial" w:cs="Arial" w:eastAsia="Arial" w:hAnsi="Arial"/>
          <w:sz w:val="17"/>
          <w:szCs w:val="17"/>
          <w:color w:val="231F20"/>
        </w:rPr>
        <w:t>We implemented a controlled launch of TearCare in the U.S. in April 2019 with a limited sales effort. We have assembled a proprietary list of over 5,000 practices that are prime targets for our device and, as of December 31, 2021, we had sold TearCare to over 550 eyecare facilities.</w:t>
      </w:r>
    </w:p>
    <w:p>
      <w:pPr>
        <w:spacing w:after="0" w:line="147" w:lineRule="exact"/>
        <w:rPr>
          <w:sz w:val="20"/>
          <w:szCs w:val="20"/>
          <w:color w:val="auto"/>
        </w:rPr>
      </w:pPr>
    </w:p>
    <w:p>
      <w:pPr>
        <w:ind w:firstLine="419"/>
        <w:spacing w:after="0" w:line="276" w:lineRule="auto"/>
        <w:rPr>
          <w:sz w:val="20"/>
          <w:szCs w:val="20"/>
          <w:color w:val="auto"/>
        </w:rPr>
      </w:pPr>
      <w:r>
        <w:rPr>
          <w:rFonts w:ascii="Arial" w:cs="Arial" w:eastAsia="Arial" w:hAnsi="Arial"/>
          <w:sz w:val="16"/>
          <w:szCs w:val="16"/>
          <w:color w:val="231F20"/>
        </w:rPr>
        <w:t>While the success of our initial launch has shown that a significant patient-pay market exists for TearCare, market research indicates that improving access to TearCare through Medicare and private payors will accelerate adoption of the product. Currently, no third-party payors have formal policies establishing coverage for procedures using TearCare, although we believe that some payors may agree to provide coverage outside of formal policy based on medical need. As an early step of a comprehensive long-term market development plan, our market access team assists key strategic accounts and their patients in the pursuit of prior authorization approvals and reimbursement claims for TearCare on a case-by-case basis. Simultaneously, we are also continuing to support our customers with patient-pay models, which remains a significant growth opportunity.</w:t>
      </w:r>
    </w:p>
    <w:p>
      <w:pPr>
        <w:spacing w:after="0" w:line="161" w:lineRule="exact"/>
        <w:rPr>
          <w:sz w:val="20"/>
          <w:szCs w:val="20"/>
          <w:color w:val="auto"/>
        </w:rPr>
      </w:pPr>
    </w:p>
    <w:p>
      <w:pPr>
        <w:ind w:right="140" w:firstLine="419"/>
        <w:spacing w:after="0" w:line="276" w:lineRule="auto"/>
        <w:rPr>
          <w:sz w:val="20"/>
          <w:szCs w:val="20"/>
          <w:color w:val="auto"/>
        </w:rPr>
      </w:pPr>
      <w:r>
        <w:rPr>
          <w:rFonts w:ascii="Arial" w:cs="Arial" w:eastAsia="Arial" w:hAnsi="Arial"/>
          <w:sz w:val="16"/>
          <w:szCs w:val="16"/>
          <w:color w:val="231F20"/>
        </w:rPr>
        <w:t>Our dedicated commercial team for TearCare consists of sales representatives and leaders, marketing professionals, dedicated trainers, and independent sales representatives. We intend to scale up this team to the extent we achieve key market development and patient access milestones, including completion of clinical trials and our pursuit of FDA clearances for more robust indications for use of TearCare. Our sales representatives collaborate with stakeholders across the practice to train doctors and staff, implement workflow processes and monitor operations to ensure proper integration. As we help customers incorporate the use of TearCare, we have gained insights that enable us to continually improve our selling model. We expect to add new accounts and increase utilization at existing accounts, as we methodically grow our commercial team dedicated to TearCare.</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231F20"/>
        </w:rPr>
        <w:t>Reimbursement</w:t>
      </w:r>
    </w:p>
    <w:p>
      <w:pPr>
        <w:spacing w:after="0" w:line="216" w:lineRule="exact"/>
        <w:rPr>
          <w:sz w:val="20"/>
          <w:szCs w:val="20"/>
          <w:color w:val="auto"/>
        </w:rPr>
      </w:pPr>
    </w:p>
    <w:p>
      <w:pPr>
        <w:ind w:firstLine="419"/>
        <w:spacing w:after="0" w:line="261" w:lineRule="auto"/>
        <w:rPr>
          <w:sz w:val="20"/>
          <w:szCs w:val="20"/>
          <w:color w:val="auto"/>
        </w:rPr>
      </w:pPr>
      <w:r>
        <w:rPr>
          <w:rFonts w:ascii="Arial" w:cs="Arial" w:eastAsia="Arial" w:hAnsi="Arial"/>
          <w:sz w:val="18"/>
          <w:szCs w:val="18"/>
          <w:color w:val="231F20"/>
        </w:rPr>
        <w:t>There are three primary aspects of reimbursement in the United States: coding, coverage and payment. Each aspect is an important determinant of our customers’ ability to obtain appropriate reimbursement.</w:t>
      </w:r>
    </w:p>
    <w:p>
      <w:pPr>
        <w:spacing w:after="0" w:line="167" w:lineRule="exact"/>
        <w:rPr>
          <w:sz w:val="20"/>
          <w:szCs w:val="20"/>
          <w:color w:val="auto"/>
        </w:rPr>
      </w:pPr>
    </w:p>
    <w:p>
      <w:pPr>
        <w:ind w:left="800" w:right="600" w:hanging="283"/>
        <w:spacing w:after="0" w:line="270" w:lineRule="auto"/>
        <w:tabs>
          <w:tab w:leader="none" w:pos="800" w:val="left"/>
        </w:tabs>
        <w:numPr>
          <w:ilvl w:val="0"/>
          <w:numId w:val="11"/>
        </w:numPr>
        <w:rPr>
          <w:rFonts w:ascii="Arial" w:cs="Arial" w:eastAsia="Arial" w:hAnsi="Arial"/>
          <w:sz w:val="16"/>
          <w:szCs w:val="16"/>
          <w:color w:val="231F20"/>
        </w:rPr>
      </w:pPr>
      <w:r>
        <w:rPr>
          <w:rFonts w:ascii="Arial" w:cs="Arial" w:eastAsia="Arial" w:hAnsi="Arial"/>
          <w:sz w:val="16"/>
          <w:szCs w:val="16"/>
          <w:b w:val="1"/>
          <w:bCs w:val="1"/>
          <w:color w:val="231F20"/>
        </w:rPr>
        <w:t xml:space="preserve">Coding </w:t>
      </w:r>
      <w:r>
        <w:rPr>
          <w:rFonts w:ascii="Arial" w:cs="Arial" w:eastAsia="Arial" w:hAnsi="Arial"/>
          <w:sz w:val="16"/>
          <w:szCs w:val="16"/>
          <w:color w:val="231F20"/>
        </w:rPr>
        <w:t>refers to the availability of billing codes for use by healthcare providers to report the provision of medical procedures, and</w:t>
      </w:r>
      <w:r>
        <w:rPr>
          <w:rFonts w:ascii="Arial" w:cs="Arial" w:eastAsia="Arial" w:hAnsi="Arial"/>
          <w:sz w:val="16"/>
          <w:szCs w:val="16"/>
          <w:b w:val="1"/>
          <w:bCs w:val="1"/>
          <w:color w:val="231F20"/>
        </w:rPr>
        <w:t xml:space="preserve"> </w:t>
      </w:r>
      <w:r>
        <w:rPr>
          <w:rFonts w:ascii="Arial" w:cs="Arial" w:eastAsia="Arial" w:hAnsi="Arial"/>
          <w:sz w:val="16"/>
          <w:szCs w:val="16"/>
          <w:color w:val="231F20"/>
        </w:rPr>
        <w:t>the use of supplies and resources for specific patients, to insurance providers and organizations that make payments for healthcare, commonly referred to as third-party payors. The Healthcare Common Procedure Coding System, or HCPCS, is a national, standardized code set used by providers to capture and report healthcare services and products. This code set consists of two subsystems: Level I, Current Procedural Terminology, or CPT, codes, representing procedures performed, and Level II, commonly referred to as HCPCS codes, representing healthcare products (e.g. devices, drugs, durable medical equipment), supplies and services not captured in the CPT code set. CPT codes are published by the American Medical Association, or AMA, and are used to report medical services and procedures performed in the outpatient setting of care by or under the direction of physicians. HCPCS codes are established and maintained by the Centers for Medicare and Medicaid Services, or CMS, and identify items used in the course of care delivery. Health plans pay outpatient facilities and physicians for services based on submission of a claim using one or more CPT and/or HCPCS codes. CPT codes fall into one of three categories.</w:t>
      </w:r>
    </w:p>
    <w:p>
      <w:pPr>
        <w:spacing w:after="0" w:line="62" w:lineRule="exact"/>
        <w:rPr>
          <w:rFonts w:ascii="Arial" w:cs="Arial" w:eastAsia="Arial" w:hAnsi="Arial"/>
          <w:sz w:val="16"/>
          <w:szCs w:val="16"/>
          <w:color w:val="231F20"/>
        </w:rPr>
      </w:pPr>
    </w:p>
    <w:p>
      <w:pPr>
        <w:ind w:left="1220" w:right="560" w:hanging="298"/>
        <w:spacing w:after="0"/>
        <w:tabs>
          <w:tab w:leader="none" w:pos="1220" w:val="left"/>
        </w:tabs>
        <w:numPr>
          <w:ilvl w:val="1"/>
          <w:numId w:val="11"/>
        </w:numPr>
        <w:rPr>
          <w:rFonts w:ascii="Arial" w:cs="Arial" w:eastAsia="Arial" w:hAnsi="Arial"/>
          <w:sz w:val="18"/>
          <w:szCs w:val="18"/>
          <w:color w:val="231F20"/>
        </w:rPr>
      </w:pPr>
      <w:r>
        <w:rPr>
          <w:rFonts w:ascii="Arial" w:cs="Arial" w:eastAsia="Arial" w:hAnsi="Arial"/>
          <w:sz w:val="18"/>
          <w:szCs w:val="18"/>
          <w:color w:val="231F20"/>
        </w:rPr>
        <w:t>Category I CPT codes have been approved by the AMA as permanent procedure codes based on a number of factors, including the level of published clinical evidence. They are identified with a five-digit number and official code description. Approved Category I CPT codes have typically been endorsed by relevant medical specialty societies, are consistent with contemporary medical practice, and represent procedures performed by many physicians in clinical practice in multiple locations. Category I codes are only available to procedures for which the technology (e.g., device, drug, test) has been FDA approved/cleared when such a regulatory requirement exists.</w:t>
      </w:r>
    </w:p>
    <w:p>
      <w:pPr>
        <w:spacing w:after="0" w:line="81" w:lineRule="exact"/>
        <w:rPr>
          <w:rFonts w:ascii="Arial" w:cs="Arial" w:eastAsia="Arial" w:hAnsi="Arial"/>
          <w:sz w:val="18"/>
          <w:szCs w:val="18"/>
          <w:color w:val="231F20"/>
        </w:rPr>
      </w:pPr>
    </w:p>
    <w:p>
      <w:pPr>
        <w:ind w:left="1220" w:right="700" w:hanging="298"/>
        <w:spacing w:after="0" w:line="243" w:lineRule="auto"/>
        <w:tabs>
          <w:tab w:leader="none" w:pos="1220" w:val="left"/>
        </w:tabs>
        <w:numPr>
          <w:ilvl w:val="1"/>
          <w:numId w:val="11"/>
        </w:numPr>
        <w:rPr>
          <w:rFonts w:ascii="Arial" w:cs="Arial" w:eastAsia="Arial" w:hAnsi="Arial"/>
          <w:sz w:val="18"/>
          <w:szCs w:val="18"/>
          <w:color w:val="231F20"/>
        </w:rPr>
      </w:pPr>
      <w:r>
        <w:rPr>
          <w:rFonts w:ascii="Arial" w:cs="Arial" w:eastAsia="Arial" w:hAnsi="Arial"/>
          <w:sz w:val="18"/>
          <w:szCs w:val="18"/>
          <w:color w:val="231F20"/>
        </w:rPr>
        <w:t>Category II CPT Codes are supplemental tracking codes used for performance measurement. They are intended to facilitate data collection about quality of care by coding certain services and/or test results that support performance measures and that have been agreed upon as contributing to good patient care. Some codes in this category may relate to compliance by health care professionals with state or federal law.</w:t>
      </w:r>
    </w:p>
    <w:p>
      <w:pPr>
        <w:spacing w:after="0" w:line="79" w:lineRule="exact"/>
        <w:rPr>
          <w:rFonts w:ascii="Arial" w:cs="Arial" w:eastAsia="Arial" w:hAnsi="Arial"/>
          <w:sz w:val="18"/>
          <w:szCs w:val="18"/>
          <w:color w:val="231F20"/>
        </w:rPr>
      </w:pPr>
    </w:p>
    <w:p>
      <w:pPr>
        <w:ind w:left="1220" w:right="600" w:hanging="298"/>
        <w:spacing w:after="0" w:line="254" w:lineRule="auto"/>
        <w:tabs>
          <w:tab w:leader="none" w:pos="1220" w:val="left"/>
        </w:tabs>
        <w:numPr>
          <w:ilvl w:val="1"/>
          <w:numId w:val="11"/>
        </w:numPr>
        <w:rPr>
          <w:rFonts w:ascii="Arial" w:cs="Arial" w:eastAsia="Arial" w:hAnsi="Arial"/>
          <w:sz w:val="17"/>
          <w:szCs w:val="17"/>
          <w:color w:val="231F20"/>
        </w:rPr>
      </w:pPr>
      <w:r>
        <w:rPr>
          <w:rFonts w:ascii="Arial" w:cs="Arial" w:eastAsia="Arial" w:hAnsi="Arial"/>
          <w:sz w:val="17"/>
          <w:szCs w:val="17"/>
          <w:color w:val="231F20"/>
        </w:rPr>
        <w:t>Category III CPT codes are a temporary set of tracking codes for new and emerging technologies. These codes are designed to facilitate data collection for the assessment of new procedures. Additionally, Category III codes provide a mechanism for payors to value a new procedure. Temporary codes are not automatically assigned Relative Value Units, or RVUs, or weights and, therefore, do not typically have a widely accepted payment rate methodology. To achieve Category III status, a new procedure is required to have either an approved protocol for a study of procedures being performed, support from the specialties that would use the procedure, availability of US peer-reviewed literature, or current clinical trials that outline the effectiveness of the procedure. Once granted, Category III CPT codes expire five years after the initial application was approved, although they can be extended beyond the five-year limit.</w:t>
      </w:r>
    </w:p>
    <w:p>
      <w:pPr>
        <w:spacing w:after="0" w:line="72" w:lineRule="exact"/>
        <w:rPr>
          <w:rFonts w:ascii="Arial" w:cs="Arial" w:eastAsia="Arial" w:hAnsi="Arial"/>
          <w:sz w:val="17"/>
          <w:szCs w:val="17"/>
          <w:color w:val="231F20"/>
        </w:rPr>
      </w:pPr>
    </w:p>
    <w:p>
      <w:pPr>
        <w:ind w:left="800" w:right="580" w:hanging="283"/>
        <w:spacing w:after="0" w:line="243" w:lineRule="auto"/>
        <w:tabs>
          <w:tab w:leader="none" w:pos="80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Level II HCPCS codes are alpha-numeric codes governed by CMS that identify medical products and items or services that are not appropriately designated by another code set (e.g., CPT). Criteria must be met in order to qualify for an HCPCS code, including such requirements as regulatory approval (if necessary), national programmatic need, and a distinct difference from existing HCPCS codes.</w:t>
      </w:r>
    </w:p>
    <w:p>
      <w:pPr>
        <w:spacing w:after="0" w:line="75" w:lineRule="exact"/>
        <w:rPr>
          <w:rFonts w:ascii="Arial" w:cs="Arial" w:eastAsia="Arial" w:hAnsi="Arial"/>
          <w:sz w:val="18"/>
          <w:szCs w:val="18"/>
          <w:color w:val="231F20"/>
        </w:rPr>
      </w:pPr>
    </w:p>
    <w:p>
      <w:pPr>
        <w:ind w:left="800" w:right="560" w:hanging="283"/>
        <w:spacing w:after="0" w:line="256" w:lineRule="auto"/>
        <w:tabs>
          <w:tab w:leader="none" w:pos="800" w:val="left"/>
        </w:tabs>
        <w:numPr>
          <w:ilvl w:val="0"/>
          <w:numId w:val="11"/>
        </w:numPr>
        <w:rPr>
          <w:rFonts w:ascii="Arial" w:cs="Arial" w:eastAsia="Arial" w:hAnsi="Arial"/>
          <w:sz w:val="17"/>
          <w:szCs w:val="17"/>
          <w:color w:val="231F20"/>
        </w:rPr>
      </w:pPr>
      <w:r>
        <w:rPr>
          <w:rFonts w:ascii="Arial" w:cs="Arial" w:eastAsia="Arial" w:hAnsi="Arial"/>
          <w:sz w:val="17"/>
          <w:szCs w:val="17"/>
          <w:b w:val="1"/>
          <w:bCs w:val="1"/>
          <w:color w:val="231F20"/>
        </w:rPr>
        <w:t xml:space="preserve">Coverage </w:t>
      </w:r>
      <w:r>
        <w:rPr>
          <w:rFonts w:ascii="Arial" w:cs="Arial" w:eastAsia="Arial" w:hAnsi="Arial"/>
          <w:sz w:val="17"/>
          <w:szCs w:val="17"/>
          <w:color w:val="231F20"/>
        </w:rPr>
        <w:t>refers to decisions made by third-party payors as to whether there is sufficient published clinical evidence to support</w:t>
      </w:r>
      <w:r>
        <w:rPr>
          <w:rFonts w:ascii="Arial" w:cs="Arial" w:eastAsia="Arial" w:hAnsi="Arial"/>
          <w:sz w:val="17"/>
          <w:szCs w:val="17"/>
          <w:b w:val="1"/>
          <w:bCs w:val="1"/>
          <w:color w:val="231F20"/>
        </w:rPr>
        <w:t xml:space="preserve"> </w:t>
      </w:r>
      <w:r>
        <w:rPr>
          <w:rFonts w:ascii="Arial" w:cs="Arial" w:eastAsia="Arial" w:hAnsi="Arial"/>
          <w:sz w:val="17"/>
          <w:szCs w:val="17"/>
          <w:color w:val="231F20"/>
        </w:rPr>
        <w:t>medical necessity, or to consider a healthcare item or service “reasonable and necessary” (as per Medicare guidelines). Coverage can be established by explicit medical policies that outline specific parameters covering procedures and/or technologies, and under what conditions coverage is permitted, including specific diagnoses, clinical indications and therapeutic prerequisites. Coverage can also be implicit, as when payors are “silent” on a procedure or technology (i.e., no formal policy is developed). In the absence of formal policy, coverage may be granted one of two ways: (1) with no required review, as with long-standing established healthcare items or services, or (2) on a case-by-case</w:t>
      </w:r>
    </w:p>
    <w:p>
      <w:pPr>
        <w:spacing w:after="0" w:line="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40" w:top="324" w:right="539" w:bottom="1440" w:gutter="0" w:footer="0" w:header="0"/>
        </w:sectPr>
      </w:pPr>
    </w:p>
    <w:bookmarkStart w:id="18" w:name="page19"/>
    <w:bookmarkEnd w:id="18"/>
    <w:p>
      <w:pPr>
        <w:ind w:left="800" w:right="960"/>
        <w:spacing w:after="0" w:line="261" w:lineRule="auto"/>
        <w:rPr>
          <w:sz w:val="20"/>
          <w:szCs w:val="20"/>
          <w:color w:val="auto"/>
        </w:rPr>
      </w:pPr>
      <w:r>
        <w:rPr>
          <w:rFonts w:ascii="Arial" w:cs="Arial" w:eastAsia="Arial" w:hAnsi="Arial"/>
          <w:sz w:val="18"/>
          <w:szCs w:val="18"/>
          <w:color w:val="231F20"/>
        </w:rPr>
        <w:t>basis via review of each patient’s circumstance, as may be the case with newer procedures/technologies. Each payor can make its own decision as to which procedures or technologies warrant formal policy.</w:t>
      </w:r>
    </w:p>
    <w:p>
      <w:pPr>
        <w:spacing w:after="0" w:line="59" w:lineRule="exact"/>
        <w:rPr>
          <w:sz w:val="20"/>
          <w:szCs w:val="20"/>
          <w:color w:val="auto"/>
        </w:rPr>
      </w:pPr>
    </w:p>
    <w:p>
      <w:pPr>
        <w:ind w:left="800" w:right="700" w:hanging="283"/>
        <w:spacing w:after="0" w:line="270" w:lineRule="auto"/>
        <w:tabs>
          <w:tab w:leader="none" w:pos="800" w:val="left"/>
        </w:tabs>
        <w:numPr>
          <w:ilvl w:val="0"/>
          <w:numId w:val="12"/>
        </w:numPr>
        <w:rPr>
          <w:rFonts w:ascii="Arial" w:cs="Arial" w:eastAsia="Arial" w:hAnsi="Arial"/>
          <w:sz w:val="16"/>
          <w:szCs w:val="16"/>
          <w:color w:val="231F20"/>
        </w:rPr>
      </w:pPr>
      <w:r>
        <w:rPr>
          <w:rFonts w:ascii="Arial" w:cs="Arial" w:eastAsia="Arial" w:hAnsi="Arial"/>
          <w:sz w:val="16"/>
          <w:szCs w:val="16"/>
          <w:b w:val="1"/>
          <w:bCs w:val="1"/>
          <w:color w:val="231F20"/>
        </w:rPr>
        <w:t xml:space="preserve">Payment </w:t>
      </w:r>
      <w:r>
        <w:rPr>
          <w:rFonts w:ascii="Arial" w:cs="Arial" w:eastAsia="Arial" w:hAnsi="Arial"/>
          <w:sz w:val="16"/>
          <w:szCs w:val="16"/>
          <w:color w:val="231F20"/>
        </w:rPr>
        <w:t>refers to the reimbursement rate for a healthcare item or service. The amount paid by third- party payors to providers,</w:t>
      </w:r>
      <w:r>
        <w:rPr>
          <w:rFonts w:ascii="Arial" w:cs="Arial" w:eastAsia="Arial" w:hAnsi="Arial"/>
          <w:sz w:val="16"/>
          <w:szCs w:val="16"/>
          <w:b w:val="1"/>
          <w:bCs w:val="1"/>
          <w:color w:val="231F20"/>
        </w:rPr>
        <w:t xml:space="preserve"> </w:t>
      </w:r>
      <w:r>
        <w:rPr>
          <w:rFonts w:ascii="Arial" w:cs="Arial" w:eastAsia="Arial" w:hAnsi="Arial"/>
          <w:sz w:val="16"/>
          <w:szCs w:val="16"/>
          <w:color w:val="231F20"/>
        </w:rPr>
        <w:t>including facilities and doctors, for specific procedures and items (e.g., medical devices, drugs, ancillary supplies) is determined by each payor. Payments for professional services under CPT coding are generally determined by the RVUs of a specific billing code. These RVUs identify the time and intensity of the work required, the practice expense incurred and the level of risk related to the procedure. Payors can use their organization-specific formula or conversion factor to translate RVUs into payment rates, or may establish payment by reference to a national Medicare payment amount. Likewise, facility payments are weighted based on the resources (e.g., operating suite time, devices and supplies) needed for the procedure to be performed in the facility setting. Most payment rates are geographically adjusted, taking into account the cost of providing services in different wage index areas across the country. As with procedure payments, payments for healthcare items (e.g., products reported using HCPCS coding) are determined by individual health plans, often based on some form of manufacturer’s invoice or billed charges based on the provider’s mark-up methodology, or based on established fee schedule rates. It is important to recognize that not all reportable codes are separately payable. Some codes are bundled with related items or services and do not have a separate payment allowance.</w:t>
      </w:r>
    </w:p>
    <w:p>
      <w:pPr>
        <w:spacing w:after="0" w:line="58" w:lineRule="exact"/>
        <w:rPr>
          <w:sz w:val="20"/>
          <w:szCs w:val="20"/>
          <w:color w:val="auto"/>
        </w:rPr>
      </w:pPr>
    </w:p>
    <w:p>
      <w:pPr>
        <w:ind w:right="40" w:firstLine="419"/>
        <w:spacing w:after="0" w:line="271" w:lineRule="auto"/>
        <w:rPr>
          <w:sz w:val="20"/>
          <w:szCs w:val="20"/>
          <w:color w:val="auto"/>
        </w:rPr>
      </w:pPr>
      <w:r>
        <w:rPr>
          <w:rFonts w:ascii="Arial" w:cs="Arial" w:eastAsia="Arial" w:hAnsi="Arial"/>
          <w:sz w:val="16"/>
          <w:szCs w:val="16"/>
          <w:color w:val="231F20"/>
        </w:rPr>
        <w:t>For further information regarding reimbursement, see “Risk Factors—We may not be able to maintain adequate levels of third-party coverage and payment for procedures in which OMNI is used, and third parties may rescind or modify their coverage related to OMNI. We may not be able to secure any, or adequate levels of, third-party coverage and payment for procedures in which TearCare is used, and even if third parties provide coverage they may rescind or modify their coverage related to TearCare." Our commercial activities are substantially within the United States. We sell OMNI primarily to ASCs and HOPDs, who in turn bill various third-party payors, such as Medicare and private health insurance plans for the healthcare services and resources rendered to treat a patient. TearCare is not currently covered or paid by Medicare or private payors under any formal policy, although some payors may agree to provide case-based coverage outside of a formal policy. Our market access team facilitates patient access to the OMNI and TearCare systems by engaging payors on coverage, coding and payment matters, and by providing support to patients and our customers as they seek reimbursement from payors that do not have positive coverage or those that do not have formal policies in place regarding our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Reimbursement for Uses of the OMNI Surgical System</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Surgeons are able to use OMNI to sequentially perform two well-established glaucoma procedures, canaloplasty followed by trabeculotomy.</w:t>
      </w:r>
    </w:p>
    <w:p>
      <w:pPr>
        <w:spacing w:after="0" w:line="223" w:lineRule="exact"/>
        <w:rPr>
          <w:sz w:val="20"/>
          <w:szCs w:val="20"/>
          <w:color w:val="auto"/>
        </w:rPr>
      </w:pPr>
    </w:p>
    <w:p>
      <w:pPr>
        <w:ind w:right="60" w:firstLine="419"/>
        <w:spacing w:after="0" w:line="268" w:lineRule="auto"/>
        <w:rPr>
          <w:sz w:val="20"/>
          <w:szCs w:val="20"/>
          <w:color w:val="auto"/>
        </w:rPr>
      </w:pPr>
      <w:r>
        <w:rPr>
          <w:rFonts w:ascii="Arial" w:cs="Arial" w:eastAsia="Arial" w:hAnsi="Arial"/>
          <w:sz w:val="16"/>
          <w:szCs w:val="16"/>
          <w:color w:val="231F20"/>
        </w:rPr>
        <w:t>Canaloplasty and trabeculotomy are covered by the Medicare Administrative Contractors, or MACs outside of formal policy, based on a claim-by-claim adjudication. Widespread coverage is important for commercial adoption. Based on POAG prevalence, we estimate that currently over 70% of patients who receive glaucoma treatment using OMNI are covered by Medicare, and that this percentage may decline modestly over time as usage of OMNI expands to include patients with a broader range of OAG progression. Private payor coverage policies for canaloplasty and trabeculotomy vary. Some private payors, including numerous Blue Cross Blue Shield plans, have published medical policies that consider canaloplasty medically necessary for the treatment of glaucoma, though specific criteria for coverage may vary depending on the payor. Additionally, as with many healthcare items and services, some health plans cover the procedures performed using the OMNI surgical system outside of a formal policy. Where coverage is less consistent or is limited, as is the case with certain private payors, our market access team works with payors directly and with customers to facilitate patient access to our solutions and verify that appropriate reimbursement can be obtained. We have established and continue to build a substantial library of clinical trial data and published articles to directly address the needs of payors. We believe that the results from our completed, in-progress and planned clinical trials and subsequent accompanying peer-reviewed articles will help to expand and solidify coverage of canaloplasty and the use of OMNI. We estimate that, as of December 31, 2021, approximately 75% of people with medical benefit coverage have access to the canaloplasty procedures and/or OMNI specifically. We continue to proactively engage with the remaining key national and regional payors currently not covering canaloplasty and/or OMNI to seek reversals of their current non-covered policies.</w:t>
      </w:r>
    </w:p>
    <w:p>
      <w:pPr>
        <w:spacing w:after="0" w:line="175" w:lineRule="exact"/>
        <w:rPr>
          <w:sz w:val="20"/>
          <w:szCs w:val="20"/>
          <w:color w:val="auto"/>
        </w:rPr>
      </w:pPr>
    </w:p>
    <w:p>
      <w:pPr>
        <w:jc w:val="both"/>
        <w:ind w:firstLine="419"/>
        <w:spacing w:after="0" w:line="248" w:lineRule="auto"/>
        <w:rPr>
          <w:sz w:val="20"/>
          <w:szCs w:val="20"/>
          <w:color w:val="auto"/>
        </w:rPr>
      </w:pPr>
      <w:r>
        <w:rPr>
          <w:rFonts w:ascii="Arial" w:cs="Arial" w:eastAsia="Arial" w:hAnsi="Arial"/>
          <w:sz w:val="18"/>
          <w:szCs w:val="18"/>
          <w:color w:val="231F20"/>
        </w:rPr>
        <w:t>Virtually all sales of OMNI in the U.S. are to ASCs and HOPDs. Surgeons may use OMNI to perform canaloplasty and trabeculotomy sequentially, with CPT code 66174 used to report the procedure. Per Medicare and many private payor payment policies, when certain procedures are performed in the ASC setting, such as cataract surgery and canaloplasty,</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19" w:name="page20"/>
    <w:bookmarkEnd w:id="19"/>
    <w:p>
      <w:pPr>
        <w:spacing w:after="0" w:line="255" w:lineRule="auto"/>
        <w:rPr>
          <w:sz w:val="20"/>
          <w:szCs w:val="20"/>
          <w:color w:val="auto"/>
        </w:rPr>
      </w:pPr>
      <w:r>
        <w:rPr>
          <w:rFonts w:ascii="Arial" w:cs="Arial" w:eastAsia="Arial" w:hAnsi="Arial"/>
          <w:sz w:val="17"/>
          <w:szCs w:val="17"/>
          <w:color w:val="231F20"/>
        </w:rPr>
        <w:t>multiple procedure payment reduction rules apply. Therefore, when a canaloplasty is performed with cataract surgery on the same patient on the same day, payment of the lower-cost procedure (most commonly the cataract procedure) is reduced by 50%. Multiple procedure payment reduction rules also typically apply to professional services. Physicians are likely to be paid at a reduced rate for lower valued procedures when performed concomitantly. In the HOPD setting, Medicare procedures performed using OMNI as well as cataract procedures, are paid under comprehensive ambulatory payment classifications, or C-APCs. In these circumstances, the highest valued code is paid at 100%, with payment for additional procedures performed during the same operative session bundled into the single highest payment rate. Many commercial payers use a similar payment methodology, but payment rules can vary across health plans, particularly across plan types (e.g., HMO, PPO, POS).</w:t>
      </w:r>
    </w:p>
    <w:p>
      <w:pPr>
        <w:spacing w:after="0" w:line="180" w:lineRule="exact"/>
        <w:rPr>
          <w:sz w:val="20"/>
          <w:szCs w:val="20"/>
          <w:color w:val="auto"/>
        </w:rPr>
      </w:pPr>
    </w:p>
    <w:p>
      <w:pPr>
        <w:ind w:right="60" w:firstLine="419"/>
        <w:spacing w:after="0" w:line="276" w:lineRule="auto"/>
        <w:rPr>
          <w:sz w:val="20"/>
          <w:szCs w:val="20"/>
          <w:color w:val="auto"/>
        </w:rPr>
      </w:pPr>
      <w:r>
        <w:rPr>
          <w:rFonts w:ascii="Arial" w:cs="Arial" w:eastAsia="Arial" w:hAnsi="Arial"/>
          <w:sz w:val="16"/>
          <w:szCs w:val="16"/>
          <w:color w:val="231F20"/>
        </w:rPr>
        <w:t>In the ASC setting, the 2022 Medicare national unadjusted average facility payment rate for CPT 66174 is $1,917.31. In the HOPD setting, the 2022 Medicare national unadjusted average facility payment rate for CPT 66174 is $3,999.59. These payments are classified as comprehensive C-APCs, therefore in the HOPD setting, the highest valued code will be paid and other C-APC classified procedures will be bundled into the highest paid procedure. Regardless of facility setting, the Medicare national unadjusted physician payment rate for CPT 66174 is $738.33. Based on customer feedback, we believe the rates for facility and physician reimbursement in both settings reflect attractive and reasonable payments to cover all of our customers’ costs and economic needs related to glaucoma treatments using OMNI for both Standalone and Combination Cataract procedures.</w:t>
      </w:r>
    </w:p>
    <w:p>
      <w:pPr>
        <w:spacing w:after="0" w:line="162" w:lineRule="exact"/>
        <w:rPr>
          <w:sz w:val="20"/>
          <w:szCs w:val="20"/>
          <w:color w:val="auto"/>
        </w:rPr>
      </w:pPr>
    </w:p>
    <w:p>
      <w:pPr>
        <w:ind w:right="20" w:firstLine="419"/>
        <w:spacing w:after="0" w:line="252" w:lineRule="auto"/>
        <w:rPr>
          <w:sz w:val="20"/>
          <w:szCs w:val="20"/>
          <w:color w:val="auto"/>
        </w:rPr>
      </w:pPr>
      <w:r>
        <w:rPr>
          <w:rFonts w:ascii="Arial" w:cs="Arial" w:eastAsia="Arial" w:hAnsi="Arial"/>
          <w:sz w:val="17"/>
          <w:szCs w:val="17"/>
          <w:color w:val="231F20"/>
        </w:rPr>
        <w:t>While commercialization of OMNI has primarily been focused on the U.S., we have also begun international commercialization efforts. Outside the U.S., we have made the most progress in the United Kingdom, where we have hired a local commercial team to promote OMNI to health care professionals and are establishing a market access team as well. In Germany, we have established and trained an ophthalmic distributor with successful experience commercializing devices approved to perform canaloplasty procedures. Although Germany employs a single-payor health system and national MIGS procedure codes which include canaloplasty and trabeculotomy, coverage decisions are decentralized among Germany's 17 regions. To date, canaloplasty and trabeculotomy procedures are covered in all 17 regions and our distributor is working towards educating health care providers and hospital personnel across all regions on how to appropriately procure and submit claims for reimbursement from the German health insurance system via the decentralized Physician’s Associations (</w:t>
      </w:r>
      <w:r>
        <w:rPr>
          <w:rFonts w:ascii="Arial" w:cs="Arial" w:eastAsia="Arial" w:hAnsi="Arial"/>
          <w:sz w:val="17"/>
          <w:szCs w:val="17"/>
          <w:i w:val="1"/>
          <w:iCs w:val="1"/>
          <w:color w:val="231F20"/>
        </w:rPr>
        <w:t>Kassenärztliche Vereinigung</w:t>
      </w:r>
      <w:r>
        <w:rPr>
          <w:rFonts w:ascii="Arial" w:cs="Arial" w:eastAsia="Arial" w:hAnsi="Arial"/>
          <w:sz w:val="17"/>
          <w:szCs w:val="17"/>
          <w:color w:val="231F20"/>
        </w:rPr>
        <w:t>) to facilitate access to OMNI for patients and ECPs. As we expand into other countries, we will establish reimbursement strategies that are appropriate for each local market. In the United Kingdom, we have secured access for OMNI at 12 hospitals to date and are continuing our efforts to obtain access at an additional 7 hospitals in 2022 across both the combination cataract and standalone procedures.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Reimbursement for Uses of the TearCare System</w:t>
      </w:r>
    </w:p>
    <w:p>
      <w:pPr>
        <w:spacing w:after="0" w:line="212" w:lineRule="exact"/>
        <w:rPr>
          <w:sz w:val="20"/>
          <w:szCs w:val="20"/>
          <w:color w:val="auto"/>
        </w:rPr>
      </w:pPr>
    </w:p>
    <w:p>
      <w:pPr>
        <w:ind w:right="20" w:firstLine="419"/>
        <w:spacing w:after="0" w:line="255" w:lineRule="auto"/>
        <w:rPr>
          <w:sz w:val="20"/>
          <w:szCs w:val="20"/>
          <w:color w:val="auto"/>
        </w:rPr>
      </w:pPr>
      <w:r>
        <w:rPr>
          <w:rFonts w:ascii="Arial" w:cs="Arial" w:eastAsia="Arial" w:hAnsi="Arial"/>
          <w:sz w:val="17"/>
          <w:szCs w:val="17"/>
          <w:color w:val="231F20"/>
        </w:rPr>
        <w:t>TearCare is not currently covered by Medicare or private payors via formal medical policy, although some payors may agree to provide coverage and payment outside of formal policy. We received FDA clearance for an expanded indication for the use of TearCare in December 2021. TearCare is now indicated for the application of localized heat therapy in adult patients with evaporative dry eye disease due to meibomian gland dysfunction, when used in conjunction with manual expression of the meibomian glands. We believe that the current standard of care (representing over 95% of the existing market), which primarily consists of over-the-counter artificial tears or lubricating eyedrops, and prescription eyedrops, does not treat the root cause of MGD. We believe TearCare, as cleared by the FDA for an expanded indication for use, has the potential to offer a better standard of care for evaporative dry eye patients and reduced overall costs for payors.</w:t>
      </w:r>
    </w:p>
    <w:p>
      <w:pPr>
        <w:spacing w:after="0" w:line="180" w:lineRule="exact"/>
        <w:rPr>
          <w:sz w:val="20"/>
          <w:szCs w:val="20"/>
          <w:color w:val="auto"/>
        </w:rPr>
      </w:pPr>
    </w:p>
    <w:p>
      <w:pPr>
        <w:ind w:right="160" w:firstLine="419"/>
        <w:spacing w:after="0" w:line="294" w:lineRule="auto"/>
        <w:rPr>
          <w:sz w:val="20"/>
          <w:szCs w:val="20"/>
          <w:color w:val="auto"/>
        </w:rPr>
      </w:pPr>
      <w:r>
        <w:rPr>
          <w:rFonts w:ascii="Arial" w:cs="Arial" w:eastAsia="Arial" w:hAnsi="Arial"/>
          <w:sz w:val="16"/>
          <w:szCs w:val="16"/>
          <w:color w:val="231F20"/>
        </w:rPr>
        <w:t>Despite the presence of a large and growing patient-pay market for TearCare as shown in our controlled launch, we believe that improving access to TearCare through positive coverage decisions by Medicare and private payors will help grow the market for the device. We are pursuing a vigorous market access development plan to obtain more favorable policies from Medicare and private payors for procedures using TearCare in the U.S.</w:t>
      </w:r>
    </w:p>
    <w:p>
      <w:pPr>
        <w:spacing w:after="0" w:line="147" w:lineRule="exact"/>
        <w:rPr>
          <w:sz w:val="20"/>
          <w:szCs w:val="20"/>
          <w:color w:val="auto"/>
        </w:rPr>
      </w:pPr>
    </w:p>
    <w:p>
      <w:pPr>
        <w:ind w:right="180" w:firstLine="419"/>
        <w:spacing w:after="0" w:line="243" w:lineRule="auto"/>
        <w:rPr>
          <w:sz w:val="20"/>
          <w:szCs w:val="20"/>
          <w:color w:val="auto"/>
        </w:rPr>
      </w:pPr>
      <w:r>
        <w:rPr>
          <w:rFonts w:ascii="Arial" w:cs="Arial" w:eastAsia="Arial" w:hAnsi="Arial"/>
          <w:sz w:val="18"/>
          <w:szCs w:val="18"/>
          <w:color w:val="231F20"/>
        </w:rPr>
        <w:t>Category III CPT code 0563T, which became effective January 1, 2020, describes the heating of meibomian glands using a wearable open-eye device and manual evacuation of meibomian glands. This code allows providers to pursue reimbursement claims and payors to establish payment rates for the procedure. Prior to formal coverage decisions or a permanent Category I code, third-party payors may cover procedures billed with temporary Category III codes on a case-by-case basis.</w:t>
      </w:r>
    </w:p>
    <w:p>
      <w:pPr>
        <w:spacing w:after="0" w:line="188" w:lineRule="exact"/>
        <w:rPr>
          <w:sz w:val="20"/>
          <w:szCs w:val="20"/>
          <w:color w:val="auto"/>
        </w:rPr>
      </w:pPr>
    </w:p>
    <w:p>
      <w:pPr>
        <w:ind w:right="260" w:firstLine="419"/>
        <w:spacing w:after="0" w:line="261" w:lineRule="auto"/>
        <w:rPr>
          <w:sz w:val="20"/>
          <w:szCs w:val="20"/>
          <w:color w:val="auto"/>
        </w:rPr>
      </w:pPr>
      <w:r>
        <w:rPr>
          <w:rFonts w:ascii="Arial" w:cs="Arial" w:eastAsia="Arial" w:hAnsi="Arial"/>
          <w:sz w:val="18"/>
          <w:szCs w:val="18"/>
          <w:color w:val="231F20"/>
        </w:rPr>
        <w:t xml:space="preserve">We have begun to generate clinical data to support positive coverage decisions from Medicare and private payors. In September 2021, an article discussing results from our OLYMPIA RCT was published in </w:t>
      </w:r>
      <w:r>
        <w:rPr>
          <w:rFonts w:ascii="Arial" w:cs="Arial" w:eastAsia="Arial" w:hAnsi="Arial"/>
          <w:sz w:val="18"/>
          <w:szCs w:val="18"/>
          <w:i w:val="1"/>
          <w:iCs w:val="1"/>
          <w:color w:val="231F20"/>
        </w:rPr>
        <w:t>Cornea The Journal of Cornea</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20" w:name="page21"/>
    <w:bookmarkEnd w:id="20"/>
    <w:p>
      <w:pPr>
        <w:ind w:right="120"/>
        <w:spacing w:after="0" w:line="262" w:lineRule="auto"/>
        <w:rPr>
          <w:sz w:val="20"/>
          <w:szCs w:val="20"/>
          <w:color w:val="auto"/>
        </w:rPr>
      </w:pPr>
      <w:r>
        <w:rPr>
          <w:rFonts w:ascii="Arial" w:cs="Arial" w:eastAsia="Arial" w:hAnsi="Arial"/>
          <w:sz w:val="17"/>
          <w:szCs w:val="17"/>
          <w:i w:val="1"/>
          <w:iCs w:val="1"/>
          <w:color w:val="231F20"/>
        </w:rPr>
        <w:t>and External Disease</w:t>
      </w:r>
      <w:r>
        <w:rPr>
          <w:rFonts w:ascii="Arial" w:cs="Arial" w:eastAsia="Arial" w:hAnsi="Arial"/>
          <w:sz w:val="17"/>
          <w:szCs w:val="17"/>
          <w:color w:val="231F20"/>
        </w:rPr>
        <w:t>. This randomized controlled trial compared treatment using TearCare to the leading alternative MGD treatment device on the</w:t>
      </w:r>
      <w:r>
        <w:rPr>
          <w:rFonts w:ascii="Arial" w:cs="Arial" w:eastAsia="Arial" w:hAnsi="Arial"/>
          <w:sz w:val="17"/>
          <w:szCs w:val="17"/>
          <w:i w:val="1"/>
          <w:iCs w:val="1"/>
          <w:color w:val="231F20"/>
        </w:rPr>
        <w:t xml:space="preserve"> </w:t>
      </w:r>
      <w:r>
        <w:rPr>
          <w:rFonts w:ascii="Arial" w:cs="Arial" w:eastAsia="Arial" w:hAnsi="Arial"/>
          <w:sz w:val="17"/>
          <w:szCs w:val="17"/>
          <w:color w:val="231F20"/>
        </w:rPr>
        <w:t>market. In the study, we observed that a single use of TearCare was associated with improvement in each of the signs and symptoms of DED within two weeks of treatment in subjects with MGD. In a post-hoc analysis we also observed that a greater proportion of subjects in the TearCare group reported better symptomatic relief relative to the comparator group as assessed by patient reported outcomes.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comprehensive long-term strategy to improve patient access to TearCare includes the following key initiatives:</w:t>
      </w:r>
    </w:p>
    <w:p>
      <w:pPr>
        <w:spacing w:after="0" w:line="208" w:lineRule="exact"/>
        <w:rPr>
          <w:sz w:val="20"/>
          <w:szCs w:val="20"/>
          <w:color w:val="auto"/>
        </w:rPr>
      </w:pPr>
    </w:p>
    <w:p>
      <w:pPr>
        <w:ind w:left="800" w:right="760" w:hanging="283"/>
        <w:spacing w:after="0" w:line="239" w:lineRule="auto"/>
        <w:tabs>
          <w:tab w:leader="none" w:pos="80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231F20"/>
        </w:rPr>
        <w:t>Demonstrate the effectiveness, safety and durability of TearCare with rigorous clinical data</w:t>
      </w:r>
      <w:r>
        <w:rPr>
          <w:rFonts w:ascii="Arial" w:cs="Arial" w:eastAsia="Arial" w:hAnsi="Arial"/>
          <w:sz w:val="18"/>
          <w:szCs w:val="18"/>
          <w:color w:val="231F20"/>
        </w:rPr>
        <w:t>. Building on supportive data from</w:t>
      </w:r>
      <w:r>
        <w:rPr>
          <w:rFonts w:ascii="Arial" w:cs="Arial" w:eastAsia="Arial" w:hAnsi="Arial"/>
          <w:sz w:val="18"/>
          <w:szCs w:val="18"/>
          <w:b w:val="1"/>
          <w:bCs w:val="1"/>
          <w:color w:val="231F20"/>
        </w:rPr>
        <w:t xml:space="preserve"> </w:t>
      </w:r>
      <w:r>
        <w:rPr>
          <w:rFonts w:ascii="Arial" w:cs="Arial" w:eastAsia="Arial" w:hAnsi="Arial"/>
          <w:sz w:val="18"/>
          <w:szCs w:val="18"/>
          <w:color w:val="231F20"/>
        </w:rPr>
        <w:t>completed studies, our upcoming clinical program for TearCare, including the SAHARA and RESTORE studies, aims to advance the development of TearCare for the signs and symptoms of DED due to MGD with comparative trial designs established to evaluate the effectiveness and durability of treatment with TearCare, which our research suggests would be the primary criteria for payors to decide coverage determinations. SAHARA, which commenced in 2021, features a trial design directly informed by a masked panel of medical directors from eight payors. This study is an RCT evaluating TearCare versus the leading DED prescription eyedrop, and will compare effectiveness and safety, as well as assess durability of effect through a 24-month follow up period.</w:t>
      </w:r>
    </w:p>
    <w:p>
      <w:pPr>
        <w:spacing w:after="0" w:line="79" w:lineRule="exact"/>
        <w:rPr>
          <w:rFonts w:ascii="Arial" w:cs="Arial" w:eastAsia="Arial" w:hAnsi="Arial"/>
          <w:sz w:val="18"/>
          <w:szCs w:val="18"/>
          <w:color w:val="231F20"/>
        </w:rPr>
      </w:pPr>
    </w:p>
    <w:p>
      <w:pPr>
        <w:ind w:left="800" w:right="720" w:hanging="283"/>
        <w:spacing w:after="0" w:line="264" w:lineRule="auto"/>
        <w:tabs>
          <w:tab w:leader="none" w:pos="800" w:val="left"/>
        </w:tabs>
        <w:numPr>
          <w:ilvl w:val="0"/>
          <w:numId w:val="13"/>
        </w:numPr>
        <w:rPr>
          <w:rFonts w:ascii="Arial" w:cs="Arial" w:eastAsia="Arial" w:hAnsi="Arial"/>
          <w:sz w:val="17"/>
          <w:szCs w:val="17"/>
          <w:color w:val="231F20"/>
        </w:rPr>
      </w:pPr>
      <w:r>
        <w:rPr>
          <w:rFonts w:ascii="Arial" w:cs="Arial" w:eastAsia="Arial" w:hAnsi="Arial"/>
          <w:sz w:val="17"/>
          <w:szCs w:val="17"/>
          <w:b w:val="1"/>
          <w:bCs w:val="1"/>
          <w:color w:val="231F20"/>
        </w:rPr>
        <w:t>Augment library of published articles on TearCare</w:t>
      </w:r>
      <w:r>
        <w:rPr>
          <w:rFonts w:ascii="Arial" w:cs="Arial" w:eastAsia="Arial" w:hAnsi="Arial"/>
          <w:sz w:val="17"/>
          <w:szCs w:val="17"/>
          <w:color w:val="231F20"/>
        </w:rPr>
        <w:t>. We plan to facilitate publication of numerous articles describing the results</w:t>
      </w:r>
      <w:r>
        <w:rPr>
          <w:rFonts w:ascii="Arial" w:cs="Arial" w:eastAsia="Arial" w:hAnsi="Arial"/>
          <w:sz w:val="17"/>
          <w:szCs w:val="17"/>
          <w:b w:val="1"/>
          <w:bCs w:val="1"/>
          <w:color w:val="231F20"/>
        </w:rPr>
        <w:t xml:space="preserve"> </w:t>
      </w:r>
      <w:r>
        <w:rPr>
          <w:rFonts w:ascii="Arial" w:cs="Arial" w:eastAsia="Arial" w:hAnsi="Arial"/>
          <w:sz w:val="17"/>
          <w:szCs w:val="17"/>
          <w:color w:val="231F20"/>
        </w:rPr>
        <w:t>of our studies of TearCare in peer-reviewed journals. We collaborate with our advisors to design and conduct our studies, and ensure findings undergo the rigorous peer review process for publication in leading ophthalmology and optometry journals, recognizing that third-party payors base coverage decisions on reviews of the published medical literature.</w:t>
      </w:r>
    </w:p>
    <w:p>
      <w:pPr>
        <w:spacing w:after="0" w:line="57" w:lineRule="exact"/>
        <w:rPr>
          <w:rFonts w:ascii="Arial" w:cs="Arial" w:eastAsia="Arial" w:hAnsi="Arial"/>
          <w:sz w:val="17"/>
          <w:szCs w:val="17"/>
          <w:color w:val="231F20"/>
        </w:rPr>
      </w:pPr>
    </w:p>
    <w:p>
      <w:pPr>
        <w:ind w:left="800" w:right="720" w:hanging="283"/>
        <w:spacing w:after="0" w:line="242" w:lineRule="auto"/>
        <w:tabs>
          <w:tab w:leader="none" w:pos="80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231F20"/>
        </w:rPr>
        <w:t>Support coverage applications</w:t>
      </w:r>
      <w:r>
        <w:rPr>
          <w:rFonts w:ascii="Arial" w:cs="Arial" w:eastAsia="Arial" w:hAnsi="Arial"/>
          <w:sz w:val="18"/>
          <w:szCs w:val="18"/>
          <w:color w:val="231F20"/>
        </w:rPr>
        <w:t>. Our market access team assists key strategic accounts in their submission of high quality</w:t>
      </w:r>
      <w:r>
        <w:rPr>
          <w:rFonts w:ascii="Arial" w:cs="Arial" w:eastAsia="Arial" w:hAnsi="Arial"/>
          <w:sz w:val="18"/>
          <w:szCs w:val="18"/>
          <w:b w:val="1"/>
          <w:bCs w:val="1"/>
          <w:color w:val="231F20"/>
        </w:rPr>
        <w:t xml:space="preserve"> </w:t>
      </w:r>
      <w:r>
        <w:rPr>
          <w:rFonts w:ascii="Arial" w:cs="Arial" w:eastAsia="Arial" w:hAnsi="Arial"/>
          <w:sz w:val="18"/>
          <w:szCs w:val="18"/>
          <w:color w:val="231F20"/>
        </w:rPr>
        <w:t>reimbursement requests for uses of TearCare. Our market access team also works with customers and patients to navigate the reimbursement process with third-party payors, including prior authorization approvals and appeals for denial of coverage or low payment. As more claims for uses of TearCare are accepted, we will work with third-party payors to formalize coverage decisions to streamline the coverage and payment processes.</w:t>
      </w:r>
    </w:p>
    <w:p>
      <w:pPr>
        <w:spacing w:after="0" w:line="76" w:lineRule="exact"/>
        <w:rPr>
          <w:rFonts w:ascii="Arial" w:cs="Arial" w:eastAsia="Arial" w:hAnsi="Arial"/>
          <w:sz w:val="18"/>
          <w:szCs w:val="18"/>
          <w:color w:val="231F20"/>
        </w:rPr>
      </w:pPr>
    </w:p>
    <w:p>
      <w:pPr>
        <w:ind w:left="800" w:right="840" w:hanging="283"/>
        <w:spacing w:after="0" w:line="241" w:lineRule="auto"/>
        <w:tabs>
          <w:tab w:leader="none" w:pos="80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231F20"/>
        </w:rPr>
        <w:t>Convert to permanent Category I CPT code</w:t>
      </w:r>
      <w:r>
        <w:rPr>
          <w:rFonts w:ascii="Arial" w:cs="Arial" w:eastAsia="Arial" w:hAnsi="Arial"/>
          <w:sz w:val="18"/>
          <w:szCs w:val="18"/>
          <w:color w:val="231F20"/>
        </w:rPr>
        <w:t>. We plan to leverage our clinical studies, peer-reviewed publications, society and</w:t>
      </w:r>
      <w:r>
        <w:rPr>
          <w:rFonts w:ascii="Arial" w:cs="Arial" w:eastAsia="Arial" w:hAnsi="Arial"/>
          <w:sz w:val="18"/>
          <w:szCs w:val="18"/>
          <w:b w:val="1"/>
          <w:bCs w:val="1"/>
          <w:color w:val="231F20"/>
        </w:rPr>
        <w:t xml:space="preserve"> </w:t>
      </w:r>
      <w:r>
        <w:rPr>
          <w:rFonts w:ascii="Arial" w:cs="Arial" w:eastAsia="Arial" w:hAnsi="Arial"/>
          <w:sz w:val="18"/>
          <w:szCs w:val="18"/>
          <w:color w:val="231F20"/>
        </w:rPr>
        <w:t>medical community support, and utilization / real world reimbursement claims data to support conversion of our Category III CPT code for TearCare to a permanent Category I CPT code. Although Medicare and private payors may cover Category III CPT codes that meet their coverage criteria, we believe AMA approval of a permanent Category I CPT code for uses of TearCare, along with potential enhanced indications for use, will bolster our efforts to gain positive coverage determinations combined with appropriate reimbursement from Medicare and private payors.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Competition</w:t>
      </w:r>
    </w:p>
    <w:p>
      <w:pPr>
        <w:spacing w:after="0" w:line="216" w:lineRule="exact"/>
        <w:rPr>
          <w:sz w:val="20"/>
          <w:szCs w:val="20"/>
          <w:color w:val="auto"/>
        </w:rPr>
      </w:pPr>
    </w:p>
    <w:p>
      <w:pPr>
        <w:ind w:firstLine="419"/>
        <w:spacing w:after="0" w:line="252" w:lineRule="auto"/>
        <w:rPr>
          <w:sz w:val="20"/>
          <w:szCs w:val="20"/>
          <w:color w:val="auto"/>
        </w:rPr>
      </w:pPr>
      <w:r>
        <w:rPr>
          <w:rFonts w:ascii="Arial" w:cs="Arial" w:eastAsia="Arial" w:hAnsi="Arial"/>
          <w:sz w:val="17"/>
          <w:szCs w:val="17"/>
          <w:color w:val="231F20"/>
        </w:rPr>
        <w:t>We believe our focus on developing and marketing intuitively designed products that are intended to restore the eye’s natural physiological function by addressing underlying causes of eye disease will be an important factor in our future success. The medical device and pharmaceutical industries are intensely competitive, subject to rapid change and significantly affected by new product introductions and other market activities of industry participants. We compete with medical device and pharmaceutical companies that develop and commercialize products for eye conditions. Notable competitors with approved MIGS products include Glaukos, Alcon/Ivantis and AbbVie/Allergan, while AbbVie/Allergan, Novartis, Johnson &amp; Johnson, and Alcon have notable approved products to treat DED. Other competitors with approved ophthalmic products in glaucoma and DED include Aerie Pharmaceuticals, Bausch and Lomb, MST, New World Medical, Nova Eye, Kala Pharmaceuticals, Oyster Point and Sun Pharmaceutical Industries. Notable competitors seeking approval for new MIGS and sustained release glaucoma treatments include Glaukos, Ocular Therapeutix, and iSTARMedical, and in pharmaceutical DED treatments include, among others, Aldeyra Therapeutics, Bausch and Lomb, Ocular Therapeutix and Tarsus Pharmaceuticals. Some of our competitors are larger, well-capitalized companies with greater current market share and resources. Consequently, they can spend more on product development, marketing, sales and other product initiatives than we can. We also compete with several smaller medical device companies that have single products or a limited range of products. Some of our competitors have:</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21" w:name="page22"/>
    <w:bookmarkEnd w:id="21"/>
    <w:p>
      <w:pPr>
        <w:ind w:left="800" w:hanging="283"/>
        <w:spacing w:after="0"/>
        <w:tabs>
          <w:tab w:leader="none" w:pos="80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Significantly greater name recognition;</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Broader or deeper relations with healthcare professionals, customers and third-party payors;</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More established distribution networks;</w:t>
      </w:r>
    </w:p>
    <w:p>
      <w:pPr>
        <w:spacing w:after="0" w:line="103" w:lineRule="exact"/>
        <w:rPr>
          <w:rFonts w:ascii="Arial" w:cs="Arial" w:eastAsia="Arial" w:hAnsi="Arial"/>
          <w:sz w:val="18"/>
          <w:szCs w:val="18"/>
          <w:color w:val="231F20"/>
        </w:rPr>
      </w:pPr>
    </w:p>
    <w:p>
      <w:pPr>
        <w:ind w:left="800" w:right="720" w:hanging="283"/>
        <w:spacing w:after="0" w:line="261" w:lineRule="auto"/>
        <w:tabs>
          <w:tab w:leader="none" w:pos="80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Additional lines of products and the ability to offer rebates or bundle products to offer greater discounts or other incentives to attract adoption;</w:t>
      </w:r>
    </w:p>
    <w:p>
      <w:pPr>
        <w:spacing w:after="0" w:line="62" w:lineRule="exact"/>
        <w:rPr>
          <w:rFonts w:ascii="Arial" w:cs="Arial" w:eastAsia="Arial" w:hAnsi="Arial"/>
          <w:sz w:val="18"/>
          <w:szCs w:val="18"/>
          <w:color w:val="231F20"/>
        </w:rPr>
      </w:pPr>
    </w:p>
    <w:p>
      <w:pPr>
        <w:ind w:left="800" w:right="1140" w:hanging="283"/>
        <w:spacing w:after="0" w:line="261" w:lineRule="auto"/>
        <w:tabs>
          <w:tab w:leader="none" w:pos="80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Greater experience in conducting research and development, manufacturing, clinical trials, marketing and obtaining regulatory clearance or approval for products; and</w:t>
      </w:r>
    </w:p>
    <w:p>
      <w:pPr>
        <w:spacing w:after="0" w:line="62" w:lineRule="exact"/>
        <w:rPr>
          <w:rFonts w:ascii="Arial" w:cs="Arial" w:eastAsia="Arial" w:hAnsi="Arial"/>
          <w:sz w:val="18"/>
          <w:szCs w:val="18"/>
          <w:color w:val="231F20"/>
        </w:rPr>
      </w:pPr>
    </w:p>
    <w:p>
      <w:pPr>
        <w:ind w:left="800" w:right="1120" w:hanging="283"/>
        <w:spacing w:after="0" w:line="261" w:lineRule="auto"/>
        <w:tabs>
          <w:tab w:leader="none" w:pos="80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Greater financial and human resources for product development, sales and marketing and patent and other intellectual property litigation.</w:t>
      </w:r>
    </w:p>
    <w:p>
      <w:pPr>
        <w:spacing w:after="0" w:line="171" w:lineRule="exact"/>
        <w:rPr>
          <w:sz w:val="20"/>
          <w:szCs w:val="20"/>
          <w:color w:val="auto"/>
        </w:rPr>
      </w:pPr>
    </w:p>
    <w:p>
      <w:pPr>
        <w:ind w:right="640" w:firstLine="419"/>
        <w:spacing w:after="0" w:line="261" w:lineRule="auto"/>
        <w:rPr>
          <w:sz w:val="20"/>
          <w:szCs w:val="20"/>
          <w:color w:val="auto"/>
        </w:rPr>
      </w:pPr>
      <w:r>
        <w:rPr>
          <w:rFonts w:ascii="Arial" w:cs="Arial" w:eastAsia="Arial" w:hAnsi="Arial"/>
          <w:sz w:val="18"/>
          <w:szCs w:val="18"/>
          <w:color w:val="231F20"/>
        </w:rPr>
        <w:t>We compete primarily on the basis that our medical devices are able to treat patients with prevalent eye diseases safely and effectively. Our continued success depends on our ability to:</w:t>
      </w:r>
    </w:p>
    <w:p>
      <w:pPr>
        <w:spacing w:after="0" w:line="171" w:lineRule="exact"/>
        <w:rPr>
          <w:sz w:val="20"/>
          <w:szCs w:val="20"/>
          <w:color w:val="auto"/>
        </w:rPr>
      </w:pPr>
    </w:p>
    <w:p>
      <w:pPr>
        <w:ind w:left="820" w:hanging="303"/>
        <w:spacing w:after="0"/>
        <w:tabs>
          <w:tab w:leader="none" w:pos="8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Develop innovative, proprietary technology and products that can cost-effectively address significant clinical needs;</w:t>
      </w:r>
    </w:p>
    <w:p>
      <w:pPr>
        <w:spacing w:after="0" w:line="103" w:lineRule="exact"/>
        <w:rPr>
          <w:rFonts w:ascii="Arial" w:cs="Arial" w:eastAsia="Arial" w:hAnsi="Arial"/>
          <w:sz w:val="18"/>
          <w:szCs w:val="18"/>
          <w:color w:val="231F20"/>
        </w:rPr>
      </w:pPr>
    </w:p>
    <w:p>
      <w:pPr>
        <w:ind w:left="820" w:hanging="303"/>
        <w:spacing w:after="0"/>
        <w:tabs>
          <w:tab w:leader="none" w:pos="8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Obtain and maintain regulatory clearances or approvals for the use of our products;</w:t>
      </w:r>
    </w:p>
    <w:p>
      <w:pPr>
        <w:spacing w:after="0" w:line="103" w:lineRule="exact"/>
        <w:rPr>
          <w:rFonts w:ascii="Arial" w:cs="Arial" w:eastAsia="Arial" w:hAnsi="Arial"/>
          <w:sz w:val="18"/>
          <w:szCs w:val="18"/>
          <w:color w:val="231F20"/>
        </w:rPr>
      </w:pPr>
    </w:p>
    <w:p>
      <w:pPr>
        <w:ind w:left="820" w:hanging="303"/>
        <w:spacing w:after="0"/>
        <w:tabs>
          <w:tab w:leader="none" w:pos="8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Obtain and maintain favorable reimbursement decisions relating to the use of our products;</w:t>
      </w:r>
    </w:p>
    <w:p>
      <w:pPr>
        <w:spacing w:after="0" w:line="103" w:lineRule="exact"/>
        <w:rPr>
          <w:rFonts w:ascii="Arial" w:cs="Arial" w:eastAsia="Arial" w:hAnsi="Arial"/>
          <w:sz w:val="18"/>
          <w:szCs w:val="18"/>
          <w:color w:val="231F20"/>
        </w:rPr>
      </w:pPr>
    </w:p>
    <w:p>
      <w:pPr>
        <w:ind w:left="820" w:hanging="303"/>
        <w:spacing w:after="0"/>
        <w:tabs>
          <w:tab w:leader="none" w:pos="8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Demonstrate clinical safety and effectiveness in our sponsored and third-party trials and studies;</w:t>
      </w:r>
    </w:p>
    <w:p>
      <w:pPr>
        <w:spacing w:after="0" w:line="103" w:lineRule="exact"/>
        <w:rPr>
          <w:rFonts w:ascii="Arial" w:cs="Arial" w:eastAsia="Arial" w:hAnsi="Arial"/>
          <w:sz w:val="18"/>
          <w:szCs w:val="18"/>
          <w:color w:val="231F20"/>
        </w:rPr>
      </w:pPr>
    </w:p>
    <w:p>
      <w:pPr>
        <w:ind w:left="820" w:hanging="303"/>
        <w:spacing w:after="0"/>
        <w:tabs>
          <w:tab w:leader="none" w:pos="8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Attract and retain skilled research and development and sales personnel; and</w:t>
      </w:r>
    </w:p>
    <w:p>
      <w:pPr>
        <w:spacing w:after="0" w:line="103" w:lineRule="exact"/>
        <w:rPr>
          <w:rFonts w:ascii="Arial" w:cs="Arial" w:eastAsia="Arial" w:hAnsi="Arial"/>
          <w:sz w:val="18"/>
          <w:szCs w:val="18"/>
          <w:color w:val="231F20"/>
        </w:rPr>
      </w:pPr>
    </w:p>
    <w:p>
      <w:pPr>
        <w:ind w:left="820" w:hanging="303"/>
        <w:spacing w:after="0"/>
        <w:tabs>
          <w:tab w:leader="none" w:pos="8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Successfully market and sell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Manufacturing</w:t>
      </w:r>
    </w:p>
    <w:p>
      <w:pPr>
        <w:spacing w:after="0" w:line="216" w:lineRule="exact"/>
        <w:rPr>
          <w:sz w:val="20"/>
          <w:szCs w:val="20"/>
          <w:color w:val="auto"/>
        </w:rPr>
      </w:pPr>
    </w:p>
    <w:p>
      <w:pPr>
        <w:ind w:firstLine="419"/>
        <w:spacing w:after="0" w:line="271" w:lineRule="auto"/>
        <w:rPr>
          <w:sz w:val="20"/>
          <w:szCs w:val="20"/>
          <w:color w:val="auto"/>
        </w:rPr>
      </w:pPr>
      <w:r>
        <w:rPr>
          <w:rFonts w:ascii="Arial" w:cs="Arial" w:eastAsia="Arial" w:hAnsi="Arial"/>
          <w:sz w:val="16"/>
          <w:szCs w:val="16"/>
          <w:color w:val="231F20"/>
        </w:rPr>
        <w:t>On January 14, 2021, we entered into a Supply Agreement, or the Peter’s Supply Agreement, with Peter’s Technology (Suzhou) CO LTD., or PTCS, a Chinese subsidiary of Peter’s Co., Ltd., a Taiwan-based contract manufacturer. In February 2021, PTCS began to produce commercially saleable OMNI units for us at its Suzhou City, China production facility. Currently Peter's is the sole contract manufacturer of OMNI production and we plan to have production availability with an additional high-volume contract manufacturer with U.S. production facilities by the end of the second quarter of 2022. The Peter’s Supply Agreement governs the assembly and supply of OMNI by PTCS, pursuant to which PTCS purchases components from our approved suppliers for assembly and we make purchases from PTCS on a purchase order basis. The initial term of the three year Peter’s Supply Agreement expires January 14, 2024. The Peter’s Supply Agreement automatically renews for additional one year periods if neither party provides notification that they intend to terminate the agreement within 90 days of the term ending. We have the right to terminate the agreement without cause during its term by providing 180 days’ advance written notice, or with 30 days’ written notice with any material agreement default by PTCS.</w:t>
      </w:r>
    </w:p>
    <w:p>
      <w:pPr>
        <w:spacing w:after="0" w:line="169" w:lineRule="exact"/>
        <w:rPr>
          <w:sz w:val="20"/>
          <w:szCs w:val="20"/>
          <w:color w:val="auto"/>
        </w:rPr>
      </w:pPr>
    </w:p>
    <w:p>
      <w:pPr>
        <w:ind w:right="240" w:firstLine="419"/>
        <w:spacing w:after="0" w:line="248" w:lineRule="auto"/>
        <w:rPr>
          <w:sz w:val="20"/>
          <w:szCs w:val="20"/>
          <w:color w:val="auto"/>
        </w:rPr>
      </w:pPr>
      <w:r>
        <w:rPr>
          <w:rFonts w:ascii="Arial" w:cs="Arial" w:eastAsia="Arial" w:hAnsi="Arial"/>
          <w:sz w:val="18"/>
          <w:szCs w:val="18"/>
          <w:color w:val="231F20"/>
        </w:rPr>
        <w:t>For the production of TearCare, we currently have supply arrangements with separate medical device manufacturers. For the production of TearCare’s SmartLids, we partner with Peter's Technology, and for TearCare’s SmartHubs, we have a supply arrangement with Philips-Medisize Costa Mesa (California).</w:t>
      </w:r>
    </w:p>
    <w:p>
      <w:pPr>
        <w:spacing w:after="0" w:line="182" w:lineRule="exact"/>
        <w:rPr>
          <w:sz w:val="20"/>
          <w:szCs w:val="20"/>
          <w:color w:val="auto"/>
        </w:rPr>
      </w:pPr>
    </w:p>
    <w:p>
      <w:pPr>
        <w:ind w:right="140" w:firstLine="419"/>
        <w:spacing w:after="0" w:line="248" w:lineRule="auto"/>
        <w:rPr>
          <w:sz w:val="20"/>
          <w:szCs w:val="20"/>
          <w:color w:val="auto"/>
        </w:rPr>
      </w:pPr>
      <w:r>
        <w:rPr>
          <w:rFonts w:ascii="Arial" w:cs="Arial" w:eastAsia="Arial" w:hAnsi="Arial"/>
          <w:sz w:val="18"/>
          <w:szCs w:val="18"/>
          <w:color w:val="231F20"/>
        </w:rPr>
        <w:t>We directly engage with several third-party suppliers for key components used in our products. We believe that our approved third-party suppliers will be adequate to meet our current and anticipated manufacturing needs. We do not currently plan to manufacture our products or any related components ourselves.</w:t>
      </w:r>
    </w:p>
    <w:p>
      <w:pPr>
        <w:spacing w:after="0" w:line="182" w:lineRule="exact"/>
        <w:rPr>
          <w:sz w:val="20"/>
          <w:szCs w:val="20"/>
          <w:color w:val="auto"/>
        </w:rPr>
      </w:pPr>
    </w:p>
    <w:p>
      <w:pPr>
        <w:jc w:val="both"/>
        <w:ind w:right="120" w:firstLine="419"/>
        <w:spacing w:after="0" w:line="284" w:lineRule="auto"/>
        <w:rPr>
          <w:sz w:val="20"/>
          <w:szCs w:val="20"/>
          <w:color w:val="auto"/>
        </w:rPr>
      </w:pPr>
      <w:r>
        <w:rPr>
          <w:rFonts w:ascii="Arial" w:cs="Arial" w:eastAsia="Arial" w:hAnsi="Arial"/>
          <w:sz w:val="16"/>
          <w:szCs w:val="16"/>
          <w:color w:val="231F20"/>
        </w:rPr>
        <w:t>Manufacturing facilities that produce medical devices or their component parts intended for distribution world-wide are subject to regulation and periodic unannounced inspection or audits by the FDA and other domestic and international regulatory agencies or notified bodies. In the United States, any products we sell are required to be manufactured in compliance with the FDA’s Quality System Regulation, which covers the methods used in, and the facilities used for, the design, testing, control, manufacturing, labeling, quality assurance, packaging, storage and shipping of our products.</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22" w:name="page23"/>
    <w:bookmarkEnd w:id="22"/>
    <w:p>
      <w:pPr>
        <w:ind w:right="480" w:firstLine="419"/>
        <w:spacing w:after="0" w:line="324" w:lineRule="auto"/>
        <w:rPr>
          <w:sz w:val="20"/>
          <w:szCs w:val="20"/>
          <w:color w:val="auto"/>
        </w:rPr>
      </w:pPr>
      <w:r>
        <w:rPr>
          <w:rFonts w:ascii="Arial" w:cs="Arial" w:eastAsia="Arial" w:hAnsi="Arial"/>
          <w:sz w:val="16"/>
          <w:szCs w:val="16"/>
          <w:color w:val="231F20"/>
        </w:rPr>
        <w:t>The distribution of our products is handled directly through a third-party logistics provider. Our finished goods are shipped from our contract manufacturers to a local gamma sterilization facility after which they are shipped to distribution facilities and, ultimately, to our customers.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Intellectual Property</w:t>
      </w:r>
    </w:p>
    <w:p>
      <w:pPr>
        <w:spacing w:after="0" w:line="216" w:lineRule="exact"/>
        <w:rPr>
          <w:sz w:val="20"/>
          <w:szCs w:val="20"/>
          <w:color w:val="auto"/>
        </w:rPr>
      </w:pPr>
    </w:p>
    <w:p>
      <w:pPr>
        <w:ind w:firstLine="419"/>
        <w:spacing w:after="0" w:line="254" w:lineRule="auto"/>
        <w:rPr>
          <w:sz w:val="20"/>
          <w:szCs w:val="20"/>
          <w:color w:val="auto"/>
        </w:rPr>
      </w:pPr>
      <w:r>
        <w:rPr>
          <w:rFonts w:ascii="Arial" w:cs="Arial" w:eastAsia="Arial" w:hAnsi="Arial"/>
          <w:sz w:val="17"/>
          <w:szCs w:val="17"/>
          <w:color w:val="231F20"/>
        </w:rPr>
        <w:t>Our commercial success depends in part on our ability to obtain and maintain proprietary protection for our current and future products and product candidates, novel discoveries, product development technologies and know-how; to operate without infringing on the proprietary rights of others; and to prevent others from infringing our proprietary rights. Our policy is to seek to protect our proprietary position by, among other methods, seeking to obtain or in-licensing U.S. and foreign patents and patent applications related to our proprietary technology that are important to the development and implementation of our business. We seek to obtain domestic and international patent protection, and endeavor to promptly file patent applications for new commercially valuable inventions. We file new patent applications as we conduct research and development, initiate new programs, and monitor the activities of others. We also rely on other approaches to protecting our proprietary position, such as trademarks, trade secrets, know-how, and/or continuing technological innovation to develop and maintain our proprietary position.</w:t>
      </w:r>
    </w:p>
    <w:p>
      <w:pPr>
        <w:spacing w:after="0" w:line="181" w:lineRule="exact"/>
        <w:rPr>
          <w:sz w:val="20"/>
          <w:szCs w:val="20"/>
          <w:color w:val="auto"/>
        </w:rPr>
      </w:pPr>
    </w:p>
    <w:p>
      <w:pPr>
        <w:ind w:right="60" w:firstLine="419"/>
        <w:spacing w:after="0" w:line="257" w:lineRule="auto"/>
        <w:rPr>
          <w:sz w:val="20"/>
          <w:szCs w:val="20"/>
          <w:color w:val="auto"/>
        </w:rPr>
      </w:pPr>
      <w:r>
        <w:rPr>
          <w:rFonts w:ascii="Arial" w:cs="Arial" w:eastAsia="Arial" w:hAnsi="Arial"/>
          <w:sz w:val="17"/>
          <w:szCs w:val="17"/>
          <w:color w:val="231F20"/>
        </w:rPr>
        <w:t>The patent positions of medical device companies like us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predict whether the patent applications we are currently pursuing will issue as patents in any particular jurisdiction or at all, whether the claims of any patent applications, should they issue, will cover our products or product candidates, or whether the claims of any issued patents will provide sufficient protection from competitors or otherwise provide any competitive advantage.</w:t>
      </w:r>
    </w:p>
    <w:p>
      <w:pPr>
        <w:spacing w:after="0" w:line="175" w:lineRule="exact"/>
        <w:rPr>
          <w:sz w:val="20"/>
          <w:szCs w:val="20"/>
          <w:color w:val="auto"/>
        </w:rPr>
      </w:pPr>
    </w:p>
    <w:p>
      <w:pPr>
        <w:jc w:val="both"/>
        <w:ind w:right="20" w:firstLine="419"/>
        <w:spacing w:after="0" w:line="284" w:lineRule="auto"/>
        <w:rPr>
          <w:sz w:val="20"/>
          <w:szCs w:val="20"/>
          <w:color w:val="auto"/>
        </w:rPr>
      </w:pPr>
      <w:r>
        <w:rPr>
          <w:rFonts w:ascii="Arial" w:cs="Arial" w:eastAsia="Arial" w:hAnsi="Arial"/>
          <w:sz w:val="16"/>
          <w:szCs w:val="16"/>
          <w:color w:val="231F20"/>
        </w:rPr>
        <w:t>We cannot be certain of the priority of inventions covered by our patents and pending patent applications, in part 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Accordingly, we may not have been the first to invent the subject matter disclosed in some of our patents and patent applications or the first to file patent applications covering such subject matter.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Patent Term</w:t>
      </w:r>
    </w:p>
    <w:p>
      <w:pPr>
        <w:spacing w:after="0" w:line="212" w:lineRule="exact"/>
        <w:rPr>
          <w:sz w:val="20"/>
          <w:szCs w:val="20"/>
          <w:color w:val="auto"/>
        </w:rPr>
      </w:pPr>
    </w:p>
    <w:p>
      <w:pPr>
        <w:ind w:right="100" w:firstLine="419"/>
        <w:spacing w:after="0" w:line="284" w:lineRule="auto"/>
        <w:rPr>
          <w:sz w:val="20"/>
          <w:szCs w:val="20"/>
          <w:color w:val="auto"/>
        </w:rPr>
      </w:pPr>
      <w:r>
        <w:rPr>
          <w:rFonts w:ascii="Arial" w:cs="Arial" w:eastAsia="Arial" w:hAnsi="Arial"/>
          <w:sz w:val="16"/>
          <w:szCs w:val="16"/>
          <w:color w:val="231F20"/>
        </w:rPr>
        <w:t>Generally, issued patents are granted a term of 20 years from the earliest claimed non-provisional filing date. In certain instances, U.S. patent term can be adjusted to recapture a portion of delay by the U.S. Patent &amp; Trademark Office, or USPTO, in examining the patent application (patent term adjustment) or extended to account for term effectively lost as a result of the FDA regulatory review period (patent term extension), or both. In some cases, the term of a U.S. patent may be shortened by terminal disclaimer, such that its term is reduced to end with that of an earlier-expiring patent.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Trade Secrets</w:t>
      </w:r>
    </w:p>
    <w:p>
      <w:pPr>
        <w:spacing w:after="0" w:line="212" w:lineRule="exact"/>
        <w:rPr>
          <w:sz w:val="20"/>
          <w:szCs w:val="20"/>
          <w:color w:val="auto"/>
        </w:rPr>
      </w:pPr>
    </w:p>
    <w:p>
      <w:pPr>
        <w:ind w:right="20" w:firstLine="419"/>
        <w:spacing w:after="0" w:line="272" w:lineRule="auto"/>
        <w:rPr>
          <w:sz w:val="20"/>
          <w:szCs w:val="20"/>
          <w:color w:val="auto"/>
        </w:rPr>
      </w:pPr>
      <w:r>
        <w:rPr>
          <w:rFonts w:ascii="Arial" w:cs="Arial" w:eastAsia="Arial" w:hAnsi="Arial"/>
          <w:sz w:val="16"/>
          <w:szCs w:val="16"/>
          <w:color w:val="231F20"/>
        </w:rPr>
        <w:t>In addition to patents, we rely on or may in the future rely on trade secrets and know-how to develop and maintain our competitive position. We typically rely on or may in the future rely on trade secrets to protect aspects of our business that are not amenable to, or that we do not consider appropriate for, patent protection. It is our policy to protect trade secrets and/or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entity’s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231F20"/>
        </w:rPr>
        <w:t>Patents</w:t>
      </w:r>
    </w:p>
    <w:p>
      <w:pPr>
        <w:spacing w:after="0" w:line="212" w:lineRule="exact"/>
        <w:rPr>
          <w:sz w:val="20"/>
          <w:szCs w:val="20"/>
          <w:color w:val="auto"/>
        </w:rPr>
      </w:pPr>
    </w:p>
    <w:p>
      <w:pPr>
        <w:ind w:firstLine="419"/>
        <w:spacing w:after="0" w:line="257" w:lineRule="auto"/>
        <w:rPr>
          <w:sz w:val="20"/>
          <w:szCs w:val="20"/>
          <w:color w:val="auto"/>
        </w:rPr>
      </w:pPr>
      <w:r>
        <w:rPr>
          <w:rFonts w:ascii="Arial" w:cs="Arial" w:eastAsia="Arial" w:hAnsi="Arial"/>
          <w:sz w:val="17"/>
          <w:szCs w:val="17"/>
          <w:color w:val="231F20"/>
        </w:rPr>
        <w:t>As of December 31, 2021, we owned 30 issued U.S. patents, 45 issued patents outside the U.S. (which includes five issued European patents and their national validations), 19 pending U.S. non-provisional patent applications, 18 pending foreign patent applications and two pending Patent Cooperation Treaty patent applications. Our issued patents include claims directed to devices and methods for canaloplasty and/or trabeculotomy, ocular implants and related methods, the TearCare apparatus and methods of using the TearCare apparatus, components of the TearCare apparatus (including the SmartHub and SmartLids) and methods of their use, the TearCare apparatus in combination with an eyelid compression instrument and methods of their use, and methods of using the TearCare apparatus with patients wearing contact lenses.</w:t>
      </w:r>
    </w:p>
    <w:p>
      <w:pPr>
        <w:spacing w:after="0" w:line="175" w:lineRule="exact"/>
        <w:rPr>
          <w:sz w:val="20"/>
          <w:szCs w:val="20"/>
          <w:color w:val="auto"/>
        </w:rPr>
      </w:pPr>
    </w:p>
    <w:p>
      <w:pPr>
        <w:ind w:right="40" w:firstLine="419"/>
        <w:spacing w:after="0"/>
        <w:rPr>
          <w:sz w:val="20"/>
          <w:szCs w:val="20"/>
          <w:color w:val="auto"/>
        </w:rPr>
      </w:pPr>
      <w:r>
        <w:rPr>
          <w:rFonts w:ascii="Arial" w:cs="Arial" w:eastAsia="Arial" w:hAnsi="Arial"/>
          <w:sz w:val="18"/>
          <w:szCs w:val="18"/>
          <w:color w:val="231F20"/>
        </w:rPr>
        <w:t>Subject to payment of required maintenance fees, annuities, and other charges, our issued U.S. patents have expiration dates between 2027 and 2037, with six of our issued U.S. patents having expiration dates before 2030, 23 having expiration dates between 2031 and 2035, and the remaining one expiring in 2037, in each case exclusive of possible patent term extensions. Of our 19 pending U.S. non-provisional patent applications, one was filed in 2016, one was filed in 2018, three were filed in 2019, four were filed in 2020, and 10 were filed in 2021. Our pending U.S. non-provisional patent applications, if issued, have expected expiration dates between 2026 and 2041, exclusive of any possible patent term adjustments or patent term extensions.</w:t>
      </w:r>
    </w:p>
    <w:p>
      <w:pPr>
        <w:spacing w:after="0" w:line="189" w:lineRule="exact"/>
        <w:rPr>
          <w:sz w:val="20"/>
          <w:szCs w:val="20"/>
          <w:color w:val="auto"/>
        </w:rPr>
      </w:pPr>
    </w:p>
    <w:p>
      <w:pPr>
        <w:ind w:right="20" w:firstLine="419"/>
        <w:spacing w:after="0" w:line="243" w:lineRule="auto"/>
        <w:rPr>
          <w:sz w:val="20"/>
          <w:szCs w:val="20"/>
          <w:color w:val="auto"/>
        </w:rPr>
      </w:pPr>
      <w:r>
        <w:rPr>
          <w:rFonts w:ascii="Arial" w:cs="Arial" w:eastAsia="Arial" w:hAnsi="Arial"/>
          <w:sz w:val="18"/>
          <w:szCs w:val="18"/>
          <w:color w:val="231F20"/>
        </w:rPr>
        <w:t>The foreign jurisdictions where we own issued patents include: Australia, China, France, Germany, Italy, Japan, Spain, Switzerland, and the United Kingdom. Subject to payment of required annuities and other charges, these foreign patents have expiration dates between 2027 and 2035. We have pending patent applications in Australia, Brazil, Canada, China, Europe, Hong Kong, and Japan which, if issued, have expected expiration dates between 2032 and 2039.</w:t>
      </w:r>
    </w:p>
    <w:p>
      <w:pPr>
        <w:spacing w:after="0" w:line="188" w:lineRule="exact"/>
        <w:rPr>
          <w:sz w:val="20"/>
          <w:szCs w:val="20"/>
          <w:color w:val="auto"/>
        </w:rPr>
      </w:pPr>
    </w:p>
    <w:p>
      <w:pPr>
        <w:ind w:right="480" w:firstLine="419"/>
        <w:spacing w:after="0" w:line="261" w:lineRule="auto"/>
        <w:rPr>
          <w:sz w:val="20"/>
          <w:szCs w:val="20"/>
          <w:color w:val="auto"/>
        </w:rPr>
      </w:pPr>
      <w:r>
        <w:rPr>
          <w:rFonts w:ascii="Arial" w:cs="Arial" w:eastAsia="Arial" w:hAnsi="Arial"/>
          <w:sz w:val="18"/>
          <w:szCs w:val="18"/>
          <w:color w:val="231F20"/>
        </w:rPr>
        <w:t>As of December 31, 2021, we owned eight U.S. trademark registrations, one German trademark registration and one pending E.U. trademark application.</w:t>
      </w:r>
    </w:p>
    <w:p>
      <w:pPr>
        <w:spacing w:after="0" w:line="171" w:lineRule="exact"/>
        <w:rPr>
          <w:sz w:val="20"/>
          <w:szCs w:val="20"/>
          <w:color w:val="auto"/>
        </w:rPr>
      </w:pPr>
    </w:p>
    <w:p>
      <w:pPr>
        <w:ind w:firstLine="419"/>
        <w:spacing w:after="0" w:line="261" w:lineRule="auto"/>
        <w:rPr>
          <w:sz w:val="20"/>
          <w:szCs w:val="20"/>
          <w:color w:val="auto"/>
        </w:rPr>
      </w:pPr>
      <w:r>
        <w:rPr>
          <w:rFonts w:ascii="Arial" w:cs="Arial" w:eastAsia="Arial" w:hAnsi="Arial"/>
          <w:sz w:val="18"/>
          <w:szCs w:val="18"/>
          <w:color w:val="231F20"/>
        </w:rPr>
        <w:t>For information regarding the risks related to our intellectual property, please see the section titled “Risk Factors—Risks Related to Our Intellectual Property.”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Government Regulation</w:t>
      </w:r>
    </w:p>
    <w:p>
      <w:pPr>
        <w:spacing w:after="0" w:line="216" w:lineRule="exact"/>
        <w:rPr>
          <w:sz w:val="20"/>
          <w:szCs w:val="20"/>
          <w:color w:val="auto"/>
        </w:rPr>
      </w:pPr>
    </w:p>
    <w:p>
      <w:pPr>
        <w:jc w:val="both"/>
        <w:ind w:right="260" w:firstLine="419"/>
        <w:spacing w:after="0" w:line="270" w:lineRule="auto"/>
        <w:rPr>
          <w:sz w:val="20"/>
          <w:szCs w:val="20"/>
          <w:color w:val="auto"/>
        </w:rPr>
      </w:pPr>
      <w:r>
        <w:rPr>
          <w:rFonts w:ascii="Arial" w:cs="Arial" w:eastAsia="Arial" w:hAnsi="Arial"/>
          <w:sz w:val="17"/>
          <w:szCs w:val="17"/>
          <w:color w:val="231F20"/>
        </w:rPr>
        <w:t>Our products and our operations are subject to extensive regulation by the U.S. Food and Drug Administration, or FDA, and other federal, state, and local authorities in the United States, as well as comparable authorities in foreign jurisdictions. Our products are subject to regulation as medical devices in the United States under the Federal Food, Drug, and Cosmetic Act, or FDCA, and its implementing regulations.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United States Regulation</w:t>
      </w:r>
    </w:p>
    <w:p>
      <w:pPr>
        <w:spacing w:after="0" w:line="212" w:lineRule="exact"/>
        <w:rPr>
          <w:sz w:val="20"/>
          <w:szCs w:val="20"/>
          <w:color w:val="auto"/>
        </w:rPr>
      </w:pPr>
    </w:p>
    <w:p>
      <w:pPr>
        <w:ind w:firstLine="419"/>
        <w:spacing w:after="0" w:line="262" w:lineRule="auto"/>
        <w:rPr>
          <w:sz w:val="20"/>
          <w:szCs w:val="20"/>
          <w:color w:val="auto"/>
        </w:rPr>
      </w:pPr>
      <w:r>
        <w:rPr>
          <w:rFonts w:ascii="Arial" w:cs="Arial" w:eastAsia="Arial" w:hAnsi="Arial"/>
          <w:sz w:val="17"/>
          <w:szCs w:val="17"/>
          <w:color w:val="231F20"/>
        </w:rPr>
        <w:t>The FDA regulates, among other things, the development, design, non-clinical and clinical testing, manufacturing, safety, effectiveness, labeling, packaging, storage, installation, servicing, recordkeeping, premarket clearance or approval, adverse event reporting, advertising, promotion, marketing and distribution, and import and export and post-marketing surveillance of medical devices in the United States to ensure that medical devices distributed domestically are safe and effective for their intended uses and otherwise meet the requirements of the FDCA.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FDA Premarket Clearance and Approval Requirements</w:t>
      </w:r>
    </w:p>
    <w:p>
      <w:pPr>
        <w:spacing w:after="0" w:line="212" w:lineRule="exact"/>
        <w:rPr>
          <w:sz w:val="20"/>
          <w:szCs w:val="20"/>
          <w:color w:val="auto"/>
        </w:rPr>
      </w:pPr>
    </w:p>
    <w:p>
      <w:pPr>
        <w:ind w:right="40" w:firstLine="419"/>
        <w:spacing w:after="0" w:line="248" w:lineRule="auto"/>
        <w:rPr>
          <w:sz w:val="20"/>
          <w:szCs w:val="20"/>
          <w:color w:val="auto"/>
        </w:rPr>
      </w:pPr>
      <w:r>
        <w:rPr>
          <w:rFonts w:ascii="Arial" w:cs="Arial" w:eastAsia="Arial" w:hAnsi="Arial"/>
          <w:sz w:val="18"/>
          <w:szCs w:val="18"/>
          <w:color w:val="231F20"/>
        </w:rPr>
        <w:t>Unless an exemption applies, each new or significantly modified medical device commercially distributed in the United States requires either FDA clearance of a 510(k) premarket notification, or approval of a premarket approval, or PMA, application. Both the 510(k) clearance and PMA processes can be resource intensive, expensive, and lengthy.</w:t>
      </w:r>
    </w:p>
    <w:p>
      <w:pPr>
        <w:spacing w:after="0" w:line="182" w:lineRule="exact"/>
        <w:rPr>
          <w:sz w:val="20"/>
          <w:szCs w:val="20"/>
          <w:color w:val="auto"/>
        </w:rPr>
      </w:pPr>
    </w:p>
    <w:p>
      <w:pPr>
        <w:ind w:right="20" w:firstLine="419"/>
        <w:spacing w:after="0" w:line="257" w:lineRule="auto"/>
        <w:rPr>
          <w:sz w:val="20"/>
          <w:szCs w:val="20"/>
          <w:color w:val="auto"/>
        </w:rPr>
      </w:pPr>
      <w:r>
        <w:rPr>
          <w:rFonts w:ascii="Arial" w:cs="Arial" w:eastAsia="Arial" w:hAnsi="Arial"/>
          <w:sz w:val="17"/>
          <w:szCs w:val="17"/>
          <w:color w:val="231F20"/>
        </w:rPr>
        <w:t>Under the FDCA, medical devices are classified into one of three classes—Class I, Class II or Class III— depending on the degree of risk associated with each medical device and the extent of manufacturer and regulatory control needed to ensure its safety and effectiveness. Class I devices are those for which safety and effectiveness can be assured by adherence to the FDA’s general controls for medical devices, which include compliance with the applicable portions of FDA’s current good manufacturing practices for devices, as reflected in the Quality System Regulation, or QSR, establishment registration and device listing, reporting of adverse medical events, and truthful and non-misleading labeling, advertising, and promotional materials. Some Class I devices, also called Class I reserved devices, also require premarket clearance by the</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231F20"/>
        </w:rPr>
        <w:t>FDA through the 510(k) premarket notification process described below. Most Class I devices are exempt from the premarket notification requirements.</w:t>
      </w:r>
    </w:p>
    <w:p>
      <w:pPr>
        <w:spacing w:after="0" w:line="235" w:lineRule="exact"/>
        <w:rPr>
          <w:sz w:val="20"/>
          <w:szCs w:val="20"/>
          <w:color w:val="auto"/>
        </w:rPr>
      </w:pPr>
    </w:p>
    <w:p>
      <w:pPr>
        <w:jc w:val="both"/>
        <w:ind w:right="260" w:firstLine="419"/>
        <w:spacing w:after="0" w:line="248" w:lineRule="auto"/>
        <w:rPr>
          <w:sz w:val="20"/>
          <w:szCs w:val="20"/>
          <w:color w:val="auto"/>
        </w:rPr>
      </w:pPr>
      <w:r>
        <w:rPr>
          <w:rFonts w:ascii="Arial" w:cs="Arial" w:eastAsia="Arial" w:hAnsi="Arial"/>
          <w:sz w:val="18"/>
          <w:szCs w:val="18"/>
          <w:color w:val="231F20"/>
        </w:rPr>
        <w:t>Class II devices are subject to the FDA’s general controls, and any other special controls deemed necessary by the FDA to ensure the safety and effectiveness of the device. These special controls can include performance standards, special labeling requirements, post-market surveillance, patient registries and FDA guidance documents.</w:t>
      </w:r>
    </w:p>
    <w:p>
      <w:pPr>
        <w:spacing w:after="0" w:line="182" w:lineRule="exact"/>
        <w:rPr>
          <w:sz w:val="20"/>
          <w:szCs w:val="20"/>
          <w:color w:val="auto"/>
        </w:rPr>
      </w:pPr>
    </w:p>
    <w:p>
      <w:pPr>
        <w:ind w:right="340" w:firstLine="419"/>
        <w:spacing w:after="0" w:line="248" w:lineRule="auto"/>
        <w:rPr>
          <w:sz w:val="20"/>
          <w:szCs w:val="20"/>
          <w:color w:val="auto"/>
        </w:rPr>
      </w:pPr>
      <w:r>
        <w:rPr>
          <w:rFonts w:ascii="Arial" w:cs="Arial" w:eastAsia="Arial" w:hAnsi="Arial"/>
          <w:sz w:val="18"/>
          <w:szCs w:val="18"/>
          <w:color w:val="231F20"/>
        </w:rPr>
        <w:t>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w:t>
      </w:r>
    </w:p>
    <w:p>
      <w:pPr>
        <w:spacing w:after="0" w:line="182" w:lineRule="exact"/>
        <w:rPr>
          <w:sz w:val="20"/>
          <w:szCs w:val="20"/>
          <w:color w:val="auto"/>
        </w:rPr>
      </w:pPr>
    </w:p>
    <w:p>
      <w:pPr>
        <w:ind w:firstLine="419"/>
        <w:spacing w:after="0" w:line="270" w:lineRule="auto"/>
        <w:rPr>
          <w:sz w:val="20"/>
          <w:szCs w:val="20"/>
          <w:color w:val="auto"/>
        </w:rPr>
      </w:pPr>
      <w:r>
        <w:rPr>
          <w:rFonts w:ascii="Arial" w:cs="Arial" w:eastAsia="Arial" w:hAnsi="Arial"/>
          <w:sz w:val="16"/>
          <w:szCs w:val="16"/>
          <w:color w:val="231F20"/>
        </w:rPr>
        <w:t>Class III devices include devices deemed by the FDA to pose the greatest risks, such as life sustaining, life supporting or some implantable devices, or devices that have a new intended use, or use advanced technology that is not substantially equivalent to that of a legally marketed device, requiring approval of a PMA. Due to the level of risk associated with Class III devices, the FDA’s general controls and special controls alone are insufficient to assure their safety and effectiveness. Devices placed in Class III general require the submission of a PMA application demonstrating the safety and effectiveness of the device, which must be approved by the FDA prior to marketing, or the receipt of a 510(k) de novo classification, which provides for the reclassification of the device in Class I or II. The PMA approval process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67" w:lineRule="exact"/>
        <w:rPr>
          <w:sz w:val="20"/>
          <w:szCs w:val="20"/>
          <w:color w:val="auto"/>
        </w:rPr>
      </w:pPr>
    </w:p>
    <w:p>
      <w:pPr>
        <w:ind w:right="20" w:firstLine="419"/>
        <w:spacing w:after="0" w:line="253" w:lineRule="auto"/>
        <w:rPr>
          <w:sz w:val="20"/>
          <w:szCs w:val="20"/>
          <w:color w:val="auto"/>
        </w:rPr>
      </w:pPr>
      <w:r>
        <w:rPr>
          <w:rFonts w:ascii="Arial" w:cs="Arial" w:eastAsia="Arial" w:hAnsi="Arial"/>
          <w:sz w:val="17"/>
          <w:szCs w:val="17"/>
          <w:color w:val="231F20"/>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180" w:lineRule="exact"/>
        <w:rPr>
          <w:sz w:val="20"/>
          <w:szCs w:val="20"/>
          <w:color w:val="auto"/>
        </w:rPr>
      </w:pPr>
    </w:p>
    <w:p>
      <w:pPr>
        <w:ind w:right="260" w:firstLine="419"/>
        <w:spacing w:after="0" w:line="261" w:lineRule="auto"/>
        <w:rPr>
          <w:sz w:val="20"/>
          <w:szCs w:val="20"/>
          <w:color w:val="auto"/>
        </w:rPr>
      </w:pPr>
      <w:r>
        <w:rPr>
          <w:rFonts w:ascii="Arial" w:cs="Arial" w:eastAsia="Arial" w:hAnsi="Arial"/>
          <w:sz w:val="18"/>
          <w:szCs w:val="18"/>
          <w:color w:val="231F20"/>
        </w:rPr>
        <w:t>Obtaining FDA marketing authorization, de novo down-classification, or approval for medical devices is expensive and uncertain, and may take several years, and generally requires significant scientific and clinical data.</w:t>
      </w:r>
    </w:p>
    <w:p>
      <w:pPr>
        <w:spacing w:after="0" w:line="171" w:lineRule="exact"/>
        <w:rPr>
          <w:sz w:val="20"/>
          <w:szCs w:val="20"/>
          <w:color w:val="auto"/>
        </w:rPr>
      </w:pPr>
    </w:p>
    <w:p>
      <w:pPr>
        <w:ind w:right="160" w:firstLine="419"/>
        <w:spacing w:after="0" w:line="291" w:lineRule="auto"/>
        <w:rPr>
          <w:sz w:val="20"/>
          <w:szCs w:val="20"/>
          <w:color w:val="auto"/>
        </w:rPr>
      </w:pPr>
      <w:r>
        <w:rPr>
          <w:rFonts w:ascii="Arial" w:cs="Arial" w:eastAsia="Arial" w:hAnsi="Arial"/>
          <w:sz w:val="17"/>
          <w:szCs w:val="17"/>
          <w:color w:val="231F20"/>
        </w:rPr>
        <w:t>Some pre-amendment devices are unclassified, but are subject to FDA’s premarket notification and clearance process in order to be commercially distributed. Our currently marketed OMNI and TearCare products are regulated as Class II devices subject to 510(k) clearance.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Investigational Device Process</w:t>
      </w:r>
    </w:p>
    <w:p>
      <w:pPr>
        <w:spacing w:after="0" w:line="212" w:lineRule="exact"/>
        <w:rPr>
          <w:sz w:val="20"/>
          <w:szCs w:val="20"/>
          <w:color w:val="auto"/>
        </w:rPr>
      </w:pPr>
    </w:p>
    <w:p>
      <w:pPr>
        <w:ind w:right="60" w:firstLine="419"/>
        <w:spacing w:after="0" w:line="238" w:lineRule="auto"/>
        <w:rPr>
          <w:sz w:val="20"/>
          <w:szCs w:val="20"/>
          <w:color w:val="auto"/>
        </w:rPr>
      </w:pPr>
      <w:r>
        <w:rPr>
          <w:rFonts w:ascii="Arial" w:cs="Arial" w:eastAsia="Arial" w:hAnsi="Arial"/>
          <w:sz w:val="18"/>
          <w:szCs w:val="18"/>
          <w:color w:val="231F20"/>
        </w:rPr>
        <w:t>Clinical trials are almost always required to support a PMA and are sometimes required to support a 510(k) submission. In the United States, absent certain limited exceptions, human clinical trials intended to support medical device clearance or approval or to determine safety and effectiveness of a device for an investigational use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The IDE application must be supported by appropriate data, such as animal and laboratory testing results, showing that it is safe to test the device in humans and that the testing protocol is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25" w:name="page26"/>
    <w:bookmarkEnd w:id="25"/>
    <w:p>
      <w:pPr>
        <w:ind w:right="80"/>
        <w:spacing w:after="0"/>
        <w:rPr>
          <w:sz w:val="20"/>
          <w:szCs w:val="20"/>
          <w:color w:val="auto"/>
        </w:rPr>
      </w:pPr>
      <w:r>
        <w:rPr>
          <w:rFonts w:ascii="Arial" w:cs="Arial" w:eastAsia="Arial" w:hAnsi="Arial"/>
          <w:sz w:val="18"/>
          <w:szCs w:val="18"/>
          <w:color w:val="231F20"/>
        </w:rPr>
        <w:t>scientifically sound. The IDE application must be approved in advance by the FDA for a specified number of subjects. Generally, clinical trials for a significant risk device may begin once the IDE application is approved by the FDA and the study protocol and informed consent are approved by appropriate institutional review boards at the clinical trial sites. There can be no assurance that submission of an IDE will result in the ability to commence clinical trials, and although the FDA’s approval of an IDE allows clinical testing to go forward for a specified number of subjects, it does not bind the FDA to accept the results of the trial as sufficient to prove the product’s safety and effectiveness, even if the trial meets its intended success criteria.</w:t>
      </w:r>
    </w:p>
    <w:p>
      <w:pPr>
        <w:spacing w:after="0" w:line="189" w:lineRule="exact"/>
        <w:rPr>
          <w:sz w:val="20"/>
          <w:szCs w:val="20"/>
          <w:color w:val="auto"/>
        </w:rPr>
      </w:pPr>
    </w:p>
    <w:p>
      <w:pPr>
        <w:ind w:right="140" w:firstLine="419"/>
        <w:spacing w:after="0" w:line="238" w:lineRule="auto"/>
        <w:rPr>
          <w:sz w:val="20"/>
          <w:szCs w:val="20"/>
          <w:color w:val="auto"/>
        </w:rPr>
      </w:pPr>
      <w:r>
        <w:rPr>
          <w:rFonts w:ascii="Arial" w:cs="Arial" w:eastAsia="Arial" w:hAnsi="Arial"/>
          <w:sz w:val="18"/>
          <w:szCs w:val="18"/>
          <w:color w:val="231F20"/>
        </w:rPr>
        <w:t>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91" w:lineRule="exact"/>
        <w:rPr>
          <w:sz w:val="20"/>
          <w:szCs w:val="20"/>
          <w:color w:val="auto"/>
        </w:rPr>
      </w:pPr>
    </w:p>
    <w:p>
      <w:pPr>
        <w:ind w:right="120" w:firstLine="419"/>
        <w:spacing w:after="0" w:line="252" w:lineRule="auto"/>
        <w:rPr>
          <w:sz w:val="20"/>
          <w:szCs w:val="20"/>
          <w:color w:val="auto"/>
        </w:rPr>
      </w:pPr>
      <w:r>
        <w:rPr>
          <w:rFonts w:ascii="Arial" w:cs="Arial" w:eastAsia="Arial" w:hAnsi="Arial"/>
          <w:sz w:val="17"/>
          <w:szCs w:val="17"/>
          <w:color w:val="231F20"/>
        </w:rPr>
        <w:t>Regardless of the degree of risk presented by the medical device, clinical studies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86" w:lineRule="exact"/>
        <w:rPr>
          <w:sz w:val="20"/>
          <w:szCs w:val="20"/>
          <w:color w:val="auto"/>
        </w:rPr>
      </w:pPr>
    </w:p>
    <w:p>
      <w:pPr>
        <w:ind w:firstLine="419"/>
        <w:spacing w:after="0" w:line="257" w:lineRule="auto"/>
        <w:rPr>
          <w:sz w:val="20"/>
          <w:szCs w:val="20"/>
          <w:color w:val="auto"/>
        </w:rPr>
      </w:pPr>
      <w:r>
        <w:rPr>
          <w:rFonts w:ascii="Arial" w:cs="Arial" w:eastAsia="Arial" w:hAnsi="Arial"/>
          <w:sz w:val="17"/>
          <w:szCs w:val="17"/>
          <w:color w:val="231F20"/>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the following:</w:t>
      </w:r>
    </w:p>
    <w:p>
      <w:pPr>
        <w:spacing w:after="0" w:line="175" w:lineRule="exact"/>
        <w:rPr>
          <w:sz w:val="20"/>
          <w:szCs w:val="20"/>
          <w:color w:val="auto"/>
        </w:rPr>
      </w:pPr>
    </w:p>
    <w:p>
      <w:pPr>
        <w:ind w:left="800" w:hanging="283"/>
        <w:spacing w:after="0"/>
        <w:tabs>
          <w:tab w:leader="none" w:pos="8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FDA or other regulatory authorities do not approve a clinical trial protocol or a clinical trial, or place a clinical trial on hold;</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Patients do not enroll in clinical trials at the rate expected;</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Patients do not comply with trial protocols;</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Patient follow-up is not at the rate expected;</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Patients experience adverse events;</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Patients die during a clinical trial, even though their death may not be related to the products that are part of the trial;</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Device malfunctions occur with unexpected frequency or potential adverse consequences;</w:t>
      </w:r>
    </w:p>
    <w:p>
      <w:pPr>
        <w:spacing w:after="0" w:line="103" w:lineRule="exact"/>
        <w:rPr>
          <w:rFonts w:ascii="Arial" w:cs="Arial" w:eastAsia="Arial" w:hAnsi="Arial"/>
          <w:sz w:val="18"/>
          <w:szCs w:val="18"/>
          <w:color w:val="231F20"/>
        </w:rPr>
      </w:pPr>
    </w:p>
    <w:p>
      <w:pPr>
        <w:ind w:left="800" w:right="720" w:hanging="283"/>
        <w:spacing w:after="0" w:line="261" w:lineRule="auto"/>
        <w:tabs>
          <w:tab w:leader="none" w:pos="8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Side effects or device malfunctions of similar products already in the market that change the FDA’s view toward approval of new or similar PMAs or result in the imposition of new requirements or testing;</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8" w:right="439" w:bottom="1440" w:gutter="0" w:footer="0" w:header="0"/>
        </w:sectPr>
      </w:pPr>
    </w:p>
    <w:bookmarkStart w:id="26" w:name="page27"/>
    <w:bookmarkEnd w:id="26"/>
    <w:p>
      <w:pPr>
        <w:ind w:left="800" w:hanging="283"/>
        <w:spacing w:after="0"/>
        <w:tabs>
          <w:tab w:leader="none" w:pos="8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Institutional review boards and third-party clinical investigators may delay or reject the trial protocol;</w:t>
      </w:r>
    </w:p>
    <w:p>
      <w:pPr>
        <w:spacing w:after="0" w:line="103" w:lineRule="exact"/>
        <w:rPr>
          <w:rFonts w:ascii="Arial" w:cs="Arial" w:eastAsia="Arial" w:hAnsi="Arial"/>
          <w:sz w:val="18"/>
          <w:szCs w:val="18"/>
          <w:color w:val="231F20"/>
        </w:rPr>
      </w:pPr>
    </w:p>
    <w:p>
      <w:pPr>
        <w:ind w:left="800" w:right="940" w:hanging="283"/>
        <w:spacing w:after="0" w:line="248" w:lineRule="auto"/>
        <w:tabs>
          <w:tab w:leader="none" w:pos="8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Third-party clinical investigators decline to participate in a trial or do not perform a trial on the anticipated schedule or consistent with the clinical trial protocol, investigator agreement, investigational plan, good clinical practices, the IDE regulations, or other FDA or IRB requirements;</w:t>
      </w:r>
    </w:p>
    <w:p>
      <w:pPr>
        <w:spacing w:after="0" w:line="73" w:lineRule="exact"/>
        <w:rPr>
          <w:rFonts w:ascii="Arial" w:cs="Arial" w:eastAsia="Arial" w:hAnsi="Arial"/>
          <w:sz w:val="18"/>
          <w:szCs w:val="18"/>
          <w:color w:val="231F20"/>
        </w:rPr>
      </w:pPr>
    </w:p>
    <w:p>
      <w:pPr>
        <w:ind w:left="800" w:hanging="283"/>
        <w:spacing w:after="0"/>
        <w:tabs>
          <w:tab w:leader="none" w:pos="8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Third-party investigators are disqualified by the FDA;</w:t>
      </w:r>
    </w:p>
    <w:p>
      <w:pPr>
        <w:spacing w:after="0" w:line="103" w:lineRule="exact"/>
        <w:rPr>
          <w:rFonts w:ascii="Arial" w:cs="Arial" w:eastAsia="Arial" w:hAnsi="Arial"/>
          <w:sz w:val="18"/>
          <w:szCs w:val="18"/>
          <w:color w:val="231F20"/>
        </w:rPr>
      </w:pPr>
    </w:p>
    <w:p>
      <w:pPr>
        <w:ind w:left="800" w:right="760" w:hanging="283"/>
        <w:spacing w:after="0" w:line="248" w:lineRule="auto"/>
        <w:tabs>
          <w:tab w:leader="none" w:pos="8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We or third-party organizations do not perform data collection, monitoring and analysis in a timely or accurate manner or consistent with the clinical trial protocol or investigational or statistical plans, or otherwise fail to comply with the IDE regulations governing responsibilities, records, and reports of sponsors of clinical investigations;</w:t>
      </w:r>
    </w:p>
    <w:p>
      <w:pPr>
        <w:spacing w:after="0" w:line="73" w:lineRule="exact"/>
        <w:rPr>
          <w:rFonts w:ascii="Arial" w:cs="Arial" w:eastAsia="Arial" w:hAnsi="Arial"/>
          <w:sz w:val="18"/>
          <w:szCs w:val="18"/>
          <w:color w:val="231F20"/>
        </w:rPr>
      </w:pPr>
    </w:p>
    <w:p>
      <w:pPr>
        <w:ind w:left="800" w:right="980" w:hanging="283"/>
        <w:spacing w:after="0" w:line="261" w:lineRule="auto"/>
        <w:tabs>
          <w:tab w:leader="none" w:pos="8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Third-party clinical investigators have significant financial interests related to us or our study such that the FDA deems the study results unreliable, or the company or investigators fail to disclose such interests;</w:t>
      </w:r>
    </w:p>
    <w:p>
      <w:pPr>
        <w:spacing w:after="0" w:line="62" w:lineRule="exact"/>
        <w:rPr>
          <w:rFonts w:ascii="Arial" w:cs="Arial" w:eastAsia="Arial" w:hAnsi="Arial"/>
          <w:sz w:val="18"/>
          <w:szCs w:val="18"/>
          <w:color w:val="231F20"/>
        </w:rPr>
      </w:pPr>
    </w:p>
    <w:p>
      <w:pPr>
        <w:ind w:left="800" w:right="1080" w:hanging="283"/>
        <w:spacing w:after="0" w:line="261" w:lineRule="auto"/>
        <w:tabs>
          <w:tab w:leader="none" w:pos="8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Regulatory inspections of our clinical trials or manufacturing facilities, which may, among other things, require us to undertake corrective action or suspend or terminate our clinical trials;</w:t>
      </w:r>
    </w:p>
    <w:p>
      <w:pPr>
        <w:spacing w:after="0" w:line="62" w:lineRule="exact"/>
        <w:rPr>
          <w:rFonts w:ascii="Arial" w:cs="Arial" w:eastAsia="Arial" w:hAnsi="Arial"/>
          <w:sz w:val="18"/>
          <w:szCs w:val="18"/>
          <w:color w:val="231F20"/>
        </w:rPr>
      </w:pPr>
    </w:p>
    <w:p>
      <w:pPr>
        <w:ind w:left="800" w:hanging="283"/>
        <w:spacing w:after="0"/>
        <w:tabs>
          <w:tab w:leader="none" w:pos="8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Changes in government regulations or administrative actions;</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interim or final results of the clinical trial are inconclusive or unfavorable as to safety or effectiveness; or</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FDA concludes that our trial design is unreliable or inadequate to demonstrate safety and effectiveness.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510(k) Clearance Process</w:t>
      </w:r>
    </w:p>
    <w:p>
      <w:pPr>
        <w:spacing w:after="0" w:line="212" w:lineRule="exact"/>
        <w:rPr>
          <w:sz w:val="20"/>
          <w:szCs w:val="20"/>
          <w:color w:val="auto"/>
        </w:rPr>
      </w:pPr>
    </w:p>
    <w:p>
      <w:pPr>
        <w:ind w:right="60" w:firstLine="419"/>
        <w:spacing w:after="0" w:line="261" w:lineRule="auto"/>
        <w:rPr>
          <w:sz w:val="20"/>
          <w:szCs w:val="20"/>
          <w:color w:val="auto"/>
        </w:rPr>
      </w:pPr>
      <w:r>
        <w:rPr>
          <w:rFonts w:ascii="Arial" w:cs="Arial" w:eastAsia="Arial" w:hAnsi="Arial"/>
          <w:sz w:val="18"/>
          <w:szCs w:val="18"/>
          <w:color w:val="231F20"/>
        </w:rPr>
        <w:t>Under the 510(k) process, the manufacturer must submit to the FDA a premarket notification submission demonstrating that the proposed device is “substantially equivalent,” as defined in the FDCA, to a legally marketed predicate device.</w:t>
      </w:r>
    </w:p>
    <w:p>
      <w:pPr>
        <w:spacing w:after="0" w:line="171" w:lineRule="exact"/>
        <w:rPr>
          <w:sz w:val="20"/>
          <w:szCs w:val="20"/>
          <w:color w:val="auto"/>
        </w:rPr>
      </w:pPr>
    </w:p>
    <w:p>
      <w:pPr>
        <w:ind w:right="20" w:firstLine="419"/>
        <w:spacing w:after="0"/>
        <w:rPr>
          <w:sz w:val="20"/>
          <w:szCs w:val="20"/>
          <w:color w:val="auto"/>
        </w:rPr>
      </w:pPr>
      <w:r>
        <w:rPr>
          <w:rFonts w:ascii="Arial" w:cs="Arial" w:eastAsia="Arial" w:hAnsi="Arial"/>
          <w:sz w:val="18"/>
          <w:szCs w:val="18"/>
          <w:color w:val="231F20"/>
        </w:rPr>
        <w:t>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A device is considered to be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different questions of safety or effectiveness than the predicate device.</w:t>
      </w:r>
    </w:p>
    <w:p>
      <w:pPr>
        <w:spacing w:after="0" w:line="189" w:lineRule="exact"/>
        <w:rPr>
          <w:sz w:val="20"/>
          <w:szCs w:val="20"/>
          <w:color w:val="auto"/>
        </w:rPr>
      </w:pPr>
    </w:p>
    <w:p>
      <w:pPr>
        <w:ind w:firstLine="419"/>
        <w:spacing w:after="0" w:line="253" w:lineRule="auto"/>
        <w:rPr>
          <w:sz w:val="20"/>
          <w:szCs w:val="20"/>
          <w:color w:val="auto"/>
        </w:rPr>
      </w:pPr>
      <w:r>
        <w:rPr>
          <w:rFonts w:ascii="Arial" w:cs="Arial" w:eastAsia="Arial" w:hAnsi="Arial"/>
          <w:sz w:val="17"/>
          <w:szCs w:val="17"/>
          <w:color w:val="231F20"/>
        </w:rPr>
        <w:t>Before the FDA will accept a 510(k) premarket notification for substantive review, the FDA will first assess whether the submission satisfies a minimum threshold of acceptability. If the FDA determines that the 510(k) submission lacks necessary information for substantive review,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If a 510(k) submission is accepted for substantive review, the Medical Device User Fee Amendments sets a performance goal of 90 days for FDA review of a 510(k) submission, but the review time can be delayed if FDA raises questions or requests addition information during the review process. As a practical matter, clearance often takes longer, and clearance is never assured. Thus, as a practical matter, clearance often takes longer than 90 days.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w:t>
      </w:r>
    </w:p>
    <w:p>
      <w:pPr>
        <w:spacing w:after="0" w:line="180" w:lineRule="exact"/>
        <w:rPr>
          <w:sz w:val="20"/>
          <w:szCs w:val="20"/>
          <w:color w:val="auto"/>
        </w:rPr>
      </w:pPr>
    </w:p>
    <w:p>
      <w:pPr>
        <w:ind w:right="40" w:firstLine="419"/>
        <w:spacing w:after="0" w:line="243" w:lineRule="auto"/>
        <w:rPr>
          <w:sz w:val="20"/>
          <w:szCs w:val="20"/>
          <w:color w:val="auto"/>
        </w:rPr>
      </w:pPr>
      <w:r>
        <w:rPr>
          <w:rFonts w:ascii="Arial" w:cs="Arial" w:eastAsia="Arial" w:hAnsi="Arial"/>
          <w:sz w:val="18"/>
          <w:szCs w:val="18"/>
          <w:color w:val="231F20"/>
        </w:rPr>
        <w:t>If the FDA determines that the device is substantially equivalent to a predicate device, it will grant 510(k) clearance to commercially market the device. If the FDA determines that the device is “not substantially equivalent” to a previously cleared device, the device is automatically designated as a Class III device. The device sponsor must then fulfill more rigorous requirements of the PMA approval process, or can request a risk-based classification determination for the device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27" w:name="page28"/>
    <w:bookmarkEnd w:id="27"/>
    <w:p>
      <w:pPr>
        <w:ind w:right="740"/>
        <w:spacing w:after="0" w:line="261" w:lineRule="auto"/>
        <w:rPr>
          <w:sz w:val="20"/>
          <w:szCs w:val="20"/>
          <w:color w:val="auto"/>
        </w:rPr>
      </w:pPr>
      <w:r>
        <w:rPr>
          <w:rFonts w:ascii="Arial" w:cs="Arial" w:eastAsia="Arial" w:hAnsi="Arial"/>
          <w:sz w:val="18"/>
          <w:szCs w:val="18"/>
          <w:color w:val="231F20"/>
        </w:rPr>
        <w:t>in accordance with the “</w:t>
      </w:r>
      <w:r>
        <w:rPr>
          <w:rFonts w:ascii="Arial" w:cs="Arial" w:eastAsia="Arial" w:hAnsi="Arial"/>
          <w:sz w:val="18"/>
          <w:szCs w:val="18"/>
          <w:i w:val="1"/>
          <w:iCs w:val="1"/>
          <w:color w:val="231F20"/>
        </w:rPr>
        <w:t>de novo</w:t>
      </w:r>
      <w:r>
        <w:rPr>
          <w:rFonts w:ascii="Arial" w:cs="Arial" w:eastAsia="Arial" w:hAnsi="Arial"/>
          <w:sz w:val="18"/>
          <w:szCs w:val="18"/>
          <w:color w:val="231F20"/>
        </w:rPr>
        <w:t>” process, which is a route to market for certain novel medical devices that are low to moderate risk and are not substantially equivalent to a predicate device.</w:t>
      </w:r>
    </w:p>
    <w:p>
      <w:pPr>
        <w:spacing w:after="0" w:line="171" w:lineRule="exact"/>
        <w:rPr>
          <w:sz w:val="20"/>
          <w:szCs w:val="20"/>
          <w:color w:val="auto"/>
        </w:rPr>
      </w:pPr>
    </w:p>
    <w:p>
      <w:pPr>
        <w:ind w:firstLine="419"/>
        <w:spacing w:after="0" w:line="255" w:lineRule="auto"/>
        <w:rPr>
          <w:sz w:val="20"/>
          <w:szCs w:val="20"/>
          <w:color w:val="auto"/>
        </w:rPr>
      </w:pPr>
      <w:r>
        <w:rPr>
          <w:rFonts w:ascii="Arial" w:cs="Arial" w:eastAsia="Arial" w:hAnsi="Arial"/>
          <w:sz w:val="17"/>
          <w:szCs w:val="17"/>
          <w:color w:val="231F20"/>
        </w:rPr>
        <w:t xml:space="preserve">Medical devices can only be marketed for the indications for use for which they are cleared or approved. 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Arial" w:cs="Arial" w:eastAsia="Arial" w:hAnsi="Arial"/>
          <w:sz w:val="17"/>
          <w:szCs w:val="17"/>
          <w:i w:val="1"/>
          <w:iCs w:val="1"/>
          <w:color w:val="231F20"/>
        </w:rPr>
        <w:t>de novo</w:t>
      </w:r>
      <w:r>
        <w:rPr>
          <w:rFonts w:ascii="Arial" w:cs="Arial" w:eastAsia="Arial" w:hAnsi="Arial"/>
          <w:sz w:val="17"/>
          <w:szCs w:val="17"/>
          <w:color w:val="231F20"/>
        </w:rPr>
        <w:t xml:space="preserve"> reclassification. The FDA requires each manufacturer to determine whether the proposed change requires submission of a 510(k), </w:t>
      </w:r>
      <w:r>
        <w:rPr>
          <w:rFonts w:ascii="Arial" w:cs="Arial" w:eastAsia="Arial" w:hAnsi="Arial"/>
          <w:sz w:val="17"/>
          <w:szCs w:val="17"/>
          <w:i w:val="1"/>
          <w:iCs w:val="1"/>
          <w:color w:val="231F20"/>
        </w:rPr>
        <w:t>de novo</w:t>
      </w:r>
      <w:r>
        <w:rPr>
          <w:rFonts w:ascii="Arial" w:cs="Arial" w:eastAsia="Arial" w:hAnsi="Arial"/>
          <w:sz w:val="17"/>
          <w:szCs w:val="17"/>
          <w:color w:val="231F20"/>
        </w:rPr>
        <w:t xml:space="preserve"> request or a PMA in the first instance, but the FDA may review this determination to evaluate the regulatory status of the modified product at any time and may require the manufacturer to cease marketing and/or request the recall of the modified device until 510(k) marketing clearance or PMA approval is obtained or a </w:t>
      </w:r>
      <w:r>
        <w:rPr>
          <w:rFonts w:ascii="Arial" w:cs="Arial" w:eastAsia="Arial" w:hAnsi="Arial"/>
          <w:sz w:val="17"/>
          <w:szCs w:val="17"/>
          <w:i w:val="1"/>
          <w:iCs w:val="1"/>
          <w:color w:val="231F20"/>
        </w:rPr>
        <w:t>de novo</w:t>
      </w:r>
      <w:r>
        <w:rPr>
          <w:rFonts w:ascii="Arial" w:cs="Arial" w:eastAsia="Arial" w:hAnsi="Arial"/>
          <w:sz w:val="17"/>
          <w:szCs w:val="17"/>
          <w:color w:val="231F20"/>
        </w:rPr>
        <w:t xml:space="preserve"> request is granted. Also, in these circumstances, the manufacturer may be subject to significant regulatory fines or penalties.</w:t>
      </w:r>
    </w:p>
    <w:p>
      <w:pPr>
        <w:spacing w:after="0" w:line="180" w:lineRule="exact"/>
        <w:rPr>
          <w:sz w:val="20"/>
          <w:szCs w:val="20"/>
          <w:color w:val="auto"/>
        </w:rPr>
      </w:pPr>
    </w:p>
    <w:p>
      <w:pPr>
        <w:ind w:right="20" w:firstLine="419"/>
        <w:spacing w:after="0" w:line="254" w:lineRule="auto"/>
        <w:rPr>
          <w:sz w:val="20"/>
          <w:szCs w:val="20"/>
          <w:color w:val="auto"/>
        </w:rPr>
      </w:pPr>
      <w:r>
        <w:rPr>
          <w:rFonts w:ascii="Arial" w:cs="Arial" w:eastAsia="Arial" w:hAnsi="Arial"/>
          <w:sz w:val="17"/>
          <w:szCs w:val="17"/>
          <w:color w:val="231F20"/>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steps that the FDA intended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although the FDA may work with Congress to implement such proposals through legislation.</w:t>
      </w:r>
    </w:p>
    <w:p>
      <w:pPr>
        <w:spacing w:after="0" w:line="181" w:lineRule="exact"/>
        <w:rPr>
          <w:sz w:val="20"/>
          <w:szCs w:val="20"/>
          <w:color w:val="auto"/>
        </w:rPr>
      </w:pPr>
    </w:p>
    <w:p>
      <w:pPr>
        <w:ind w:right="60" w:firstLine="419"/>
        <w:spacing w:after="0" w:line="276" w:lineRule="auto"/>
        <w:rPr>
          <w:sz w:val="20"/>
          <w:szCs w:val="20"/>
          <w:color w:val="auto"/>
        </w:rPr>
      </w:pPr>
      <w:r>
        <w:rPr>
          <w:rFonts w:ascii="Arial" w:cs="Arial" w:eastAsia="Arial" w:hAnsi="Arial"/>
          <w:sz w:val="16"/>
          <w:szCs w:val="16"/>
          <w:color w:val="231F20"/>
        </w:rPr>
        <w:t>More recently,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has developed and maintains a list device types appropriate for the “safety and performance based” pathway and continues to develop product-specific guidance documents that identify the performance criteria for each such device type, as well as recommended testing methods, where feasible.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Ongoing Regulation by the FDA</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Even after the FDA permits a device to be marketed, numerous and pervasive regulatory requirements continue to apply. These include:</w:t>
      </w:r>
    </w:p>
    <w:p>
      <w:pPr>
        <w:spacing w:after="0" w:line="223" w:lineRule="exact"/>
        <w:rPr>
          <w:sz w:val="20"/>
          <w:szCs w:val="20"/>
          <w:color w:val="auto"/>
        </w:rPr>
      </w:pPr>
    </w:p>
    <w:p>
      <w:pPr>
        <w:ind w:left="800" w:hanging="283"/>
        <w:spacing w:after="0"/>
        <w:tabs>
          <w:tab w:leader="none" w:pos="8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Establishment registration and device listing with the FDA;</w:t>
      </w:r>
    </w:p>
    <w:p>
      <w:pPr>
        <w:spacing w:after="0" w:line="103" w:lineRule="exact"/>
        <w:rPr>
          <w:rFonts w:ascii="Arial" w:cs="Arial" w:eastAsia="Arial" w:hAnsi="Arial"/>
          <w:sz w:val="18"/>
          <w:szCs w:val="18"/>
          <w:color w:val="231F20"/>
        </w:rPr>
      </w:pPr>
    </w:p>
    <w:p>
      <w:pPr>
        <w:jc w:val="both"/>
        <w:ind w:left="800" w:right="960" w:hanging="283"/>
        <w:spacing w:after="0" w:line="248" w:lineRule="auto"/>
        <w:tabs>
          <w:tab w:leader="none" w:pos="8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QSR requirements, which require manufacturers, including third-party manufacturers, to follow stringent design, testing, control, supplier/contractor selection, compliant handling, documentation and other quality assurance procedures during all aspects of the design and manufacturing process;</w:t>
      </w:r>
    </w:p>
    <w:p>
      <w:pPr>
        <w:spacing w:after="0" w:line="73" w:lineRule="exact"/>
        <w:rPr>
          <w:rFonts w:ascii="Arial" w:cs="Arial" w:eastAsia="Arial" w:hAnsi="Arial"/>
          <w:sz w:val="18"/>
          <w:szCs w:val="18"/>
          <w:color w:val="231F20"/>
        </w:rPr>
      </w:pPr>
    </w:p>
    <w:p>
      <w:pPr>
        <w:jc w:val="both"/>
        <w:ind w:left="800" w:right="900" w:hanging="283"/>
        <w:spacing w:after="0" w:line="248" w:lineRule="auto"/>
        <w:tabs>
          <w:tab w:leader="none" w:pos="8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Labeling regulations, advertising and promotion requirements, restrictions on sale, distribution or sale of a device, each including the FDA prohibition against the promotion of products for any uses other than those authorized by the FDA, which are commonly known as “off-label” uses;</w:t>
      </w:r>
    </w:p>
    <w:p>
      <w:pPr>
        <w:spacing w:after="0" w:line="73" w:lineRule="exact"/>
        <w:rPr>
          <w:rFonts w:ascii="Arial" w:cs="Arial" w:eastAsia="Arial" w:hAnsi="Arial"/>
          <w:sz w:val="18"/>
          <w:szCs w:val="18"/>
          <w:color w:val="231F20"/>
        </w:rPr>
      </w:pPr>
    </w:p>
    <w:p>
      <w:pPr>
        <w:ind w:left="800" w:right="860" w:hanging="283"/>
        <w:spacing w:after="0" w:line="270" w:lineRule="auto"/>
        <w:tabs>
          <w:tab w:leader="none" w:pos="800" w:val="left"/>
        </w:tabs>
        <w:numPr>
          <w:ilvl w:val="0"/>
          <w:numId w:val="18"/>
        </w:numPr>
        <w:rPr>
          <w:rFonts w:ascii="Arial" w:cs="Arial" w:eastAsia="Arial" w:hAnsi="Arial"/>
          <w:sz w:val="17"/>
          <w:szCs w:val="17"/>
          <w:color w:val="231F20"/>
        </w:rPr>
      </w:pPr>
      <w:r>
        <w:rPr>
          <w:rFonts w:ascii="Arial" w:cs="Arial" w:eastAsia="Arial" w:hAnsi="Arial"/>
          <w:sz w:val="17"/>
          <w:szCs w:val="17"/>
          <w:color w:val="231F20"/>
        </w:rPr>
        <w:t>The Medical Device Reporting, or MDR,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55" w:lineRule="exact"/>
        <w:rPr>
          <w:rFonts w:ascii="Arial" w:cs="Arial" w:eastAsia="Arial" w:hAnsi="Arial"/>
          <w:sz w:val="17"/>
          <w:szCs w:val="17"/>
          <w:color w:val="231F20"/>
        </w:rPr>
      </w:pPr>
    </w:p>
    <w:p>
      <w:pPr>
        <w:ind w:left="800" w:right="860" w:hanging="283"/>
        <w:spacing w:after="0" w:line="248" w:lineRule="auto"/>
        <w:tabs>
          <w:tab w:leader="none" w:pos="8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Medical device correction and removal reporting regulations, which require that manufacturers report to the FDA field corrections or removals if undertaken to reduce a risk to health posed by the device or to remedy a violation of the FDCA that may present a risk to health;</w:t>
      </w:r>
    </w:p>
    <w:p>
      <w:pPr>
        <w:spacing w:after="0" w:line="73" w:lineRule="exact"/>
        <w:rPr>
          <w:rFonts w:ascii="Arial" w:cs="Arial" w:eastAsia="Arial" w:hAnsi="Arial"/>
          <w:sz w:val="18"/>
          <w:szCs w:val="18"/>
          <w:color w:val="231F20"/>
        </w:rPr>
      </w:pPr>
    </w:p>
    <w:p>
      <w:pPr>
        <w:ind w:left="800" w:right="980" w:hanging="283"/>
        <w:spacing w:after="0" w:line="261" w:lineRule="auto"/>
        <w:tabs>
          <w:tab w:leader="none" w:pos="8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Recall requirements, including a mandatory recall if there is a reasonable probability that the device would cause serious adverse health consequences or death;</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28" w:name="page29"/>
    <w:bookmarkEnd w:id="28"/>
    <w:p>
      <w:pPr>
        <w:ind w:left="800" w:hanging="283"/>
        <w:spacing w:after="0"/>
        <w:tabs>
          <w:tab w:leader="none" w:pos="8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An order of repair, replacement, or refund;</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Device tracking requirements; and</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Post-market study and surveillance requirements.</w:t>
      </w:r>
    </w:p>
    <w:p>
      <w:pPr>
        <w:spacing w:after="0" w:line="212" w:lineRule="exact"/>
        <w:rPr>
          <w:sz w:val="20"/>
          <w:szCs w:val="20"/>
          <w:color w:val="auto"/>
        </w:rPr>
      </w:pPr>
    </w:p>
    <w:p>
      <w:pPr>
        <w:ind w:right="20" w:firstLine="419"/>
        <w:spacing w:after="0"/>
        <w:rPr>
          <w:sz w:val="20"/>
          <w:szCs w:val="20"/>
          <w:color w:val="auto"/>
        </w:rPr>
      </w:pPr>
      <w:r>
        <w:rPr>
          <w:rFonts w:ascii="Arial" w:cs="Arial" w:eastAsia="Arial" w:hAnsi="Arial"/>
          <w:sz w:val="18"/>
          <w:szCs w:val="18"/>
          <w:color w:val="231F20"/>
        </w:rPr>
        <w:t>After a device receives 510(k) clearance, any modification that could significantly affects its safety or effectiveness, or that would constitute a major change in its intended use, will require a new 510(k) or possibly a PMA. The FDA requires each manufacturer to make this determination initially, but the FDA can review any such decision and can disagree with a manufacturer’s determination. If the FDA disagrees with our determination not to seek a new 510(k) clearance, the FDA may retroactively require us to seek 510(k) clearance or possibly a PMA. The FDA could also require us to cease marketing and distribution and/or recall the modified device until 510(k) clearance or a PMA is obtained. Also, in these circumstances, we may be subject to significant regulatory fines and penalties.</w:t>
      </w:r>
    </w:p>
    <w:p>
      <w:pPr>
        <w:spacing w:after="0" w:line="189" w:lineRule="exact"/>
        <w:rPr>
          <w:sz w:val="20"/>
          <w:szCs w:val="20"/>
          <w:color w:val="auto"/>
        </w:rPr>
      </w:pPr>
    </w:p>
    <w:p>
      <w:pPr>
        <w:ind w:right="60" w:firstLine="419"/>
        <w:spacing w:after="0" w:line="259" w:lineRule="auto"/>
        <w:rPr>
          <w:sz w:val="20"/>
          <w:szCs w:val="20"/>
          <w:color w:val="auto"/>
        </w:rPr>
      </w:pPr>
      <w:r>
        <w:rPr>
          <w:rFonts w:ascii="Arial" w:cs="Arial" w:eastAsia="Arial" w:hAnsi="Arial"/>
          <w:sz w:val="17"/>
          <w:szCs w:val="17"/>
          <w:color w:val="231F20"/>
        </w:rPr>
        <w:t>Some changes to an approved PMA device, including changes in indications, labeling, or manufacturing processes or facilities, require submission and FDA approval of a new PMA application or PMA supplement, as appropriate, before the change can be implemented. Supplements to a PMA often require the submission of the same type of information required for an original PMA application, except that the supplement is generally limited to that information needed to support the proposed change from the device covered by the original PMA. The FDA uses the same procedures and actions in reviewing PMA supplements as it does in reviewing original PMA applications.</w:t>
      </w:r>
    </w:p>
    <w:p>
      <w:pPr>
        <w:spacing w:after="0" w:line="174" w:lineRule="exact"/>
        <w:rPr>
          <w:sz w:val="20"/>
          <w:szCs w:val="20"/>
          <w:color w:val="auto"/>
        </w:rPr>
      </w:pPr>
    </w:p>
    <w:p>
      <w:pPr>
        <w:ind w:right="120" w:firstLine="419"/>
        <w:spacing w:after="0" w:line="241" w:lineRule="auto"/>
        <w:rPr>
          <w:sz w:val="20"/>
          <w:szCs w:val="20"/>
          <w:color w:val="auto"/>
        </w:rPr>
      </w:pPr>
      <w:r>
        <w:rPr>
          <w:rFonts w:ascii="Arial" w:cs="Arial" w:eastAsia="Arial" w:hAnsi="Arial"/>
          <w:sz w:val="18"/>
          <w:szCs w:val="18"/>
          <w:color w:val="231F20"/>
        </w:rPr>
        <w:t>FDA regulations require us to register as a medical device manufacturer with the FDA. Additionally, some states also require medical device manufacturers and/or distributors doing business within the state to register with the state or apply for a state license, which could subject our facility to state inspection as well as FDA inspection on a routine basis for compliance with the QSR and any applicable state requirements. These regulations require that we manufacture our products and maintain related documentation in a prescribed manner with respect to manufacturing, testing and control activities.</w:t>
      </w:r>
    </w:p>
    <w:p>
      <w:pPr>
        <w:spacing w:after="0" w:line="189" w:lineRule="exact"/>
        <w:rPr>
          <w:sz w:val="20"/>
          <w:szCs w:val="20"/>
          <w:color w:val="auto"/>
        </w:rPr>
      </w:pPr>
    </w:p>
    <w:p>
      <w:pPr>
        <w:ind w:firstLine="419"/>
        <w:spacing w:after="0" w:line="253" w:lineRule="auto"/>
        <w:rPr>
          <w:sz w:val="20"/>
          <w:szCs w:val="20"/>
          <w:color w:val="auto"/>
        </w:rPr>
      </w:pPr>
      <w:r>
        <w:rPr>
          <w:rFonts w:ascii="Arial" w:cs="Arial" w:eastAsia="Arial" w:hAnsi="Arial"/>
          <w:sz w:val="17"/>
          <w:szCs w:val="17"/>
          <w:color w:val="231F20"/>
        </w:rPr>
        <w:t>Manufacturing processes for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Failure to maintain compliance with the QSR requirements could result in the shutdown of, or restrictions on, manufacturing operations and the recall or seizure of marketed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4" w:lineRule="exact"/>
        <w:rPr>
          <w:sz w:val="20"/>
          <w:szCs w:val="20"/>
          <w:color w:val="auto"/>
        </w:rPr>
      </w:pPr>
    </w:p>
    <w:p>
      <w:pPr>
        <w:ind w:right="500" w:firstLine="419"/>
        <w:spacing w:after="0" w:line="324" w:lineRule="auto"/>
        <w:rPr>
          <w:sz w:val="20"/>
          <w:szCs w:val="20"/>
          <w:color w:val="auto"/>
        </w:rPr>
      </w:pPr>
      <w:r>
        <w:rPr>
          <w:rFonts w:ascii="Arial" w:cs="Arial" w:eastAsia="Arial" w:hAnsi="Arial"/>
          <w:sz w:val="16"/>
          <w:szCs w:val="16"/>
          <w:color w:val="231F20"/>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w:t>
      </w:r>
    </w:p>
    <w:p>
      <w:pPr>
        <w:spacing w:after="0" w:line="124" w:lineRule="exact"/>
        <w:rPr>
          <w:sz w:val="20"/>
          <w:szCs w:val="20"/>
          <w:color w:val="auto"/>
        </w:rPr>
      </w:pPr>
    </w:p>
    <w:p>
      <w:pPr>
        <w:ind w:left="800" w:hanging="283"/>
        <w:spacing w:after="0"/>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Warning letters, untitled letters, fines, injunctions, consent decrees and civil penalties;</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Recalls, withdrawals, or administrative detention or seizure of our products;</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Operating restrictions or partial suspension or total shutdown of production;</w:t>
      </w:r>
    </w:p>
    <w:p>
      <w:pPr>
        <w:spacing w:after="0" w:line="103" w:lineRule="exact"/>
        <w:rPr>
          <w:rFonts w:ascii="Arial" w:cs="Arial" w:eastAsia="Arial" w:hAnsi="Arial"/>
          <w:sz w:val="18"/>
          <w:szCs w:val="18"/>
          <w:color w:val="231F20"/>
        </w:rPr>
      </w:pPr>
    </w:p>
    <w:p>
      <w:pPr>
        <w:ind w:left="800" w:right="880" w:hanging="283"/>
        <w:spacing w:after="0" w:line="261" w:lineRule="auto"/>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Refusing or delays in processing, clearing, or approving submissions or applications for new products or modifications to existing products;</w:t>
      </w:r>
    </w:p>
    <w:p>
      <w:pPr>
        <w:spacing w:after="0" w:line="62" w:lineRule="exact"/>
        <w:rPr>
          <w:rFonts w:ascii="Arial" w:cs="Arial" w:eastAsia="Arial" w:hAnsi="Arial"/>
          <w:sz w:val="18"/>
          <w:szCs w:val="18"/>
          <w:color w:val="231F20"/>
        </w:rPr>
      </w:pPr>
    </w:p>
    <w:p>
      <w:pPr>
        <w:ind w:left="800" w:hanging="283"/>
        <w:spacing w:after="0"/>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Suspension or withdrawal of 510(k) clearances or PMA approvals that have already been granted;</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FDA refusal to issue certification to foreign governments needed to export our products for sale in other countries; or</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Criminal prosecution.</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29" w:name="page30"/>
    <w:bookmarkEnd w:id="29"/>
    <w:p>
      <w:pPr>
        <w:ind w:right="120" w:firstLine="419"/>
        <w:spacing w:after="0"/>
        <w:rPr>
          <w:sz w:val="20"/>
          <w:szCs w:val="20"/>
          <w:color w:val="auto"/>
        </w:rPr>
      </w:pPr>
      <w:r>
        <w:rPr>
          <w:rFonts w:ascii="Arial" w:cs="Arial" w:eastAsia="Arial" w:hAnsi="Arial"/>
          <w:sz w:val="18"/>
          <w:szCs w:val="18"/>
          <w:color w:val="231F20"/>
        </w:rPr>
        <w:t>Our facilities, records and manufacturing processes are subject to periodic unscheduled inspections by the FDA. Failure to comply with the applicable United States medical device regulatory requirements could result in, among other things, warning letters, untitled letters, fines, injunctions, consent decrees, civil penalties, unanticipated expenditures, repairs, replacements, refunds, recalls or seizures of products, operating restrictions, total or partial suspension of production, the FDA’s refusal to issue certificates to foreign governments needed to export products for sale in other countries, the FDA’s refusal to grant future premarket clearances or approvals, withdrawals or suspensions of current product clearances or approvals and criminal prosecution.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Regulation of Medical Devices in the European Union</w:t>
      </w:r>
    </w:p>
    <w:p>
      <w:pPr>
        <w:spacing w:after="0" w:line="212" w:lineRule="exact"/>
        <w:rPr>
          <w:sz w:val="20"/>
          <w:szCs w:val="20"/>
          <w:color w:val="auto"/>
        </w:rPr>
      </w:pPr>
    </w:p>
    <w:p>
      <w:pPr>
        <w:ind w:right="340" w:firstLine="419"/>
        <w:spacing w:after="0" w:line="248" w:lineRule="auto"/>
        <w:rPr>
          <w:sz w:val="20"/>
          <w:szCs w:val="20"/>
          <w:color w:val="auto"/>
        </w:rPr>
      </w:pPr>
      <w:r>
        <w:rPr>
          <w:rFonts w:ascii="Arial" w:cs="Arial" w:eastAsia="Arial" w:hAnsi="Arial"/>
          <w:sz w:val="18"/>
          <w:szCs w:val="18"/>
          <w:color w:val="231F20"/>
        </w:rPr>
        <w:t>The European Union, or EU, has adopted specific directives regulating the design, manufacture, clinical investigations, conformity assessment, labeling and adverse event reporting for medical devices. EU directives must be implemented into the national laws of the EU member states and national laws may vary from one member state to another.</w:t>
      </w:r>
    </w:p>
    <w:p>
      <w:pPr>
        <w:spacing w:after="0" w:line="182" w:lineRule="exact"/>
        <w:rPr>
          <w:sz w:val="20"/>
          <w:szCs w:val="20"/>
          <w:color w:val="auto"/>
        </w:rPr>
      </w:pPr>
    </w:p>
    <w:p>
      <w:pPr>
        <w:ind w:right="20" w:firstLine="419"/>
        <w:spacing w:after="0" w:line="257" w:lineRule="auto"/>
        <w:rPr>
          <w:sz w:val="20"/>
          <w:szCs w:val="20"/>
          <w:color w:val="auto"/>
        </w:rPr>
      </w:pPr>
      <w:r>
        <w:rPr>
          <w:rFonts w:ascii="Arial" w:cs="Arial" w:eastAsia="Arial" w:hAnsi="Arial"/>
          <w:sz w:val="17"/>
          <w:szCs w:val="17"/>
          <w:color w:val="231F20"/>
        </w:rPr>
        <w:t>Until May 25, 2021, medical devices were regulated by Council Directive 93/42/EEC, or the Medical Devices Directive, which have been repealed and replaced by Regulation (EU) No 2017/745, or the Medical Devices Regulation. Our current certificates have been granted under the Medical Devices Directive whose regime is described below. However, as of May 26, 2021, some of the Medical Devices Regulation requirements apply in place of the corresponding requirements of the Medical Devices Directive, with regard to registration of economic operators and of devices, post-market surveillance and vigilance requirements. Pursuing marketing of medical devices in the EU will notably require that our device be certified under the new regime set forth in the Medical Devices Regulation when our current certificates expire on May 26, 2024.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Medical Devices Directive</w:t>
      </w:r>
    </w:p>
    <w:p>
      <w:pPr>
        <w:spacing w:after="0" w:line="212" w:lineRule="exact"/>
        <w:rPr>
          <w:sz w:val="20"/>
          <w:szCs w:val="20"/>
          <w:color w:val="auto"/>
        </w:rPr>
      </w:pPr>
    </w:p>
    <w:p>
      <w:pPr>
        <w:ind w:firstLine="419"/>
        <w:spacing w:after="0" w:line="272" w:lineRule="auto"/>
        <w:rPr>
          <w:sz w:val="20"/>
          <w:szCs w:val="20"/>
          <w:color w:val="auto"/>
        </w:rPr>
      </w:pPr>
      <w:r>
        <w:rPr>
          <w:rFonts w:ascii="Arial" w:cs="Arial" w:eastAsia="Arial" w:hAnsi="Arial"/>
          <w:sz w:val="16"/>
          <w:szCs w:val="16"/>
          <w:color w:val="231F20"/>
        </w:rPr>
        <w:t>Under the Medical Devices Directive, all medical devices placed on the market in the EU must meet the relevant essential requirements laid down in the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Compliance with a standard developed to implement an essential requirement also creates a rebuttable presumption that the device satisfies that essential requirement.</w:t>
      </w:r>
    </w:p>
    <w:p>
      <w:pPr>
        <w:spacing w:after="0" w:line="168" w:lineRule="exact"/>
        <w:rPr>
          <w:sz w:val="20"/>
          <w:szCs w:val="20"/>
          <w:color w:val="auto"/>
        </w:rPr>
      </w:pPr>
    </w:p>
    <w:p>
      <w:pPr>
        <w:ind w:right="80" w:firstLine="419"/>
        <w:spacing w:after="0" w:line="266" w:lineRule="auto"/>
        <w:rPr>
          <w:sz w:val="20"/>
          <w:szCs w:val="20"/>
          <w:color w:val="auto"/>
        </w:rPr>
      </w:pPr>
      <w:r>
        <w:rPr>
          <w:rFonts w:ascii="Arial" w:cs="Arial" w:eastAsia="Arial" w:hAnsi="Arial"/>
          <w:sz w:val="16"/>
          <w:szCs w:val="16"/>
          <w:color w:val="231F20"/>
        </w:rPr>
        <w:t>To demonstrate compliance with the essential requirements laid down in Annex I to the Medical Devices Directive,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A conformity assessment procedure generally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w:t>
      </w:r>
      <w:r>
        <w:rPr>
          <w:rFonts w:ascii="Arial" w:cs="Arial" w:eastAsia="Arial" w:hAnsi="Arial"/>
          <w:sz w:val="16"/>
          <w:szCs w:val="16"/>
          <w:color w:val="000000"/>
        </w:rPr>
        <w:t>the notified body must presume</w:t>
      </w:r>
      <w:r>
        <w:rPr>
          <w:rFonts w:ascii="Arial" w:cs="Arial" w:eastAsia="Arial" w:hAnsi="Arial"/>
          <w:sz w:val="16"/>
          <w:szCs w:val="16"/>
          <w:color w:val="231F20"/>
        </w:rPr>
        <w:t xml:space="preserve"> </w:t>
      </w:r>
      <w:r>
        <w:rPr>
          <w:rFonts w:ascii="Arial" w:cs="Arial" w:eastAsia="Arial" w:hAnsi="Arial"/>
          <w:sz w:val="16"/>
          <w:szCs w:val="16"/>
          <w:color w:val="000000"/>
        </w:rPr>
        <w:t xml:space="preserve">that quality systems which implement the relevant harmonized standards – which is </w:t>
      </w:r>
      <w:r>
        <w:rPr>
          <w:rFonts w:ascii="Arial" w:cs="Arial" w:eastAsia="Arial" w:hAnsi="Arial"/>
          <w:sz w:val="16"/>
          <w:szCs w:val="16"/>
          <w:color w:val="231F20"/>
        </w:rPr>
        <w:t>ISO 13485:2016 for Medical Devices Quality Management Systems</w:t>
      </w:r>
    </w:p>
    <w:p>
      <w:pPr>
        <w:spacing w:after="0" w:line="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conform to these requirements</w:t>
      </w:r>
      <w:r>
        <w:rPr>
          <w:rFonts w:ascii="Arial" w:cs="Arial" w:eastAsia="Arial" w:hAnsi="Arial"/>
          <w:sz w:val="18"/>
          <w:szCs w:val="18"/>
          <w:color w:val="231F20"/>
        </w:rPr>
        <w:t>). If satisfied that the relevant product conforms to the relevant essential requirements, the notified body issues a</w:t>
      </w:r>
      <w:r>
        <w:rPr>
          <w:rFonts w:ascii="Arial" w:cs="Arial" w:eastAsia="Arial" w:hAnsi="Arial"/>
          <w:sz w:val="18"/>
          <w:szCs w:val="18"/>
          <w:color w:val="auto"/>
        </w:rPr>
        <w:t xml:space="preserve"> </w:t>
      </w:r>
      <w:r>
        <w:rPr>
          <w:rFonts w:ascii="Arial" w:cs="Arial" w:eastAsia="Arial" w:hAnsi="Arial"/>
          <w:sz w:val="18"/>
          <w:szCs w:val="18"/>
          <w:color w:val="231F20"/>
        </w:rPr>
        <w:t>certificate of conformity, which the manufacturer uses as a basis for its own declaration of conformity. The manufacturer may then apply the CE mark to the device, which allows the device to be placed on the market throughout the EU.</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30" w:name="page31"/>
    <w:bookmarkEnd w:id="30"/>
    <w:p>
      <w:pPr>
        <w:ind w:right="120" w:firstLine="419"/>
        <w:spacing w:after="0" w:line="248" w:lineRule="auto"/>
        <w:rPr>
          <w:sz w:val="20"/>
          <w:szCs w:val="20"/>
          <w:color w:val="auto"/>
        </w:rPr>
      </w:pPr>
      <w:r>
        <w:rPr>
          <w:rFonts w:ascii="Arial" w:cs="Arial" w:eastAsia="Arial" w:hAnsi="Arial"/>
          <w:sz w:val="18"/>
          <w:szCs w:val="18"/>
          <w:color w:val="231F20"/>
        </w:rPr>
        <w:t>Notified body certificates of conformity are valid for a fixed duration (which shall not exceed five years). Throughout the term of the certificate, the manufacturer will be subject to periodic surveillance audits to verify continued compliance with the applicable requirements. In particular, there will be a new audit by the notified body before it will renew the relevant certificate(s).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Medical Devices Regulation</w:t>
      </w:r>
    </w:p>
    <w:p>
      <w:pPr>
        <w:spacing w:after="0" w:line="212" w:lineRule="exact"/>
        <w:rPr>
          <w:sz w:val="20"/>
          <w:szCs w:val="20"/>
          <w:color w:val="auto"/>
        </w:rPr>
      </w:pPr>
    </w:p>
    <w:p>
      <w:pPr>
        <w:ind w:right="280" w:firstLine="419"/>
        <w:spacing w:after="0" w:line="259" w:lineRule="auto"/>
        <w:rPr>
          <w:sz w:val="20"/>
          <w:szCs w:val="20"/>
          <w:color w:val="auto"/>
        </w:rPr>
      </w:pPr>
      <w:r>
        <w:rPr>
          <w:rFonts w:ascii="Arial" w:cs="Arial" w:eastAsia="Arial" w:hAnsi="Arial"/>
          <w:sz w:val="17"/>
          <w:szCs w:val="17"/>
          <w:color w:val="231F20"/>
        </w:rPr>
        <w:t>The regulatory landscape related to medical devices in the EU recently evolved. On April 5, 2017, the Medical Devices Regulation was adopted with the aim of ensuring better protection of public health and patient safety. The Medical Devices Regulation establishes a uniform, transparent, predictable and sustainable regulatory framework across the EU for medical devices and ensure a high level of safety and health while supporting innovation. Unlike the Medical Devices Directive, the Medical Devices Regulation is directly applicable in EU member states without the need for member states to implement into national law. This aims at increasing harmonization across the EU.</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The Medical Devices Regulation </w:t>
      </w:r>
      <w:r>
        <w:rPr>
          <w:rFonts w:ascii="Arial" w:cs="Arial" w:eastAsia="Arial" w:hAnsi="Arial"/>
          <w:sz w:val="18"/>
          <w:szCs w:val="18"/>
          <w:color w:val="000000"/>
        </w:rPr>
        <w:t>became effective on May 26, 2021.</w:t>
      </w:r>
      <w:r>
        <w:rPr>
          <w:rFonts w:ascii="Arial" w:cs="Arial" w:eastAsia="Arial" w:hAnsi="Arial"/>
          <w:sz w:val="18"/>
          <w:szCs w:val="18"/>
          <w:color w:val="231F20"/>
        </w:rPr>
        <w:t xml:space="preserve"> The new regulation among other things:</w:t>
      </w:r>
    </w:p>
    <w:p>
      <w:pPr>
        <w:spacing w:after="0" w:line="212" w:lineRule="exact"/>
        <w:rPr>
          <w:sz w:val="20"/>
          <w:szCs w:val="20"/>
          <w:color w:val="auto"/>
        </w:rPr>
      </w:pPr>
    </w:p>
    <w:p>
      <w:pPr>
        <w:ind w:left="800" w:right="1080" w:hanging="283"/>
        <w:spacing w:after="0" w:line="261" w:lineRule="auto"/>
        <w:tabs>
          <w:tab w:leader="none" w:pos="8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 xml:space="preserve">strengthens the rules on placing devices on the market </w:t>
      </w:r>
      <w:r>
        <w:rPr>
          <w:rFonts w:ascii="Arial" w:cs="Arial" w:eastAsia="Arial" w:hAnsi="Arial"/>
          <w:sz w:val="18"/>
          <w:szCs w:val="18"/>
          <w:color w:val="000000"/>
        </w:rPr>
        <w:t>(e.g. reclassification of certain devices and wider scope than the Medical</w:t>
      </w:r>
      <w:r>
        <w:rPr>
          <w:rFonts w:ascii="Arial" w:cs="Arial" w:eastAsia="Arial" w:hAnsi="Arial"/>
          <w:sz w:val="18"/>
          <w:szCs w:val="18"/>
          <w:color w:val="231F20"/>
        </w:rPr>
        <w:t xml:space="preserve"> </w:t>
      </w:r>
      <w:r>
        <w:rPr>
          <w:rFonts w:ascii="Arial" w:cs="Arial" w:eastAsia="Arial" w:hAnsi="Arial"/>
          <w:sz w:val="18"/>
          <w:szCs w:val="18"/>
          <w:color w:val="000000"/>
        </w:rPr>
        <w:t xml:space="preserve">Devices Directive) </w:t>
      </w:r>
      <w:r>
        <w:rPr>
          <w:rFonts w:ascii="Arial" w:cs="Arial" w:eastAsia="Arial" w:hAnsi="Arial"/>
          <w:sz w:val="18"/>
          <w:szCs w:val="18"/>
          <w:color w:val="231F20"/>
        </w:rPr>
        <w:t>and reinforces surveillance once they are available;</w:t>
      </w:r>
    </w:p>
    <w:p>
      <w:pPr>
        <w:spacing w:after="0" w:line="62" w:lineRule="exact"/>
        <w:rPr>
          <w:rFonts w:ascii="Arial" w:cs="Arial" w:eastAsia="Arial" w:hAnsi="Arial"/>
          <w:sz w:val="18"/>
          <w:szCs w:val="18"/>
          <w:color w:val="231F20"/>
        </w:rPr>
      </w:pPr>
    </w:p>
    <w:p>
      <w:pPr>
        <w:ind w:left="800" w:right="780" w:hanging="283"/>
        <w:spacing w:after="0" w:line="261" w:lineRule="auto"/>
        <w:tabs>
          <w:tab w:leader="none" w:pos="8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establishes explicit provisions on manufacturers’ responsibilities for the follow-up of the quality, performance and safety of devices placed on the market;</w:t>
      </w:r>
    </w:p>
    <w:p>
      <w:pPr>
        <w:spacing w:after="0" w:line="62" w:lineRule="exact"/>
        <w:rPr>
          <w:rFonts w:ascii="Arial" w:cs="Arial" w:eastAsia="Arial" w:hAnsi="Arial"/>
          <w:sz w:val="18"/>
          <w:szCs w:val="18"/>
          <w:color w:val="231F20"/>
        </w:rPr>
      </w:pPr>
    </w:p>
    <w:p>
      <w:pPr>
        <w:ind w:left="800" w:hanging="283"/>
        <w:spacing w:after="0"/>
        <w:tabs>
          <w:tab w:leader="none" w:pos="8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establi</w:t>
      </w:r>
      <w:r>
        <w:rPr>
          <w:rFonts w:ascii="Arial" w:cs="Arial" w:eastAsia="Arial" w:hAnsi="Arial"/>
          <w:sz w:val="18"/>
          <w:szCs w:val="18"/>
          <w:color w:val="000000"/>
        </w:rPr>
        <w:t>shes explicit provisions on importers’ and distributors’ obligations and responsibilities;</w:t>
      </w:r>
    </w:p>
    <w:p>
      <w:pPr>
        <w:spacing w:after="0" w:line="103" w:lineRule="exact"/>
        <w:rPr>
          <w:rFonts w:ascii="Arial" w:cs="Arial" w:eastAsia="Arial" w:hAnsi="Arial"/>
          <w:sz w:val="18"/>
          <w:szCs w:val="18"/>
          <w:color w:val="231F20"/>
        </w:rPr>
      </w:pPr>
    </w:p>
    <w:p>
      <w:pPr>
        <w:ind w:left="800" w:right="1460" w:hanging="283"/>
        <w:spacing w:after="0" w:line="261"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imposes an obligation to identify a responsible person who is ultimately responsible for all aspects of compliance with the requirements of the new regulation;</w:t>
      </w:r>
    </w:p>
    <w:p>
      <w:pPr>
        <w:spacing w:after="0" w:line="62" w:lineRule="exact"/>
        <w:rPr>
          <w:rFonts w:ascii="Arial" w:cs="Arial" w:eastAsia="Arial" w:hAnsi="Arial"/>
          <w:sz w:val="18"/>
          <w:szCs w:val="18"/>
          <w:color w:val="auto"/>
        </w:rPr>
      </w:pPr>
    </w:p>
    <w:p>
      <w:pPr>
        <w:ind w:left="800" w:right="740" w:hanging="283"/>
        <w:spacing w:after="0" w:line="294" w:lineRule="auto"/>
        <w:tabs>
          <w:tab w:leader="none" w:pos="800" w:val="left"/>
        </w:tabs>
        <w:numPr>
          <w:ilvl w:val="0"/>
          <w:numId w:val="22"/>
        </w:numPr>
        <w:rPr>
          <w:rFonts w:ascii="Arial" w:cs="Arial" w:eastAsia="Arial" w:hAnsi="Arial"/>
          <w:sz w:val="16"/>
          <w:szCs w:val="16"/>
          <w:color w:val="231F20"/>
        </w:rPr>
      </w:pPr>
      <w:r>
        <w:rPr>
          <w:rFonts w:ascii="Arial" w:cs="Arial" w:eastAsia="Arial" w:hAnsi="Arial"/>
          <w:sz w:val="16"/>
          <w:szCs w:val="16"/>
          <w:color w:val="231F20"/>
        </w:rPr>
        <w:t xml:space="preserve">improves the traceability of medical devices throughout the supply chain to the end-user or patient through </w:t>
      </w:r>
      <w:r>
        <w:rPr>
          <w:rFonts w:ascii="Arial" w:cs="Arial" w:eastAsia="Arial" w:hAnsi="Arial"/>
          <w:sz w:val="16"/>
          <w:szCs w:val="16"/>
          <w:color w:val="000000"/>
        </w:rPr>
        <w:t>the introduction of a</w:t>
      </w:r>
      <w:r>
        <w:rPr>
          <w:rFonts w:ascii="Arial" w:cs="Arial" w:eastAsia="Arial" w:hAnsi="Arial"/>
          <w:sz w:val="16"/>
          <w:szCs w:val="16"/>
          <w:color w:val="231F20"/>
        </w:rPr>
        <w:t xml:space="preserve"> </w:t>
      </w:r>
      <w:r>
        <w:rPr>
          <w:rFonts w:ascii="Arial" w:cs="Arial" w:eastAsia="Arial" w:hAnsi="Arial"/>
          <w:sz w:val="16"/>
          <w:szCs w:val="16"/>
          <w:color w:val="000000"/>
        </w:rPr>
        <w:t>unique identification number, to increase the ability of manufacturers and regulatory authorities to trace specific devices through the supply chain and to facilitate the prompt and efficient recall of medical devices that have been found to present a safety risk</w:t>
      </w:r>
      <w:r>
        <w:rPr>
          <w:rFonts w:ascii="Arial" w:cs="Arial" w:eastAsia="Arial" w:hAnsi="Arial"/>
          <w:sz w:val="16"/>
          <w:szCs w:val="16"/>
          <w:color w:val="231F20"/>
        </w:rPr>
        <w:t>;</w:t>
      </w:r>
    </w:p>
    <w:p>
      <w:pPr>
        <w:spacing w:after="0" w:line="39" w:lineRule="exact"/>
        <w:rPr>
          <w:rFonts w:ascii="Arial" w:cs="Arial" w:eastAsia="Arial" w:hAnsi="Arial"/>
          <w:sz w:val="16"/>
          <w:szCs w:val="16"/>
          <w:color w:val="231F20"/>
        </w:rPr>
      </w:pPr>
    </w:p>
    <w:p>
      <w:pPr>
        <w:ind w:left="800" w:right="700" w:hanging="283"/>
        <w:spacing w:after="0" w:line="261" w:lineRule="auto"/>
        <w:tabs>
          <w:tab w:leader="none" w:pos="8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sets up a central database (Eudamed) to provide patients, healthcare professionals and the public with comprehensive information on products available in the EU; and</w:t>
      </w:r>
    </w:p>
    <w:p>
      <w:pPr>
        <w:spacing w:after="0" w:line="62" w:lineRule="exact"/>
        <w:rPr>
          <w:rFonts w:ascii="Arial" w:cs="Arial" w:eastAsia="Arial" w:hAnsi="Arial"/>
          <w:sz w:val="18"/>
          <w:szCs w:val="18"/>
          <w:color w:val="231F20"/>
        </w:rPr>
      </w:pPr>
    </w:p>
    <w:p>
      <w:pPr>
        <w:ind w:left="800" w:right="1240" w:hanging="283"/>
        <w:spacing w:after="0" w:line="261" w:lineRule="auto"/>
        <w:tabs>
          <w:tab w:leader="none" w:pos="8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 xml:space="preserve">strengthens the rules for the assessment of certain high-risk devices, </w:t>
      </w:r>
      <w:r>
        <w:rPr>
          <w:rFonts w:ascii="Arial" w:cs="Arial" w:eastAsia="Arial" w:hAnsi="Arial"/>
          <w:sz w:val="18"/>
          <w:szCs w:val="18"/>
          <w:color w:val="000000"/>
        </w:rPr>
        <w:t>, such as implants,</w:t>
      </w:r>
      <w:r>
        <w:rPr>
          <w:rFonts w:ascii="Arial" w:cs="Arial" w:eastAsia="Arial" w:hAnsi="Arial"/>
          <w:sz w:val="18"/>
          <w:szCs w:val="18"/>
          <w:color w:val="231F20"/>
        </w:rPr>
        <w:t xml:space="preserve"> which may have to undergo </w:t>
      </w:r>
      <w:r>
        <w:rPr>
          <w:rFonts w:ascii="Arial" w:cs="Arial" w:eastAsia="Arial" w:hAnsi="Arial"/>
          <w:sz w:val="18"/>
          <w:szCs w:val="18"/>
          <w:color w:val="000000"/>
        </w:rPr>
        <w:t>a clinical</w:t>
      </w:r>
      <w:r>
        <w:rPr>
          <w:rFonts w:ascii="Arial" w:cs="Arial" w:eastAsia="Arial" w:hAnsi="Arial"/>
          <w:sz w:val="18"/>
          <w:szCs w:val="18"/>
          <w:color w:val="231F20"/>
        </w:rPr>
        <w:t xml:space="preserve"> </w:t>
      </w:r>
      <w:r>
        <w:rPr>
          <w:rFonts w:ascii="Arial" w:cs="Arial" w:eastAsia="Arial" w:hAnsi="Arial"/>
          <w:sz w:val="18"/>
          <w:szCs w:val="18"/>
          <w:color w:val="000000"/>
        </w:rPr>
        <w:t xml:space="preserve">evaluation consultation procedure by experts </w:t>
      </w:r>
      <w:r>
        <w:rPr>
          <w:rFonts w:ascii="Arial" w:cs="Arial" w:eastAsia="Arial" w:hAnsi="Arial"/>
          <w:sz w:val="18"/>
          <w:szCs w:val="18"/>
          <w:color w:val="231F20"/>
        </w:rPr>
        <w:t>before they are placed on the market.</w:t>
      </w:r>
    </w:p>
    <w:p>
      <w:pPr>
        <w:spacing w:after="0" w:line="171" w:lineRule="exact"/>
        <w:rPr>
          <w:sz w:val="20"/>
          <w:szCs w:val="20"/>
          <w:color w:val="auto"/>
        </w:rPr>
      </w:pPr>
    </w:p>
    <w:p>
      <w:pPr>
        <w:ind w:right="40" w:firstLine="419"/>
        <w:spacing w:after="0" w:line="243" w:lineRule="auto"/>
        <w:rPr>
          <w:sz w:val="20"/>
          <w:szCs w:val="20"/>
          <w:color w:val="auto"/>
        </w:rPr>
      </w:pPr>
      <w:r>
        <w:rPr>
          <w:rFonts w:ascii="Arial" w:cs="Arial" w:eastAsia="Arial" w:hAnsi="Arial"/>
          <w:sz w:val="18"/>
          <w:szCs w:val="18"/>
          <w:color w:val="231F20"/>
        </w:rPr>
        <w:t>Devices lawfully placed on the market pursuant to the Medical Devices Directive prior to May 26, 2021 may generally continue to be made available on the market or put into service until May 26, 2025, provided that the requirements of the transitional provisions are fulfilled. In particular, the certificate in question must still be valid. However, even in this case, manufacturers must comply with a number of new or reinforced requirements set forth in the Medical Devices Regulation, in particular the obligations described below.</w:t>
      </w:r>
    </w:p>
    <w:p>
      <w:pPr>
        <w:spacing w:after="0" w:line="188" w:lineRule="exact"/>
        <w:rPr>
          <w:sz w:val="20"/>
          <w:szCs w:val="20"/>
          <w:color w:val="auto"/>
        </w:rPr>
      </w:pPr>
    </w:p>
    <w:p>
      <w:pPr>
        <w:ind w:firstLine="419"/>
        <w:spacing w:after="0" w:line="269" w:lineRule="auto"/>
        <w:rPr>
          <w:sz w:val="20"/>
          <w:szCs w:val="20"/>
          <w:color w:val="auto"/>
        </w:rPr>
      </w:pPr>
      <w:r>
        <w:rPr>
          <w:rFonts w:ascii="Arial" w:cs="Arial" w:eastAsia="Arial" w:hAnsi="Arial"/>
          <w:sz w:val="16"/>
          <w:szCs w:val="16"/>
          <w:color w:val="231F20"/>
        </w:rPr>
        <w:t>The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or UDI, database. These new requirements aim at ensuring better identification and traceability of the devices. Each device – and as applicable, each package – will have a UDI composed of two parts: a device identifier, or UDI-DI, specific to a device, and a production identifier, or UDI-PI, to identify the unit producing the device.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Medical Devices Directive continue to apply for the purpose of meeting the obligations laid down in the provisions regarding exchange of information, including, and in particular, information regarding registration of devices and economic operators.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31" w:name="page32"/>
    <w:bookmarkEnd w:id="31"/>
    <w:p>
      <w:pPr>
        <w:ind w:firstLine="419"/>
        <w:spacing w:after="0" w:line="268" w:lineRule="auto"/>
        <w:rPr>
          <w:sz w:val="20"/>
          <w:szCs w:val="20"/>
          <w:color w:val="auto"/>
        </w:rPr>
      </w:pPr>
      <w:r>
        <w:rPr>
          <w:rFonts w:ascii="Arial" w:cs="Arial" w:eastAsia="Arial" w:hAnsi="Arial"/>
          <w:sz w:val="16"/>
          <w:szCs w:val="16"/>
          <w:color w:val="231F20"/>
        </w:rPr>
        <w:t>All manufacturers placing medical devices on the market in the EU must comply with the EU medical device vigilance system which has been reinforced by the Medical Devices Regulation. Under this system, serious incidents and Field Safety Corrective Actions , or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Medical Devices Directive continue to apply. A serious incident is defined as any malfunction or deterioration in the characteristics or performance of a device made available on the market, including use-error due to ergonomic features, as well as any inadequacy in the information supplied by the manufacturer and any undesirable side-effect, which, directly or indirectly, might have led or might lead to the death of a patient or user or of other persons or to a temporary or permanent serious deterioration of a patient's, user's or other person's state of health or a serious public health threat. 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spacing w:after="0" w:line="175" w:lineRule="exact"/>
        <w:rPr>
          <w:sz w:val="20"/>
          <w:szCs w:val="20"/>
          <w:color w:val="auto"/>
        </w:rPr>
      </w:pPr>
    </w:p>
    <w:p>
      <w:pPr>
        <w:ind w:right="60" w:firstLine="419"/>
        <w:spacing w:after="0" w:line="255" w:lineRule="auto"/>
        <w:rPr>
          <w:sz w:val="20"/>
          <w:szCs w:val="20"/>
          <w:color w:val="auto"/>
        </w:rPr>
      </w:pPr>
      <w:r>
        <w:rPr>
          <w:rFonts w:ascii="Arial" w:cs="Arial" w:eastAsia="Arial" w:hAnsi="Arial"/>
          <w:sz w:val="17"/>
          <w:szCs w:val="17"/>
          <w:color w:val="231F20"/>
        </w:rPr>
        <w:t>The advertising and promotion of medical devices is subject to some general principles set forth in EU legislation. According to the Medical Devices Regulation,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180" w:lineRule="exact"/>
        <w:rPr>
          <w:sz w:val="20"/>
          <w:szCs w:val="20"/>
          <w:color w:val="auto"/>
        </w:rPr>
      </w:pPr>
    </w:p>
    <w:p>
      <w:pPr>
        <w:ind w:right="80" w:firstLine="419"/>
        <w:spacing w:after="0" w:line="241" w:lineRule="auto"/>
        <w:rPr>
          <w:sz w:val="20"/>
          <w:szCs w:val="20"/>
          <w:color w:val="auto"/>
        </w:rPr>
      </w:pPr>
      <w:r>
        <w:rPr>
          <w:rFonts w:ascii="Arial" w:cs="Arial" w:eastAsia="Arial" w:hAnsi="Arial"/>
          <w:sz w:val="18"/>
          <w:szCs w:val="18"/>
          <w:color w:val="231F20"/>
        </w:rPr>
        <w:t>Many EU member states have adopted specific anti-gift statutes that further limit commercial practices for medical devices, in particular vis-à -vis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189" w:lineRule="exact"/>
        <w:rPr>
          <w:sz w:val="20"/>
          <w:szCs w:val="20"/>
          <w:color w:val="auto"/>
        </w:rPr>
      </w:pPr>
    </w:p>
    <w:p>
      <w:pPr>
        <w:ind w:right="80" w:firstLine="419"/>
        <w:spacing w:after="0" w:line="248" w:lineRule="auto"/>
        <w:rPr>
          <w:sz w:val="20"/>
          <w:szCs w:val="20"/>
          <w:color w:val="auto"/>
        </w:rPr>
      </w:pPr>
      <w:r>
        <w:rPr>
          <w:rFonts w:ascii="Arial" w:cs="Arial" w:eastAsia="Arial" w:hAnsi="Arial"/>
          <w:sz w:val="18"/>
          <w:szCs w:val="18"/>
          <w:color w:val="231F20"/>
        </w:rPr>
        <w:t>The aforementioned EU rules are generally applicable in the European Economic Area, or EEA, which consists of the 27 EU member states plus Norway, Liechtenstein and Iceland. Other countries, such as Switzerland, have entered into Mutual Recognition Agreements and allow the marketing of medical devices that meet EU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Brexit</w:t>
      </w:r>
    </w:p>
    <w:p>
      <w:pPr>
        <w:spacing w:after="0" w:line="212" w:lineRule="exact"/>
        <w:rPr>
          <w:sz w:val="20"/>
          <w:szCs w:val="20"/>
          <w:color w:val="auto"/>
        </w:rPr>
      </w:pPr>
    </w:p>
    <w:p>
      <w:pPr>
        <w:ind w:firstLine="419"/>
        <w:spacing w:after="0" w:line="274" w:lineRule="auto"/>
        <w:rPr>
          <w:sz w:val="20"/>
          <w:szCs w:val="20"/>
          <w:color w:val="auto"/>
        </w:rPr>
      </w:pPr>
      <w:r>
        <w:rPr>
          <w:rFonts w:ascii="Arial" w:cs="Arial" w:eastAsia="Arial" w:hAnsi="Arial"/>
          <w:sz w:val="16"/>
          <w:szCs w:val="16"/>
          <w:color w:val="231F20"/>
        </w:rPr>
        <w:t>Following a national referendum and enactment of legislation by the government of the United Kingdom, or the UK, the UK formally withdrew from the EU on January 31, 2020, commonly referred to as “Brexit”, and, following the expiry of the Brexit transitional period on December 31, 2020, the UK now operates under a distinct regulatory regime and certain EU laws now only apply to the UK in respect of Northern Ireland (as laid out in the Protocol on Ireland and Northern Ireland). The Medicines and Healthcare products Regulatory Agency, or MHRA, is now the UK’s standalone regulator. Although the UK and EU have now reached an agreement on its future trading relationship (implemented in the EU-UK Trade and Cooperation Agreement from January 1, 2021, or TCA), the agreement does not cover all regulatory areas regarding medical devices, which may be subject to future bilateral discussions going forward and could further change the relationship between the UK and the EU in this regard.</w:t>
      </w:r>
    </w:p>
    <w:p>
      <w:pPr>
        <w:spacing w:after="0" w:line="163" w:lineRule="exact"/>
        <w:rPr>
          <w:sz w:val="20"/>
          <w:szCs w:val="20"/>
          <w:color w:val="auto"/>
        </w:rPr>
      </w:pPr>
    </w:p>
    <w:p>
      <w:pPr>
        <w:ind w:firstLine="419"/>
        <w:spacing w:after="0" w:line="284" w:lineRule="auto"/>
        <w:rPr>
          <w:sz w:val="20"/>
          <w:szCs w:val="20"/>
          <w:color w:val="auto"/>
        </w:rPr>
      </w:pPr>
      <w:r>
        <w:rPr>
          <w:rFonts w:ascii="Arial" w:cs="Arial" w:eastAsia="Arial" w:hAnsi="Arial"/>
          <w:sz w:val="16"/>
          <w:szCs w:val="16"/>
          <w:color w:val="231F20"/>
        </w:rPr>
        <w:t>EU laws which were directly applicable before the end of the transitional period or have been. transposed into UK law through secondary legislation continue to be applicable as “retained EU law.” However, new legislation such as Medical Devices Regulation (Regulation 2017/745) will not be applicable. The UK government has introduced a new Medicines and Medical Devices Act which seeks to address regulatory gaps through implementing regulations and delegated powers covering the fields of human medicines, clinical studies of human medicines, and medical devices.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8" w:right="439" w:bottom="1440" w:gutter="0" w:footer="0" w:header="0"/>
        </w:sectPr>
      </w:pPr>
    </w:p>
    <w:bookmarkStart w:id="32" w:name="page33"/>
    <w:bookmarkEnd w:id="32"/>
    <w:p>
      <w:pPr>
        <w:ind w:firstLine="419"/>
        <w:spacing w:after="0" w:line="251" w:lineRule="auto"/>
        <w:rPr>
          <w:sz w:val="20"/>
          <w:szCs w:val="20"/>
          <w:color w:val="auto"/>
        </w:rPr>
      </w:pPr>
      <w:r>
        <w:rPr>
          <w:rFonts w:ascii="Arial" w:cs="Arial" w:eastAsia="Arial" w:hAnsi="Arial"/>
          <w:sz w:val="17"/>
          <w:szCs w:val="17"/>
          <w:color w:val="231F20"/>
        </w:rPr>
        <w:t>Significantly, under the TCA there is no mutual recognition of regulatory regimes and certifications between the EU and the UK. CE marks issued by EU-based notified bodies will continue to be recognized by the UK until June 30, 2023, but from July 1, 2023, new devices placed on the Great Britain market will need to conform with the new UK Conformity Assessment, or UKCA, marking requirements. Since January 1, 2021, medical devices placed on the market in the UK must be registered with the MHRA, following a grace period ranging from four to 12 months. Manufacturers based outside the UK will also need to appoint a UK Responsible Person (which may be an individual or a corporate entity). Only a manufacturer established in the UK or a UK Responsible Person will be able to place a device on the market in Great Britain. Under the terms of the Protocol on Ireland and Northern Ireland, products placed on the market in Northern Ireland will continue to be subject to the European Union regulatory regime. A public consultation by the MHRA was opened until end of November 2021 on the post-Brexit regulatory framework for medical devices and diagnostics. The consultation proposes amendments to the UK Medical Devices Regulations 2002 (which are based on EU legislation, primarily the Medical Devices Directive), in particular to create a new access pathways to support innovation, create an innovative framework for regulating software and artificial intelligence as medical devices, reform in vitro diagnostic regulation, and foster sustainability through the reuse and remanufacture of medical devices. The regime is expected to come into force in July 2023, coinciding with the end of the acceptance period for EU CE marks in Great Britain, subject to appropriate transitional arrangements. The consultation indicated that the MHRA will publish guidance in relation to the changes to the regulatory framework and may rely more heavily on guidance to add flexibility to the regime.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Healthcare Fraud and Abuse Laws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In the United States, we are subject to a number of federal and state healthcare regulatory laws that restrict business practices in the healthcare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231F20"/>
        </w:rPr>
        <w:t>industry. These laws include, but are not limited to, federal and state anti- kickback, false claims, transparency and other healthcare fraud and abuse laws.</w:t>
      </w:r>
    </w:p>
    <w:p>
      <w:pPr>
        <w:spacing w:after="0" w:line="219" w:lineRule="exact"/>
        <w:rPr>
          <w:sz w:val="20"/>
          <w:szCs w:val="20"/>
          <w:color w:val="auto"/>
        </w:rPr>
      </w:pPr>
    </w:p>
    <w:p>
      <w:pPr>
        <w:ind w:right="40" w:firstLine="419"/>
        <w:spacing w:after="0" w:line="252" w:lineRule="auto"/>
        <w:rPr>
          <w:sz w:val="20"/>
          <w:szCs w:val="20"/>
          <w:color w:val="auto"/>
        </w:rPr>
      </w:pPr>
      <w:r>
        <w:rPr>
          <w:rFonts w:ascii="Arial" w:cs="Arial" w:eastAsia="Arial" w:hAnsi="Arial"/>
          <w:sz w:val="17"/>
          <w:szCs w:val="17"/>
          <w:color w:val="231F20"/>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including cash, improper discounts, and free or reduced price items and services. Among other things, the Anti-Kickback Statute has been interpreted to apply to arrangements between medical device manufacturers on the one hand and prescribers and purchasers on the other. Although there are a number of statutory exceptions and regulatory safe harbors protecting some common activities from prosecution, the exceptions and safe harbors are drawn narrowly. The government can exercise enforcement discretion in taking action against unprotected activities. Further, a person or entity does not need to have actual knowledge of the statute or specific intent to violate it in order to have committed a violation. The majority of states also have anti- kickback laws, which establish similar prohibitions, and in some cases may apply to items or services reimbursed by any third-party payor, including commercial insurers and self-pay patients.</w:t>
      </w:r>
    </w:p>
    <w:p>
      <w:pPr>
        <w:spacing w:after="0" w:line="186" w:lineRule="exact"/>
        <w:rPr>
          <w:sz w:val="20"/>
          <w:szCs w:val="20"/>
          <w:color w:val="auto"/>
        </w:rPr>
      </w:pPr>
    </w:p>
    <w:p>
      <w:pPr>
        <w:ind w:right="20" w:firstLine="419"/>
        <w:spacing w:after="0" w:line="253" w:lineRule="auto"/>
        <w:rPr>
          <w:sz w:val="20"/>
          <w:szCs w:val="20"/>
          <w:color w:val="auto"/>
        </w:rPr>
      </w:pPr>
      <w:r>
        <w:rPr>
          <w:rFonts w:ascii="Arial" w:cs="Arial" w:eastAsia="Arial" w:hAnsi="Arial"/>
          <w:sz w:val="17"/>
          <w:szCs w:val="17"/>
          <w:color w:val="231F20"/>
        </w:rPr>
        <w:t>The federal false claims,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Moreover, a claim including items or services resulting from a violation of the U.S. federal Anti-Kickback Statute constitutes a false or fraudulent claim for purposes of the federal civil False Claims Act. In addition, various states have enacted false claim laws analogous to the federal False Claims Act, although many of these state laws apply where a claim is submitted to any third-party payor and not merely a federal healthcare program.</w:t>
      </w:r>
    </w:p>
    <w:p>
      <w:pPr>
        <w:spacing w:after="0" w:line="184" w:lineRule="exact"/>
        <w:rPr>
          <w:sz w:val="20"/>
          <w:szCs w:val="20"/>
          <w:color w:val="auto"/>
        </w:rPr>
      </w:pPr>
    </w:p>
    <w:p>
      <w:pPr>
        <w:ind w:right="160" w:firstLine="419"/>
        <w:spacing w:after="0" w:line="259" w:lineRule="auto"/>
        <w:rPr>
          <w:sz w:val="20"/>
          <w:szCs w:val="20"/>
          <w:color w:val="auto"/>
        </w:rPr>
      </w:pPr>
      <w:r>
        <w:rPr>
          <w:rFonts w:ascii="Arial" w:cs="Arial" w:eastAsia="Arial" w:hAnsi="Arial"/>
          <w:sz w:val="17"/>
          <w:szCs w:val="17"/>
          <w:color w:val="231F20"/>
        </w:rPr>
        <w:t>The federal Health Insurance Portability and Accountability Act of 1996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33" w:name="page34"/>
    <w:bookmarkEnd w:id="33"/>
    <w:p>
      <w:pPr>
        <w:ind w:right="360"/>
        <w:spacing w:after="0" w:line="261" w:lineRule="auto"/>
        <w:rPr>
          <w:sz w:val="20"/>
          <w:szCs w:val="20"/>
          <w:color w:val="auto"/>
        </w:rPr>
      </w:pPr>
      <w:r>
        <w:rPr>
          <w:rFonts w:ascii="Arial" w:cs="Arial" w:eastAsia="Arial" w:hAnsi="Arial"/>
          <w:sz w:val="18"/>
          <w:szCs w:val="18"/>
          <w:color w:val="231F20"/>
        </w:rPr>
        <w:t>federal Anti-Kickback Statute, a person or entity does not need to have actual knowledge of the statute or specific intent to violate it in order to have committed a violation.</w:t>
      </w:r>
    </w:p>
    <w:p>
      <w:pPr>
        <w:spacing w:after="0" w:line="171" w:lineRule="exact"/>
        <w:rPr>
          <w:sz w:val="20"/>
          <w:szCs w:val="20"/>
          <w:color w:val="auto"/>
        </w:rPr>
      </w:pPr>
    </w:p>
    <w:p>
      <w:pPr>
        <w:ind w:right="20" w:firstLine="419"/>
        <w:spacing w:after="0" w:line="274" w:lineRule="auto"/>
        <w:rPr>
          <w:sz w:val="20"/>
          <w:szCs w:val="20"/>
          <w:color w:val="auto"/>
        </w:rPr>
      </w:pPr>
      <w:r>
        <w:rPr>
          <w:rFonts w:ascii="Arial" w:cs="Arial" w:eastAsia="Arial" w:hAnsi="Arial"/>
          <w:sz w:val="16"/>
          <w:szCs w:val="16"/>
          <w:color w:val="231F20"/>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and their immediate family members. Beginning in 2022, such obligations will include payments and other transfers of value provided in the previous year to additional healthcare professionals, including physician assistants, nurse practitioners, clinical nurse specialists, certified nurse anesthetists, anesthesiologist assistants and certified nurse midwives.</w:t>
      </w:r>
    </w:p>
    <w:p>
      <w:pPr>
        <w:spacing w:after="0" w:line="163" w:lineRule="exact"/>
        <w:rPr>
          <w:sz w:val="20"/>
          <w:szCs w:val="20"/>
          <w:color w:val="auto"/>
        </w:rPr>
      </w:pPr>
    </w:p>
    <w:p>
      <w:pPr>
        <w:ind w:firstLine="419"/>
        <w:spacing w:after="0" w:line="284" w:lineRule="auto"/>
        <w:rPr>
          <w:sz w:val="20"/>
          <w:szCs w:val="20"/>
          <w:color w:val="auto"/>
        </w:rPr>
      </w:pPr>
      <w:r>
        <w:rPr>
          <w:rFonts w:ascii="Arial" w:cs="Arial" w:eastAsia="Arial" w:hAnsi="Arial"/>
          <w:sz w:val="16"/>
          <w:szCs w:val="16"/>
          <w:color w:val="231F20"/>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Coverage and Reimbursement</w:t>
      </w:r>
    </w:p>
    <w:p>
      <w:pPr>
        <w:spacing w:after="0" w:line="212" w:lineRule="exact"/>
        <w:rPr>
          <w:sz w:val="20"/>
          <w:szCs w:val="20"/>
          <w:color w:val="auto"/>
        </w:rPr>
      </w:pPr>
    </w:p>
    <w:p>
      <w:pPr>
        <w:ind w:firstLine="419"/>
        <w:spacing w:after="0" w:line="274" w:lineRule="auto"/>
        <w:rPr>
          <w:sz w:val="20"/>
          <w:szCs w:val="20"/>
          <w:color w:val="auto"/>
        </w:rPr>
      </w:pPr>
      <w:r>
        <w:rPr>
          <w:rFonts w:ascii="Arial" w:cs="Arial" w:eastAsia="Arial" w:hAnsi="Arial"/>
          <w:sz w:val="16"/>
          <w:szCs w:val="16"/>
          <w:color w:val="231F20"/>
        </w:rPr>
        <w:t>In the United States, our currently cleared products are not separately reimbursed by any third-party payors, and if covered, are paid for as part of the procedure in which the product is used. Outside of the United States, there are many reimbursement programs through private payors as well as government programs. In some countries, government reimbursement is the predominant program available to patients and hospitals. Our commercial success depends in part on the extent to which governmental authorities, private health insurers and other third-party payors provide coverage for and establish adequate reimbursement levels for the procedures in which our products are used. Failure by physicians, hospitals, ambulatory surgery centers and other users of our products to obtain coverage and adequate reimbursement from third-party payors for procedures in which our products are used, or adverse changes in government and private third-party payors’ coverage and reimbursement policies, may adversely impact demand for our products.</w:t>
      </w:r>
    </w:p>
    <w:p>
      <w:pPr>
        <w:spacing w:after="0" w:line="163" w:lineRule="exact"/>
        <w:rPr>
          <w:sz w:val="20"/>
          <w:szCs w:val="20"/>
          <w:color w:val="auto"/>
        </w:rPr>
      </w:pPr>
    </w:p>
    <w:p>
      <w:pPr>
        <w:ind w:right="20" w:firstLine="419"/>
        <w:spacing w:after="0" w:line="271" w:lineRule="auto"/>
        <w:rPr>
          <w:sz w:val="20"/>
          <w:szCs w:val="20"/>
          <w:color w:val="auto"/>
        </w:rPr>
      </w:pPr>
      <w:r>
        <w:rPr>
          <w:rFonts w:ascii="Arial" w:cs="Arial" w:eastAsia="Arial" w:hAnsi="Arial"/>
          <w:sz w:val="16"/>
          <w:szCs w:val="16"/>
          <w:color w:val="231F20"/>
        </w:rPr>
        <w:t>Based on our experience to date, third-party payors generally reimburse for the procedures in which our products are used only if the patient meets the established medical necessity criteria for the procedure. Some payors are moving toward a managed care system and control their healthcare costs by establishing coverage policies that categorically restrict coverage of certain procedures, or by limiting authorization for procedures, including elective procedures using our devices. No uniform policy of coverage and reimbursement among payors in the United States exists, and coverage and reimbursement for procedures can differ significantly from payor to payor. Third-party payors are increasingly auditing and challenging the prices charged for medical products and services with concern for upcoding, miscoding, using inappropriate modifiers, or billing for inappropriate care settings. Some third-party payors must approve coverage for new or innovative devices or procedures before they will reimburse healthcare providers who use the products or therapies. Even though a new product may have been cleared for commercial distribution by the FDA, we may find limited demand for our product unless reimbursement approval can be obtained and/or maintained from governmental and private third-party payors.</w:t>
      </w:r>
    </w:p>
    <w:p>
      <w:pPr>
        <w:spacing w:after="0" w:line="169" w:lineRule="exact"/>
        <w:rPr>
          <w:sz w:val="20"/>
          <w:szCs w:val="20"/>
          <w:color w:val="auto"/>
        </w:rPr>
      </w:pPr>
    </w:p>
    <w:p>
      <w:pPr>
        <w:ind w:right="20" w:firstLine="419"/>
        <w:spacing w:after="0" w:line="243" w:lineRule="auto"/>
        <w:rPr>
          <w:sz w:val="20"/>
          <w:szCs w:val="20"/>
          <w:color w:val="auto"/>
        </w:rPr>
      </w:pPr>
      <w:r>
        <w:rPr>
          <w:rFonts w:ascii="Arial" w:cs="Arial" w:eastAsia="Arial" w:hAnsi="Arial"/>
          <w:sz w:val="18"/>
          <w:szCs w:val="18"/>
          <w:color w:val="231F20"/>
        </w:rPr>
        <w:t>In addition to uncertainties surrounding coverage policies, there are periodic changes to reimbursement levels. Third-party payors regularly update reimbursement amounts and also from time to time revise the methodologies used to determine reimbursement amounts. This includes routine updates to payments to physicians, hospitals and ambulatory surgery centers for procedures during which our products are used. These updates could directly impact the demand for our products.</w:t>
      </w:r>
    </w:p>
    <w:p>
      <w:pPr>
        <w:spacing w:after="0" w:line="188" w:lineRule="exact"/>
        <w:rPr>
          <w:sz w:val="20"/>
          <w:szCs w:val="20"/>
          <w:color w:val="auto"/>
        </w:rPr>
      </w:pPr>
    </w:p>
    <w:p>
      <w:pPr>
        <w:ind w:right="180" w:firstLine="419"/>
        <w:spacing w:after="0" w:line="276" w:lineRule="auto"/>
        <w:rPr>
          <w:sz w:val="20"/>
          <w:szCs w:val="20"/>
          <w:color w:val="auto"/>
        </w:rPr>
      </w:pPr>
      <w:r>
        <w:rPr>
          <w:rFonts w:ascii="Arial" w:cs="Arial" w:eastAsia="Arial" w:hAnsi="Arial"/>
          <w:sz w:val="16"/>
          <w:szCs w:val="16"/>
          <w:color w:val="231F20"/>
        </w:rPr>
        <w:t>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 Third-party payors are developing increasingly sophisticated methods of controlling healthcare costs through prospective reimbursement and capitation programs, group purchasing, redesign of benefits, and exploration of more cost-effective methods of delivering healthcare. In the United States, some insured individuals enroll in managed care programs, which monitor and often require pre-approval of the services that a member will receive. Some managed care programs pay their providers on a per capita (patient) basis, which puts the providers at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34" w:name="page35"/>
    <w:bookmarkEnd w:id="34"/>
    <w:p>
      <w:pPr>
        <w:ind w:right="300"/>
        <w:spacing w:after="0" w:line="261" w:lineRule="auto"/>
        <w:rPr>
          <w:sz w:val="20"/>
          <w:szCs w:val="20"/>
          <w:color w:val="auto"/>
        </w:rPr>
      </w:pPr>
      <w:r>
        <w:rPr>
          <w:rFonts w:ascii="Arial" w:cs="Arial" w:eastAsia="Arial" w:hAnsi="Arial"/>
          <w:sz w:val="18"/>
          <w:szCs w:val="18"/>
          <w:color w:val="231F20"/>
        </w:rPr>
        <w:t>financial risk for the services provided to their patients by paying these providers a predetermined payment per member per month and, consequently, may limit the willingness of these providers to use our products.</w:t>
      </w:r>
    </w:p>
    <w:p>
      <w:pPr>
        <w:spacing w:after="0" w:line="171" w:lineRule="exact"/>
        <w:rPr>
          <w:sz w:val="20"/>
          <w:szCs w:val="20"/>
          <w:color w:val="auto"/>
        </w:rPr>
      </w:pPr>
    </w:p>
    <w:p>
      <w:pPr>
        <w:ind w:right="80" w:firstLine="419"/>
        <w:spacing w:after="0" w:line="257" w:lineRule="auto"/>
        <w:rPr>
          <w:sz w:val="20"/>
          <w:szCs w:val="20"/>
          <w:color w:val="auto"/>
        </w:rPr>
      </w:pPr>
      <w:r>
        <w:rPr>
          <w:rFonts w:ascii="Arial" w:cs="Arial" w:eastAsia="Arial" w:hAnsi="Arial"/>
          <w:sz w:val="17"/>
          <w:szCs w:val="17"/>
          <w:color w:val="231F20"/>
        </w:rPr>
        <w:t>In international markets, reimbursement and healthcare payment systems vary significantly by country, and many countries have instituted price ceilings on specific product lines and procedures. In the EU, member states are facing increased pressure to limit public healthcare spending. There can be no assurance that procedures using our products will be covered for a specific indication, that our products will be considered cost- effective by third-party payors, that an adequate level of reimbursement will be available or that the third-party payors’ reimbursement policies will not adversely affect our ability to sell our products profitably. More and more, local, product specific reimbursement law is applied as an overlay to medical device regulation, which has provided an additional layer of clearance requirement.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Healthcare Reform</w:t>
      </w:r>
    </w:p>
    <w:p>
      <w:pPr>
        <w:spacing w:after="0" w:line="212" w:lineRule="exact"/>
        <w:rPr>
          <w:sz w:val="20"/>
          <w:szCs w:val="20"/>
          <w:color w:val="auto"/>
        </w:rPr>
      </w:pPr>
    </w:p>
    <w:p>
      <w:pPr>
        <w:ind w:right="80" w:firstLine="419"/>
        <w:spacing w:after="0" w:line="276" w:lineRule="auto"/>
        <w:rPr>
          <w:sz w:val="20"/>
          <w:szCs w:val="20"/>
          <w:color w:val="auto"/>
        </w:rPr>
      </w:pPr>
      <w:r>
        <w:rPr>
          <w:rFonts w:ascii="Arial" w:cs="Arial" w:eastAsia="Arial" w:hAnsi="Arial"/>
          <w:sz w:val="16"/>
          <w:szCs w:val="16"/>
          <w:color w:val="231F20"/>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162" w:lineRule="exact"/>
        <w:rPr>
          <w:sz w:val="20"/>
          <w:szCs w:val="20"/>
          <w:color w:val="auto"/>
        </w:rPr>
      </w:pPr>
    </w:p>
    <w:p>
      <w:pPr>
        <w:ind w:right="40" w:firstLine="419"/>
        <w:spacing w:after="0" w:line="253" w:lineRule="auto"/>
        <w:rPr>
          <w:sz w:val="20"/>
          <w:szCs w:val="20"/>
          <w:color w:val="auto"/>
        </w:rPr>
      </w:pPr>
      <w:r>
        <w:rPr>
          <w:rFonts w:ascii="Arial" w:cs="Arial" w:eastAsia="Arial" w:hAnsi="Arial"/>
          <w:sz w:val="17"/>
          <w:szCs w:val="17"/>
          <w:color w:val="231F20"/>
        </w:rPr>
        <w:t>The implementation of the Affordable Care Act, or ACA, in the United States, for example, has changed healthcare financing and delivery by both governmental and private insurers substantially, and affected medical device manufacturers significantly.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expanded eligibility criteria for Medicaid programs and created a new Patient-Centered Outcomes Research Institute to oversee, identify priorities in, and conduct comparative clinical effectiveness research, along with funding for such research. Since its enactment, there have been judicial, executive and political challenges to certain aspects of the ACA. On June 17, 2021, the U.S. Supreme Court dismissed the most recent judicial challenge to the ACA brought by several states without specifically ruling on the constitutionality of the ACA. It is unclear how healthcare reform measures of the Biden administration or other efforts, if any, to challenge, repeal or replace the ACA will impact the law or our business.</w:t>
      </w:r>
    </w:p>
    <w:p>
      <w:pPr>
        <w:spacing w:after="0" w:line="180" w:lineRule="exact"/>
        <w:rPr>
          <w:sz w:val="20"/>
          <w:szCs w:val="20"/>
          <w:color w:val="auto"/>
        </w:rPr>
      </w:pPr>
    </w:p>
    <w:p>
      <w:pPr>
        <w:ind w:right="180" w:firstLine="419"/>
        <w:spacing w:after="0" w:line="238" w:lineRule="auto"/>
        <w:rPr>
          <w:sz w:val="20"/>
          <w:szCs w:val="20"/>
          <w:color w:val="auto"/>
        </w:rPr>
      </w:pPr>
      <w:r>
        <w:rPr>
          <w:rFonts w:ascii="Arial" w:cs="Arial" w:eastAsia="Arial" w:hAnsi="Arial"/>
          <w:sz w:val="18"/>
          <w:szCs w:val="18"/>
          <w:color w:val="231F20"/>
        </w:rPr>
        <w:t>In addition, other legislative changes have been proposed and adopted since the ACA was enacted. For example, the Budget Control Act of 2011, among other things, reduced Medicare payments to providers by 2% per fiscal year, effective on April 1, 2013 and, due to subsequent legislative amendments to the statute, will remain in effect through 2030. Additionally, the American Taxpayer Relief Act of 2012, among other things, further reduced Medicare payments to several providers, including hospitals, and increased the statute of limitations period for the government to recover overpayments to providers from three to five years. The Medicare Access and CHIP Reauthorization Act of 2015 repealed the formula by which Medicare made annual payment adjustments to physicians and replaced the former formula with fixed annual updates and a new system of incentive payments that began in 2019 that are based on various performance measures and physicians’ participation in alternative payment models, such as accountable care organizations.</w:t>
      </w:r>
    </w:p>
    <w:p>
      <w:pPr>
        <w:spacing w:after="0" w:line="194" w:lineRule="exact"/>
        <w:rPr>
          <w:sz w:val="20"/>
          <w:szCs w:val="20"/>
          <w:color w:val="auto"/>
        </w:rPr>
      </w:pPr>
    </w:p>
    <w:p>
      <w:pPr>
        <w:ind w:firstLine="419"/>
        <w:spacing w:after="0" w:line="248" w:lineRule="auto"/>
        <w:rPr>
          <w:sz w:val="20"/>
          <w:szCs w:val="20"/>
          <w:color w:val="auto"/>
        </w:rPr>
      </w:pPr>
      <w:r>
        <w:rPr>
          <w:rFonts w:ascii="Arial" w:cs="Arial" w:eastAsia="Arial" w:hAnsi="Arial"/>
          <w:sz w:val="18"/>
          <w:szCs w:val="18"/>
          <w:color w:val="231F20"/>
        </w:rPr>
        <w:t>We expect additional state, federal, and foreign healthcare reform measures to be adopted in the future, any of which could limit the amounts that federal, state, and foreign governments will pay for healthcare products and services, which could result in reduced demand for our products or additional pricing pressure.</w:t>
      </w:r>
    </w:p>
    <w:p>
      <w:pPr>
        <w:spacing w:after="0" w:line="182" w:lineRule="exact"/>
        <w:rPr>
          <w:sz w:val="20"/>
          <w:szCs w:val="20"/>
          <w:color w:val="auto"/>
        </w:rPr>
      </w:pPr>
    </w:p>
    <w:p>
      <w:pPr>
        <w:ind w:right="140" w:firstLine="419"/>
        <w:spacing w:after="0" w:line="255" w:lineRule="auto"/>
        <w:rPr>
          <w:sz w:val="20"/>
          <w:szCs w:val="20"/>
          <w:color w:val="auto"/>
        </w:rPr>
      </w:pPr>
      <w:r>
        <w:rPr>
          <w:rFonts w:ascii="Arial" w:cs="Arial" w:eastAsia="Arial" w:hAnsi="Arial"/>
          <w:sz w:val="17"/>
          <w:szCs w:val="17"/>
          <w:color w:val="231F20"/>
        </w:rPr>
        <w:t xml:space="preserve">For instance, </w:t>
      </w:r>
      <w:r>
        <w:rPr>
          <w:rFonts w:ascii="Arial" w:cs="Arial" w:eastAsia="Arial" w:hAnsi="Arial"/>
          <w:sz w:val="17"/>
          <w:szCs w:val="17"/>
          <w:color w:val="000000"/>
        </w:rPr>
        <w:t>in December 2021, the EU Regulation No 2021/2282 on Health Technology Assessment, or HTA, amending Directive 2011/24/EU,</w:t>
      </w:r>
      <w:r>
        <w:rPr>
          <w:rFonts w:ascii="Arial" w:cs="Arial" w:eastAsia="Arial" w:hAnsi="Arial"/>
          <w:sz w:val="17"/>
          <w:szCs w:val="17"/>
          <w:color w:val="231F20"/>
        </w:rPr>
        <w:t xml:space="preserve"> </w:t>
      </w:r>
      <w:r>
        <w:rPr>
          <w:rFonts w:ascii="Arial" w:cs="Arial" w:eastAsia="Arial" w:hAnsi="Arial"/>
          <w:sz w:val="17"/>
          <w:szCs w:val="17"/>
          <w:color w:val="000000"/>
        </w:rPr>
        <w:t>was adopted. This regulation which entered into force in January 2022 intends to boost cooperation among EU member states in assessing health technologies, including some medical devices, and providing the basis for cooperation at the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35" w:name="page36"/>
    <w:bookmarkEnd w:id="35"/>
    <w:p>
      <w:pPr>
        <w:ind w:right="20"/>
        <w:spacing w:after="0" w:line="261" w:lineRule="auto"/>
        <w:rPr>
          <w:sz w:val="20"/>
          <w:szCs w:val="20"/>
          <w:color w:val="auto"/>
        </w:rPr>
      </w:pPr>
      <w:r>
        <w:rPr>
          <w:rFonts w:ascii="Arial" w:cs="Arial" w:eastAsia="Arial" w:hAnsi="Arial"/>
          <w:sz w:val="18"/>
          <w:szCs w:val="18"/>
          <w:color w:val="auto"/>
        </w:rPr>
        <w:t>cooperation in other areas. Individual EU member states will continue to be responsible for assessing non-clinical (e.g., economic, social, ethical) aspects of health technologies, and making decisions on pricing and reimbursement.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Data Privacy and Security Laws</w:t>
      </w:r>
    </w:p>
    <w:p>
      <w:pPr>
        <w:spacing w:after="0" w:line="212" w:lineRule="exact"/>
        <w:rPr>
          <w:sz w:val="20"/>
          <w:szCs w:val="20"/>
          <w:color w:val="auto"/>
        </w:rPr>
      </w:pPr>
    </w:p>
    <w:p>
      <w:pPr>
        <w:ind w:right="60" w:firstLine="419"/>
        <w:spacing w:after="0" w:line="252" w:lineRule="auto"/>
        <w:rPr>
          <w:sz w:val="20"/>
          <w:szCs w:val="20"/>
          <w:color w:val="auto"/>
        </w:rPr>
      </w:pPr>
      <w:r>
        <w:rPr>
          <w:rFonts w:ascii="Arial" w:cs="Arial" w:eastAsia="Arial" w:hAnsi="Arial"/>
          <w:sz w:val="17"/>
          <w:szCs w:val="17"/>
          <w:color w:val="231F20"/>
        </w:rPr>
        <w:t>Numerous state, federal and foreign laws, including consumer protection laws and regulations, govern the collection, dissemination, use, access to, confidentiality and security of personal information, including health- related information. In the United States, numerous federal and state laws and regulations, including data breach notification laws, health information privacy and security laws, including HIPAA, and federal and state consumer protection laws and regulations (e.g., Section 5 of the FTC Act), that govern the collection, use, disclosure, and protection of health-related and other personal information could apply to our operations or the operations of our partners. In addition, certain state and non-U.S. laws, such as the CCPA, the CPRA and the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86" w:lineRule="exact"/>
        <w:rPr>
          <w:sz w:val="20"/>
          <w:szCs w:val="20"/>
          <w:color w:val="auto"/>
        </w:rPr>
      </w:pPr>
    </w:p>
    <w:p>
      <w:pPr>
        <w:ind w:right="60" w:firstLine="419"/>
        <w:spacing w:after="0" w:line="243" w:lineRule="auto"/>
        <w:rPr>
          <w:sz w:val="20"/>
          <w:szCs w:val="20"/>
          <w:color w:val="auto"/>
        </w:rPr>
      </w:pPr>
      <w:r>
        <w:rPr>
          <w:rFonts w:ascii="Arial" w:cs="Arial" w:eastAsia="Arial" w:hAnsi="Arial"/>
          <w:sz w:val="18"/>
          <w:szCs w:val="18"/>
          <w:color w:val="231F20"/>
        </w:rPr>
        <w:t>In Europe, the GDPR went into effect on May 25, 2018 and introduces strict requirements for processing the personal data of European Union data subjects. Companies that must comply with the GDPR face increased compliance obligations and risk, including more robust regulatory enforcement of data protection requirements and potential fines for noncompliance of up to €20 million or 4% of the annual global revenues of the preceding financial year of the noncompliant company, whichever is greater.</w:t>
      </w:r>
    </w:p>
    <w:p>
      <w:pPr>
        <w:spacing w:after="0" w:line="188" w:lineRule="exact"/>
        <w:rPr>
          <w:sz w:val="20"/>
          <w:szCs w:val="20"/>
          <w:color w:val="auto"/>
        </w:rPr>
      </w:pPr>
    </w:p>
    <w:p>
      <w:pPr>
        <w:ind w:firstLine="419"/>
        <w:spacing w:after="0" w:line="284" w:lineRule="auto"/>
        <w:rPr>
          <w:sz w:val="20"/>
          <w:szCs w:val="20"/>
          <w:color w:val="auto"/>
        </w:rPr>
      </w:pPr>
      <w:r>
        <w:rPr>
          <w:rFonts w:ascii="Arial" w:cs="Arial" w:eastAsia="Arial" w:hAnsi="Arial"/>
          <w:sz w:val="16"/>
          <w:szCs w:val="16"/>
          <w:color w:val="231F20"/>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w:t>
      </w:r>
    </w:p>
    <w:p>
      <w:pPr>
        <w:spacing w:after="0" w:line="155" w:lineRule="exact"/>
        <w:rPr>
          <w:sz w:val="20"/>
          <w:szCs w:val="20"/>
          <w:color w:val="auto"/>
        </w:rPr>
      </w:pPr>
    </w:p>
    <w:p>
      <w:pPr>
        <w:ind w:right="20" w:firstLine="419"/>
        <w:spacing w:after="0" w:line="272" w:lineRule="auto"/>
        <w:rPr>
          <w:sz w:val="20"/>
          <w:szCs w:val="20"/>
          <w:color w:val="auto"/>
        </w:rPr>
      </w:pPr>
      <w:r>
        <w:rPr>
          <w:rFonts w:ascii="Arial" w:cs="Arial" w:eastAsia="Arial" w:hAnsi="Arial"/>
          <w:sz w:val="16"/>
          <w:szCs w:val="16"/>
          <w:color w:val="231F20"/>
        </w:rPr>
        <w:t>Further, from January 1, 2021, companies have to comply with the GDPR and also the United Kingdom General Data Protection Regulation, or the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 also unclear how United Kingdom data protection laws and regulations will develop in the medium to longer term, and how data transfers to and from the United Kingdom will be regulated in the long term. Currently there is a four to six month grace period agreed in the EU and United Kingdom Trade and Cooperation Agreement, ending June 30, 2021 at the latest, whilst the parties discuss an adequacy decision. The European Commission published a draft adequacy decision on February 19, 2021. If adopted, the decision will enable data transfers from EU member states to the United Kingdom for a four-year period, subject to subsequent extensions.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Human Capital</w:t>
      </w:r>
    </w:p>
    <w:p>
      <w:pPr>
        <w:spacing w:after="0" w:line="216" w:lineRule="exact"/>
        <w:rPr>
          <w:sz w:val="20"/>
          <w:szCs w:val="20"/>
          <w:color w:val="auto"/>
        </w:rPr>
      </w:pPr>
    </w:p>
    <w:p>
      <w:pPr>
        <w:ind w:right="80" w:firstLine="419"/>
        <w:spacing w:after="0" w:line="262" w:lineRule="auto"/>
        <w:rPr>
          <w:sz w:val="20"/>
          <w:szCs w:val="20"/>
          <w:color w:val="auto"/>
        </w:rPr>
      </w:pPr>
      <w:r>
        <w:rPr>
          <w:rFonts w:ascii="Arial" w:cs="Arial" w:eastAsia="Arial" w:hAnsi="Arial"/>
          <w:sz w:val="17"/>
          <w:szCs w:val="17"/>
          <w:color w:val="231F20"/>
        </w:rPr>
        <w:t>As of December 31, 2021, we had 212 full-time employees. Our highly qualified and experienced team includes scientists, physicians and professionals across sales, marketing, regulatory, finance and other important functions that are critical to our success. We believe that the success of our business will depend, in part, on our ability to attract and retain qualified personnel. None of our employees are represented by a labor union or are a party to a collective bargaining agreement and we believe that we have good relations with our employees.</w:t>
      </w:r>
    </w:p>
    <w:p>
      <w:pPr>
        <w:spacing w:after="0" w:line="172" w:lineRule="exact"/>
        <w:rPr>
          <w:sz w:val="20"/>
          <w:szCs w:val="20"/>
          <w:color w:val="auto"/>
        </w:rPr>
      </w:pPr>
    </w:p>
    <w:p>
      <w:pPr>
        <w:ind w:right="20" w:firstLine="419"/>
        <w:spacing w:after="0" w:line="270" w:lineRule="auto"/>
        <w:rPr>
          <w:sz w:val="20"/>
          <w:szCs w:val="20"/>
          <w:color w:val="auto"/>
        </w:rPr>
      </w:pPr>
      <w:r>
        <w:rPr>
          <w:rFonts w:ascii="Arial" w:cs="Arial" w:eastAsia="Arial" w:hAnsi="Arial"/>
          <w:sz w:val="17"/>
          <w:szCs w:val="17"/>
          <w:color w:val="auto"/>
        </w:rPr>
        <w:t>We believe that our continued success is reliant on the ability to attract, develop and retain top talent. To facilitate talent attraction and retention, we strive to foster an inclusive and safe workplace, with opportunities for our employees to grow and develop in their careers, supported by competitive compensation and benefits programs. In the attraction, development and retention of talent, we emphasize:</w:t>
      </w:r>
    </w:p>
    <w:p>
      <w:pPr>
        <w:spacing w:after="0" w:line="164" w:lineRule="exact"/>
        <w:rPr>
          <w:sz w:val="20"/>
          <w:szCs w:val="20"/>
          <w:color w:val="auto"/>
        </w:rPr>
      </w:pPr>
    </w:p>
    <w:p>
      <w:pPr>
        <w:ind w:right="120" w:firstLine="419"/>
        <w:spacing w:after="0" w:line="261"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We strive to provide competitive compensation and benefits programs to attract and retain top talent and review these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annually against the competitive landscape to ensure they continue to meet the</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36" w:name="page37"/>
    <w:bookmarkEnd w:id="36"/>
    <w:p>
      <w:pPr>
        <w:ind w:right="20"/>
        <w:spacing w:after="0" w:line="284" w:lineRule="auto"/>
        <w:rPr>
          <w:sz w:val="20"/>
          <w:szCs w:val="20"/>
          <w:color w:val="auto"/>
        </w:rPr>
      </w:pPr>
      <w:r>
        <w:rPr>
          <w:rFonts w:ascii="Arial" w:cs="Arial" w:eastAsia="Arial" w:hAnsi="Arial"/>
          <w:sz w:val="16"/>
          <w:szCs w:val="16"/>
          <w:color w:val="auto"/>
        </w:rPr>
        <w:t>needs of our employees. In addition to salaries, these programs include a variety of short and long-term incentive plans such as annual bonuses, equity awards, an Employee Stock Purchase Plan, a 401(k) Plan, healthcare and insurance benefits, health savings and flexible spending accounts, paid time off, family leave, family care resources, flexible work schedules, and employee assistance programs. In addition to our broad-based equity award programs, we have used targeted equity-based grants with vesting conditions to facilitate the retention and engagement of our talent.</w:t>
      </w:r>
    </w:p>
    <w:p>
      <w:pPr>
        <w:spacing w:after="0" w:line="155" w:lineRule="exact"/>
        <w:rPr>
          <w:sz w:val="20"/>
          <w:szCs w:val="20"/>
          <w:color w:val="auto"/>
        </w:rPr>
      </w:pPr>
    </w:p>
    <w:p>
      <w:pPr>
        <w:ind w:right="180" w:firstLine="419"/>
        <w:spacing w:after="0" w:line="243" w:lineRule="auto"/>
        <w:rPr>
          <w:sz w:val="20"/>
          <w:szCs w:val="20"/>
          <w:color w:val="auto"/>
        </w:rPr>
      </w:pPr>
      <w:r>
        <w:rPr>
          <w:rFonts w:ascii="Arial" w:cs="Arial" w:eastAsia="Arial" w:hAnsi="Arial"/>
          <w:sz w:val="18"/>
          <w:szCs w:val="18"/>
          <w:i w:val="1"/>
          <w:iCs w:val="1"/>
          <w:color w:val="auto"/>
        </w:rPr>
        <w:t xml:space="preserve">Talent Development. </w:t>
      </w:r>
      <w:r>
        <w:rPr>
          <w:rFonts w:ascii="Arial" w:cs="Arial" w:eastAsia="Arial" w:hAnsi="Arial"/>
          <w:sz w:val="18"/>
          <w:szCs w:val="18"/>
          <w:color w:val="auto"/>
        </w:rPr>
        <w:t>We believe employees are our greatest asset and we strive to provide development and promotional opportunities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help our employees reach their potential. We provide formal and informal training opportunities designed to enhance learning and development. Consistent with our performance review processes, we foster and encourage continuous manager and employee dialogue around performance and development.</w:t>
      </w:r>
    </w:p>
    <w:p>
      <w:pPr>
        <w:spacing w:after="0" w:line="188" w:lineRule="exact"/>
        <w:rPr>
          <w:sz w:val="20"/>
          <w:szCs w:val="20"/>
          <w:color w:val="auto"/>
        </w:rPr>
      </w:pPr>
    </w:p>
    <w:p>
      <w:pPr>
        <w:ind w:firstLine="419"/>
        <w:spacing w:after="0" w:line="254" w:lineRule="auto"/>
        <w:rPr>
          <w:sz w:val="20"/>
          <w:szCs w:val="20"/>
          <w:color w:val="auto"/>
        </w:rPr>
      </w:pPr>
      <w:r>
        <w:rPr>
          <w:rFonts w:ascii="Arial" w:cs="Arial" w:eastAsia="Arial" w:hAnsi="Arial"/>
          <w:sz w:val="17"/>
          <w:szCs w:val="17"/>
          <w:i w:val="1"/>
          <w:iCs w:val="1"/>
          <w:color w:val="auto"/>
        </w:rPr>
        <w:t xml:space="preserve">Health, Safety and Wellness. </w:t>
      </w:r>
      <w:r>
        <w:rPr>
          <w:rFonts w:ascii="Arial" w:cs="Arial" w:eastAsia="Arial" w:hAnsi="Arial"/>
          <w:sz w:val="17"/>
          <w:szCs w:val="17"/>
          <w:color w:val="auto"/>
        </w:rPr>
        <w:t>We are committed to the health, safety and wellness of our employees. We provide our employees and their families</w:t>
      </w:r>
      <w:r>
        <w:rPr>
          <w:rFonts w:ascii="Arial" w:cs="Arial" w:eastAsia="Arial" w:hAnsi="Arial"/>
          <w:sz w:val="17"/>
          <w:szCs w:val="17"/>
          <w:i w:val="1"/>
          <w:iCs w:val="1"/>
          <w:color w:val="auto"/>
        </w:rPr>
        <w:t xml:space="preserve"> </w:t>
      </w:r>
      <w:r>
        <w:rPr>
          <w:rFonts w:ascii="Arial" w:cs="Arial" w:eastAsia="Arial" w:hAnsi="Arial"/>
          <w:sz w:val="17"/>
          <w:szCs w:val="17"/>
          <w:color w:val="auto"/>
        </w:rPr>
        <w:t>with access to a variety of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 In response to the COVID-19 pandemic, we implemented significant changes that we determined were in the best interest of our employees, as well as the communities in which we operate, and which comply with government regulations. This includes having the vast majority of our employees work from home, while implementing additional safety measures for essential employees who are continuing to perform on-site work, whether at Company facilities or at customer or other third-party locations.</w:t>
      </w:r>
    </w:p>
    <w:p>
      <w:pPr>
        <w:spacing w:after="0" w:line="181" w:lineRule="exact"/>
        <w:rPr>
          <w:sz w:val="20"/>
          <w:szCs w:val="20"/>
          <w:color w:val="auto"/>
        </w:rPr>
      </w:pPr>
    </w:p>
    <w:p>
      <w:pPr>
        <w:jc w:val="both"/>
        <w:ind w:right="140" w:firstLine="419"/>
        <w:spacing w:after="0" w:line="270" w:lineRule="auto"/>
        <w:rPr>
          <w:sz w:val="20"/>
          <w:szCs w:val="20"/>
          <w:color w:val="auto"/>
        </w:rPr>
      </w:pPr>
      <w:r>
        <w:rPr>
          <w:rFonts w:ascii="Arial" w:cs="Arial" w:eastAsia="Arial" w:hAnsi="Arial"/>
          <w:sz w:val="17"/>
          <w:szCs w:val="17"/>
          <w:i w:val="1"/>
          <w:iCs w:val="1"/>
          <w:color w:val="auto"/>
        </w:rPr>
        <w:t xml:space="preserve">Diversity, Equity, and Inclusion. </w:t>
      </w:r>
      <w:r>
        <w:rPr>
          <w:rFonts w:ascii="Arial" w:cs="Arial" w:eastAsia="Arial" w:hAnsi="Arial"/>
          <w:sz w:val="17"/>
          <w:szCs w:val="17"/>
          <w:color w:val="auto"/>
        </w:rPr>
        <w:t>One of our core values is diversity of thought, values, individual characteristics, beliefs and backgrounds. We are</w:t>
      </w:r>
      <w:r>
        <w:rPr>
          <w:rFonts w:ascii="Arial" w:cs="Arial" w:eastAsia="Arial" w:hAnsi="Arial"/>
          <w:sz w:val="17"/>
          <w:szCs w:val="17"/>
          <w:i w:val="1"/>
          <w:iCs w:val="1"/>
          <w:color w:val="auto"/>
        </w:rPr>
        <w:t xml:space="preserve"> </w:t>
      </w:r>
      <w:r>
        <w:rPr>
          <w:rFonts w:ascii="Arial" w:cs="Arial" w:eastAsia="Arial" w:hAnsi="Arial"/>
          <w:sz w:val="17"/>
          <w:szCs w:val="17"/>
          <w:color w:val="auto"/>
        </w:rPr>
        <w:t>an equal opportunity employer and believe that diverse and differentiated views contribute to make us a better organization. It is our conscious effort to support the advancement of women and promote equal opportunity for all our employees within the workplace.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Sight Sciences, Inc. was incorporated as a Delaware corporation in 2010. We completed our initial public offering of our common stock in July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96" w:lineRule="exact"/>
        <w:rPr>
          <w:sz w:val="20"/>
          <w:szCs w:val="20"/>
          <w:color w:val="auto"/>
        </w:rPr>
      </w:pPr>
    </w:p>
    <w:p>
      <w:pPr>
        <w:ind w:right="100" w:firstLine="419"/>
        <w:spacing w:after="0" w:line="241" w:lineRule="auto"/>
        <w:rPr>
          <w:sz w:val="20"/>
          <w:szCs w:val="20"/>
          <w:color w:val="auto"/>
        </w:rPr>
      </w:pPr>
      <w:r>
        <w:rPr>
          <w:rFonts w:ascii="Arial" w:cs="Arial" w:eastAsia="Arial" w:hAnsi="Arial"/>
          <w:sz w:val="18"/>
          <w:szCs w:val="18"/>
          <w:color w:val="auto"/>
        </w:rPr>
        <w:t>Our website is www.sightsciences.com. At our Investor Relations website, investors.sightsciences.com,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or the SEC, pursuant to Section 13(a) or 15(d) of the Exchange Act. The information found on our website is not part of this or any other report we file with, or furnish to, the SEC.</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140" w:firstLine="419"/>
        <w:spacing w:after="0" w:line="27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condensed consolidated financial statements and the accompanying notes thereto included elsewhere in this Annual Report on Form 10-K, before investing in our common stock. Many of the risks and uncertainties are, and will be, exacerbated by the COVID-19 pandemic and any worsening of the global business and economic environment as a result.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We are an early-stage company with a history of significant losses, we expect to incur losses in the future and we may not be able to achieve or sustain profitability.</w:t>
      </w:r>
    </w:p>
    <w:p>
      <w:pPr>
        <w:spacing w:after="0" w:line="63" w:lineRule="exact"/>
        <w:rPr>
          <w:sz w:val="20"/>
          <w:szCs w:val="20"/>
          <w:color w:val="auto"/>
        </w:rPr>
      </w:pPr>
    </w:p>
    <w:p>
      <w:pPr>
        <w:ind w:right="100" w:firstLine="419"/>
        <w:spacing w:after="0" w:line="253" w:lineRule="auto"/>
        <w:rPr>
          <w:sz w:val="20"/>
          <w:szCs w:val="20"/>
          <w:color w:val="auto"/>
        </w:rPr>
      </w:pPr>
      <w:r>
        <w:rPr>
          <w:rFonts w:ascii="Arial" w:cs="Arial" w:eastAsia="Arial" w:hAnsi="Arial"/>
          <w:sz w:val="17"/>
          <w:szCs w:val="17"/>
          <w:color w:val="auto"/>
        </w:rPr>
        <w:t>We have incurred annual net losses since our formation in 2010. For the years ended December 31, 2021 and 2020, we had net losses of $63.0 million and $34.7 million, respectively. As of December 31, 2021, we had an accumulated deficit of $153.0 million. To date, we have financed our operations primarily through equity and debt financings and from sales of our products, the OMNI® Surgical System, or OMNI, a device that enables canaloplasty followed by trabeculotomy for the reduction of intraocular pressure in adult patients with primary open-angle glaucoma, or POAG, and our TearCare® System, or TearCare, which is indicated for the application of localized heat therapy in adult patients with evaporative dry eye disease, or DED, due to meibomian gland dysfunction, or MGD, when used in conjunction with manual expression of the meibomian glands. The losses and accumulated deficit have primarily been due to the substantial investments we have made to develop our products, costs related to our sales and marketing efforts, general research and development expenses, including costs related to clinical trials and regulatory initiatives to obtain marketing clearance, and infrastructure improvements.</w:t>
      </w:r>
    </w:p>
    <w:p>
      <w:pPr>
        <w:spacing w:after="0" w:line="184" w:lineRule="exact"/>
        <w:rPr>
          <w:sz w:val="20"/>
          <w:szCs w:val="20"/>
          <w:color w:val="auto"/>
        </w:rPr>
      </w:pPr>
    </w:p>
    <w:p>
      <w:pPr>
        <w:ind w:firstLine="419"/>
        <w:spacing w:after="0"/>
        <w:rPr>
          <w:sz w:val="20"/>
          <w:szCs w:val="20"/>
          <w:color w:val="auto"/>
        </w:rPr>
      </w:pPr>
      <w:r>
        <w:rPr>
          <w:rFonts w:ascii="Arial" w:cs="Arial" w:eastAsia="Arial" w:hAnsi="Arial"/>
          <w:sz w:val="18"/>
          <w:szCs w:val="18"/>
          <w:color w:val="auto"/>
        </w:rPr>
        <w:t>In addition, as a public company, we incur significant legal, accounting and other expenses that we did not incur as a private company. Accordingly, we expect to continue to incur losses for the foreseeable future and we cannot assure you that we will ever achieve profitability or that, if we do become profitable, we will sustain profitability. Our failure to achieve and sustain profitability in the future would make it more difficult to finance our business and accomplish our strategic objectives, which would have a material adverse effect on our business, financial condition and results of operations. In addition, failure of our products to significantly penetrate our target markets would negatively affect our business, financial condition and results of operations.</w:t>
      </w:r>
    </w:p>
    <w:p>
      <w:pPr>
        <w:spacing w:after="0" w:line="189"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b w:val="1"/>
          <w:bCs w:val="1"/>
          <w:i w:val="1"/>
          <w:iCs w:val="1"/>
          <w:color w:val="auto"/>
        </w:rPr>
        <w:t>Our revenue has been primarily generated from the sales of our products and is expected to continue to be so generated for the near future, and we are therefore highly dependent on the success of those products, and particularly on OMNI. We have limited commercial sales experience regarding our products, which makes it difficult to evaluate our current business, predict our future prospects and forecast our financial performance and growth.</w:t>
      </w:r>
    </w:p>
    <w:p>
      <w:pPr>
        <w:spacing w:after="0" w:line="80" w:lineRule="exact"/>
        <w:rPr>
          <w:sz w:val="20"/>
          <w:szCs w:val="20"/>
          <w:color w:val="auto"/>
        </w:rPr>
      </w:pPr>
    </w:p>
    <w:p>
      <w:pPr>
        <w:ind w:right="60" w:firstLine="419"/>
        <w:spacing w:after="0" w:line="239" w:lineRule="auto"/>
        <w:rPr>
          <w:sz w:val="20"/>
          <w:szCs w:val="20"/>
          <w:color w:val="auto"/>
        </w:rPr>
      </w:pPr>
      <w:r>
        <w:rPr>
          <w:rFonts w:ascii="Arial" w:cs="Arial" w:eastAsia="Arial" w:hAnsi="Arial"/>
          <w:sz w:val="18"/>
          <w:szCs w:val="18"/>
          <w:color w:val="auto"/>
        </w:rPr>
        <w:t>We began selling VISCO360 and TRAB360, commercial predicate devices to OMNI, in 2015 and TearCare in 2019 and therefore do not have a long history operating as a commercial company. Currently, we are highly dependent on the success of OMNI and TearCare. To date, our revenue has primarily been derived, and we expect it to continue to be substantially derived in the near future, from sales of our Surgical Glaucoma and Dry Eye products. We are particularly dependent on the success of OMNI, which accounted for 95% of our total revenues for the year ended December 31, 2021. Because we devote substantially all of our resources to these products and rely on them as our sole source of revenue, any factors that negatively impact our products, and particularly OMNI, or result in a decrease in sales, could have a material adverse effect on our business, financial condition and results of operations.</w:t>
      </w:r>
    </w:p>
    <w:p>
      <w:pPr>
        <w:spacing w:after="0" w:line="191" w:lineRule="exact"/>
        <w:rPr>
          <w:sz w:val="20"/>
          <w:szCs w:val="20"/>
          <w:color w:val="auto"/>
        </w:rPr>
      </w:pPr>
    </w:p>
    <w:p>
      <w:pPr>
        <w:ind w:right="160" w:firstLine="419"/>
        <w:spacing w:after="0" w:line="284" w:lineRule="auto"/>
        <w:rPr>
          <w:sz w:val="20"/>
          <w:szCs w:val="20"/>
          <w:color w:val="auto"/>
        </w:rPr>
      </w:pPr>
      <w:r>
        <w:rPr>
          <w:rFonts w:ascii="Arial" w:cs="Arial" w:eastAsia="Arial" w:hAnsi="Arial"/>
          <w:sz w:val="16"/>
          <w:szCs w:val="16"/>
          <w:color w:val="auto"/>
        </w:rPr>
        <w:t>Over the next several years, we expect to continue to devote a substantial amount of resources to expand our commercialization efforts, drive increased adoption of our products and continue to develop new and improved products. Our limited commercialization experience and limited number of products make it difficult to evaluate our current business and predict our future prospects. These factors also make it difficult for us to forecast our future financial performance and growth, and such forecasts are subject to a number of uncertainties, including our ability to successfully complete</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4" w:right="399" w:bottom="1440" w:gutter="0" w:footer="0" w:header="0"/>
        </w:sectPr>
      </w:pPr>
    </w:p>
    <w:bookmarkStart w:id="38" w:name="page39"/>
    <w:bookmarkEnd w:id="38"/>
    <w:p>
      <w:pPr>
        <w:spacing w:after="0" w:line="261" w:lineRule="auto"/>
        <w:rPr>
          <w:sz w:val="20"/>
          <w:szCs w:val="20"/>
          <w:color w:val="auto"/>
        </w:rPr>
      </w:pPr>
      <w:r>
        <w:rPr>
          <w:rFonts w:ascii="Arial" w:cs="Arial" w:eastAsia="Arial" w:hAnsi="Arial"/>
          <w:sz w:val="18"/>
          <w:szCs w:val="18"/>
          <w:color w:val="auto"/>
        </w:rPr>
        <w:t>preclinical studies and clinical trials or investigations and obtain FDA pre-market clearance or similar clearance, approval, or certification for our current products and for future planned products or changes to existing products.</w:t>
      </w:r>
    </w:p>
    <w:p>
      <w:pPr>
        <w:spacing w:after="0" w:line="171" w:lineRule="exact"/>
        <w:rPr>
          <w:sz w:val="20"/>
          <w:szCs w:val="20"/>
          <w:color w:val="auto"/>
        </w:rPr>
      </w:pPr>
    </w:p>
    <w:p>
      <w:pPr>
        <w:ind w:firstLine="419"/>
        <w:spacing w:after="0" w:line="243" w:lineRule="auto"/>
        <w:rPr>
          <w:sz w:val="20"/>
          <w:szCs w:val="20"/>
          <w:color w:val="auto"/>
        </w:rPr>
      </w:pPr>
      <w:r>
        <w:rPr>
          <w:rFonts w:ascii="Arial" w:cs="Arial" w:eastAsia="Arial" w:hAnsi="Arial"/>
          <w:sz w:val="18"/>
          <w:szCs w:val="18"/>
          <w:color w:val="auto"/>
        </w:rPr>
        <w:t>Ophthalmologist and optometrist (together, eyecare professionals or ECPs) awareness of, and experience with, our products is currently limited. As a result, our products have limited product and brand recognition within the ophthalmic industry. The novelty of our products, together with our limited commercialization experience, makes it difficult to evaluate our current business and predict our future prospects. A number of factors, including some outside of our control, may contribute to fluctuations in our financial results, including:</w:t>
      </w:r>
    </w:p>
    <w:p>
      <w:pPr>
        <w:spacing w:after="0" w:line="188" w:lineRule="exact"/>
        <w:rPr>
          <w:sz w:val="20"/>
          <w:szCs w:val="20"/>
          <w:color w:val="auto"/>
        </w:rPr>
      </w:pPr>
    </w:p>
    <w:p>
      <w:pPr>
        <w:ind w:left="800" w:hanging="283"/>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ECP and patient demand for our products;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and maintain reimbursement coverage for procedures in which our products are used;</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reimbursement rates by government or commercial payors;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our clinical trials or investigations;</w:t>
      </w:r>
    </w:p>
    <w:p>
      <w:pPr>
        <w:spacing w:after="0" w:line="103" w:lineRule="exact"/>
        <w:rPr>
          <w:rFonts w:ascii="Arial" w:cs="Arial" w:eastAsia="Arial" w:hAnsi="Arial"/>
          <w:sz w:val="18"/>
          <w:szCs w:val="18"/>
          <w:color w:val="auto"/>
        </w:rPr>
      </w:pPr>
    </w:p>
    <w:p>
      <w:pPr>
        <w:ind w:left="800" w:right="1080" w:hanging="283"/>
        <w:spacing w:after="0" w:line="261"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Positive or negative media coverage, or public, patient and/or physician perception, of our products or competing products and treatments;</w:t>
      </w:r>
    </w:p>
    <w:p>
      <w:pPr>
        <w:spacing w:after="0" w:line="62" w:lineRule="exact"/>
        <w:rPr>
          <w:rFonts w:ascii="Arial" w:cs="Arial" w:eastAsia="Arial" w:hAnsi="Arial"/>
          <w:sz w:val="18"/>
          <w:szCs w:val="18"/>
          <w:color w:val="auto"/>
        </w:rPr>
      </w:pPr>
    </w:p>
    <w:p>
      <w:pPr>
        <w:ind w:left="800" w:right="700" w:hanging="283"/>
        <w:spacing w:after="0" w:line="261"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safety or effectiveness concerns that arise regarding our products for either their currently authorized uses or the uses for which we are developing our products;</w:t>
      </w:r>
    </w:p>
    <w:p>
      <w:pPr>
        <w:spacing w:after="0" w:line="62" w:lineRule="exact"/>
        <w:rPr>
          <w:rFonts w:ascii="Arial" w:cs="Arial" w:eastAsia="Arial" w:hAnsi="Arial"/>
          <w:sz w:val="18"/>
          <w:szCs w:val="18"/>
          <w:color w:val="auto"/>
        </w:rPr>
      </w:pPr>
    </w:p>
    <w:p>
      <w:pPr>
        <w:ind w:left="800" w:right="1640" w:hanging="283"/>
        <w:spacing w:after="0" w:line="261"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marketing and sales efforts, including our ability to have a sufficient number of qualified sales representatives to sell our products;</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delays in product development or product launches;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raise additional capital on acceptable terms, or at all, if needed to support the commercialization of our products;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achieve and maintain compliance with all legal and regulatory requirements applicable to our products;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w:t>
      </w:r>
    </w:p>
    <w:p>
      <w:pPr>
        <w:spacing w:after="0" w:line="103" w:lineRule="exact"/>
        <w:rPr>
          <w:rFonts w:ascii="Arial" w:cs="Arial" w:eastAsia="Arial" w:hAnsi="Arial"/>
          <w:sz w:val="18"/>
          <w:szCs w:val="18"/>
          <w:color w:val="auto"/>
        </w:rPr>
      </w:pPr>
    </w:p>
    <w:p>
      <w:pPr>
        <w:ind w:left="800" w:right="1120" w:hanging="283"/>
        <w:spacing w:after="0" w:line="261"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third-party manufacturers’ ability to supply our products in a timely manner, in accordance with our specifications, and in compliance with applicable regulatory requirements; and</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Introduction of new products or alternative treatments that compete with our products.</w:t>
      </w:r>
    </w:p>
    <w:p>
      <w:pPr>
        <w:spacing w:after="0" w:line="104" w:lineRule="exact"/>
        <w:rPr>
          <w:sz w:val="20"/>
          <w:szCs w:val="20"/>
          <w:color w:val="auto"/>
        </w:rPr>
      </w:pPr>
    </w:p>
    <w:p>
      <w:pPr>
        <w:ind w:right="80" w:firstLine="419"/>
        <w:spacing w:after="0" w:line="243" w:lineRule="auto"/>
        <w:rPr>
          <w:sz w:val="20"/>
          <w:szCs w:val="20"/>
          <w:color w:val="auto"/>
        </w:rPr>
      </w:pPr>
      <w:r>
        <w:rPr>
          <w:rFonts w:ascii="Arial" w:cs="Arial" w:eastAsia="Arial" w:hAnsi="Arial"/>
          <w:sz w:val="18"/>
          <w:szCs w:val="18"/>
          <w:color w:val="auto"/>
        </w:rPr>
        <w:t>It is therefore difficult to predict our future financial performance and growth, and such forecasts are inherently limited and subject to a number of uncertainties.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the broad adoption of our products by ECPs and patients.</w:t>
      </w:r>
    </w:p>
    <w:p>
      <w:pPr>
        <w:spacing w:after="0" w:line="104" w:lineRule="exact"/>
        <w:rPr>
          <w:sz w:val="20"/>
          <w:szCs w:val="20"/>
          <w:color w:val="auto"/>
        </w:rPr>
      </w:pPr>
    </w:p>
    <w:p>
      <w:pPr>
        <w:ind w:right="40" w:firstLine="419"/>
        <w:spacing w:after="0" w:line="241" w:lineRule="auto"/>
        <w:rPr>
          <w:sz w:val="20"/>
          <w:szCs w:val="20"/>
          <w:color w:val="auto"/>
        </w:rPr>
      </w:pPr>
      <w:r>
        <w:rPr>
          <w:rFonts w:ascii="Arial" w:cs="Arial" w:eastAsia="Arial" w:hAnsi="Arial"/>
          <w:sz w:val="18"/>
          <w:szCs w:val="18"/>
          <w:color w:val="auto"/>
        </w:rPr>
        <w:t>Our future growth and profitability largely depend on our ability to increase ECP and patient awareness of our products and on the willingness of ECPs and patients to adopt our products. ECPs may not adopt our products unless they are able to determine, based on experience, clinical data, medical society recommendations and other analyses, that our products are clinically differentiated from, or otherwise preferable to, available alternatives. Even if we are able to raise awareness among ECPs, they may be slow to change their medical treatment practices and may be hesitant to select our products for a variety of reasons, including:</w:t>
      </w:r>
    </w:p>
    <w:p>
      <w:pPr>
        <w:spacing w:after="0" w:line="189" w:lineRule="exact"/>
        <w:rPr>
          <w:sz w:val="20"/>
          <w:szCs w:val="20"/>
          <w:color w:val="auto"/>
        </w:rPr>
      </w:pPr>
    </w:p>
    <w:p>
      <w:pPr>
        <w:ind w:left="800" w:hanging="283"/>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experience with our products and concerns that we are relatively new to market;</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Perceived liability risk generally associated with the use of new products and treatment options;</w:t>
      </w:r>
    </w:p>
    <w:p>
      <w:pPr>
        <w:spacing w:after="0" w:line="103" w:lineRule="exact"/>
        <w:rPr>
          <w:rFonts w:ascii="Arial" w:cs="Arial" w:eastAsia="Arial" w:hAnsi="Arial"/>
          <w:sz w:val="18"/>
          <w:szCs w:val="18"/>
          <w:color w:val="auto"/>
        </w:rPr>
      </w:pPr>
    </w:p>
    <w:p>
      <w:pPr>
        <w:ind w:left="800" w:right="1540" w:hanging="283"/>
        <w:spacing w:after="0" w:line="261"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or perceived lack, of sufficient clinical evidence, including long-term data, supporting clinical benefits or the cost-effectiveness of our products over existing treatments;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8" w:right="439" w:bottom="1440" w:gutter="0" w:footer="0" w:header="0"/>
        </w:sectPr>
      </w:pPr>
    </w:p>
    <w:bookmarkStart w:id="39" w:name="page40"/>
    <w:bookmarkEnd w:id="39"/>
    <w:p>
      <w:pPr>
        <w:ind w:left="800" w:right="1140" w:hanging="283"/>
        <w:spacing w:after="0" w:line="324"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failure of key ophthalmologist and optometrist leaders to provide recommendations regarding our products, or to assure physicians, patients and healthcare payors of the benefits of our products as an attractive alternative to other treatment options;</w:t>
      </w:r>
    </w:p>
    <w:p>
      <w:pPr>
        <w:spacing w:after="0" w:line="16" w:lineRule="exact"/>
        <w:rPr>
          <w:rFonts w:ascii="Arial" w:cs="Arial" w:eastAsia="Arial" w:hAnsi="Arial"/>
          <w:sz w:val="16"/>
          <w:szCs w:val="16"/>
          <w:color w:val="auto"/>
        </w:rPr>
      </w:pPr>
    </w:p>
    <w:p>
      <w:pPr>
        <w:ind w:left="800" w:hanging="283"/>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Perceptions that our products are unproven;</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ECPs' long-standing relationships with companies, distributors and salespeople that sell competing products;</w:t>
      </w:r>
    </w:p>
    <w:p>
      <w:pPr>
        <w:spacing w:after="0" w:line="103" w:lineRule="exact"/>
        <w:rPr>
          <w:rFonts w:ascii="Arial" w:cs="Arial" w:eastAsia="Arial" w:hAnsi="Arial"/>
          <w:sz w:val="18"/>
          <w:szCs w:val="18"/>
          <w:color w:val="auto"/>
        </w:rPr>
      </w:pPr>
    </w:p>
    <w:p>
      <w:pPr>
        <w:ind w:left="800" w:right="820" w:hanging="283"/>
        <w:spacing w:after="0" w:line="261"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availability of adequate third-party payor coverage or reimbursement, or changes in (or new) third-party payor coverage or reimbursement policies that are materially adverse to the Company's interest;</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response and negative selling efforts from providers of alternative treatments;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of integrating TearCare into established ophthalmologic and optometric practices; and</w:t>
      </w:r>
    </w:p>
    <w:p>
      <w:pPr>
        <w:spacing w:after="0" w:line="103" w:lineRule="exact"/>
        <w:rPr>
          <w:rFonts w:ascii="Arial" w:cs="Arial" w:eastAsia="Arial" w:hAnsi="Arial"/>
          <w:sz w:val="18"/>
          <w:szCs w:val="18"/>
          <w:color w:val="auto"/>
        </w:rPr>
      </w:pPr>
    </w:p>
    <w:p>
      <w:pPr>
        <w:ind w:left="800" w:right="760" w:hanging="283"/>
        <w:spacing w:after="0" w:line="261"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Perceptions regarding the time commitment and skill development that may be required to gain familiarity and proficiency with our products.</w:t>
      </w:r>
    </w:p>
    <w:p>
      <w:pPr>
        <w:spacing w:after="0" w:line="171" w:lineRule="exact"/>
        <w:rPr>
          <w:sz w:val="20"/>
          <w:szCs w:val="20"/>
          <w:color w:val="auto"/>
        </w:rPr>
      </w:pPr>
    </w:p>
    <w:p>
      <w:pPr>
        <w:ind w:firstLine="446"/>
        <w:spacing w:after="0" w:line="268" w:lineRule="auto"/>
        <w:rPr>
          <w:sz w:val="20"/>
          <w:szCs w:val="20"/>
          <w:color w:val="auto"/>
        </w:rPr>
      </w:pPr>
      <w:r>
        <w:rPr>
          <w:rFonts w:ascii="Arial" w:cs="Arial" w:eastAsia="Arial" w:hAnsi="Arial"/>
          <w:sz w:val="16"/>
          <w:szCs w:val="16"/>
          <w:color w:val="auto"/>
        </w:rPr>
        <w:t>To effectively market and sell our products, we will need to continue to educate the medical community about the safety, efficacy, necessity and efficiency of our products and about the patient populations that would potentially benefit from the use of our products. We focus our sales, marketing and education efforts primarily on our target ECP providers, ambulatory surgery centers, hospital outpatient departments and potential patient populations. However, we cannot assure you that we will achieve broad education or market acceptance. For example, if first-line ECPs or primary care physicians that serve as the early point of contact for patients are not made aware of our OMNI products, they may not refer patients to ECPs who utilize our products, and those patients may be treated with alternative procedures or treatments. In addition, some physicians may choose to utilize our products on only a subset of their total patient population or may not adopt our products at all. If we are not able to effectively demonstrate that our products are beneficial for a broad range of patients, adoption of our products will be limited and may not occur as rapidly as we anticipate or at all, which would have a material adverse effect on our business, financial condition and results of operations. Further, if we are unable to obtain or maintain favorable third-party reimbursement coverage of procedures in which our OMNI product is used, if we are unable to obtain favorable reimbursement for procedures in which TearCare is used, or if competitive products obtain comparatively favorable third-party reimbursement coverage as compared to our products, adoption of our products by ECPs and patients will suffer. We cannot assure you that our products will achieve broad market acceptance among payors, physicians and patients. Any failure of our products to satisfy demand or to achieve meaningful market acceptance and penetration will harm our future prospects and have a material adverse effect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OMNI and TearCare depends upon appropriate physician training, practice and patient selection.</w:t>
      </w:r>
    </w:p>
    <w:p>
      <w:pPr>
        <w:spacing w:after="0" w:line="104" w:lineRule="exact"/>
        <w:rPr>
          <w:sz w:val="20"/>
          <w:szCs w:val="20"/>
          <w:color w:val="auto"/>
        </w:rPr>
      </w:pPr>
    </w:p>
    <w:p>
      <w:pPr>
        <w:ind w:right="40" w:firstLine="419"/>
        <w:spacing w:after="0" w:line="255" w:lineRule="auto"/>
        <w:rPr>
          <w:sz w:val="20"/>
          <w:szCs w:val="20"/>
          <w:color w:val="auto"/>
        </w:rPr>
      </w:pPr>
      <w:r>
        <w:rPr>
          <w:rFonts w:ascii="Arial" w:cs="Arial" w:eastAsia="Arial" w:hAnsi="Arial"/>
          <w:sz w:val="17"/>
          <w:szCs w:val="17"/>
          <w:color w:val="auto"/>
        </w:rPr>
        <w:t>The success of our products depends in part on the skill of the ECPs utilizing and administering products to treat patients and on their adherence to our stated patient selection criteria and the proper techniques that we provide in training sessions. We train ECPs on the correct use of OMNI. However, ECPs rely on their previous medical training and experience when performing ophthalmic surgical procedures and may deviate from the techniques we provide in training sessions. Furthermore, we cannot guarantee that all such ECPs who use OMNI will have the necessary skills or experience to safely and effectively perform these procedures. Similarly, though we train ECPs to ensure correct use of TearCare, including placement of TearCare SmartLids on patients’ eyelids and expression of the patients' meibomian glands, we cannot guarantee that all such ECPs will have the necessary skills or experience to safely and effectively use these devices.</w:t>
      </w:r>
    </w:p>
    <w:p>
      <w:pPr>
        <w:spacing w:after="0" w:line="180" w:lineRule="exact"/>
        <w:rPr>
          <w:sz w:val="20"/>
          <w:szCs w:val="20"/>
          <w:color w:val="auto"/>
        </w:rPr>
      </w:pPr>
    </w:p>
    <w:p>
      <w:pPr>
        <w:ind w:right="40" w:firstLine="419"/>
        <w:spacing w:after="0" w:line="255" w:lineRule="auto"/>
        <w:rPr>
          <w:sz w:val="20"/>
          <w:szCs w:val="20"/>
          <w:color w:val="auto"/>
        </w:rPr>
      </w:pPr>
      <w:r>
        <w:rPr>
          <w:rFonts w:ascii="Arial" w:cs="Arial" w:eastAsia="Arial" w:hAnsi="Arial"/>
          <w:sz w:val="17"/>
          <w:szCs w:val="17"/>
          <w:color w:val="auto"/>
        </w:rPr>
        <w:t>We do not control which physicians utilize these medical devices in their treatments or how much training they receive, and physicians who have not completed our training sessions may nonetheless attempt to use OMNI as part of an ophthalmic surgical procedure or use TearCare to apply localized heat. In addition, a perception by physicians that OMNI or TearCare are difficult to use may negatively impact adoption by ECPs. If ECPs utilize these devices in a manner that is inconsistent with our labeled indications or with components that are not part of our products, such as viscoelastic fluid that is incompatible with OMNI, or without adhering to or completing our training sessions, the patient outcomes may be negative. This could negatively impact the perception of patient benefits and safety associated with OMNI and TearCare and limit adoption of our devices, which would have a material adverse effect on our business, financial condition and results of operations.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40" w:name="page41"/>
    <w:bookmarkEnd w:id="40"/>
    <w:p>
      <w:pPr>
        <w:ind w:right="20"/>
        <w:spacing w:after="0" w:line="243" w:lineRule="auto"/>
        <w:rPr>
          <w:sz w:val="20"/>
          <w:szCs w:val="20"/>
          <w:color w:val="auto"/>
        </w:rPr>
      </w:pPr>
      <w:r>
        <w:rPr>
          <w:rFonts w:ascii="Arial" w:cs="Arial" w:eastAsia="Arial" w:hAnsi="Arial"/>
          <w:sz w:val="18"/>
          <w:szCs w:val="18"/>
          <w:b w:val="1"/>
          <w:bCs w:val="1"/>
          <w:i w:val="1"/>
          <w:iCs w:val="1"/>
          <w:color w:val="auto"/>
        </w:rPr>
        <w:t>Development of TearCare for expanded indications depends upon positive clinical data, and the safety and efficacy of our products for the intended uses for which we intend to seek clearance, certification or approval are not yet supported by long-term clinical data, which could delay or prevent clearance by the FDA (or other foreign authorities or notified bodies) or limit sales if cleared, certified or approved and our products might therefore prove to be less safe or effective than initially thought.</w:t>
      </w:r>
    </w:p>
    <w:p>
      <w:pPr>
        <w:spacing w:after="0" w:line="80" w:lineRule="exact"/>
        <w:rPr>
          <w:sz w:val="20"/>
          <w:szCs w:val="20"/>
          <w:color w:val="auto"/>
        </w:rPr>
      </w:pPr>
    </w:p>
    <w:p>
      <w:pPr>
        <w:ind w:firstLine="419"/>
        <w:spacing w:after="0" w:line="248" w:lineRule="auto"/>
        <w:rPr>
          <w:sz w:val="20"/>
          <w:szCs w:val="20"/>
          <w:color w:val="auto"/>
        </w:rPr>
      </w:pPr>
      <w:r>
        <w:rPr>
          <w:rFonts w:ascii="Arial" w:cs="Arial" w:eastAsia="Arial" w:hAnsi="Arial"/>
          <w:sz w:val="18"/>
          <w:szCs w:val="18"/>
          <w:color w:val="auto"/>
        </w:rPr>
        <w:t>We received clearance from the FDA for our TearCare product in December 2021 for the application of localized heat therapy in adult patients with evaporative dry eye disease (DED) due to meibomian gland dysfunction (MGD), when used in conjunction with manual expression of the meibomian glands, and we intend to continue to develop TearCare for expanded indications in the future.</w:t>
      </w:r>
    </w:p>
    <w:p>
      <w:pPr>
        <w:spacing w:after="0" w:line="182" w:lineRule="exact"/>
        <w:rPr>
          <w:sz w:val="20"/>
          <w:szCs w:val="20"/>
          <w:color w:val="auto"/>
        </w:rPr>
      </w:pPr>
    </w:p>
    <w:p>
      <w:pPr>
        <w:ind w:right="20" w:firstLine="419"/>
        <w:spacing w:after="0" w:line="252" w:lineRule="auto"/>
        <w:rPr>
          <w:sz w:val="20"/>
          <w:szCs w:val="20"/>
          <w:color w:val="auto"/>
        </w:rPr>
      </w:pPr>
      <w:r>
        <w:rPr>
          <w:rFonts w:ascii="Arial" w:cs="Arial" w:eastAsia="Arial" w:hAnsi="Arial"/>
          <w:sz w:val="17"/>
          <w:szCs w:val="17"/>
          <w:color w:val="auto"/>
        </w:rPr>
        <w:t>We are conducting and intend to continue conducting additional clinical trials or investigations to develop our devices for expanded indications. Historical clinical results, including interim results, are not necessarily predictive of future clinical results, and we cannot assure you that the results reported in these studies will be consistent with, or better than, currently available clinical data. Moreover, the outcomes and updates resulting from these studies, including interim results, may be compared to the results of other products and treatments for POAG or MGD, and if the comparisons are not favorable, it may limit the ability to obtain clearance, certification or approval of the devices for the expanded indications for which we intend to seek clearance, certification or approval, as well as adoption of our products for their current authorized uses. In addition, our competitors and other third parties may also conduct clinical trials or investigations of our products without our participation. Unfavorable or inconsistent clinical data from existing or future clinical trials or investigations conducted by us, our competitors or other third parties, the interpretation of our clinical data or findings of new or more frequent adverse events, could subject us to mandatory or voluntary product recalls, suspension or withdrawal of FDA or other clearance, certification or approval, significant legal liability or harm to our business reputation and could have a material adverse effect on our business, financial condition and results of operations.</w:t>
      </w:r>
    </w:p>
    <w:p>
      <w:pPr>
        <w:spacing w:after="0" w:line="186" w:lineRule="exact"/>
        <w:rPr>
          <w:sz w:val="20"/>
          <w:szCs w:val="20"/>
          <w:color w:val="auto"/>
        </w:rPr>
      </w:pPr>
    </w:p>
    <w:p>
      <w:pPr>
        <w:ind w:right="20" w:firstLine="419"/>
        <w:spacing w:after="0" w:line="254" w:lineRule="auto"/>
        <w:rPr>
          <w:sz w:val="20"/>
          <w:szCs w:val="20"/>
          <w:color w:val="auto"/>
        </w:rPr>
      </w:pPr>
      <w:r>
        <w:rPr>
          <w:rFonts w:ascii="Arial" w:cs="Arial" w:eastAsia="Arial" w:hAnsi="Arial"/>
          <w:sz w:val="17"/>
          <w:szCs w:val="17"/>
          <w:color w:val="auto"/>
        </w:rPr>
        <w:t>Our products will be adopted and compete, in part, based on long-term data regarding patient outcomes and the risk of our products relative to other treatment options. The long-term clinical outcomes of the use of OMNI for its cleared uses are not known and, due to the novelty of our products, there is no long-term data regarding patient outcomes beyond our clinical trials or investigations. The results of short-term clinical experience of our products do not necessarily predict long-term clinical outcomes. We believe that ECPs will compare the rates of long-term clinical outcomes for procedures using our products for their authorized uses against alternative procedures and treatment options. If the long-term data does not meet ECPs’ expectations, or if the long-term data indicates that our products are not as safe or effective as other treatment options or as current short-term data would suggest, physicians may recommend alternative treatments for their patients and our products may not become widely adopted, which will negatively affect our business, financial condition and results of operations.</w:t>
      </w:r>
    </w:p>
    <w:p>
      <w:pPr>
        <w:spacing w:after="0" w:line="18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The safety and efficacy of some of our products is not yet supported by long-term clinical data, which could limit sales, and our products might therefore prove to be less safe or effective than initially thought.</w:t>
      </w:r>
    </w:p>
    <w:p>
      <w:pPr>
        <w:spacing w:after="0" w:line="63" w:lineRule="exact"/>
        <w:rPr>
          <w:sz w:val="20"/>
          <w:szCs w:val="20"/>
          <w:color w:val="auto"/>
        </w:rPr>
      </w:pPr>
    </w:p>
    <w:p>
      <w:pPr>
        <w:ind w:right="40" w:firstLine="419"/>
        <w:spacing w:after="0" w:line="239" w:lineRule="auto"/>
        <w:rPr>
          <w:sz w:val="20"/>
          <w:szCs w:val="20"/>
          <w:color w:val="auto"/>
        </w:rPr>
      </w:pPr>
      <w:r>
        <w:rPr>
          <w:rFonts w:ascii="Arial" w:cs="Arial" w:eastAsia="Arial" w:hAnsi="Arial"/>
          <w:sz w:val="18"/>
          <w:szCs w:val="18"/>
          <w:color w:val="auto"/>
        </w:rPr>
        <w:t>The products that we market in the United States are regulated as medical devices by the FDA. OMNI and TearCare have received premarket clearance under Section 510(k) of the Federal Food, Drug, and Cosmetic Act, or the FDCA.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application and later down-classified, or a 510(k)-exempt device. This process is typically shorter and generally requires the submission of less supporting documentation than the FDA’s PMA process and does not always require long-term clinical studies.</w:t>
      </w:r>
    </w:p>
    <w:p>
      <w:pPr>
        <w:spacing w:after="0" w:line="191" w:lineRule="exact"/>
        <w:rPr>
          <w:sz w:val="20"/>
          <w:szCs w:val="20"/>
          <w:color w:val="auto"/>
        </w:rPr>
      </w:pPr>
    </w:p>
    <w:p>
      <w:pPr>
        <w:ind w:right="40" w:firstLine="419"/>
        <w:spacing w:after="0" w:line="254" w:lineRule="auto"/>
        <w:rPr>
          <w:sz w:val="20"/>
          <w:szCs w:val="20"/>
          <w:color w:val="auto"/>
        </w:rPr>
      </w:pPr>
      <w:r>
        <w:rPr>
          <w:rFonts w:ascii="Arial" w:cs="Arial" w:eastAsia="Arial" w:hAnsi="Arial"/>
          <w:sz w:val="17"/>
          <w:szCs w:val="17"/>
          <w:color w:val="auto"/>
        </w:rPr>
        <w:t>In the European Union, or EU, manufacturers of medical devices are required by the Medical Devices Regulation to collect post-marketing clinical data in relation to their CE marked medical devices. Post-market surveillance includes the conduct of post-market clinical follow-up studies permitting manufacturers to gather information concerning quality, safety or performance of medical devices after they have been placed on the market in the EU. All information collected as part of the post-market surveillance process must be reviewed, investigated and analyzed on a regular basis in order to determine whether trending conclusions can be made concerning the safety or performance of the medical device and decisions must be taken in relation to the continued marketing of medical devices currently on the market. We expect to incur ongoing costs to comply with these post-market clinical obligations in EU markets for so long as we continue to market and sell products in those markets, as well as in the European Economic Area, or EEA, markets (also including Norway, Liechtenstein, and Iceland).</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41" w:name="page42"/>
    <w:bookmarkEnd w:id="41"/>
    <w:p>
      <w:pPr>
        <w:ind w:right="60" w:firstLine="419"/>
        <w:spacing w:after="0" w:line="274" w:lineRule="auto"/>
        <w:rPr>
          <w:sz w:val="20"/>
          <w:szCs w:val="20"/>
          <w:color w:val="auto"/>
        </w:rPr>
      </w:pPr>
      <w:r>
        <w:rPr>
          <w:rFonts w:ascii="Arial" w:cs="Arial" w:eastAsia="Arial" w:hAnsi="Arial"/>
          <w:sz w:val="16"/>
          <w:szCs w:val="16"/>
          <w:color w:val="auto"/>
        </w:rPr>
        <w:t>We are conducting and intend to continue conducting additional clinical trials, including clinical trials to develop TearCare for expanded indications. In addition, our competitors and other third parties may also conduct clinical trials of our products without our participation. If future patient studies or clinical testing do not support our belief that our products are advantageous for their intended uses, market acceptance of our products could fail to increase or could decrease and our business could be harmed. Moreover, if future results and experience by us, our competitors or other third parties, indicate that our products cause unexpected or serious complications or other unforeseen negative effects, we could be subject to mandatory or voluntary product recalls, suspension or withdrawal of FDA or other governmental clearance or approval or certifications, significant legal liability or harm to our business reputation, which could have a material adverse effect on our business, financial condition and results of operations.</w:t>
      </w:r>
    </w:p>
    <w:p>
      <w:pPr>
        <w:spacing w:after="0" w:line="163" w:lineRule="exact"/>
        <w:rPr>
          <w:sz w:val="20"/>
          <w:szCs w:val="20"/>
          <w:color w:val="auto"/>
        </w:rPr>
      </w:pPr>
    </w:p>
    <w:p>
      <w:pPr>
        <w:ind w:right="200" w:firstLine="419"/>
        <w:spacing w:after="0" w:line="241" w:lineRule="auto"/>
        <w:rPr>
          <w:sz w:val="20"/>
          <w:szCs w:val="20"/>
          <w:color w:val="auto"/>
        </w:rPr>
      </w:pPr>
      <w:r>
        <w:rPr>
          <w:rFonts w:ascii="Arial" w:cs="Arial" w:eastAsia="Arial" w:hAnsi="Arial"/>
          <w:sz w:val="18"/>
          <w:szCs w:val="18"/>
          <w:color w:val="auto"/>
        </w:rPr>
        <w:t>We believe that ECPs will compare the rates of long-term clinical outcomes for procedures using our products for their authorized uses against alternative procedures and treatment options. If we choose to, or are required to, conduct additional studies, equivocal or unfavorable results from such studies or experience could lead to a reduction in the rate of coverage and reimbursement by both public and private third-party payors for procedures that are performed with our products, slow market adoption of our products by ECPs, significantly reduce our ability to achieve expected revenues and prevent us from being profitable.</w:t>
      </w:r>
    </w:p>
    <w:p>
      <w:pPr>
        <w:spacing w:after="0" w:line="18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We have limited experience in training on, and marketing and selling, our products and we may provide inadequate training, fail to increase our sales and marketing capabilities or fail to develop broad brand awareness in a cost-effective manner.</w:t>
      </w:r>
    </w:p>
    <w:p>
      <w:pPr>
        <w:spacing w:after="0" w:line="63" w:lineRule="exact"/>
        <w:rPr>
          <w:sz w:val="20"/>
          <w:szCs w:val="20"/>
          <w:color w:val="auto"/>
        </w:rPr>
      </w:pPr>
    </w:p>
    <w:p>
      <w:pPr>
        <w:ind w:right="60" w:firstLine="419"/>
        <w:spacing w:after="0" w:line="271" w:lineRule="auto"/>
        <w:rPr>
          <w:sz w:val="20"/>
          <w:szCs w:val="20"/>
          <w:color w:val="auto"/>
        </w:rPr>
      </w:pPr>
      <w:r>
        <w:rPr>
          <w:rFonts w:ascii="Arial" w:cs="Arial" w:eastAsia="Arial" w:hAnsi="Arial"/>
          <w:sz w:val="16"/>
          <w:szCs w:val="16"/>
          <w:color w:val="auto"/>
        </w:rPr>
        <w:t>We have limited experience marketing and selling our products. In the United States, we currently rely on our direct sales force and any failure to maintain and grow our sales force could harm our business. In Europe, we currently rely on a combination of direct sales personnel and independent distributors to sell our products, and we intend to grow our international sales through a combination of direct and distributor sales. If we are unable to identify and retain productive direct sales representatives and distributors in the international territories and jurisdictions that we have targeted for commercial expansion, we may not be able to achieve projected revenue goals and our business could suffer. Our sales representatives are trained and possess product specific sales expertise, which we believe is critical in driving the awareness and adoption of our products. The members of our U.S. sales force are at-will employees. The loss of these personnel to competitors, or otherwise, could materially harm our business. If we are unable to retain our direct sales force personnel or replace them with individuals of equivalent expertise and qualifications, or if we are unable to successfully instill such expertise in replacement personnel, our business, financial condition and results of operations could be materially harmed.</w:t>
      </w:r>
    </w:p>
    <w:p>
      <w:pPr>
        <w:spacing w:after="0" w:line="169" w:lineRule="exact"/>
        <w:rPr>
          <w:sz w:val="20"/>
          <w:szCs w:val="20"/>
          <w:color w:val="auto"/>
        </w:rPr>
      </w:pPr>
    </w:p>
    <w:p>
      <w:pPr>
        <w:ind w:firstLine="419"/>
        <w:spacing w:after="0" w:line="270" w:lineRule="auto"/>
        <w:rPr>
          <w:sz w:val="20"/>
          <w:szCs w:val="20"/>
          <w:color w:val="auto"/>
        </w:rPr>
      </w:pPr>
      <w:r>
        <w:rPr>
          <w:rFonts w:ascii="Arial" w:cs="Arial" w:eastAsia="Arial" w:hAnsi="Arial"/>
          <w:sz w:val="16"/>
          <w:szCs w:val="16"/>
          <w:color w:val="auto"/>
        </w:rPr>
        <w:t>In order to generate future growth, we plan to continue to significantly expand and leverage our commercial infrastructure to increase our customer base and increase adoption by existing customers to drive our growth. Identifying and recruiting qualified sales and marketing professionals and training them on our products, on applicable federal and state laws and regulations and on our internal policies and procedures requires significant time, expense and attention. It can take several months or more before a sales representative or distributor representative is fully trained and productive. Our direct sales force may subject us to higher fixed costs than those of companies with competing products or treatments that rely more heavily on independent third parties, placing us at a competitive disadvantage. Our business may be harmed if our efforts to expand and train our sales force and distribution chain do not generate a corresponding increase in product sales and revenue, and our higher fixed costs may slow our ability to reduce costs in the face of a sudden decline in demand for our products. Any failure to hire, develop and retain effective sales personnel, to identify and train distributors and independent sales representatives in targeted international territories, to achieve desired productivity levels in a reasonable period of time or timely reduce fixed costs, could have a material adverse effect on our business, financial condition and results of operations.</w:t>
      </w:r>
    </w:p>
    <w:p>
      <w:pPr>
        <w:spacing w:after="0" w:line="171" w:lineRule="exact"/>
        <w:rPr>
          <w:sz w:val="20"/>
          <w:szCs w:val="20"/>
          <w:color w:val="auto"/>
        </w:rPr>
      </w:pPr>
    </w:p>
    <w:p>
      <w:pPr>
        <w:ind w:right="80" w:firstLine="419"/>
        <w:spacing w:after="0" w:line="254" w:lineRule="auto"/>
        <w:rPr>
          <w:sz w:val="20"/>
          <w:szCs w:val="20"/>
          <w:color w:val="auto"/>
        </w:rPr>
      </w:pPr>
      <w:r>
        <w:rPr>
          <w:rFonts w:ascii="Arial" w:cs="Arial" w:eastAsia="Arial" w:hAnsi="Arial"/>
          <w:sz w:val="17"/>
          <w:szCs w:val="17"/>
          <w:color w:val="auto"/>
        </w:rPr>
        <w:t>Our ability to increase our customer base and achieve broader market acceptance of our products will depend, to a significant extent, on our ability to expand our sales and marketing and educational efforts. We plan to dedicate significant resources to our sales and marketing initiatives, and educational programs through leading medical publications and at large industry and scientific meetings, both directly and through key opinion leaders. Our business may be harmed if these efforts and expenditures do not generate a corresponding increase in revenue. In addition, we believe that developing and maintaining broad awareness of our brand in a cost-effective manner is critical to achieving broad acceptance of our products and reaching new ECPs and patients. Brand promotion activities may not impact ECP or patient awareness or increase revenue, and even if they do, any increase in revenue may not offset the costs and expenses we incur in building our brand. If we fail to successfully promote, maintain and protect our brand, we may fail to attract or retain the market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42" w:name="page43"/>
    <w:bookmarkEnd w:id="42"/>
    <w:p>
      <w:pPr>
        <w:ind w:right="80"/>
        <w:spacing w:after="0" w:line="261" w:lineRule="auto"/>
        <w:rPr>
          <w:sz w:val="20"/>
          <w:szCs w:val="20"/>
          <w:color w:val="auto"/>
        </w:rPr>
      </w:pPr>
      <w:r>
        <w:rPr>
          <w:rFonts w:ascii="Arial" w:cs="Arial" w:eastAsia="Arial" w:hAnsi="Arial"/>
          <w:sz w:val="18"/>
          <w:szCs w:val="18"/>
          <w:color w:val="auto"/>
        </w:rPr>
        <w:t>acceptance necessary to realize a sufficient return on our brand building efforts, or to achieve the level of brand awareness that is an important factor for the broad adoption of our products.</w:t>
      </w:r>
    </w:p>
    <w:p>
      <w:pPr>
        <w:spacing w:after="0" w:line="171" w:lineRule="exact"/>
        <w:rPr>
          <w:sz w:val="20"/>
          <w:szCs w:val="20"/>
          <w:color w:val="auto"/>
        </w:rPr>
      </w:pPr>
    </w:p>
    <w:p>
      <w:pPr>
        <w:spacing w:after="0" w:line="356" w:lineRule="auto"/>
        <w:rPr>
          <w:sz w:val="20"/>
          <w:szCs w:val="20"/>
          <w:color w:val="auto"/>
        </w:rPr>
      </w:pPr>
      <w:r>
        <w:rPr>
          <w:rFonts w:ascii="Arial" w:cs="Arial" w:eastAsia="Arial" w:hAnsi="Arial"/>
          <w:sz w:val="15"/>
          <w:szCs w:val="15"/>
          <w:b w:val="1"/>
          <w:bCs w:val="1"/>
          <w:i w:val="1"/>
          <w:iCs w:val="1"/>
          <w:color w:val="auto"/>
        </w:rPr>
        <w:t>Our products are designed to be used in a limited number of procedures, and there is a limited total addressable market for our products. The sizes of the potential and actual markets for our current products have not been established with precision and may be smaller than we estimate.</w:t>
      </w:r>
    </w:p>
    <w:p>
      <w:pPr>
        <w:spacing w:after="0" w:line="1" w:lineRule="exact"/>
        <w:rPr>
          <w:sz w:val="20"/>
          <w:szCs w:val="20"/>
          <w:color w:val="auto"/>
        </w:rPr>
      </w:pPr>
    </w:p>
    <w:p>
      <w:pPr>
        <w:ind w:firstLine="419"/>
        <w:spacing w:after="0" w:line="255" w:lineRule="auto"/>
        <w:rPr>
          <w:sz w:val="20"/>
          <w:szCs w:val="20"/>
          <w:color w:val="auto"/>
        </w:rPr>
      </w:pPr>
      <w:r>
        <w:rPr>
          <w:rFonts w:ascii="Arial" w:cs="Arial" w:eastAsia="Arial" w:hAnsi="Arial"/>
          <w:sz w:val="17"/>
          <w:szCs w:val="17"/>
          <w:color w:val="auto"/>
        </w:rPr>
        <w:t>We currently market our OMNI device for use in the U.S. and select European geographies for canaloplasty followed by trabeculotomy to reduce intraocular pressure in adult patients with POAG. POAG is the most prevalent form of glaucoma and affects approximately 4.1 million people in the United States and over 60 million people worldwide. We currently market TearCare in the United States f</w:t>
      </w:r>
      <w:r>
        <w:rPr>
          <w:rFonts w:ascii="Arial" w:cs="Arial" w:eastAsia="Arial" w:hAnsi="Arial"/>
          <w:sz w:val="17"/>
          <w:szCs w:val="17"/>
          <w:color w:val="242424"/>
        </w:rPr>
        <w:t>or the application of localized heat therapy in</w:t>
      </w:r>
      <w:r>
        <w:rPr>
          <w:rFonts w:ascii="Arial" w:cs="Arial" w:eastAsia="Arial" w:hAnsi="Arial"/>
          <w:sz w:val="17"/>
          <w:szCs w:val="17"/>
          <w:color w:val="auto"/>
        </w:rPr>
        <w:t xml:space="preserve"> </w:t>
      </w:r>
      <w:r>
        <w:rPr>
          <w:rFonts w:ascii="Arial" w:cs="Arial" w:eastAsia="Arial" w:hAnsi="Arial"/>
          <w:sz w:val="17"/>
          <w:szCs w:val="17"/>
          <w:color w:val="242424"/>
        </w:rPr>
        <w:t xml:space="preserve">adult patients with evaporative DED due to MGD, when used in conjunction with manual expression of the meibomian glands. </w:t>
      </w:r>
      <w:r>
        <w:rPr>
          <w:rFonts w:ascii="Arial" w:cs="Arial" w:eastAsia="Arial" w:hAnsi="Arial"/>
          <w:sz w:val="17"/>
          <w:szCs w:val="17"/>
          <w:color w:val="000000"/>
        </w:rPr>
        <w:t>There are an estimated</w:t>
      </w:r>
      <w:r>
        <w:rPr>
          <w:rFonts w:ascii="Arial" w:cs="Arial" w:eastAsia="Arial" w:hAnsi="Arial"/>
          <w:sz w:val="17"/>
          <w:szCs w:val="17"/>
          <w:color w:val="242424"/>
        </w:rPr>
        <w:t xml:space="preserve"> </w:t>
      </w:r>
      <w:r>
        <w:rPr>
          <w:rFonts w:ascii="Arial" w:cs="Arial" w:eastAsia="Arial" w:hAnsi="Arial"/>
          <w:sz w:val="17"/>
          <w:szCs w:val="17"/>
          <w:color w:val="000000"/>
        </w:rPr>
        <w:t>739 million people globally and 38 million people in the U.S. who suffer from DED. DED is the most common reason for a patient visit to an eye doctor, yet of the estimated 38 million people with DED in the U.S., only approximately 17 million have been diagnosed with DED. Studies have shown that evaporative DED resulting from MGD is associated with approximately 86% of all DED cases.</w:t>
      </w:r>
    </w:p>
    <w:p>
      <w:pPr>
        <w:spacing w:after="0" w:line="180" w:lineRule="exact"/>
        <w:rPr>
          <w:sz w:val="20"/>
          <w:szCs w:val="20"/>
          <w:color w:val="auto"/>
        </w:rPr>
      </w:pPr>
    </w:p>
    <w:p>
      <w:pPr>
        <w:ind w:right="40" w:firstLine="419"/>
        <w:spacing w:after="0" w:line="261" w:lineRule="auto"/>
        <w:rPr>
          <w:sz w:val="20"/>
          <w:szCs w:val="20"/>
          <w:color w:val="auto"/>
        </w:rPr>
      </w:pPr>
      <w:r>
        <w:rPr>
          <w:rFonts w:ascii="Arial" w:cs="Arial" w:eastAsia="Arial" w:hAnsi="Arial"/>
          <w:sz w:val="18"/>
          <w:szCs w:val="18"/>
          <w:color w:val="auto"/>
        </w:rPr>
        <w:t>The total addressable markets for our products are subject to change and may be limited by FDA restrictions or more narrowly defined indications, any of which could have a material adverse effect on our business, financial condition and results of operations.</w:t>
      </w:r>
    </w:p>
    <w:p>
      <w:pPr>
        <w:spacing w:after="0" w:line="171" w:lineRule="exact"/>
        <w:rPr>
          <w:sz w:val="20"/>
          <w:szCs w:val="20"/>
          <w:color w:val="auto"/>
        </w:rPr>
      </w:pPr>
    </w:p>
    <w:p>
      <w:pPr>
        <w:ind w:right="20" w:firstLine="419"/>
        <w:spacing w:after="0" w:line="274" w:lineRule="auto"/>
        <w:rPr>
          <w:sz w:val="20"/>
          <w:szCs w:val="20"/>
          <w:color w:val="auto"/>
        </w:rPr>
      </w:pPr>
      <w:r>
        <w:rPr>
          <w:rFonts w:ascii="Arial" w:cs="Arial" w:eastAsia="Arial" w:hAnsi="Arial"/>
          <w:sz w:val="16"/>
          <w:szCs w:val="16"/>
          <w:color w:val="auto"/>
        </w:rPr>
        <w:t>Further, our estimates of the total addressable markets for our products are based on a number of internal and third-party estimates, including, without limitation, the number of patients with POAG and MGD, and the assumed prices at which we can sell our products in markets that have not yet been fully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products may prove to be incorrect. If the actual number of patients who would benefit from our products or the price at which we can sell our products is smaller than we have estimated, it may impair our sales growth and negatively affect our business, financial condition and results of operations.</w:t>
      </w:r>
    </w:p>
    <w:p>
      <w:pPr>
        <w:spacing w:after="0" w:line="16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operations and financial results have been, and will continue to be, adversely impacted by the COVID-19 pandemic in the United States and the rest of the world.</w:t>
      </w:r>
    </w:p>
    <w:p>
      <w:pPr>
        <w:spacing w:after="0" w:line="63" w:lineRule="exact"/>
        <w:rPr>
          <w:sz w:val="20"/>
          <w:szCs w:val="20"/>
          <w:color w:val="auto"/>
        </w:rPr>
      </w:pPr>
    </w:p>
    <w:p>
      <w:pPr>
        <w:ind w:firstLine="419"/>
        <w:spacing w:after="0" w:line="267" w:lineRule="auto"/>
        <w:rPr>
          <w:sz w:val="20"/>
          <w:szCs w:val="20"/>
          <w:color w:val="auto"/>
        </w:rPr>
      </w:pPr>
      <w:r>
        <w:rPr>
          <w:rFonts w:ascii="Arial" w:cs="Arial" w:eastAsia="Arial" w:hAnsi="Arial"/>
          <w:sz w:val="16"/>
          <w:szCs w:val="16"/>
          <w:color w:val="auto"/>
        </w:rPr>
        <w:t>In December 2019, a novel strain of coronavirus, SARS-CoV-2, was identified in Wuhan, China. Since then, SARS-CoV-2, and the resulting disease, COVID-19, has spread worldwide. In response to the COVID-19 pandemic, numerous state and local jurisdictions have imposed, modified, removed and reimposed, and others in the future may impose, “shelter-in-place” orders, quarantines, executive orders and similar government orders and restrictions for their residents. Such orders or restrictions have resulted in work stoppages, slowdowns and delays, travel restrictions and cancellation of events. Disruptions to our business from COVID-19 include the inability of our component suppliers and manufacturers to produce our products, components, or accessories on a timely basis, or at all; disruptions in our logistics and distribution providers to deliver our products to customers on a timely basis, or at all; potential disruption in our employee base as a result of COVID-19 regulations and requirements (including vaccination mandates); inventory shortages or obsolescence; diversion of or limitations on employee resources that would otherwise be focused on the operations of our business; delays in growing or reductions in our sales organization, including through delays in hiring, lay-offs, furloughs or other losses of sales representatives; limitations on the ability of our sales representatives and distributors to reach potential customers and reduced opportunities for market education; business adjustments or disruptions of certain third parties, including suppliers and customers; and additional government requirements or other incremental mitigation efforts that may further impact our or our suppliers’ capacity to manufacture our products. For example, as a result of restrictions related to the COVID-19 pandemic we have seen customer delays or cancellations of elective procedures using our products from time to time, which has resulted at various periods in decreased revenues as against our forecast. Our sales representatives have been curtailed in their ability to conduct in-person meetings and demonstrations, and our market education and training efforts have been limited. We also have and may continue to experience delays in initiating or completing any clinical trials or investigations that we intend to conduct or are conducting, and we do not know whether our clinical trials or investigations will begin on time, need to be redesigned, enroll patients on time, or be completed on schedule, or at all.</w:t>
      </w:r>
    </w:p>
    <w:p>
      <w:pPr>
        <w:spacing w:after="0" w:line="179" w:lineRule="exact"/>
        <w:rPr>
          <w:sz w:val="20"/>
          <w:szCs w:val="20"/>
          <w:color w:val="auto"/>
        </w:rPr>
      </w:pPr>
    </w:p>
    <w:p>
      <w:pPr>
        <w:ind w:right="160" w:firstLine="419"/>
        <w:spacing w:after="0" w:line="261" w:lineRule="auto"/>
        <w:rPr>
          <w:sz w:val="20"/>
          <w:szCs w:val="20"/>
          <w:color w:val="auto"/>
        </w:rPr>
      </w:pPr>
      <w:r>
        <w:rPr>
          <w:rFonts w:ascii="Arial" w:cs="Arial" w:eastAsia="Arial" w:hAnsi="Arial"/>
          <w:sz w:val="18"/>
          <w:szCs w:val="18"/>
          <w:color w:val="auto"/>
        </w:rPr>
        <w:t>We experienced a significant decrease in revenues for both of our products in the second quarter of 2020 as compared to the first quarter of 2020. As elective eyecare procedures in many facilities that utilize OMNI and TearCare were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8" w:right="439" w:bottom="1440" w:gutter="0" w:footer="0" w:header="0"/>
        </w:sectPr>
      </w:pPr>
    </w:p>
    <w:bookmarkStart w:id="43" w:name="page44"/>
    <w:bookmarkEnd w:id="43"/>
    <w:p>
      <w:pPr>
        <w:ind w:right="40"/>
        <w:spacing w:after="0" w:line="255" w:lineRule="auto"/>
        <w:rPr>
          <w:sz w:val="20"/>
          <w:szCs w:val="20"/>
          <w:color w:val="auto"/>
        </w:rPr>
      </w:pPr>
      <w:r>
        <w:rPr>
          <w:rFonts w:ascii="Arial" w:cs="Arial" w:eastAsia="Arial" w:hAnsi="Arial"/>
          <w:sz w:val="17"/>
          <w:szCs w:val="17"/>
          <w:color w:val="auto"/>
        </w:rPr>
        <w:t>temporarily suspended by governmental authorities, many patients avoided visiting ECPs, and, even in areas that allowed elective procedures, ECPs and healthcare facilities in general severely cut back on the scheduling and performance of such procedures. The decrease in demand due to COVID-19 most significantly impacted our revenues in the latter part of the first quarter and the first half of the second quarter of 2020. Beginning in June 2020, we began to see an increase in the number of procedures using our products. In the first quarter of 2021, our customers experienced a significant number of procedure cancellations which we believe was largely driven by patients postponing procedures until their COVID-19 vaccinations were completed as opposed to any restrictions imposed on elective procedures. Our normal business operations were again disrupted by the Delta variant in the third quarter of 2021 and the Omicron variant in the fourth quarter of 2021 and into early 2022.</w:t>
      </w:r>
    </w:p>
    <w:p>
      <w:pPr>
        <w:spacing w:after="0" w:line="180" w:lineRule="exact"/>
        <w:rPr>
          <w:sz w:val="20"/>
          <w:szCs w:val="20"/>
          <w:color w:val="auto"/>
        </w:rPr>
      </w:pPr>
    </w:p>
    <w:p>
      <w:pPr>
        <w:ind w:right="20" w:firstLine="419"/>
        <w:spacing w:after="0" w:line="257" w:lineRule="auto"/>
        <w:rPr>
          <w:sz w:val="20"/>
          <w:szCs w:val="20"/>
          <w:color w:val="auto"/>
        </w:rPr>
      </w:pPr>
      <w:r>
        <w:rPr>
          <w:rFonts w:ascii="Arial" w:cs="Arial" w:eastAsia="Arial" w:hAnsi="Arial"/>
          <w:sz w:val="17"/>
          <w:szCs w:val="17"/>
          <w:color w:val="auto"/>
        </w:rPr>
        <w:t>Though demand for our products grew during the latter half of the second quarter as well as in the second half of 2021 and the first quarter of 2022, the procedure cancellations that we have observed at the end of the fourth quarter of 2021 and into the first quarter of 2022 illustrate the fact that the COVID-19 pandemic continues to impact our business. The extent to which the COVID-19 pandemic impacts our business in the future will depend on future developments, which are highly uncertain and cannot be predicted, including new information which may emerge concerning the severity and spread of COVID-19, any new variants of the virus, the nature, extent and effectiveness of containment and treatment measures, the extent and duration of the effect on the economy and how quickly and to what extent normal economic and operating conditions can resume.</w:t>
      </w:r>
    </w:p>
    <w:p>
      <w:pPr>
        <w:spacing w:after="0" w:line="175" w:lineRule="exact"/>
        <w:rPr>
          <w:sz w:val="20"/>
          <w:szCs w:val="20"/>
          <w:color w:val="auto"/>
        </w:rPr>
      </w:pPr>
    </w:p>
    <w:p>
      <w:pPr>
        <w:ind w:firstLine="419"/>
        <w:spacing w:after="0" w:line="270" w:lineRule="auto"/>
        <w:rPr>
          <w:sz w:val="20"/>
          <w:szCs w:val="20"/>
          <w:color w:val="auto"/>
        </w:rPr>
      </w:pPr>
      <w:r>
        <w:rPr>
          <w:rFonts w:ascii="Arial" w:cs="Arial" w:eastAsia="Arial" w:hAnsi="Arial"/>
          <w:sz w:val="16"/>
          <w:szCs w:val="16"/>
          <w:color w:val="auto"/>
        </w:rPr>
        <w:t>The COVID-19 pandemic has resulted in, and may continue to result in, significant disruption of global financial markets, reducing our ability to access capital, which could in the future negatively affect our liquidity. In addition, a recession or market correction resulting from the spread of an infectious disease, including COVID-19, could materially affect our business. Such economic recession could have a material adverse effect on our long-term business as hospitals and surgical centers curtail and reduce capital and overall spending. Unfavorable economic conditions brought on or exacerbated by the pandemic have resulted in significant job losses and reductions in disposable income, which we believe has negatively impacted our revenues. If patients are unable to obtain or maintain health insurance policies or experience decreases in their income, this may significantly impact their ability to pay for the procedures utilizing our products, which could further negatively impact our business, financial condition and results of operations. We cannot predict the continued impacts of the COVID-19 pandemic and the degree to which our business, financial condition and results of operations may continue to be affected, particularly given the lengthy duration of the pandemic. To the extent the COVID-19 pandemic adversely affects our business and financial results, it may also have the effect of heightening many of the other risks described in this “Risk Factors” section.</w:t>
      </w:r>
    </w:p>
    <w:p>
      <w:pPr>
        <w:spacing w:after="0" w:line="171"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b w:val="1"/>
          <w:bCs w:val="1"/>
          <w:i w:val="1"/>
          <w:iCs w:val="1"/>
          <w:color w:val="auto"/>
        </w:rPr>
        <w:t>We may not be able to incrementally secure or maintain adequate levels of third-party coverage and reimbursement for procedures in which OMNI is used, and third parties may rescind or modify their coverage or delay payments related to OMNI. We may not be able to incrementally secure any, or adequate levels of, third-party coverage and reimbursement for procedures in which TearCare is used, and even if third parties provide coverage they may rescind or modify their coverage or delay payments related to TearCare.</w:t>
      </w:r>
    </w:p>
    <w:p>
      <w:pPr>
        <w:spacing w:after="0" w:line="64" w:lineRule="exact"/>
        <w:rPr>
          <w:sz w:val="20"/>
          <w:szCs w:val="20"/>
          <w:color w:val="auto"/>
        </w:rPr>
      </w:pPr>
    </w:p>
    <w:p>
      <w:pPr>
        <w:ind w:right="120" w:firstLine="419"/>
        <w:spacing w:after="0" w:line="241" w:lineRule="auto"/>
        <w:rPr>
          <w:sz w:val="20"/>
          <w:szCs w:val="20"/>
          <w:color w:val="auto"/>
        </w:rPr>
      </w:pPr>
      <w:r>
        <w:rPr>
          <w:rFonts w:ascii="Arial" w:cs="Arial" w:eastAsia="Arial" w:hAnsi="Arial"/>
          <w:sz w:val="18"/>
          <w:szCs w:val="18"/>
          <w:color w:val="auto"/>
        </w:rPr>
        <w:t>We derive revenue from sales of OMNI to physicians, ambulatory surgery centers and hospital outpatient departments, which typically bill all or a portion of the costs and fees associated with our products to various third-party payors, including Medicare, Medicaid, private commercial insurance companies, health maintenance organizations and other healthcare-related organizations, and then bill patients for any applicable deductibles or co-payments. As a result, access to adequate coverage and reimbursement for procedures in which OMNI is used by third-party payors is essential to its acceptance and adoption by patients and ECPs.</w:t>
      </w:r>
    </w:p>
    <w:p>
      <w:pPr>
        <w:spacing w:after="0" w:line="189" w:lineRule="exact"/>
        <w:rPr>
          <w:sz w:val="20"/>
          <w:szCs w:val="20"/>
          <w:color w:val="auto"/>
        </w:rPr>
      </w:pPr>
    </w:p>
    <w:p>
      <w:pPr>
        <w:ind w:right="20" w:firstLine="419"/>
        <w:spacing w:after="0" w:line="272" w:lineRule="auto"/>
        <w:rPr>
          <w:sz w:val="20"/>
          <w:szCs w:val="20"/>
          <w:color w:val="auto"/>
        </w:rPr>
      </w:pPr>
      <w:r>
        <w:rPr>
          <w:rFonts w:ascii="Arial" w:cs="Arial" w:eastAsia="Arial" w:hAnsi="Arial"/>
          <w:sz w:val="16"/>
          <w:szCs w:val="16"/>
          <w:color w:val="auto"/>
        </w:rPr>
        <w:t>We also derive revenue from sales of TearCare to ECPs and eye care clinics, which also bill all or a portion of the costs and fees associated with treatments and products to patients or, on a limited basis, to third-party payors. We believe that access to adequate coverage and reimbursement for procedures in which TearCare is used by third-party payors is important to the broad acceptance and adoption of TearCare. Currently, however, no payors have formal policies establishing coverage for the procedures in which TearCare is used. We are pursuing a comprehensive long-term market development and patient access plan for TearCare and focusing our efforts on partnering with key strategic accounts to pursue prior authorization approvals and reimbursement claims for procedures in which TearCare is used, but there is no guarantee that we will be successful. If patients are not willing to pay for procedures in which TearCare is used, or if third-party payors continue to refuse to provide coverage and reimbursement or provide insufficient levels of coverage and reimbursement, it could have a negative impact on ECPs’ adoption of TearCare and sales of TearCare.</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44" w:name="page45"/>
    <w:bookmarkEnd w:id="44"/>
    <w:p>
      <w:pPr>
        <w:ind w:right="200" w:firstLine="419"/>
        <w:spacing w:after="0" w:line="261" w:lineRule="auto"/>
        <w:rPr>
          <w:sz w:val="20"/>
          <w:szCs w:val="20"/>
          <w:color w:val="auto"/>
        </w:rPr>
      </w:pPr>
      <w:r>
        <w:rPr>
          <w:rFonts w:ascii="Arial" w:cs="Arial" w:eastAsia="Arial" w:hAnsi="Arial"/>
          <w:sz w:val="18"/>
          <w:szCs w:val="18"/>
          <w:color w:val="auto"/>
        </w:rPr>
        <w:t>Coverage and reimbursement by governmental and third-party payors may depend upon a number of factors, including the determination that the product or service and its use or administration for a particular patient is:</w:t>
      </w:r>
    </w:p>
    <w:p>
      <w:pPr>
        <w:spacing w:after="0" w:line="171" w:lineRule="exact"/>
        <w:rPr>
          <w:sz w:val="20"/>
          <w:szCs w:val="20"/>
          <w:color w:val="auto"/>
        </w:rPr>
      </w:pPr>
    </w:p>
    <w:p>
      <w:pPr>
        <w:ind w:left="800" w:hanging="28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covered benefit;</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 effective reasonable and medically necessary;</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Supported by clinical data;</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Supported by guidelines established by the relevant professional societies;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right="60" w:firstLine="419"/>
        <w:spacing w:after="0"/>
        <w:rPr>
          <w:sz w:val="20"/>
          <w:szCs w:val="20"/>
          <w:color w:val="auto"/>
        </w:rPr>
      </w:pPr>
      <w:r>
        <w:rPr>
          <w:rFonts w:ascii="Arial" w:cs="Arial" w:eastAsia="Arial" w:hAnsi="Arial"/>
          <w:sz w:val="18"/>
          <w:szCs w:val="18"/>
          <w:color w:val="auto"/>
        </w:rPr>
        <w:t>Third-party payors, whether foreign or domestic, or governmental or commercial,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Obtaining and maintaining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w:t>
      </w:r>
    </w:p>
    <w:p>
      <w:pPr>
        <w:spacing w:after="0" w:line="189" w:lineRule="exact"/>
        <w:rPr>
          <w:sz w:val="20"/>
          <w:szCs w:val="20"/>
          <w:color w:val="auto"/>
        </w:rPr>
      </w:pPr>
    </w:p>
    <w:p>
      <w:pPr>
        <w:ind w:right="120" w:firstLine="419"/>
        <w:spacing w:after="0" w:line="239" w:lineRule="auto"/>
        <w:rPr>
          <w:sz w:val="20"/>
          <w:szCs w:val="20"/>
          <w:color w:val="auto"/>
        </w:rPr>
      </w:pPr>
      <w:r>
        <w:rPr>
          <w:rFonts w:ascii="Arial" w:cs="Arial" w:eastAsia="Arial" w:hAnsi="Arial"/>
          <w:sz w:val="18"/>
          <w:szCs w:val="18"/>
          <w:color w:val="auto"/>
        </w:rPr>
        <w:t>In the United States, the American Medical Association, or AMA, generally assigns specific billing codes for procedures under a coding system known as Current Procedure Terminology, or CPT, which surgeons use to bill third-party payors and receive reimbursement. Once a permanent (Category I) CPT code is established for a service, the Centers for Medicare &amp; Medicaid Services, or CMS, establishes payment levels under Medicare, while other payors may establish rates and coverage rules independently. Canaloplasty followed by trabeculotomy procedures using OMNI are typically billed using the Category I CPT code 66174, which describes canaloplasty. Coding for ophthalmic surgical procedures is complex, and changes to the codes used to report services performed with our products may result in significant changes in reimbursement, which could negatively impact our revenue.</w:t>
      </w:r>
    </w:p>
    <w:p>
      <w:pPr>
        <w:spacing w:after="0" w:line="191" w:lineRule="exact"/>
        <w:rPr>
          <w:sz w:val="20"/>
          <w:szCs w:val="20"/>
          <w:color w:val="auto"/>
        </w:rPr>
      </w:pPr>
    </w:p>
    <w:p>
      <w:pPr>
        <w:ind w:right="240" w:firstLine="419"/>
        <w:spacing w:after="0" w:line="276" w:lineRule="auto"/>
        <w:rPr>
          <w:sz w:val="20"/>
          <w:szCs w:val="20"/>
          <w:color w:val="auto"/>
        </w:rPr>
      </w:pPr>
      <w:r>
        <w:rPr>
          <w:rFonts w:ascii="Arial" w:cs="Arial" w:eastAsia="Arial" w:hAnsi="Arial"/>
          <w:sz w:val="16"/>
          <w:szCs w:val="16"/>
          <w:color w:val="auto"/>
        </w:rPr>
        <w:t>The AMA maintains a subset of temporary (Category III) CPT codes used for new and emerging technologies. For example, TearCare was assigned a Category III CPT code effective beginning January 1, 2020. Coverage for Category III CPT codes is often limited. Medicare does not generally establish national payment rates for Category III CPT codes on the Medicare Physician Fee Schedule, or MPFS. As a result, individual Medicare contractors and private payors may establish their own payment rates for services described by Category III CPT codes, as has been the case with TearCare, which payment rates are subject to change, may be variable across Medicare contractors, may be materially below the final reimbursement rates that we are currently targeting, or may determine not to reimburse services described by Category III CPT codes.</w:t>
      </w:r>
    </w:p>
    <w:p>
      <w:pPr>
        <w:spacing w:after="0" w:line="162" w:lineRule="exact"/>
        <w:rPr>
          <w:sz w:val="20"/>
          <w:szCs w:val="20"/>
          <w:color w:val="auto"/>
        </w:rPr>
      </w:pPr>
    </w:p>
    <w:p>
      <w:pPr>
        <w:ind w:firstLine="419"/>
        <w:spacing w:after="0" w:line="238" w:lineRule="auto"/>
        <w:rPr>
          <w:sz w:val="20"/>
          <w:szCs w:val="20"/>
          <w:color w:val="auto"/>
        </w:rPr>
      </w:pPr>
      <w:r>
        <w:rPr>
          <w:rFonts w:ascii="Arial" w:cs="Arial" w:eastAsia="Arial" w:hAnsi="Arial"/>
          <w:sz w:val="18"/>
          <w:szCs w:val="18"/>
          <w:color w:val="auto"/>
        </w:rPr>
        <w:t>Payors also continually review new and existing technologies for possible coverage and can deny or reverse coverage for new or existing products and procedures. There can be no assurance that third-party payor policies provide coverage, or will continue to provide coverage, for procedures in which OMNI is used. If coverage policies change such that Medicare no longer covers procedures in which our products are used, there would be a material adverse effect on our business, financial condition and results of operations. For example, Medicare Administrative Contractors could issue local coverage determinations that could restrict the patients eligible for treatment with our products or that are otherwise unfavorable to our business. If we are not successful in reversing any proposed non-coverage policies, or if third-party payors that currently cover or reimburse procedures in which our products are used reverse or limit their coverage in the future, or if other third-party payors issue similar policies, this could have a material adverse effect on our business.</w:t>
      </w:r>
    </w:p>
    <w:p>
      <w:pPr>
        <w:spacing w:after="0" w:line="194" w:lineRule="exact"/>
        <w:rPr>
          <w:sz w:val="20"/>
          <w:szCs w:val="20"/>
          <w:color w:val="auto"/>
        </w:rPr>
      </w:pPr>
    </w:p>
    <w:p>
      <w:pPr>
        <w:ind w:right="180" w:firstLine="419"/>
        <w:spacing w:after="0" w:line="259" w:lineRule="auto"/>
        <w:rPr>
          <w:sz w:val="20"/>
          <w:szCs w:val="20"/>
          <w:color w:val="auto"/>
        </w:rPr>
      </w:pPr>
      <w:r>
        <w:rPr>
          <w:rFonts w:ascii="Arial" w:cs="Arial" w:eastAsia="Arial" w:hAnsi="Arial"/>
          <w:sz w:val="17"/>
          <w:szCs w:val="17"/>
          <w:color w:val="auto"/>
        </w:rPr>
        <w:t>Further, we believe that future coverage and reimbursement may be subject to increased restrictions, such as additional prior authorization requirements, both in the United States and in international markets. Third-party coverage and reimbursement for procedures using our products or any of our products in development for which we may receive regulatory clearance, certification or approval may not be available or adequate in either the United States or international markets. Further, other devices or treatments that compete with our products may be more widely covered or subject to different co-pay policies and requirements, which could impact demand for our products. If hospital, surgical center, ECP</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45" w:name="page46"/>
    <w:bookmarkEnd w:id="45"/>
    <w:p>
      <w:pPr>
        <w:ind w:right="80"/>
        <w:spacing w:after="0" w:line="261" w:lineRule="auto"/>
        <w:rPr>
          <w:sz w:val="20"/>
          <w:szCs w:val="20"/>
          <w:color w:val="auto"/>
        </w:rPr>
      </w:pPr>
      <w:r>
        <w:rPr>
          <w:rFonts w:ascii="Arial" w:cs="Arial" w:eastAsia="Arial" w:hAnsi="Arial"/>
          <w:sz w:val="18"/>
          <w:szCs w:val="18"/>
          <w:color w:val="auto"/>
        </w:rPr>
        <w:t>and/or patient demand for our products is adversely affected by third-party reimbursement policies and decisions, it could have a material adverse effect on our business, financial condition and results of operations.</w:t>
      </w:r>
    </w:p>
    <w:p>
      <w:pPr>
        <w:spacing w:after="0" w:line="171"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The market for our products is highly competitive. Our competitors may have longer operating histories, more established products and greater resources than we do, and may be able to develop or market treatments that are safer, more effective or gain greater acceptance in the marketplace than our products.</w:t>
      </w:r>
    </w:p>
    <w:p>
      <w:pPr>
        <w:spacing w:after="0" w:line="74" w:lineRule="exact"/>
        <w:rPr>
          <w:sz w:val="20"/>
          <w:szCs w:val="20"/>
          <w:color w:val="auto"/>
        </w:rPr>
      </w:pPr>
    </w:p>
    <w:p>
      <w:pPr>
        <w:ind w:right="20" w:firstLine="419"/>
        <w:spacing w:after="0"/>
        <w:rPr>
          <w:sz w:val="20"/>
          <w:szCs w:val="20"/>
          <w:color w:val="auto"/>
        </w:rPr>
      </w:pPr>
      <w:r>
        <w:rPr>
          <w:rFonts w:ascii="Arial" w:cs="Arial" w:eastAsia="Arial" w:hAnsi="Arial"/>
          <w:sz w:val="18"/>
          <w:szCs w:val="18"/>
          <w:color w:val="auto"/>
        </w:rPr>
        <w:t>The medical device industry is highly competitive, subject to rapid change and significantly affected by the introduction of new products and technologies and the other activities of industry participants. We compete, or plan to compete, with medical device and pharmaceutical companies that develop and commercialize products for eye conditions, including Glaukos, Ivantis, AbbVie/Allergan, Novartis, Alcon, Johnson &amp; Johnson, and New World Medical. These companies, or other entrants into the market, may have or develop competing technologies, other products that are in or that enter clinical trials, new devices or additional indications for existing devices that could demonstrate better safety, effectiveness, clinical results, lower costs or greater ECP and market acceptance than our products.</w:t>
      </w:r>
    </w:p>
    <w:p>
      <w:pPr>
        <w:spacing w:after="0" w:line="189" w:lineRule="exact"/>
        <w:rPr>
          <w:sz w:val="20"/>
          <w:szCs w:val="20"/>
          <w:color w:val="auto"/>
        </w:rPr>
      </w:pPr>
    </w:p>
    <w:p>
      <w:pPr>
        <w:ind w:right="280" w:firstLine="419"/>
        <w:spacing w:after="0" w:line="248" w:lineRule="auto"/>
        <w:rPr>
          <w:sz w:val="20"/>
          <w:szCs w:val="20"/>
          <w:color w:val="auto"/>
        </w:rPr>
      </w:pPr>
      <w:r>
        <w:rPr>
          <w:rFonts w:ascii="Arial" w:cs="Arial" w:eastAsia="Arial" w:hAnsi="Arial"/>
          <w:sz w:val="18"/>
          <w:szCs w:val="18"/>
          <w:color w:val="auto"/>
        </w:rPr>
        <w:t>We compete, or may compete in the future, against other companies which have longer, more established operating histories and significantly greater financial, technical, marketing, sales, distribution and other resources, which may prevent us from achieving significant market penetration or improved operating results. These companies may enjoy several competitive advantages, including:</w:t>
      </w:r>
    </w:p>
    <w:p>
      <w:pPr>
        <w:spacing w:after="0" w:line="182" w:lineRule="exact"/>
        <w:rPr>
          <w:sz w:val="20"/>
          <w:szCs w:val="20"/>
          <w:color w:val="auto"/>
        </w:rPr>
      </w:pPr>
    </w:p>
    <w:p>
      <w:pPr>
        <w:ind w:left="800" w:right="660" w:hanging="283"/>
        <w:spacing w:after="0" w:line="24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Established treatment patterns pursuant to which prescription medications, traditional glaucoma surgery or more conventional MIGS devices are generally first-line therapies for the treatment of POAG and eye drops or warm-compresses are first-line therapies for the treatment of MGD;</w:t>
      </w:r>
    </w:p>
    <w:p>
      <w:pPr>
        <w:spacing w:after="0" w:line="73" w:lineRule="exact"/>
        <w:rPr>
          <w:rFonts w:ascii="Arial" w:cs="Arial" w:eastAsia="Arial" w:hAnsi="Arial"/>
          <w:sz w:val="18"/>
          <w:szCs w:val="18"/>
          <w:color w:val="auto"/>
        </w:rPr>
      </w:pPr>
    </w:p>
    <w:p>
      <w:pPr>
        <w:ind w:left="800" w:hanging="283"/>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Established relationships with ECPs who are familiar with their products and procedures for the treatment of POAG or MGD;</w:t>
      </w:r>
    </w:p>
    <w:p>
      <w:pPr>
        <w:spacing w:after="0" w:line="103" w:lineRule="exact"/>
        <w:rPr>
          <w:rFonts w:ascii="Arial" w:cs="Arial" w:eastAsia="Arial" w:hAnsi="Arial"/>
          <w:sz w:val="18"/>
          <w:szCs w:val="18"/>
          <w:color w:val="auto"/>
        </w:rPr>
      </w:pPr>
    </w:p>
    <w:p>
      <w:pPr>
        <w:ind w:left="800" w:right="700" w:hanging="283"/>
        <w:spacing w:after="0" w:line="261"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Established relationships with key stakeholders, including hospital outpatient departments, ambulatory surgery centers, optometrists and ophthalmologists, general practitioners and administrators;</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financial and human capital resources;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03" w:lineRule="exact"/>
        <w:rPr>
          <w:rFonts w:ascii="Arial" w:cs="Arial" w:eastAsia="Arial" w:hAnsi="Arial"/>
          <w:sz w:val="18"/>
          <w:szCs w:val="18"/>
          <w:color w:val="auto"/>
        </w:rPr>
      </w:pPr>
    </w:p>
    <w:p>
      <w:pPr>
        <w:ind w:left="800" w:right="1080" w:hanging="283"/>
        <w:spacing w:after="0" w:line="261"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or bundle products to offer greater discounts or incentives to gain a competitive advantage; and</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Established sales, marketing and worldwide distribution networks.</w:t>
      </w:r>
    </w:p>
    <w:p>
      <w:pPr>
        <w:spacing w:after="0" w:line="212" w:lineRule="exact"/>
        <w:rPr>
          <w:sz w:val="20"/>
          <w:szCs w:val="20"/>
          <w:color w:val="auto"/>
        </w:rPr>
      </w:pPr>
    </w:p>
    <w:p>
      <w:pPr>
        <w:ind w:firstLine="419"/>
        <w:spacing w:after="0" w:line="272" w:lineRule="auto"/>
        <w:rPr>
          <w:sz w:val="20"/>
          <w:szCs w:val="20"/>
          <w:color w:val="auto"/>
        </w:rPr>
      </w:pPr>
      <w:r>
        <w:rPr>
          <w:rFonts w:ascii="Arial" w:cs="Arial" w:eastAsia="Arial" w:hAnsi="Arial"/>
          <w:sz w:val="16"/>
          <w:szCs w:val="16"/>
          <w:color w:val="auto"/>
        </w:rPr>
        <w:t>One of the major hurdles to adoption of our products will be overcoming established treatment patterns, which will require educating ECPs and supportive clinical data. However, because of the size of the market opportunity for devices used in procedures to address POAG and MGD, we believe current and potential future competitors will dedicate significant resources to aggressively promote their products or develop new products or treatments, such as Glaukos’ iStent infinite and iPRIME Viscodelivery System. Further, new treatment options may be developed that could compete more effectively with our products due to the prevalence of POAG and MGD, and the research and technological progress that exist within the market. Also, even if competitor products do not have indications for use or clinical data that are comparable to ours, ECPs can still choose these competitor products for a variety of reasons, including those set forth above. For instance, competitors may seek to bundle their products in a manner that is attractive to ECPs, which may result in decreased use or adoption of our products by ECPs, notwithstanding that our products may offer superior efficacy.</w:t>
      </w:r>
    </w:p>
    <w:p>
      <w:pPr>
        <w:spacing w:after="0" w:line="16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rely on third parties to manufacture and supply OMNI and TearCare, and we may encounter delays or incur additional costs when we add new manufacturers and suppliers for our products.</w:t>
      </w:r>
    </w:p>
    <w:p>
      <w:pPr>
        <w:spacing w:after="0" w:line="63" w:lineRule="exact"/>
        <w:rPr>
          <w:sz w:val="20"/>
          <w:szCs w:val="20"/>
          <w:color w:val="auto"/>
        </w:rPr>
      </w:pPr>
    </w:p>
    <w:p>
      <w:pPr>
        <w:ind w:right="40" w:firstLine="419"/>
        <w:spacing w:after="0" w:line="257" w:lineRule="auto"/>
        <w:rPr>
          <w:sz w:val="20"/>
          <w:szCs w:val="20"/>
          <w:color w:val="auto"/>
        </w:rPr>
      </w:pPr>
      <w:r>
        <w:rPr>
          <w:rFonts w:ascii="Arial" w:cs="Arial" w:eastAsia="Arial" w:hAnsi="Arial"/>
          <w:sz w:val="17"/>
          <w:szCs w:val="17"/>
          <w:color w:val="auto"/>
        </w:rPr>
        <w:t>Our business strategy depends on our ability to manufacture our current and future products in sufficient quantities and on a timely basis to meet customer demand, while adhering to product quality standards, complying with regulatory quality system requirements and managing manufacturing costs. We do not have any internal manufacturing capabilities or infrastructure. OMNI is currently being produced and assembled by Peter’s Technology (Suzhou) CO LTD., or Peter’s, a subsidiary of Peter’s Co., Ltd., a Taiwan-based manufacturer, and we also maintain OMNI product inventory manufactured by Second Source Medical, LLC (“Second Source”), our previous OMNI manufacturer, which will be used to fulfill customer orders until such inventory has been depleted. We intend to fully transition OMNI production to Peter’s and 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8" w:right="439" w:bottom="1440" w:gutter="0" w:footer="0" w:header="0"/>
        </w:sectPr>
      </w:pPr>
    </w:p>
    <w:bookmarkStart w:id="46" w:name="page47"/>
    <w:bookmarkEnd w:id="46"/>
    <w:p>
      <w:pPr>
        <w:ind w:right="20"/>
        <w:spacing w:after="0" w:line="276" w:lineRule="auto"/>
        <w:rPr>
          <w:sz w:val="20"/>
          <w:szCs w:val="20"/>
          <w:color w:val="auto"/>
        </w:rPr>
      </w:pPr>
      <w:r>
        <w:rPr>
          <w:rFonts w:ascii="Arial" w:cs="Arial" w:eastAsia="Arial" w:hAnsi="Arial"/>
          <w:sz w:val="16"/>
          <w:szCs w:val="16"/>
          <w:color w:val="auto"/>
        </w:rPr>
        <w:t>additional high-volume contract manufacturer with domestic U.S. production facilities in 2022. The Peter’s Supply Agreement governs the assembly and supply of OMNI by Peter's, pursuant to which Peter’s purchases components from our approved suppliers for assembly and we make purchases on a purchase order basis. We would likely encounter delays or incur additional costs in connection with the transition to a new contract manufacturer with domestic U.S. and Chinese production facilities for OMNI production. For the production of TearCare, we currently have supply arrangements with separate Chinese and U.S. medical device manufacturers for the production of TearCare’s SmartLids, TearCare’s SmartHubs, and TearCare's Clearance Assistant. These companies manufacture, assemble, inspect, test, package and ship OMNI and TearCare and related accessories.</w:t>
      </w:r>
    </w:p>
    <w:p>
      <w:pPr>
        <w:spacing w:after="0" w:line="162" w:lineRule="exact"/>
        <w:rPr>
          <w:sz w:val="20"/>
          <w:szCs w:val="20"/>
          <w:color w:val="auto"/>
        </w:rPr>
      </w:pPr>
    </w:p>
    <w:p>
      <w:pPr>
        <w:ind w:firstLine="419"/>
        <w:spacing w:after="0" w:line="241" w:lineRule="auto"/>
        <w:rPr>
          <w:sz w:val="20"/>
          <w:szCs w:val="20"/>
          <w:color w:val="auto"/>
        </w:rPr>
      </w:pPr>
      <w:r>
        <w:rPr>
          <w:rFonts w:ascii="Arial" w:cs="Arial" w:eastAsia="Arial" w:hAnsi="Arial"/>
          <w:sz w:val="18"/>
          <w:szCs w:val="18"/>
          <w:color w:val="auto"/>
        </w:rPr>
        <w:t>While our existing manufacturers have generally met our demand requirements on a timely basis in the past, their ability and willingness to continue to do so going forward may be limited for several reasons, including if any of our manufacturers’ facilities suffer damage or a force majeure event, our relative importance as a customer to each manufacturer or their inability to provide assembly services to manufacture our products, which may be affected by the COVID-19 pandemic. An interruption in our commercial operations could occur if we encounter delays or difficulties in securing these manufactured products if we cannot obtain an acceptable substitute.</w:t>
      </w:r>
    </w:p>
    <w:p>
      <w:pPr>
        <w:spacing w:after="0" w:line="189" w:lineRule="exact"/>
        <w:rPr>
          <w:sz w:val="20"/>
          <w:szCs w:val="20"/>
          <w:color w:val="auto"/>
        </w:rPr>
      </w:pPr>
    </w:p>
    <w:p>
      <w:pPr>
        <w:ind w:firstLine="419"/>
        <w:spacing w:after="0" w:line="238" w:lineRule="auto"/>
        <w:rPr>
          <w:sz w:val="20"/>
          <w:szCs w:val="20"/>
          <w:color w:val="auto"/>
        </w:rPr>
      </w:pPr>
      <w:r>
        <w:rPr>
          <w:rFonts w:ascii="Arial" w:cs="Arial" w:eastAsia="Arial" w:hAnsi="Arial"/>
          <w:sz w:val="18"/>
          <w:szCs w:val="18"/>
          <w:color w:val="auto"/>
        </w:rPr>
        <w:t>The process of identifying alternative manufacturing facilities for any other reason could be time-consuming and expensive, may result in interruptions in our operations and product delivery, and could affect the performance specifications of our products. If we are required to change any of our contract manufacturers, we will be required to verify that the new manufacturer maintains facilities, procedures and operations that comply with our quality and applicable regulatory requirements, which could further impede our ability to manufacture our products in a timely manner. We cannot assure you that we will be able to identify and engage alternative contract manufacturers on similar terms or without delay. Furthermore, our contract manufacturers could require us to move to a different production facility. The occurrence of any of these events could harm our ability to meet the demand for our products in a timely and cost-effective manner, which could have a material adverse effect on our business, financial condition and results of operations.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also subject to numerous other risks relating to our reliance on third parties, including:</w:t>
      </w:r>
    </w:p>
    <w:p>
      <w:pPr>
        <w:spacing w:after="0" w:line="212" w:lineRule="exact"/>
        <w:rPr>
          <w:sz w:val="20"/>
          <w:szCs w:val="20"/>
          <w:color w:val="auto"/>
        </w:rPr>
      </w:pPr>
    </w:p>
    <w:p>
      <w:pPr>
        <w:ind w:left="800" w:right="1080" w:hanging="283"/>
        <w:spacing w:after="0" w:line="261"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renew or extend contracts and arrangements with such third parties or renew any such contracts or arrangements on terms that are favorable to us;</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of supply resulting from modifications to, or discontinuation of, a third-party’s operations;</w:t>
      </w:r>
    </w:p>
    <w:p>
      <w:pPr>
        <w:spacing w:after="0" w:line="103" w:lineRule="exact"/>
        <w:rPr>
          <w:rFonts w:ascii="Arial" w:cs="Arial" w:eastAsia="Arial" w:hAnsi="Arial"/>
          <w:sz w:val="18"/>
          <w:szCs w:val="18"/>
          <w:color w:val="auto"/>
        </w:rPr>
      </w:pPr>
    </w:p>
    <w:p>
      <w:pPr>
        <w:jc w:val="both"/>
        <w:ind w:left="800" w:right="1260" w:hanging="283"/>
        <w:spacing w:after="0" w:line="324" w:lineRule="auto"/>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Delays in shipments resulting from uncorrected defects, reliability issues or a third-party’s failure to manufacture and supply components, accessories, materials, and assembly that consistently meet our agreed specifications and quality requirements;</w:t>
      </w:r>
    </w:p>
    <w:p>
      <w:pPr>
        <w:spacing w:after="0" w:line="16" w:lineRule="exact"/>
        <w:rPr>
          <w:rFonts w:ascii="Arial" w:cs="Arial" w:eastAsia="Arial" w:hAnsi="Arial"/>
          <w:sz w:val="16"/>
          <w:szCs w:val="16"/>
          <w:color w:val="auto"/>
        </w:rPr>
      </w:pPr>
    </w:p>
    <w:p>
      <w:pPr>
        <w:ind w:left="800" w:hanging="283"/>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obtain adequate supply or services in a timely manner or on commercially reasonable terms;</w:t>
      </w:r>
    </w:p>
    <w:p>
      <w:pPr>
        <w:spacing w:after="0" w:line="103" w:lineRule="exact"/>
        <w:rPr>
          <w:rFonts w:ascii="Arial" w:cs="Arial" w:eastAsia="Arial" w:hAnsi="Arial"/>
          <w:sz w:val="18"/>
          <w:szCs w:val="18"/>
          <w:color w:val="auto"/>
        </w:rPr>
      </w:pPr>
    </w:p>
    <w:p>
      <w:pPr>
        <w:ind w:left="800" w:right="760" w:hanging="283"/>
        <w:spacing w:after="0" w:line="261"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identifying and qualifying, and obtaining new regulatory approvals, for alternative suppliers for our products and product components in a timely manner;</w:t>
      </w:r>
    </w:p>
    <w:p>
      <w:pPr>
        <w:spacing w:after="0" w:line="62" w:lineRule="exact"/>
        <w:rPr>
          <w:rFonts w:ascii="Arial" w:cs="Arial" w:eastAsia="Arial" w:hAnsi="Arial"/>
          <w:sz w:val="18"/>
          <w:szCs w:val="18"/>
          <w:color w:val="auto"/>
        </w:rPr>
      </w:pPr>
    </w:p>
    <w:p>
      <w:pPr>
        <w:ind w:left="800" w:right="1160" w:hanging="283"/>
        <w:spacing w:after="0" w:line="261"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design or modify production processes to enable us to produce future products efficiently or implement changes in current products in response to design or regulatory requirements;</w:t>
      </w:r>
    </w:p>
    <w:p>
      <w:pPr>
        <w:spacing w:after="0" w:line="62" w:lineRule="exact"/>
        <w:rPr>
          <w:rFonts w:ascii="Arial" w:cs="Arial" w:eastAsia="Arial" w:hAnsi="Arial"/>
          <w:sz w:val="18"/>
          <w:szCs w:val="18"/>
          <w:color w:val="auto"/>
        </w:rPr>
      </w:pPr>
    </w:p>
    <w:p>
      <w:pPr>
        <w:ind w:left="800" w:right="1300" w:hanging="283"/>
        <w:spacing w:after="0" w:line="261"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comply with applicable provisions of the FDA’s Quality System Regulation, or QSR, or other applicable laws or regulations enforced by the FDA, state and foreign regulatory authorities;</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ensure the quality of products and components manufactured by third parties;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timely increase production capacity or volumes to meet demand;</w:t>
      </w:r>
    </w:p>
    <w:p>
      <w:pPr>
        <w:spacing w:after="0" w:line="103" w:lineRule="exact"/>
        <w:rPr>
          <w:rFonts w:ascii="Arial" w:cs="Arial" w:eastAsia="Arial" w:hAnsi="Arial"/>
          <w:sz w:val="18"/>
          <w:szCs w:val="18"/>
          <w:color w:val="auto"/>
        </w:rPr>
      </w:pPr>
    </w:p>
    <w:p>
      <w:pPr>
        <w:ind w:left="800" w:right="760" w:hanging="283"/>
        <w:spacing w:after="0" w:line="261"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delays related to the evaluation and testing of products and components from alternative third parties and corresponding regulatory qualifications;</w:t>
      </w:r>
    </w:p>
    <w:p>
      <w:pPr>
        <w:spacing w:after="0" w:line="62" w:lineRule="exact"/>
        <w:rPr>
          <w:rFonts w:ascii="Arial" w:cs="Arial" w:eastAsia="Arial" w:hAnsi="Arial"/>
          <w:sz w:val="18"/>
          <w:szCs w:val="18"/>
          <w:color w:val="auto"/>
        </w:rPr>
      </w:pPr>
    </w:p>
    <w:p>
      <w:pPr>
        <w:ind w:left="800" w:right="960" w:hanging="283"/>
        <w:spacing w:after="0" w:line="261"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outbreak of disease or similar public health threat, such as the COVID-19 pandemic, particularly as it may impact our supply chain;</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 lead time for the production of certain components of our products;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fluctuations due to a lack of long-term supply arrangements with certain of our suppliers;</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47" w:name="page48"/>
    <w:bookmarkEnd w:id="47"/>
    <w:p>
      <w:pPr>
        <w:ind w:left="800" w:hanging="283"/>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 of delays or interruption stemming from trade wars; and</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delays in delivery by our suppliers.</w:t>
      </w:r>
    </w:p>
    <w:p>
      <w:pPr>
        <w:spacing w:after="0" w:line="212" w:lineRule="exact"/>
        <w:rPr>
          <w:sz w:val="20"/>
          <w:szCs w:val="20"/>
          <w:color w:val="auto"/>
        </w:rPr>
      </w:pPr>
    </w:p>
    <w:p>
      <w:pPr>
        <w:ind w:right="60" w:firstLine="419"/>
        <w:spacing w:after="0" w:line="253" w:lineRule="auto"/>
        <w:rPr>
          <w:sz w:val="20"/>
          <w:szCs w:val="20"/>
          <w:color w:val="auto"/>
        </w:rPr>
      </w:pPr>
      <w:r>
        <w:rPr>
          <w:rFonts w:ascii="Arial" w:cs="Arial" w:eastAsia="Arial" w:hAnsi="Arial"/>
          <w:sz w:val="17"/>
          <w:szCs w:val="17"/>
          <w:color w:val="auto"/>
        </w:rPr>
        <w:t>These risks are likely to be exacerbated by our limited experience with our current products and manufacturing processes. As demand for our products increases, we will have to invest additional resources to manage the manufacturing process. If we fail to secure increased production capacity efficiently, we may not be able to fill customer orders on a timely basis, our sales may not increase in line with our expectations and our operating margins could fluctuate or decline. In addition, although some future products may share product features, components, sub-assemblies and materials with our existing products, the manufacture of these products may require modification of the current production processes or unique production processes, the identification of new suppliers for specific components, sub-assemblies and materials or the development of new manufacturing technologies. It may not be possible for our current third-party manufacturers to produce these products at a cost or in quantities sufficient to make these products commercially viable or to maintain current operating margins, all of which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single source suppliers.</w:t>
      </w:r>
    </w:p>
    <w:p>
      <w:pPr>
        <w:spacing w:after="0" w:line="104" w:lineRule="exact"/>
        <w:rPr>
          <w:sz w:val="20"/>
          <w:szCs w:val="20"/>
          <w:color w:val="auto"/>
        </w:rPr>
      </w:pPr>
    </w:p>
    <w:p>
      <w:pPr>
        <w:ind w:right="40" w:firstLine="419"/>
        <w:spacing w:after="0" w:line="274" w:lineRule="auto"/>
        <w:rPr>
          <w:sz w:val="20"/>
          <w:szCs w:val="20"/>
          <w:color w:val="auto"/>
        </w:rPr>
      </w:pPr>
      <w:r>
        <w:rPr>
          <w:rFonts w:ascii="Arial" w:cs="Arial" w:eastAsia="Arial" w:hAnsi="Arial"/>
          <w:sz w:val="16"/>
          <w:szCs w:val="16"/>
          <w:color w:val="auto"/>
        </w:rPr>
        <w:t>We rely on a limited number of third-party manufacturers, many of which are single source suppliers, for a portion of the components, accessories, materials and assembly that we utilize in our products. These items are critical and, for certain items, there are relatively few or no readily available alternative sources of supply. These single source suppliers may be unwilling or unable to supply these items reliably and at the levels we anticipate or that are required by the market. Additionally, although we require our suppliers and providers to supply us with components and services that meet our specifications and other applicable legal and regulatory requirements in our agreements and contracts, and appropriate inspections, testing or other acceptance activities are performed to ensure the components meet our requirements, there is a risk that these third parties will not always act consistent with our best interests, and may not always supply components or provide services that meet our requirements or in a timely manner.</w:t>
      </w:r>
    </w:p>
    <w:p>
      <w:pPr>
        <w:spacing w:after="0" w:line="163" w:lineRule="exact"/>
        <w:rPr>
          <w:sz w:val="20"/>
          <w:szCs w:val="20"/>
          <w:color w:val="auto"/>
        </w:rPr>
      </w:pPr>
    </w:p>
    <w:p>
      <w:pPr>
        <w:ind w:firstLine="419"/>
        <w:spacing w:after="0" w:line="271" w:lineRule="auto"/>
        <w:rPr>
          <w:sz w:val="20"/>
          <w:szCs w:val="20"/>
          <w:color w:val="auto"/>
        </w:rPr>
      </w:pPr>
      <w:r>
        <w:rPr>
          <w:rFonts w:ascii="Arial" w:cs="Arial" w:eastAsia="Arial" w:hAnsi="Arial"/>
          <w:sz w:val="16"/>
          <w:szCs w:val="16"/>
          <w:color w:val="auto"/>
        </w:rPr>
        <w:t>While our suppliers have generally met our demand requirements on a timely basis in the past, we cannot guarantee that suppliers will in the future be able to meet our demand, either because of acts of nature, global pandemics, such as the COVID-19 pandemic, the nature of our agreements with those suppliers or our relative importance to them as a customer, and our suppliers may decide in the future to discontinue or reduce the level of business they conduct with us. We may also fail to obtain additional suppliers for any of the components used in our products. If we are unable to meet our demand requirements on a timely basis, we may not have a sufficient number of our products available for delivery to support ECPs that utilize our products as part of their treatment. For instance, if our supply of OMNI products from Peter's were to be interrupted or suspended for any significant period, we may be unable to meet customer demand for our products until such time that another supplier (or suppliers) can ramp production to meet this shortfall, or Peter's can resume its product supply in accordance with our purchasing requirements. Any shortfall in the supply of products may result in lower adoption and usage rates of our products and have a material adverse effect on our business, financial condition and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of third parties to meet their contractual, regulatory, and other obligations could adversely affect our business.</w:t>
      </w:r>
    </w:p>
    <w:p>
      <w:pPr>
        <w:spacing w:after="0" w:line="104" w:lineRule="exact"/>
        <w:rPr>
          <w:sz w:val="20"/>
          <w:szCs w:val="20"/>
          <w:color w:val="auto"/>
        </w:rPr>
      </w:pPr>
    </w:p>
    <w:p>
      <w:pPr>
        <w:ind w:right="60" w:firstLine="419"/>
        <w:spacing w:after="0" w:line="282" w:lineRule="auto"/>
        <w:rPr>
          <w:sz w:val="20"/>
          <w:szCs w:val="20"/>
          <w:color w:val="auto"/>
        </w:rPr>
      </w:pPr>
      <w:r>
        <w:rPr>
          <w:rFonts w:ascii="Arial" w:cs="Arial" w:eastAsia="Arial" w:hAnsi="Arial"/>
          <w:sz w:val="16"/>
          <w:szCs w:val="16"/>
          <w:color w:val="auto"/>
        </w:rPr>
        <w:t>We rely on suppliers, vendors, outsourcing partners, consultants, alliance partners and other third parties to help research, develop, manufacture, commercialize and distribute our products and manage certain parts of our business.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risk, infrastructure problems and natural disasters, in addition to country-specific privacy and data security risk given current legal and regulatory environments. Failure of third parties to meet their contractual, regulatory, and other obligations may materially adversely affect our business.</w:t>
      </w:r>
    </w:p>
    <w:p>
      <w:pPr>
        <w:spacing w:after="0" w:line="16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The failure of OMNI or TearCare to meet patient expectations or the occurrence of adverse events from use of OMNI or TearCare could limit their adoption and impair our financial performance.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8" w:right="439" w:bottom="1440" w:gutter="0" w:footer="0" w:header="0"/>
        </w:sectPr>
      </w:pPr>
    </w:p>
    <w:bookmarkStart w:id="48" w:name="page49"/>
    <w:bookmarkEnd w:id="48"/>
    <w:p>
      <w:pPr>
        <w:ind w:right="100" w:firstLine="419"/>
        <w:spacing w:after="0" w:line="257" w:lineRule="auto"/>
        <w:rPr>
          <w:sz w:val="20"/>
          <w:szCs w:val="20"/>
          <w:color w:val="auto"/>
        </w:rPr>
      </w:pPr>
      <w:r>
        <w:rPr>
          <w:rFonts w:ascii="Arial" w:cs="Arial" w:eastAsia="Arial" w:hAnsi="Arial"/>
          <w:sz w:val="17"/>
          <w:szCs w:val="17"/>
          <w:color w:val="auto"/>
        </w:rPr>
        <w:t>Our future success depends in part upon patients having an experience with our products that meets their expectations in order to increase ECPs’ demand for our products as a result of positive feedback, social media and word-of-mouth. Patients may be dissatisfied if their expectations of the procedures performed by ECPs using our products, among other things, are not met. Despite what we believe to be the strong safety profile of our products for their intended uses, patients may experience adverse events following canaloplasty or trabeculotomy with OMNI, including, but not limited to, hyphema, mild anterior chamber inflammation and spikes in intraocular pressure. Similarly, patients may experience adverse events following application of localized heat with TearCare, including discomfort, pain or erythema of the eyelids.</w:t>
      </w:r>
    </w:p>
    <w:p>
      <w:pPr>
        <w:spacing w:after="0" w:line="175" w:lineRule="exact"/>
        <w:rPr>
          <w:sz w:val="20"/>
          <w:szCs w:val="20"/>
          <w:color w:val="auto"/>
        </w:rPr>
      </w:pPr>
    </w:p>
    <w:p>
      <w:pPr>
        <w:jc w:val="both"/>
        <w:ind w:right="280" w:firstLine="419"/>
        <w:spacing w:after="0" w:line="243" w:lineRule="auto"/>
        <w:rPr>
          <w:sz w:val="20"/>
          <w:szCs w:val="20"/>
          <w:color w:val="auto"/>
        </w:rPr>
      </w:pPr>
      <w:r>
        <w:rPr>
          <w:rFonts w:ascii="Arial" w:cs="Arial" w:eastAsia="Arial" w:hAnsi="Arial"/>
          <w:sz w:val="18"/>
          <w:szCs w:val="18"/>
          <w:color w:val="auto"/>
        </w:rPr>
        <w:t>If experiences with OMNI or TearCare do not meet the expectations of patients, or if patients experience adverse events, it could discourage the patient and treating physician from referring our products to others. Dissatisfied patients may express negative opinions through social media or other public forums. Any failure to meet patient expectations and any resulting negative publicity could harm our reputation and future sales and therefore adversely affect our business, financial condition and results of operations.</w:t>
      </w:r>
    </w:p>
    <w:p>
      <w:pPr>
        <w:spacing w:after="0" w:line="18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Our results of operations could be materially harmed if we are unable to accurately forecast customer demand for our products and manage our inventory.</w:t>
      </w:r>
    </w:p>
    <w:p>
      <w:pPr>
        <w:spacing w:after="0" w:line="63" w:lineRule="exact"/>
        <w:rPr>
          <w:sz w:val="20"/>
          <w:szCs w:val="20"/>
          <w:color w:val="auto"/>
        </w:rPr>
      </w:pPr>
    </w:p>
    <w:p>
      <w:pPr>
        <w:ind w:firstLine="419"/>
        <w:spacing w:after="0" w:line="238" w:lineRule="auto"/>
        <w:rPr>
          <w:sz w:val="20"/>
          <w:szCs w:val="20"/>
          <w:color w:val="auto"/>
        </w:rPr>
      </w:pPr>
      <w:r>
        <w:rPr>
          <w:rFonts w:ascii="Arial" w:cs="Arial" w:eastAsia="Arial" w:hAnsi="Arial"/>
          <w:sz w:val="18"/>
          <w:szCs w:val="18"/>
          <w:color w:val="auto"/>
        </w:rPr>
        <w:t>We seek to maintain sufficient levels of inventory in order to protect ourselves from supply interruptions, but keep limited components, sub-assemblies, materials and finished products on hand. To ensure adequate inventory supply and manage our operations with our third-party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product introductions by competitors, an increase or decrease in customer demand for our products, our failure to accurately forecast customer acceptance and adoption of new products, unanticipated changes in general market conditions or regulatory matters and weakening of economic conditions or consumer confidence in future economic conditions.</w:t>
      </w:r>
    </w:p>
    <w:p>
      <w:pPr>
        <w:spacing w:after="0" w:line="194" w:lineRule="exact"/>
        <w:rPr>
          <w:sz w:val="20"/>
          <w:szCs w:val="20"/>
          <w:color w:val="auto"/>
        </w:rPr>
      </w:pPr>
    </w:p>
    <w:p>
      <w:pPr>
        <w:ind w:right="140" w:firstLine="419"/>
        <w:spacing w:after="0" w:line="253" w:lineRule="auto"/>
        <w:rPr>
          <w:sz w:val="20"/>
          <w:szCs w:val="20"/>
          <w:color w:val="auto"/>
        </w:rPr>
      </w:pPr>
      <w:r>
        <w:rPr>
          <w:rFonts w:ascii="Arial" w:cs="Arial" w:eastAsia="Arial" w:hAnsi="Arial"/>
          <w:sz w:val="17"/>
          <w:szCs w:val="17"/>
          <w:color w:val="auto"/>
        </w:rPr>
        <w:t>Inventory levels in excess of customer demand may result in a portion of our inventory becoming obsolete or expiring, as well as inventory write-downs or write-offs, which would negatively impact our gross margins and impair the strength of our brand. Conversely, if we underestimate customer demand for our products or our own requirements for components, sub-assemblies and materials, our third-party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or additional manufacturing capacity may not be available when required on terms that are acceptable to us, or at all, and our third-party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and annual results may fluctuate significantly and may not fully reflect the underlying performance of our business.</w:t>
      </w:r>
    </w:p>
    <w:p>
      <w:pPr>
        <w:spacing w:after="0" w:line="115" w:lineRule="exact"/>
        <w:rPr>
          <w:sz w:val="20"/>
          <w:szCs w:val="20"/>
          <w:color w:val="auto"/>
        </w:rPr>
      </w:pPr>
    </w:p>
    <w:p>
      <w:pPr>
        <w:ind w:right="40" w:firstLine="419"/>
        <w:spacing w:after="0" w:line="238" w:lineRule="auto"/>
        <w:rPr>
          <w:sz w:val="20"/>
          <w:szCs w:val="20"/>
          <w:color w:val="auto"/>
        </w:rPr>
      </w:pPr>
      <w:r>
        <w:rPr>
          <w:rFonts w:ascii="Arial" w:cs="Arial" w:eastAsia="Arial" w:hAnsi="Arial"/>
          <w:sz w:val="18"/>
          <w:szCs w:val="18"/>
          <w:color w:val="auto"/>
        </w:rPr>
        <w:t>Our quarterly and annual results of operations, including our revenue, may vary significantly in the future, and period-to-period comparisons of our operating results may not be meaningful. Accordingly, the results of any one quarter or period should not be relied upon as an indication of future performance or of the results for the year in which such quarter or period occurs.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or result in volatility of our common stock. Because our quarterly results may fluctuate, period-to-period comparisons may not be the best indication of the underlying results of our business and should only be relied upon as one factor in determining how our business is performing. These fluctuations may occur due to a variety of factors, many of which are outside of our control, including, but not limited to:</w:t>
      </w:r>
    </w:p>
    <w:p>
      <w:pPr>
        <w:spacing w:after="0" w:line="194" w:lineRule="exact"/>
        <w:rPr>
          <w:sz w:val="20"/>
          <w:szCs w:val="20"/>
          <w:color w:val="auto"/>
        </w:rPr>
      </w:pPr>
    </w:p>
    <w:p>
      <w:pPr>
        <w:ind w:left="800" w:hanging="283"/>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demand for our products which may vary significantly;</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trials or investigations involving the use of our products;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decisions or announcements, including product recalls;</w:t>
      </w:r>
    </w:p>
    <w:p>
      <w:pPr>
        <w:spacing w:after="0" w:line="103" w:lineRule="exact"/>
        <w:rPr>
          <w:rFonts w:ascii="Arial" w:cs="Arial" w:eastAsia="Arial" w:hAnsi="Arial"/>
          <w:sz w:val="18"/>
          <w:szCs w:val="18"/>
          <w:color w:val="auto"/>
        </w:rPr>
      </w:pPr>
    </w:p>
    <w:p>
      <w:pPr>
        <w:ind w:left="5420" w:right="4340" w:hanging="4903"/>
        <w:spacing w:after="0" w:line="387"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Data and results relating to our products that are presented in journal publications;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-32385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49" w:name="page50"/>
    <w:bookmarkEnd w:id="49"/>
    <w:p>
      <w:pPr>
        <w:ind w:left="800" w:hanging="283"/>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and marketing efforts and expenses;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 hired salespeople become effective;</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productivity of our sales force;</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force;</w:t>
      </w:r>
    </w:p>
    <w:p>
      <w:pPr>
        <w:spacing w:after="0" w:line="103" w:lineRule="exact"/>
        <w:rPr>
          <w:rFonts w:ascii="Arial" w:cs="Arial" w:eastAsia="Arial" w:hAnsi="Arial"/>
          <w:sz w:val="18"/>
          <w:szCs w:val="18"/>
          <w:color w:val="auto"/>
        </w:rPr>
      </w:pPr>
    </w:p>
    <w:p>
      <w:pPr>
        <w:ind w:left="800" w:right="1060" w:hanging="283"/>
        <w:spacing w:after="0" w:line="261"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of our industry, including consolidation among our competitors or future partners;</w:t>
      </w:r>
    </w:p>
    <w:p>
      <w:pPr>
        <w:spacing w:after="0" w:line="62" w:lineRule="exact"/>
        <w:rPr>
          <w:rFonts w:ascii="Arial" w:cs="Arial" w:eastAsia="Arial" w:hAnsi="Arial"/>
          <w:sz w:val="18"/>
          <w:szCs w:val="18"/>
          <w:color w:val="auto"/>
        </w:rPr>
      </w:pPr>
    </w:p>
    <w:p>
      <w:pPr>
        <w:ind w:left="800" w:right="680" w:hanging="283"/>
        <w:spacing w:after="0" w:line="261"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coverage and reimbursement policies with respect to the procedures in which our products and our competitors' products are used, and potential future products that compete with our products;</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Positive or negative coverage in the media or clinical publications of our products or products of our competitors or our industry;</w:t>
      </w:r>
    </w:p>
    <w:p>
      <w:pPr>
        <w:spacing w:after="0" w:line="103" w:lineRule="exact"/>
        <w:rPr>
          <w:rFonts w:ascii="Arial" w:cs="Arial" w:eastAsia="Arial" w:hAnsi="Arial"/>
          <w:sz w:val="18"/>
          <w:szCs w:val="18"/>
          <w:color w:val="auto"/>
        </w:rPr>
      </w:pPr>
    </w:p>
    <w:p>
      <w:pPr>
        <w:ind w:left="800" w:right="860" w:hanging="283"/>
        <w:spacing w:after="0" w:line="324" w:lineRule="auto"/>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of customer orders or medical procedures using our products and the number of available selling days in any quarterly period, which can be impacted by holidays, the mix of products sold and the geographic mix of where products are sold;</w:t>
      </w:r>
    </w:p>
    <w:p>
      <w:pPr>
        <w:spacing w:after="0" w:line="16" w:lineRule="exact"/>
        <w:rPr>
          <w:rFonts w:ascii="Arial" w:cs="Arial" w:eastAsia="Arial" w:hAnsi="Arial"/>
          <w:sz w:val="16"/>
          <w:szCs w:val="16"/>
          <w:color w:val="auto"/>
        </w:rPr>
      </w:pPr>
    </w:p>
    <w:p>
      <w:pPr>
        <w:ind w:left="800" w:right="800" w:hanging="283"/>
        <w:spacing w:after="0" w:line="248"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licenses, regulatory approval, commercialization activities, acquisitions and other strategic transactions, or other significant events relating to our products, which may change from time to time;</w:t>
      </w:r>
    </w:p>
    <w:p>
      <w:pPr>
        <w:spacing w:after="0" w:line="73" w:lineRule="exact"/>
        <w:rPr>
          <w:rFonts w:ascii="Arial" w:cs="Arial" w:eastAsia="Arial" w:hAnsi="Arial"/>
          <w:sz w:val="18"/>
          <w:szCs w:val="18"/>
          <w:color w:val="auto"/>
        </w:rPr>
      </w:pPr>
    </w:p>
    <w:p>
      <w:pPr>
        <w:ind w:left="800" w:hanging="283"/>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enforcing and defending our intellectual property rights, whether through litigation or otherwise;</w:t>
      </w:r>
    </w:p>
    <w:p>
      <w:pPr>
        <w:spacing w:after="0" w:line="103" w:lineRule="exact"/>
        <w:rPr>
          <w:rFonts w:ascii="Arial" w:cs="Arial" w:eastAsia="Arial" w:hAnsi="Arial"/>
          <w:sz w:val="18"/>
          <w:szCs w:val="18"/>
          <w:color w:val="auto"/>
        </w:rPr>
      </w:pPr>
    </w:p>
    <w:p>
      <w:pPr>
        <w:ind w:left="800" w:right="820" w:hanging="283"/>
        <w:spacing w:after="0" w:line="261"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manufacturing our products, which may vary depending on the quantity of production and the terms of our agreements with third-party suppliers; and</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12" w:lineRule="exact"/>
        <w:rPr>
          <w:sz w:val="20"/>
          <w:szCs w:val="20"/>
          <w:color w:val="auto"/>
        </w:rPr>
      </w:pPr>
    </w:p>
    <w:p>
      <w:pPr>
        <w:spacing w:after="0" w:line="324" w:lineRule="auto"/>
        <w:rPr>
          <w:sz w:val="20"/>
          <w:szCs w:val="20"/>
          <w:color w:val="auto"/>
        </w:rPr>
      </w:pPr>
      <w:r>
        <w:rPr>
          <w:rFonts w:ascii="Arial" w:cs="Arial" w:eastAsia="Arial" w:hAnsi="Arial"/>
          <w:sz w:val="16"/>
          <w:szCs w:val="16"/>
          <w:b w:val="1"/>
          <w:bCs w:val="1"/>
          <w:i w:val="1"/>
          <w:iCs w:val="1"/>
          <w:color w:val="auto"/>
        </w:rPr>
        <w:t>Our long-term growth depends on our ability to enhance our products, expand our indications and develop and commercialize additional products in a timely manner. If we fail to identify, acquire and develop other products, we may be unable to grow our business.</w:t>
      </w:r>
    </w:p>
    <w:p>
      <w:pPr>
        <w:spacing w:after="0" w:line="16" w:lineRule="exact"/>
        <w:rPr>
          <w:sz w:val="20"/>
          <w:szCs w:val="20"/>
          <w:color w:val="auto"/>
        </w:rPr>
      </w:pPr>
    </w:p>
    <w:p>
      <w:pPr>
        <w:ind w:firstLine="419"/>
        <w:spacing w:after="0" w:line="257" w:lineRule="auto"/>
        <w:rPr>
          <w:sz w:val="20"/>
          <w:szCs w:val="20"/>
          <w:color w:val="auto"/>
        </w:rPr>
      </w:pPr>
      <w:r>
        <w:rPr>
          <w:rFonts w:ascii="Arial" w:cs="Arial" w:eastAsia="Arial" w:hAnsi="Arial"/>
          <w:sz w:val="17"/>
          <w:szCs w:val="17"/>
          <w:color w:val="auto"/>
        </w:rPr>
        <w:t>The markets for our products are highly competitive, dynamic, and marked by rapid and substantial technological development and product innovation. New entrants or existing competitors could attempt to develop products that compete directly with ours. Demand for our products and future related products could be diminished by equivalent or superior products and technologies offered by competitors. If we are unable to innovate successfully, our products could become obsolete and our revenue would decline as our customers purchase our competitors’ products. Developing and improving products is expensive and time-consuming and could divert management’s attention away from our existing products. The success of any new product offering or product enhancements to our solutions will depend on several factors, including our ability to:</w:t>
      </w:r>
    </w:p>
    <w:p>
      <w:pPr>
        <w:spacing w:after="0" w:line="175" w:lineRule="exact"/>
        <w:rPr>
          <w:sz w:val="20"/>
          <w:szCs w:val="20"/>
          <w:color w:val="auto"/>
        </w:rPr>
      </w:pPr>
    </w:p>
    <w:p>
      <w:pPr>
        <w:ind w:left="800" w:hanging="283"/>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strong relationships with ECPs;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Assemble sufficient resources to acquire or discover additional products;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Properly identify and anticipate physician and patient needs;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and introduce new products and product enhancements in a timely manner;</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Avoid infringing upon, misappropriating or otherwise violating the intellectual property rights of third parties;</w:t>
      </w:r>
    </w:p>
    <w:p>
      <w:pPr>
        <w:spacing w:after="0" w:line="103" w:lineRule="exact"/>
        <w:rPr>
          <w:rFonts w:ascii="Arial" w:cs="Arial" w:eastAsia="Arial" w:hAnsi="Arial"/>
          <w:sz w:val="18"/>
          <w:szCs w:val="18"/>
          <w:color w:val="auto"/>
        </w:rPr>
      </w:pPr>
    </w:p>
    <w:p>
      <w:pPr>
        <w:ind w:left="800" w:right="1600" w:hanging="283"/>
        <w:spacing w:after="0" w:line="261"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products with data from preclinical studies and clinical trials or investigations;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8" w:right="439" w:bottom="1440" w:gutter="0" w:footer="0" w:header="0"/>
        </w:sectPr>
      </w:pPr>
    </w:p>
    <w:bookmarkStart w:id="50" w:name="page51"/>
    <w:bookmarkEnd w:id="50"/>
    <w:p>
      <w:pPr>
        <w:ind w:left="800" w:right="1540" w:hanging="283"/>
        <w:spacing w:after="0" w:line="261"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the necessary regulatory clearances, certifications or approvals for expanded indications, new products or product modifications;</w:t>
      </w:r>
    </w:p>
    <w:p>
      <w:pPr>
        <w:spacing w:after="0" w:line="62" w:lineRule="exact"/>
        <w:rPr>
          <w:rFonts w:ascii="Arial" w:cs="Arial" w:eastAsia="Arial" w:hAnsi="Arial"/>
          <w:sz w:val="18"/>
          <w:szCs w:val="18"/>
          <w:color w:val="auto"/>
        </w:rPr>
      </w:pPr>
    </w:p>
    <w:p>
      <w:pPr>
        <w:ind w:left="800" w:right="1360" w:hanging="283"/>
        <w:spacing w:after="0" w:line="261"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the requirements of FDA and similar foreign regulatory authorities regarding the marketing of new devices or modified products;</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Produce new products in commercial quantities at an acceptable cost;</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products;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Receive adequate coding, coverage and reimbursement for procedures performed with our products; and</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 an effective and dedicated sales and marketing team.</w:t>
      </w:r>
    </w:p>
    <w:p>
      <w:pPr>
        <w:spacing w:after="0" w:line="104" w:lineRule="exact"/>
        <w:rPr>
          <w:sz w:val="20"/>
          <w:szCs w:val="20"/>
          <w:color w:val="auto"/>
        </w:rPr>
      </w:pPr>
    </w:p>
    <w:p>
      <w:pPr>
        <w:ind w:right="40" w:firstLine="419"/>
        <w:spacing w:after="0" w:line="257" w:lineRule="auto"/>
        <w:rPr>
          <w:sz w:val="20"/>
          <w:szCs w:val="20"/>
          <w:color w:val="auto"/>
        </w:rPr>
      </w:pPr>
      <w:r>
        <w:rPr>
          <w:rFonts w:ascii="Arial" w:cs="Arial" w:eastAsia="Arial" w:hAnsi="Arial"/>
          <w:sz w:val="17"/>
          <w:szCs w:val="17"/>
          <w:color w:val="auto"/>
        </w:rPr>
        <w:t>If we are unable to develop or improve products, applications or features due to constraints, such as insufficient cash resources, high employee turnover, inability to hire personnel with sufficient technical skills or a lack of other research and development resources, we may not be able to maintain our competitive position compared to other companies. Furthermore, many of our competitors devote a considerably greater amount of funds to their research and development programs than we do, and those that do not may be acquired by larger companies that could allocate greater resources to research and development programs. Our failure or inability to devote adequate research and development resources or compete effectively with the research and development programs of our competitors could harm our business.</w:t>
      </w:r>
    </w:p>
    <w:p>
      <w:pPr>
        <w:spacing w:after="0" w:line="175" w:lineRule="exact"/>
        <w:rPr>
          <w:sz w:val="20"/>
          <w:szCs w:val="20"/>
          <w:color w:val="auto"/>
        </w:rPr>
      </w:pPr>
    </w:p>
    <w:p>
      <w:pPr>
        <w:ind w:right="60" w:firstLine="419"/>
        <w:spacing w:after="0" w:line="257" w:lineRule="auto"/>
        <w:rPr>
          <w:sz w:val="20"/>
          <w:szCs w:val="20"/>
          <w:color w:val="auto"/>
        </w:rPr>
      </w:pPr>
      <w:r>
        <w:rPr>
          <w:rFonts w:ascii="Arial" w:cs="Arial" w:eastAsia="Arial" w:hAnsi="Arial"/>
          <w:sz w:val="17"/>
          <w:szCs w:val="17"/>
          <w:color w:val="auto"/>
        </w:rPr>
        <w:t>In addition, we may choose to focus our efforts and resources on potential products or indications that ultimately prove to be unsuccessful, or to license or purchase marketed products that does not meet our financial expectations. As a result, we may fail to capitalize on viable commercial products or profitable market opportunities, be required to forego or delay pursuit of opportunities with other potential products or other diseases that may later prove to have greater commercial potential, or relinquish valuable rights to such potential products through collaboration, licensing or other royalty arrangements in cases in which it would have been advantageous for us to retain sole development and commercialization rights, which could adversely impact our business, financial condition and results of operations.</w:t>
      </w:r>
    </w:p>
    <w:p>
      <w:pPr>
        <w:spacing w:after="0" w:line="17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Changes in public health insurance coverage and government reimbursement rates for our products could affect the adoption of our products and our future revenue.</w:t>
      </w:r>
    </w:p>
    <w:p>
      <w:pPr>
        <w:spacing w:after="0" w:line="63" w:lineRule="exact"/>
        <w:rPr>
          <w:sz w:val="20"/>
          <w:szCs w:val="20"/>
          <w:color w:val="auto"/>
        </w:rPr>
      </w:pPr>
    </w:p>
    <w:p>
      <w:pPr>
        <w:ind w:firstLine="419"/>
        <w:spacing w:after="0" w:line="254" w:lineRule="auto"/>
        <w:rPr>
          <w:sz w:val="20"/>
          <w:szCs w:val="20"/>
          <w:color w:val="auto"/>
        </w:rPr>
      </w:pPr>
      <w:r>
        <w:rPr>
          <w:rFonts w:ascii="Arial" w:cs="Arial" w:eastAsia="Arial" w:hAnsi="Arial"/>
          <w:sz w:val="17"/>
          <w:szCs w:val="17"/>
          <w:color w:val="auto"/>
        </w:rPr>
        <w:t>The federal government is considering ways to change, and has changed, the manner in which healthcare services are paid for in the U.S. Individual states may also enact legislation that impacts Medicaid payments to hospitals, surgical centers and physicians. In addition, CMS establishes Medicare payment levels for hospitals, surgical centers and physicians on an annual basis, which can increase or decrease payment to such entities, including for procedures involving our products.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Even if we succeed in bringing our products to market in additional foreign countries, uncertainties regarding future healthcare policy, legislation and regulation, as well as private market practices, could affect our ability to sell our products in commercially acceptable quantities at acceptable prices.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Cost-containment efforts of our customers, purchasing groups and governmental organizations could have a material adverse effect on our sales and results of operations. Consolidation in the healthcare industry or group purchasing organizations could lead to demands for price concessions, which may affect our ability to sell our products at prices necessary to support our current business strategies.</w:t>
      </w:r>
    </w:p>
    <w:p>
      <w:pPr>
        <w:spacing w:after="0" w:line="56" w:lineRule="exact"/>
        <w:rPr>
          <w:sz w:val="20"/>
          <w:szCs w:val="20"/>
          <w:color w:val="auto"/>
        </w:rPr>
      </w:pPr>
    </w:p>
    <w:p>
      <w:pPr>
        <w:ind w:right="40" w:firstLine="419"/>
        <w:spacing w:after="0" w:line="255" w:lineRule="auto"/>
        <w:rPr>
          <w:sz w:val="20"/>
          <w:szCs w:val="20"/>
          <w:color w:val="auto"/>
        </w:rPr>
      </w:pPr>
      <w:r>
        <w:rPr>
          <w:rFonts w:ascii="Arial" w:cs="Arial" w:eastAsia="Arial" w:hAnsi="Arial"/>
          <w:sz w:val="17"/>
          <w:szCs w:val="17"/>
          <w:color w:val="auto"/>
        </w:rPr>
        <w:t>In an effort to reduce costs, many clinics and hospitals in the United States, including some of our customers, are members of Group Purchasing Organizations, or GPOs, and Integrated Delivery Networks, or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products, thereby reducing our revenue and margins.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51" w:name="page52"/>
    <w:bookmarkEnd w:id="51"/>
    <w:p>
      <w:pPr>
        <w:ind w:right="60" w:firstLine="419"/>
        <w:spacing w:after="0"/>
        <w:rPr>
          <w:sz w:val="20"/>
          <w:szCs w:val="20"/>
          <w:color w:val="auto"/>
        </w:rPr>
      </w:pPr>
      <w:r>
        <w:rPr>
          <w:rFonts w:ascii="Arial" w:cs="Arial" w:eastAsia="Arial" w:hAnsi="Arial"/>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sales volumes and revenue.</w:t>
      </w:r>
    </w:p>
    <w:p>
      <w:pPr>
        <w:spacing w:after="0" w:line="189" w:lineRule="exact"/>
        <w:rPr>
          <w:sz w:val="20"/>
          <w:szCs w:val="20"/>
          <w:color w:val="auto"/>
        </w:rPr>
      </w:pPr>
    </w:p>
    <w:p>
      <w:pPr>
        <w:ind w:firstLine="419"/>
        <w:spacing w:after="0" w:line="255" w:lineRule="auto"/>
        <w:rPr>
          <w:sz w:val="20"/>
          <w:szCs w:val="20"/>
          <w:color w:val="auto"/>
        </w:rPr>
      </w:pPr>
      <w:r>
        <w:rPr>
          <w:rFonts w:ascii="Arial" w:cs="Arial" w:eastAsia="Arial" w:hAnsi="Arial"/>
          <w:sz w:val="17"/>
          <w:szCs w:val="17"/>
          <w:color w:val="auto"/>
        </w:rPr>
        <w:t>Healthcare costs have risen significantly over the past decade, which has resulted in or led to numerous cost reform initiatives by legislators, regulators and third-party payors. Cost reform has triggered a consolidation trend in the healthcare industry to aggregate purchasing power, which may create more requests for pricing concessions in the future. Additionally, GPOs, IDNs and large single accounts may continue to use their market power to consolidate purchasing decisions for hospitals. We expect that market demand, government regulation, third-party coverage and reimbursement policies and societal pressures will continue to change the healthcare industry worldwide, resulting in further business consolidations and alliances among our customers, which may exert further downward pressure on the prices of our products. Such downward pressure on the prices of our products may affect our results of operations and our ability to support our current business strategies.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achieve or maintain satisfactory pricing and margins for our products.</w:t>
      </w:r>
    </w:p>
    <w:p>
      <w:pPr>
        <w:spacing w:after="0" w:line="104" w:lineRule="exact"/>
        <w:rPr>
          <w:sz w:val="20"/>
          <w:szCs w:val="20"/>
          <w:color w:val="auto"/>
        </w:rPr>
      </w:pPr>
    </w:p>
    <w:p>
      <w:pPr>
        <w:ind w:right="100" w:firstLine="419"/>
        <w:spacing w:after="0" w:line="264" w:lineRule="auto"/>
        <w:rPr>
          <w:sz w:val="20"/>
          <w:szCs w:val="20"/>
          <w:color w:val="auto"/>
        </w:rPr>
      </w:pPr>
      <w:r>
        <w:rPr>
          <w:rFonts w:ascii="Arial" w:cs="Arial" w:eastAsia="Arial" w:hAnsi="Arial"/>
          <w:sz w:val="17"/>
          <w:szCs w:val="17"/>
          <w:color w:val="auto"/>
        </w:rPr>
        <w:t>Medical device companies have a history of price competition, and we can give no assurance that we will be able to achieve satisfactory prices for our products or maintain prices at the levels we have historically achieved. Any decline in the amount that payors reimburse our customers for procedures that use OMNI or in the amount that customers are willing to pay or that payors reimburse for procedures that use TearCare in the future, could make it difficult for customers to continue using, or to adopt, our products and could create additional pricing pressure for us. If we are forced to lower the price we charge for our products or add more components to our products, our gross margins will decrease, which will adversely affect our ability to invest in and grow our business. If we are unable to maintain our prices, or if our costs increase and we are unable to offset such increase with an increase in our prices, our margins could erode. We are, and will continue to be, subject to significant pricing pressure, which could negatively affect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the anticipated growth of our business.</w:t>
      </w:r>
    </w:p>
    <w:p>
      <w:pPr>
        <w:spacing w:after="0" w:line="104" w:lineRule="exact"/>
        <w:rPr>
          <w:sz w:val="20"/>
          <w:szCs w:val="20"/>
          <w:color w:val="auto"/>
        </w:rPr>
      </w:pPr>
    </w:p>
    <w:p>
      <w:pPr>
        <w:ind w:right="300" w:firstLine="419"/>
        <w:spacing w:after="0" w:line="272" w:lineRule="auto"/>
        <w:rPr>
          <w:sz w:val="20"/>
          <w:szCs w:val="20"/>
          <w:color w:val="auto"/>
        </w:rPr>
      </w:pPr>
      <w:r>
        <w:rPr>
          <w:rFonts w:ascii="Arial" w:cs="Arial" w:eastAsia="Arial" w:hAnsi="Arial"/>
          <w:sz w:val="16"/>
          <w:szCs w:val="16"/>
          <w:color w:val="auto"/>
        </w:rPr>
        <w:t>In order to grow, we need to expand our commercial team, and general and administrative infrastructure. In addition to the need to scale our organization, future growth will impose significant added responsibilities on management, including the need to identify, recruit, train and integrate additional employees. Rapid expansion in personnel could mean that less experienced people market and sell our products, which could result in inefficiencies and unanticipated costs, reduced quality and disruptions to our operations. In addition, rapid and significant growth may strain our administrative and operational infrastructure. Our ability to manage our business and growth will require us to continue to improve our operational, financial and management controls, reporting systems and procedures. For example, we currently rely on a combination of direct sales personnel and independent distributors to sell our products in Europe, and we intend to grow our international sales through a combination of direct and distributor sales. If we are unable to manage our growth effectively, it may be difficult for us to execute our business strategy and our business could be harmed.</w:t>
      </w:r>
    </w:p>
    <w:p>
      <w:pPr>
        <w:spacing w:after="0" w:line="168" w:lineRule="exact"/>
        <w:rPr>
          <w:sz w:val="20"/>
          <w:szCs w:val="20"/>
          <w:color w:val="auto"/>
        </w:rPr>
      </w:pPr>
    </w:p>
    <w:p>
      <w:pPr>
        <w:ind w:right="20" w:firstLine="419"/>
        <w:spacing w:after="0" w:line="241" w:lineRule="auto"/>
        <w:rPr>
          <w:sz w:val="20"/>
          <w:szCs w:val="20"/>
          <w:color w:val="auto"/>
        </w:rPr>
      </w:pPr>
      <w:r>
        <w:rPr>
          <w:rFonts w:ascii="Arial" w:cs="Arial" w:eastAsia="Arial" w:hAnsi="Arial"/>
          <w:sz w:val="18"/>
          <w:szCs w:val="18"/>
          <w:color w:val="auto"/>
        </w:rPr>
        <w:t>As demand for our current products or any of our future products increases, we will need to continue to expand customer service, billing and systems processes and enhance our internal quality assurance program. We cannot assure you that any increases in scale, related improvements and quality assurance will be successfully implemented or that appropriate personnel will be available to facilitate the growth of our business. Failure to implement necessary procedures, transition to new processes or hire the necessary personnel could result in higher costs of processing data or inability to meet increased demand.</w:t>
      </w:r>
    </w:p>
    <w:p>
      <w:pPr>
        <w:spacing w:after="0" w:line="189"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b w:val="1"/>
          <w:bCs w:val="1"/>
          <w:i w:val="1"/>
          <w:iCs w:val="1"/>
          <w:color w:val="auto"/>
        </w:rPr>
        <w:t>Performance issues, service interruptions or price increases by our shipping carriers and distributors could negatively affect our business, financial condition and results of operations and harm our reputation and the relationship between us and the ECPs we work with.</w:t>
      </w:r>
    </w:p>
    <w:p>
      <w:pPr>
        <w:spacing w:after="0" w:line="16" w:lineRule="exact"/>
        <w:rPr>
          <w:sz w:val="20"/>
          <w:szCs w:val="20"/>
          <w:color w:val="auto"/>
        </w:rPr>
      </w:pPr>
    </w:p>
    <w:p>
      <w:pPr>
        <w:ind w:right="140" w:firstLine="419"/>
        <w:spacing w:after="0" w:line="248" w:lineRule="auto"/>
        <w:rPr>
          <w:sz w:val="20"/>
          <w:szCs w:val="20"/>
          <w:color w:val="auto"/>
        </w:rPr>
      </w:pPr>
      <w:r>
        <w:rPr>
          <w:rFonts w:ascii="Arial" w:cs="Arial" w:eastAsia="Arial" w:hAnsi="Arial"/>
          <w:sz w:val="18"/>
          <w:szCs w:val="18"/>
          <w:color w:val="auto"/>
        </w:rPr>
        <w:t>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52" w:name="page53"/>
    <w:bookmarkEnd w:id="52"/>
    <w:p>
      <w:pPr>
        <w:ind w:right="20"/>
        <w:spacing w:after="0" w:line="259" w:lineRule="auto"/>
        <w:rPr>
          <w:sz w:val="20"/>
          <w:szCs w:val="20"/>
          <w:color w:val="auto"/>
        </w:rPr>
      </w:pPr>
      <w:r>
        <w:rPr>
          <w:rFonts w:ascii="Arial" w:cs="Arial" w:eastAsia="Arial" w:hAnsi="Arial"/>
          <w:sz w:val="17"/>
          <w:szCs w:val="17"/>
          <w:color w:val="auto"/>
        </w:rPr>
        <w:t>replace such systems in a timely manner and such occurrences may damage our reputation and lead to decreased demand for our solutions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 These factors could negatively affect our business, financial condition and results of operations and harm our reputation and the relationship between us and the ECPs we work with.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may become obsolete in the future.</w:t>
      </w:r>
    </w:p>
    <w:p>
      <w:pPr>
        <w:spacing w:after="0" w:line="104" w:lineRule="exact"/>
        <w:rPr>
          <w:sz w:val="20"/>
          <w:szCs w:val="20"/>
          <w:color w:val="auto"/>
        </w:rPr>
      </w:pPr>
    </w:p>
    <w:p>
      <w:pPr>
        <w:ind w:right="60" w:firstLine="419"/>
        <w:spacing w:after="0"/>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or products that are more effective than our products or that would render our products obsolete or noncompetitive. Additionally, new surgical procedures, medications and other therapies could be developed that replace or reduce the importance of our products. Accordingly, our success will depend in part on our ability to respond quickly to medical and other changes through the development and introduction of new products. Product development involves a high degree of risk, and there can be no assurance that our new product development efforts will result in any commercially successful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bear the risk of potential warranty claims on our products.</w:t>
      </w:r>
    </w:p>
    <w:p>
      <w:pPr>
        <w:spacing w:after="0" w:line="104" w:lineRule="exact"/>
        <w:rPr>
          <w:sz w:val="20"/>
          <w:szCs w:val="20"/>
          <w:color w:val="auto"/>
        </w:rPr>
      </w:pPr>
    </w:p>
    <w:p>
      <w:pPr>
        <w:ind w:firstLine="419"/>
        <w:spacing w:after="0" w:line="239" w:lineRule="auto"/>
        <w:rPr>
          <w:sz w:val="20"/>
          <w:szCs w:val="20"/>
          <w:color w:val="auto"/>
        </w:rPr>
      </w:pPr>
      <w:r>
        <w:rPr>
          <w:rFonts w:ascii="Arial" w:cs="Arial" w:eastAsia="Arial" w:hAnsi="Arial"/>
          <w:sz w:val="18"/>
          <w:szCs w:val="18"/>
          <w:color w:val="auto"/>
        </w:rPr>
        <w:t>We provide limited warranties regarding our products, including warranties pertaining to freedom from defects and conformance to specifications. We are generally obligated under our sales contracts to repair, replace or credit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spacing w:after="0" w:line="191"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b w:val="1"/>
          <w:bCs w:val="1"/>
          <w:i w:val="1"/>
          <w:iCs w:val="1"/>
          <w:color w:val="auto"/>
        </w:rPr>
        <w:t>We may enter into collaborations, in-licensing arrangements, joint ventures, strategic alliances or partnerships with third parties that may not result in the development of commercially viable products or product improvements or the generation of significant future revenues.</w:t>
      </w:r>
    </w:p>
    <w:p>
      <w:pPr>
        <w:spacing w:after="0" w:line="16" w:lineRule="exact"/>
        <w:rPr>
          <w:sz w:val="20"/>
          <w:szCs w:val="20"/>
          <w:color w:val="auto"/>
        </w:rPr>
      </w:pPr>
    </w:p>
    <w:p>
      <w:pPr>
        <w:ind w:right="40" w:firstLine="419"/>
        <w:spacing w:after="0" w:line="272" w:lineRule="auto"/>
        <w:rPr>
          <w:sz w:val="20"/>
          <w:szCs w:val="20"/>
          <w:color w:val="auto"/>
        </w:rPr>
      </w:pPr>
      <w:r>
        <w:rPr>
          <w:rFonts w:ascii="Arial" w:cs="Arial" w:eastAsia="Arial" w:hAnsi="Arial"/>
          <w:sz w:val="16"/>
          <w:szCs w:val="16"/>
          <w:color w:val="auto"/>
        </w:rPr>
        <w:t>We may enter into collaborations, in-licensing arrangements, joint ventures, strategic alliances, partnerships or other arrangements to develop new products or product improvements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viable product improvements or result in significant revenues and could be terminated prior to developing any products.</w:t>
      </w:r>
    </w:p>
    <w:p>
      <w:pPr>
        <w:spacing w:after="0" w:line="168" w:lineRule="exact"/>
        <w:rPr>
          <w:sz w:val="20"/>
          <w:szCs w:val="20"/>
          <w:color w:val="auto"/>
        </w:rPr>
      </w:pPr>
    </w:p>
    <w:p>
      <w:pPr>
        <w:ind w:right="160" w:firstLine="419"/>
        <w:spacing w:after="0" w:line="274" w:lineRule="auto"/>
        <w:rPr>
          <w:sz w:val="20"/>
          <w:szCs w:val="20"/>
          <w:color w:val="auto"/>
        </w:rPr>
      </w:pPr>
      <w:r>
        <w:rPr>
          <w:rFonts w:ascii="Arial" w:cs="Arial" w:eastAsia="Arial" w:hAnsi="Arial"/>
          <w:sz w:val="16"/>
          <w:szCs w:val="16"/>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63" w:lineRule="exact"/>
        <w:rPr>
          <w:sz w:val="20"/>
          <w:szCs w:val="20"/>
          <w:color w:val="auto"/>
        </w:rPr>
      </w:pPr>
    </w:p>
    <w:p>
      <w:pPr>
        <w:ind w:right="100" w:firstLine="419"/>
        <w:spacing w:after="0" w:line="241" w:lineRule="auto"/>
        <w:rPr>
          <w:sz w:val="20"/>
          <w:szCs w:val="20"/>
          <w:color w:val="auto"/>
        </w:rPr>
      </w:pPr>
      <w:r>
        <w:rPr>
          <w:rFonts w:ascii="Arial" w:cs="Arial" w:eastAsia="Arial" w:hAnsi="Arial"/>
          <w:sz w:val="18"/>
          <w:szCs w:val="18"/>
          <w:color w:val="auto"/>
        </w:rPr>
        <w:t>Disputes between us and any collaborators we may have in the future may result in litigation or arbitration which would increase our expenses and divert the attention of our management. These arrangements may consume management time and resources to establish and maintain.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Any</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53" w:name="page54"/>
    <w:bookmarkEnd w:id="53"/>
    <w:p>
      <w:pPr>
        <w:spacing w:after="0" w:line="238" w:lineRule="auto"/>
        <w:rPr>
          <w:sz w:val="20"/>
          <w:szCs w:val="20"/>
          <w:color w:val="auto"/>
        </w:rPr>
      </w:pPr>
      <w:r>
        <w:rPr>
          <w:rFonts w:ascii="Arial" w:cs="Arial" w:eastAsia="Arial" w:hAnsi="Arial"/>
          <w:sz w:val="18"/>
          <w:szCs w:val="18"/>
          <w:color w:val="auto"/>
        </w:rPr>
        <w:t>termination of collaborations we enter into in the future, or any delay in entering into collaborations related to our products, could delay the development and commercialization of our products and reduce their competitiveness if they reach the market, which could have a material adverse effect on our business, financial condition and results of operations.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and/or seek damages arising out of the alleged breach, which could adversely affect our competitive business position and harm our business prospects.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leaves us exposed to significant uninsured liabilities.</w:t>
      </w:r>
    </w:p>
    <w:p>
      <w:pPr>
        <w:spacing w:after="0" w:line="127" w:lineRule="exact"/>
        <w:rPr>
          <w:sz w:val="20"/>
          <w:szCs w:val="20"/>
          <w:color w:val="auto"/>
        </w:rPr>
      </w:pPr>
    </w:p>
    <w:p>
      <w:pPr>
        <w:ind w:right="40" w:firstLine="419"/>
        <w:spacing w:after="0" w:line="254" w:lineRule="auto"/>
        <w:rPr>
          <w:sz w:val="20"/>
          <w:szCs w:val="20"/>
          <w:color w:val="auto"/>
        </w:rPr>
      </w:pPr>
      <w:r>
        <w:rPr>
          <w:rFonts w:ascii="Arial" w:cs="Arial" w:eastAsia="Arial" w:hAnsi="Arial"/>
          <w:sz w:val="17"/>
          <w:szCs w:val="17"/>
          <w:color w:val="auto"/>
        </w:rPr>
        <w:t>We do not carry insurance for all categories of risk that our business may encounter. Although we carry product liability insurance,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81" w:lineRule="exact"/>
        <w:rPr>
          <w:sz w:val="20"/>
          <w:szCs w:val="20"/>
          <w:color w:val="auto"/>
        </w:rPr>
      </w:pPr>
    </w:p>
    <w:p>
      <w:pPr>
        <w:ind w:right="120" w:firstLine="419"/>
        <w:spacing w:after="0" w:line="279" w:lineRule="auto"/>
        <w:rPr>
          <w:sz w:val="20"/>
          <w:szCs w:val="20"/>
          <w:color w:val="auto"/>
        </w:rPr>
      </w:pPr>
      <w:r>
        <w:rPr>
          <w:rFonts w:ascii="Arial" w:cs="Arial" w:eastAsia="Arial" w:hAnsi="Arial"/>
          <w:sz w:val="16"/>
          <w:szCs w:val="16"/>
          <w:color w:val="auto"/>
        </w:rPr>
        <w:t>Operating as a public company has also made it more difficult and more expensive for us to obtain and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15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depend on our senior management team and the loss of one or more key employees or an inability to attract and retain highly skilled employees will negatively affect our business, financial condition and results of operations.</w:t>
      </w:r>
    </w:p>
    <w:p>
      <w:pPr>
        <w:spacing w:after="0" w:line="63" w:lineRule="exact"/>
        <w:rPr>
          <w:sz w:val="20"/>
          <w:szCs w:val="20"/>
          <w:color w:val="auto"/>
        </w:rPr>
      </w:pPr>
    </w:p>
    <w:p>
      <w:pPr>
        <w:ind w:right="100" w:firstLine="419"/>
        <w:spacing w:after="0" w:line="239" w:lineRule="auto"/>
        <w:rPr>
          <w:sz w:val="20"/>
          <w:szCs w:val="20"/>
          <w:color w:val="auto"/>
        </w:rPr>
      </w:pPr>
      <w:r>
        <w:rPr>
          <w:rFonts w:ascii="Arial" w:cs="Arial" w:eastAsia="Arial" w:hAnsi="Arial"/>
          <w:sz w:val="18"/>
          <w:szCs w:val="18"/>
          <w:color w:val="auto"/>
        </w:rPr>
        <w:t>Our success depends largely on the continued services of key members of our executive management team and others in key management positions. For example, the services of Paul Badawi, our Chief Executive Officer and David Badawi, our Chief Technology Officer, are essential to driving adoption of our products, executing on our corporate strategy and ensuring the continued operations and integrity of financial reporting within our company. In addition, the services of our sales professionals are critical to driving the growth in sales of our products. Any of our employees may terminate their employment with us at any time. We currently maintain a key person life insurance policy on Mr. Badawi. If we lose one or more key employees, we may experience difficulties in competing effectively, developing our technologies and implementing our business strategy, which in turn would negatively affect our business.</w:t>
      </w:r>
    </w:p>
    <w:p>
      <w:pPr>
        <w:spacing w:after="0" w:line="191" w:lineRule="exact"/>
        <w:rPr>
          <w:sz w:val="20"/>
          <w:szCs w:val="20"/>
          <w:color w:val="auto"/>
        </w:rPr>
      </w:pPr>
    </w:p>
    <w:p>
      <w:pPr>
        <w:ind w:firstLine="419"/>
        <w:spacing w:after="0" w:line="276" w:lineRule="auto"/>
        <w:rPr>
          <w:sz w:val="20"/>
          <w:szCs w:val="20"/>
          <w:color w:val="auto"/>
        </w:rPr>
      </w:pPr>
      <w:r>
        <w:rPr>
          <w:rFonts w:ascii="Arial" w:cs="Arial" w:eastAsia="Arial" w:hAnsi="Arial"/>
          <w:sz w:val="16"/>
          <w:szCs w:val="16"/>
          <w:color w:val="auto"/>
        </w:rPr>
        <w:t>In addition, our research and development programs, clinical and quality operations and sales efforts depend on our ability to attract and retain highly skilled engineers and sales professionals, as well as experienced regulatory, quality and clinical professionals. We may not be able to attract or retain qualified professionals in the future due to the competition for qualified personnel. We have from time to time experienced, and we expect to continue to experience, difficulty in hiring and retaining employees with appropriate qualifications. Many of the companies with which we compete for experienced personnel have greater resources than we do. If we hire employees from competitors or other companies, their former employers may attempt to assert that these employees or we have breached legal obligations, resulting in a diversion of our time and resources and, potentially, damages.</w:t>
      </w:r>
    </w:p>
    <w:p>
      <w:pPr>
        <w:spacing w:after="0" w:line="161" w:lineRule="exact"/>
        <w:rPr>
          <w:sz w:val="20"/>
          <w:szCs w:val="20"/>
          <w:color w:val="auto"/>
        </w:rPr>
      </w:pPr>
    </w:p>
    <w:p>
      <w:pPr>
        <w:ind w:right="100" w:firstLine="419"/>
        <w:spacing w:after="0" w:line="261" w:lineRule="auto"/>
        <w:rPr>
          <w:sz w:val="20"/>
          <w:szCs w:val="20"/>
          <w:color w:val="auto"/>
        </w:rPr>
      </w:pPr>
      <w:r>
        <w:rPr>
          <w:rFonts w:ascii="Arial" w:cs="Arial" w:eastAsia="Arial" w:hAnsi="Arial"/>
          <w:sz w:val="18"/>
          <w:szCs w:val="18"/>
          <w:color w:val="auto"/>
        </w:rPr>
        <w:t>In addition, job candidates and existing employees often consider the value of the stock awards they receive in connection with their employment. If the perceived benefits of our stock awards decline, either because of unfavorable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8" w:right="439" w:bottom="1440" w:gutter="0" w:footer="0" w:header="0"/>
        </w:sectPr>
      </w:pPr>
    </w:p>
    <w:bookmarkStart w:id="54" w:name="page55"/>
    <w:bookmarkEnd w:id="54"/>
    <w:p>
      <w:pPr>
        <w:ind w:right="20"/>
        <w:spacing w:after="0" w:line="255" w:lineRule="auto"/>
        <w:rPr>
          <w:sz w:val="20"/>
          <w:szCs w:val="20"/>
          <w:color w:val="auto"/>
        </w:rPr>
      </w:pPr>
      <w:r>
        <w:rPr>
          <w:rFonts w:ascii="Arial" w:cs="Arial" w:eastAsia="Arial" w:hAnsi="Arial"/>
          <w:sz w:val="17"/>
          <w:szCs w:val="17"/>
          <w:color w:val="auto"/>
        </w:rPr>
        <w:t>fluctuations or declines in our stock price or for other reasons, it may harm our ability to recruit and retain highly skilled employees. Many of our employees have become or will soon become vested in a substantial amount of our common stock or a number of common stock options. Our employees may be more likely to leave us if the market price of our common stock approaches or falls below the exercise price of their vested and unvested option shares. Substantial declines in the market price of our common stock will also reduce the effectiveness of any restricted stock unit or other equity incentive awards in attracting and retaining employees, especially within the current highly competitive labor market. Our future success also depends on our ability to continue to attract and retain additional executive officers and other key employees. If we fail to attract new personnel or fail to retain and motivate our current personnel, it will negatively affect our business, financial condition and results of operations.</w:t>
      </w:r>
    </w:p>
    <w:p>
      <w:pPr>
        <w:spacing w:after="0" w:line="180" w:lineRule="exact"/>
        <w:rPr>
          <w:sz w:val="20"/>
          <w:szCs w:val="20"/>
          <w:color w:val="auto"/>
        </w:rPr>
      </w:pPr>
    </w:p>
    <w:p>
      <w:pPr>
        <w:ind w:right="940"/>
        <w:spacing w:after="0" w:line="356" w:lineRule="auto"/>
        <w:rPr>
          <w:sz w:val="20"/>
          <w:szCs w:val="20"/>
          <w:color w:val="auto"/>
        </w:rPr>
      </w:pPr>
      <w:r>
        <w:rPr>
          <w:rFonts w:ascii="Arial" w:cs="Arial" w:eastAsia="Arial" w:hAnsi="Arial"/>
          <w:sz w:val="15"/>
          <w:szCs w:val="15"/>
          <w:b w:val="1"/>
          <w:bCs w:val="1"/>
          <w:i w:val="1"/>
          <w:iCs w:val="1"/>
          <w:color w:val="auto"/>
        </w:rPr>
        <w:t>The use, misuse or off-label use of our products may result in injuries that lead to product liability suits, which could be expensive, divert management’s attention and harm our reputation and business. We may not be able to maintain adequate product liability insurance.</w:t>
      </w:r>
    </w:p>
    <w:p>
      <w:pPr>
        <w:spacing w:after="0" w:line="1" w:lineRule="exact"/>
        <w:rPr>
          <w:sz w:val="20"/>
          <w:szCs w:val="20"/>
          <w:color w:val="auto"/>
        </w:rPr>
      </w:pPr>
    </w:p>
    <w:p>
      <w:pPr>
        <w:ind w:right="60" w:firstLine="419"/>
        <w:spacing w:after="0" w:line="253" w:lineRule="auto"/>
        <w:rPr>
          <w:sz w:val="20"/>
          <w:szCs w:val="20"/>
          <w:color w:val="auto"/>
        </w:rPr>
      </w:pPr>
      <w:r>
        <w:rPr>
          <w:rFonts w:ascii="Arial" w:cs="Arial" w:eastAsia="Arial" w:hAnsi="Arial"/>
          <w:sz w:val="17"/>
          <w:szCs w:val="17"/>
          <w:color w:val="auto"/>
        </w:rPr>
        <w:t>Our products are cleared or authorized by the FDA and certified in the EU to be marketed for certain specific intended uses. If physicians elect to use our products in manners outside of the intended uses that have been cleared, authorized, or certified, then such off-label use of our products may result in outcomes and adverse events that are sight threatening, necessitate medical or surgical intervention to preclude permanent impairment of vision, or result in a permanent impairment of vision, potentially leading to product liability claims. However, we cannot prevent a physician from using our products for off-label applications or using components or products that are not our products when performing procedures with our products. There may be increased risk of injury to patients if physicians attempt to use our devices off-label. In addition, we cannot guarantee that physicians are trained by us or their peers prior to utilizing our products. Complications resulting from the use of our products off-label or use by physicians who have not been trained appropriately, or at all, may not effectively treat the applicable conditions and may expose us to product liability claims or litigation by our customers or their patients and may harm our reputation.</w:t>
      </w:r>
    </w:p>
    <w:p>
      <w:pPr>
        <w:spacing w:after="0" w:line="184" w:lineRule="exact"/>
        <w:rPr>
          <w:sz w:val="20"/>
          <w:szCs w:val="20"/>
          <w:color w:val="auto"/>
        </w:rPr>
      </w:pPr>
    </w:p>
    <w:p>
      <w:pPr>
        <w:ind w:right="20" w:firstLine="419"/>
        <w:spacing w:after="0" w:line="253" w:lineRule="auto"/>
        <w:rPr>
          <w:sz w:val="20"/>
          <w:szCs w:val="20"/>
          <w:color w:val="auto"/>
        </w:rPr>
      </w:pPr>
      <w:r>
        <w:rPr>
          <w:rFonts w:ascii="Arial" w:cs="Arial" w:eastAsia="Arial" w:hAnsi="Arial"/>
          <w:sz w:val="17"/>
          <w:szCs w:val="17"/>
          <w:color w:val="auto"/>
        </w:rPr>
        <w:t>In addition, if our products are defectively designed, manufactured or labeled, contain defective components or are misused, we may become subject to costly litigation initiated by hospitals, surgical centers, ECPs or patients. Product liability claims are especially prevalent in the medical device industry and could harm our reputation, divert management’s attention from our core business, attract negative publicity, be expensive to defend and may result in sizable damage awards against us. Although we maintain product liability insurance, we may not have sufficient insurance coverage for future product liability claims. We are not able to obtain insurance in amounts or scope sufficient to provide us with adequate coverage against all potential liabilities. Any product liability claims brought against us, with or without merit, could increase our product liability insurance rates or prevent us from securing continuing coverage, harm our reputation, significantly increase our expenses, and reduce product sales. Product liability claims could cause us to incur significant legal fees and deductibles and claims in excess of our insurance coverage would be paid out of cash reserves, harming our financial condition and operating results.</w:t>
      </w:r>
    </w:p>
    <w:p>
      <w:pPr>
        <w:spacing w:after="0" w:line="18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may need additional funding to finance our planned operations, and may not be able to raise capital on acceptable terms, if at all, which could force us to delay, reduce or eliminate our product development programs and commercialization efforts.</w:t>
      </w:r>
    </w:p>
    <w:p>
      <w:pPr>
        <w:spacing w:after="0" w:line="63" w:lineRule="exact"/>
        <w:rPr>
          <w:sz w:val="20"/>
          <w:szCs w:val="20"/>
          <w:color w:val="auto"/>
        </w:rPr>
      </w:pPr>
    </w:p>
    <w:p>
      <w:pPr>
        <w:ind w:firstLine="419"/>
        <w:spacing w:after="0" w:line="276" w:lineRule="auto"/>
        <w:rPr>
          <w:sz w:val="20"/>
          <w:szCs w:val="20"/>
          <w:color w:val="auto"/>
        </w:rPr>
      </w:pPr>
      <w:r>
        <w:rPr>
          <w:rFonts w:ascii="Arial" w:cs="Arial" w:eastAsia="Arial" w:hAnsi="Arial"/>
          <w:sz w:val="16"/>
          <w:szCs w:val="16"/>
          <w:color w:val="auto"/>
        </w:rPr>
        <w:t>Since inception, we have incurred significant net losses and expect to continue to incur net losses for the foreseeable future. Since our inception, our operations have been financed primarily by net proceeds from the sale of our convertible preferred stock in private placements, indebtedness and, to a lesser extent, product revenue from sales of our products. As of December 31, 2021, we had $260.7 million in cash and cash equivalents, and an accumulated deficit of $153.0 million. Based on our current planned operations, we expect that our cash and cash equivalents and additional borrowings available under our credit facility will enable us to fund our operations for at least the next twelve months. We have based these estimates on assumptions that may prove to be wrong, and we could utilize our available capital resources sooner than we expect.</w:t>
      </w:r>
    </w:p>
    <w:p>
      <w:pPr>
        <w:spacing w:after="0" w:line="161" w:lineRule="exact"/>
        <w:rPr>
          <w:sz w:val="20"/>
          <w:szCs w:val="20"/>
          <w:color w:val="auto"/>
        </w:rPr>
      </w:pPr>
    </w:p>
    <w:p>
      <w:pPr>
        <w:ind w:right="20" w:firstLine="419"/>
        <w:spacing w:after="0" w:line="279" w:lineRule="auto"/>
        <w:rPr>
          <w:sz w:val="20"/>
          <w:szCs w:val="20"/>
          <w:color w:val="auto"/>
        </w:rPr>
      </w:pPr>
      <w:r>
        <w:rPr>
          <w:rFonts w:ascii="Arial" w:cs="Arial" w:eastAsia="Arial" w:hAnsi="Arial"/>
          <w:sz w:val="16"/>
          <w:szCs w:val="16"/>
          <w:color w:val="auto"/>
        </w:rPr>
        <w:t>We expect to continue to invest in clinical trials or investigations that are designed to provide clinical evidence of the safety and efficacy of our products, the growth of our sales and marketing organization, and research and development of product improvements and future products. Moreover, we expect to incur additional expenses associated with operating as a public company, including legal, accounting, insurance, exchange listing and SEC compliance, investor relations and other expenses. Because of these and other factors, we expect to continue to incur net losses and negative cash flows from operations for the foreseeable future. Our future funding requirements will depend on many factors, including:</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55" w:name="page56"/>
    <w:bookmarkEnd w:id="55"/>
    <w:p>
      <w:pPr>
        <w:ind w:left="800" w:hanging="283"/>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degree and rate of market acceptance of our products and procedures;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we acquire third-party companies, products or technologies;</w:t>
      </w:r>
    </w:p>
    <w:p>
      <w:pPr>
        <w:spacing w:after="0" w:line="103" w:lineRule="exact"/>
        <w:rPr>
          <w:rFonts w:ascii="Arial" w:cs="Arial" w:eastAsia="Arial" w:hAnsi="Arial"/>
          <w:sz w:val="18"/>
          <w:szCs w:val="18"/>
          <w:color w:val="auto"/>
        </w:rPr>
      </w:pPr>
    </w:p>
    <w:p>
      <w:pPr>
        <w:ind w:left="800" w:right="820" w:hanging="283"/>
        <w:spacing w:after="0" w:line="261"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on our business from the ongoing COVID-19 pandemic, or any other pandemic, epidemic, or outbreak of an infectious disease;</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and timing of investment in our sales force and expansion of our commercial organization;</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or future clinical trials or investigations and registries;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and timing of additional regulatory clearances, certifications or approvals;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associated with any product recall that may occur;</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attaining, defending, protecting and enforcing our intellectual property rights;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timing of any other collaborative, licensing and other arrangements that we may establish;</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and our competitors' ability, to obtain and maintain favorable reimbursement for our products; and</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rate at which we expand internationally.</w:t>
      </w:r>
    </w:p>
    <w:p>
      <w:pPr>
        <w:spacing w:after="0" w:line="212" w:lineRule="exact"/>
        <w:rPr>
          <w:sz w:val="20"/>
          <w:szCs w:val="20"/>
          <w:color w:val="auto"/>
        </w:rPr>
      </w:pPr>
    </w:p>
    <w:p>
      <w:pPr>
        <w:ind w:right="100" w:firstLine="419"/>
        <w:spacing w:after="0" w:line="274" w:lineRule="auto"/>
        <w:rPr>
          <w:sz w:val="20"/>
          <w:szCs w:val="20"/>
          <w:color w:val="auto"/>
        </w:rPr>
      </w:pPr>
      <w:r>
        <w:rPr>
          <w:rFonts w:ascii="Arial" w:cs="Arial" w:eastAsia="Arial" w:hAnsi="Arial"/>
          <w:sz w:val="16"/>
          <w:szCs w:val="16"/>
          <w:color w:val="auto"/>
        </w:rPr>
        <w:t>We may seek to raise additional capital through equity offerings or debt financings and such additional financing may not be available to us on acceptable terms, or at all.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the IPO.</w:t>
      </w:r>
    </w:p>
    <w:p>
      <w:pPr>
        <w:spacing w:after="0" w:line="204" w:lineRule="exact"/>
        <w:rPr>
          <w:sz w:val="20"/>
          <w:szCs w:val="20"/>
          <w:color w:val="auto"/>
        </w:rPr>
      </w:pPr>
    </w:p>
    <w:p>
      <w:pPr>
        <w:ind w:firstLine="473"/>
        <w:spacing w:after="0" w:line="258" w:lineRule="auto"/>
        <w:rPr>
          <w:sz w:val="20"/>
          <w:szCs w:val="20"/>
          <w:color w:val="auto"/>
        </w:rPr>
      </w:pPr>
      <w:r>
        <w:rPr>
          <w:rFonts w:ascii="Arial" w:cs="Arial" w:eastAsia="Arial" w:hAnsi="Arial"/>
          <w:sz w:val="17"/>
          <w:szCs w:val="17"/>
          <w:color w:val="auto"/>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such as relinquishment or licensing of certain technologies or products that we otherwise would seek to develop or commercialize ourselves, or reserve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76" w:lineRule="exact"/>
        <w:rPr>
          <w:sz w:val="20"/>
          <w:szCs w:val="20"/>
          <w:color w:val="auto"/>
        </w:rPr>
      </w:pPr>
    </w:p>
    <w:p>
      <w:pPr>
        <w:jc w:val="both"/>
        <w:ind w:right="120" w:firstLine="419"/>
        <w:spacing w:after="0" w:line="284" w:lineRule="auto"/>
        <w:rPr>
          <w:sz w:val="20"/>
          <w:szCs w:val="20"/>
          <w:color w:val="auto"/>
        </w:rPr>
      </w:pPr>
      <w:r>
        <w:rPr>
          <w:rFonts w:ascii="Arial" w:cs="Arial" w:eastAsia="Arial" w:hAnsi="Arial"/>
          <w:sz w:val="16"/>
          <w:szCs w:val="16"/>
          <w:color w:val="auto"/>
        </w:rPr>
        <w:t>If we are unable to obtain adequate financing on terms satisfactory to us when we require it, we may terminate or delay the development of one or more of our products, delay clinical trials or investigations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significant amount of debt, which may affect our ability to operate our business and secure additional financing in the future.</w:t>
      </w:r>
    </w:p>
    <w:p>
      <w:pPr>
        <w:spacing w:after="0" w:line="115" w:lineRule="exact"/>
        <w:rPr>
          <w:sz w:val="20"/>
          <w:szCs w:val="20"/>
          <w:color w:val="auto"/>
        </w:rPr>
      </w:pPr>
    </w:p>
    <w:p>
      <w:pPr>
        <w:ind w:right="80" w:firstLine="419"/>
        <w:spacing w:after="0" w:line="248" w:lineRule="auto"/>
        <w:rPr>
          <w:sz w:val="20"/>
          <w:szCs w:val="20"/>
          <w:color w:val="auto"/>
        </w:rPr>
      </w:pPr>
      <w:r>
        <w:rPr>
          <w:rFonts w:ascii="Arial" w:cs="Arial" w:eastAsia="Arial" w:hAnsi="Arial"/>
          <w:sz w:val="18"/>
          <w:szCs w:val="18"/>
          <w:color w:val="auto"/>
        </w:rPr>
        <w:t>In November 2020, we entered into credit and security agreements with MidCap Financial Services, which provide for a term loan facility and revolving line of credit, or the 2020 MidCap Credit Facility. The 2020 MidCap Credit Facility consists of a term loan of up to $35.0 million, or the 2020 Term Loan, which has a stated floating interest rate equal to</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56" w:name="page57"/>
    <w:bookmarkEnd w:id="56"/>
    <w:p>
      <w:pPr>
        <w:ind w:right="120"/>
        <w:spacing w:after="0" w:line="276" w:lineRule="auto"/>
        <w:rPr>
          <w:sz w:val="20"/>
          <w:szCs w:val="20"/>
          <w:color w:val="auto"/>
        </w:rPr>
      </w:pPr>
      <w:r>
        <w:rPr>
          <w:rFonts w:ascii="Arial" w:cs="Arial" w:eastAsia="Arial" w:hAnsi="Arial"/>
          <w:sz w:val="16"/>
          <w:szCs w:val="16"/>
          <w:color w:val="auto"/>
        </w:rPr>
        <w:t>reserve-adjusted LIBOR plus 7.00%, and a revolving line of credit of $5 million, or the 2020 Revolver, with a stated floating interest rate equal to reserve-adjusted LIBOR plus 4.50%, a 0.5% unused line fee and a 0.5% collateral management fee. We further amended the 2020 MidCap Facility in October 2021 and November 2021 for purposes of relaxing certain financial reporting obligations and other operating covenants. As of December 31, 2021 we had an aggregate of approximately $35.0 million in principal borrowings outstanding under the 2020 MidCap Credit Facility, excluding debt discounts. We must make interest payments under the 2020 MidCap Credit Facility, which has diverted and will continue to divert resources from other activities. We incurred an aggregate interest expense of $4.4 million and $2.4 million in the years ended December 31, 2021 and 2020, respectively.</w:t>
      </w:r>
    </w:p>
    <w:p>
      <w:pPr>
        <w:spacing w:after="0" w:line="162" w:lineRule="exact"/>
        <w:rPr>
          <w:sz w:val="20"/>
          <w:szCs w:val="20"/>
          <w:color w:val="auto"/>
        </w:rPr>
      </w:pPr>
    </w:p>
    <w:p>
      <w:pPr>
        <w:ind w:right="60" w:firstLine="419"/>
        <w:spacing w:after="0" w:line="239" w:lineRule="auto"/>
        <w:rPr>
          <w:sz w:val="20"/>
          <w:szCs w:val="20"/>
          <w:color w:val="auto"/>
        </w:rPr>
      </w:pPr>
      <w:r>
        <w:rPr>
          <w:rFonts w:ascii="Arial" w:cs="Arial" w:eastAsia="Arial" w:hAnsi="Arial"/>
          <w:sz w:val="18"/>
          <w:szCs w:val="18"/>
          <w:color w:val="auto"/>
        </w:rPr>
        <w:t>Our obligations under the 2020 MidCap Credit Facility are collateralized by a security interest in substantially all of our assets, and we are subject to customary financial and operating covenants limiting our ability to, among other things, relocate or dispose of assets, undergo a change in control, merge or consolidate, enter into certain transactions with affiliates, make acquisitions, incur debt, pay dividends, grant liens, store certain amounts of inventory or equipment with third parties and make investments, in each case subject to certain exceptions. We are also subject to minimum trailing revenue targets that are evaluated on a monthly basis. The covenants related to the 2020 MidCap Credit Facility, as well as any future financing agreements into which we may enter, may restrict our ability to finance our operations and engage in, expand or otherwise pursue our business activities and strategies.</w:t>
      </w:r>
    </w:p>
    <w:p>
      <w:pPr>
        <w:spacing w:after="0" w:line="191" w:lineRule="exact"/>
        <w:rPr>
          <w:sz w:val="20"/>
          <w:szCs w:val="20"/>
          <w:color w:val="auto"/>
        </w:rPr>
      </w:pPr>
    </w:p>
    <w:p>
      <w:pPr>
        <w:ind w:right="40" w:firstLine="419"/>
        <w:spacing w:after="0" w:line="254" w:lineRule="auto"/>
        <w:rPr>
          <w:sz w:val="20"/>
          <w:szCs w:val="20"/>
          <w:color w:val="auto"/>
        </w:rPr>
      </w:pPr>
      <w:r>
        <w:rPr>
          <w:rFonts w:ascii="Arial" w:cs="Arial" w:eastAsia="Arial" w:hAnsi="Arial"/>
          <w:sz w:val="17"/>
          <w:szCs w:val="17"/>
          <w:color w:val="auto"/>
        </w:rPr>
        <w:t>While we have not previously breached and are not currently in breach of these or any other covenants contained in the 2020 MidCap Credit Facility, there can be no guarantee that we will not breach these covenants in the future. Our ability to comply with these covenants may be affected by events beyond our control, and future breaches of any of these covenants could result in a default under the 2020 MidCap Credit Facility. If not waived, future defaults could cause all of the outstanding indebtedness under the 2020 MidCap Credit Facility to become immediately due and payable and terminate commitments to extend further credit and foreclose on the collateral granted to it to collateralize such indebtedness. If we do not have or are unable to generate sufficient cash available to repay our debt obligations when they become due and payable, either upon maturity or in the event of a default, our assets could be foreclosed upon and we may not be able to obtain additional debt or equity financing on favorable terms, if at all, which may negatively impact our ability to operate and continue our business as a going concern.</w:t>
      </w:r>
    </w:p>
    <w:p>
      <w:pPr>
        <w:spacing w:after="0" w:line="181" w:lineRule="exact"/>
        <w:rPr>
          <w:sz w:val="20"/>
          <w:szCs w:val="20"/>
          <w:color w:val="auto"/>
        </w:rPr>
      </w:pPr>
    </w:p>
    <w:p>
      <w:pPr>
        <w:ind w:right="20" w:firstLine="419"/>
        <w:spacing w:after="0" w:line="254" w:lineRule="auto"/>
        <w:rPr>
          <w:sz w:val="20"/>
          <w:szCs w:val="20"/>
          <w:color w:val="auto"/>
        </w:rPr>
      </w:pPr>
      <w:r>
        <w:rPr>
          <w:rFonts w:ascii="Arial" w:cs="Arial" w:eastAsia="Arial" w:hAnsi="Arial"/>
          <w:sz w:val="17"/>
          <w:szCs w:val="17"/>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cash flow from 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may place us at a competitive disadvantage compared to our competitors that have less indebtedness or greater financial resources to service their debt.</w:t>
      </w:r>
    </w:p>
    <w:p>
      <w:pPr>
        <w:spacing w:after="0" w:line="18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Uncertainty relating to the LIBOR calculation process and potential phasing out of LIBOR may adversely affect the market value of our current or future debt obligations.</w:t>
      </w:r>
    </w:p>
    <w:p>
      <w:pPr>
        <w:spacing w:after="0" w:line="63" w:lineRule="exact"/>
        <w:rPr>
          <w:sz w:val="20"/>
          <w:szCs w:val="20"/>
          <w:color w:val="auto"/>
        </w:rPr>
      </w:pPr>
    </w:p>
    <w:p>
      <w:pPr>
        <w:ind w:firstLine="419"/>
        <w:spacing w:after="0" w:line="272" w:lineRule="auto"/>
        <w:rPr>
          <w:sz w:val="20"/>
          <w:szCs w:val="20"/>
          <w:color w:val="auto"/>
        </w:rPr>
      </w:pPr>
      <w:r>
        <w:rPr>
          <w:rFonts w:ascii="Arial" w:cs="Arial" w:eastAsia="Arial" w:hAnsi="Arial"/>
          <w:sz w:val="16"/>
          <w:szCs w:val="16"/>
          <w:color w:val="auto"/>
        </w:rPr>
        <w:t>The London Inter-bank Offered Rate, or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and it is unclear if LIBOR will cease to exist or if new methods of calculating LIBOR will evolve. If a published LIBOR rate is unavailable after 2021, the interest rates on instruments which are indexed to LIBOR will be determined using alternative methods, which may result in interest obligations which are more than or do not otherwise correlate over time with the payments that would have been made on such debt if LIBOR was available in its current form. Any new proposals or consequences could have a material adverse effect on our financing costs, including our interest rates on borrowings under our 2020 Term Loan and 2020 Revolver, and as a result, our financial condition, operating results and cash flows.</w:t>
      </w:r>
    </w:p>
    <w:p>
      <w:pPr>
        <w:spacing w:after="0" w:line="168"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fail to result in a commercial product or net sales, divert our management’s attention, result in additional dilution to our stockholders and otherwise disrupt our business and adversely affect our results of operations.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8" w:right="439" w:bottom="1440" w:gutter="0" w:footer="0" w:header="0"/>
        </w:sectPr>
      </w:pPr>
    </w:p>
    <w:bookmarkStart w:id="57" w:name="page58"/>
    <w:bookmarkEnd w:id="57"/>
    <w:p>
      <w:pPr>
        <w:ind w:right="20" w:firstLine="419"/>
        <w:spacing w:after="0" w:line="274" w:lineRule="auto"/>
        <w:rPr>
          <w:sz w:val="20"/>
          <w:szCs w:val="20"/>
          <w:color w:val="auto"/>
        </w:rPr>
      </w:pPr>
      <w:r>
        <w:rPr>
          <w:rFonts w:ascii="Arial" w:cs="Arial" w:eastAsia="Arial" w:hAnsi="Arial"/>
          <w:sz w:val="16"/>
          <w:szCs w:val="16"/>
          <w:color w:val="auto"/>
        </w:rPr>
        <w:t>Although we currently have no agreements or commitments to complete any such transactions and are not involved in negotiations to do so,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63" w:lineRule="exact"/>
        <w:rPr>
          <w:sz w:val="20"/>
          <w:szCs w:val="20"/>
          <w:color w:val="auto"/>
        </w:rPr>
      </w:pPr>
    </w:p>
    <w:p>
      <w:pPr>
        <w:ind w:right="40" w:firstLine="419"/>
        <w:spacing w:after="0" w:line="279" w:lineRule="auto"/>
        <w:rPr>
          <w:sz w:val="20"/>
          <w:szCs w:val="20"/>
          <w:color w:val="auto"/>
        </w:rPr>
      </w:pPr>
      <w:r>
        <w:rPr>
          <w:rFonts w:ascii="Arial" w:cs="Arial" w:eastAsia="Arial" w:hAnsi="Arial"/>
          <w:sz w:val="16"/>
          <w:szCs w:val="16"/>
          <w:color w:val="auto"/>
        </w:rPr>
        <w:t>To date, the growth of our operations has been largely organic, and we have limited experience in acquiring other businesses or technologies. Furthermore, the anticipated benefit of any strategic alliance, joint venture or acquisition may not materialize, or such strategic alliance, joint venture or acquisition may be prohibited. In November 2020, we amended and restated our credit facilities and entered into the 2020 Term Loan and 2020 Revolver and then further amended the 2020 Term Loan and 2020 Revolver in October 2021 and November 2021. The 2020 Term Loan and the 2020 Revolver restrict our ability to pursue certain mergers, acquisitions, amalgamations or consolidations that we may believe to be in our best interest.</w:t>
      </w:r>
    </w:p>
    <w:p>
      <w:pPr>
        <w:spacing w:after="0" w:line="159" w:lineRule="exact"/>
        <w:rPr>
          <w:sz w:val="20"/>
          <w:szCs w:val="20"/>
          <w:color w:val="auto"/>
        </w:rPr>
      </w:pPr>
    </w:p>
    <w:p>
      <w:pPr>
        <w:ind w:right="20" w:firstLine="419"/>
        <w:spacing w:after="0" w:line="262" w:lineRule="auto"/>
        <w:rPr>
          <w:sz w:val="20"/>
          <w:szCs w:val="20"/>
          <w:color w:val="auto"/>
        </w:rPr>
      </w:pPr>
      <w:r>
        <w:rPr>
          <w:rFonts w:ascii="Arial" w:cs="Arial" w:eastAsia="Arial" w:hAnsi="Arial"/>
          <w:sz w:val="17"/>
          <w:szCs w:val="17"/>
          <w:color w:val="auto"/>
        </w:rPr>
        <w:t>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business, financial condition and results of operations may be negatively affected. Additional risks we may face in connection with acquisitions include:</w:t>
      </w:r>
    </w:p>
    <w:p>
      <w:pPr>
        <w:spacing w:after="0" w:line="172" w:lineRule="exact"/>
        <w:rPr>
          <w:sz w:val="20"/>
          <w:szCs w:val="20"/>
          <w:color w:val="auto"/>
        </w:rPr>
      </w:pPr>
    </w:p>
    <w:p>
      <w:pPr>
        <w:ind w:left="800" w:hanging="283"/>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Coordination of research and development and sales and marketing functions;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Integration of product and service offerings;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103" w:lineRule="exact"/>
        <w:rPr>
          <w:rFonts w:ascii="Arial" w:cs="Arial" w:eastAsia="Arial" w:hAnsi="Arial"/>
          <w:sz w:val="18"/>
          <w:szCs w:val="18"/>
          <w:color w:val="auto"/>
        </w:rPr>
      </w:pPr>
    </w:p>
    <w:p>
      <w:pPr>
        <w:ind w:left="800" w:right="1340" w:hanging="283"/>
        <w:spacing w:after="0" w:line="261"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relationships with strategic partners as a result of product acquisitions or strategic positioning resulting from the acquisition;</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03" w:lineRule="exact"/>
        <w:rPr>
          <w:rFonts w:ascii="Arial" w:cs="Arial" w:eastAsia="Arial" w:hAnsi="Arial"/>
          <w:sz w:val="18"/>
          <w:szCs w:val="18"/>
          <w:color w:val="auto"/>
        </w:rPr>
      </w:pPr>
    </w:p>
    <w:p>
      <w:pPr>
        <w:ind w:left="800" w:right="1080" w:hanging="283"/>
        <w:spacing w:after="0" w:line="261"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62" w:lineRule="exact"/>
        <w:rPr>
          <w:rFonts w:ascii="Arial" w:cs="Arial" w:eastAsia="Arial" w:hAnsi="Arial"/>
          <w:sz w:val="18"/>
          <w:szCs w:val="18"/>
          <w:color w:val="auto"/>
        </w:rPr>
      </w:pPr>
    </w:p>
    <w:p>
      <w:pPr>
        <w:ind w:left="800" w:right="780" w:hanging="283"/>
        <w:spacing w:after="0" w:line="261"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reporting, revenue recognition or other financial or control deficiencies of the acquired company that we don’t adequately address and that cause our reported results to be incorrect;</w:t>
      </w:r>
    </w:p>
    <w:p>
      <w:pPr>
        <w:spacing w:after="0" w:line="62" w:lineRule="exact"/>
        <w:rPr>
          <w:rFonts w:ascii="Arial" w:cs="Arial" w:eastAsia="Arial" w:hAnsi="Arial"/>
          <w:sz w:val="18"/>
          <w:szCs w:val="18"/>
          <w:color w:val="auto"/>
        </w:rPr>
      </w:pPr>
    </w:p>
    <w:p>
      <w:pPr>
        <w:ind w:left="800" w:right="720" w:hanging="283"/>
        <w:spacing w:after="0" w:line="324" w:lineRule="auto"/>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Liability for activities of the acquired company before the acquisition, including intellectual property infringement claims, misappropriation or other violation, violations of laws, commercial disputes, tax liabilities and other known and unknown liabilities;</w:t>
      </w:r>
    </w:p>
    <w:p>
      <w:pPr>
        <w:spacing w:after="0" w:line="16" w:lineRule="exact"/>
        <w:rPr>
          <w:rFonts w:ascii="Arial" w:cs="Arial" w:eastAsia="Arial" w:hAnsi="Arial"/>
          <w:sz w:val="16"/>
          <w:szCs w:val="16"/>
          <w:color w:val="auto"/>
        </w:rPr>
      </w:pPr>
    </w:p>
    <w:p>
      <w:pPr>
        <w:ind w:left="800" w:hanging="283"/>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103" w:lineRule="exact"/>
        <w:rPr>
          <w:rFonts w:ascii="Arial" w:cs="Arial" w:eastAsia="Arial" w:hAnsi="Arial"/>
          <w:sz w:val="18"/>
          <w:szCs w:val="18"/>
          <w:color w:val="auto"/>
        </w:rPr>
      </w:pPr>
    </w:p>
    <w:p>
      <w:pPr>
        <w:ind w:left="800" w:right="700" w:hanging="283"/>
        <w:spacing w:after="0" w:line="261"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71" w:lineRule="exact"/>
        <w:rPr>
          <w:sz w:val="20"/>
          <w:szCs w:val="20"/>
          <w:color w:val="auto"/>
        </w:rPr>
      </w:pPr>
    </w:p>
    <w:p>
      <w:pPr>
        <w:ind w:firstLine="419"/>
        <w:spacing w:after="0" w:line="291" w:lineRule="auto"/>
        <w:rPr>
          <w:sz w:val="20"/>
          <w:szCs w:val="20"/>
          <w:color w:val="auto"/>
        </w:rPr>
      </w:pPr>
      <w:r>
        <w:rPr>
          <w:rFonts w:ascii="Arial" w:cs="Arial" w:eastAsia="Arial" w:hAnsi="Arial"/>
          <w:sz w:val="17"/>
          <w:szCs w:val="17"/>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58" w:name="page59"/>
    <w:bookmarkEnd w:id="58"/>
    <w:p>
      <w:pPr>
        <w:ind w:right="160"/>
        <w:spacing w:after="0" w:line="261"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gross receipts, value added or similar taxes and may successfully impose additional obligations on us.</w:t>
      </w:r>
    </w:p>
    <w:p>
      <w:pPr>
        <w:spacing w:after="0" w:line="63" w:lineRule="exact"/>
        <w:rPr>
          <w:sz w:val="20"/>
          <w:szCs w:val="20"/>
          <w:color w:val="auto"/>
        </w:rPr>
      </w:pPr>
    </w:p>
    <w:p>
      <w:pPr>
        <w:ind w:right="40" w:firstLine="419"/>
        <w:spacing w:after="0" w:line="243" w:lineRule="auto"/>
        <w:rPr>
          <w:sz w:val="20"/>
          <w:szCs w:val="20"/>
          <w:color w:val="auto"/>
        </w:rPr>
      </w:pPr>
      <w:r>
        <w:rPr>
          <w:rFonts w:ascii="Arial" w:cs="Arial" w:eastAsia="Arial" w:hAnsi="Arial"/>
          <w:sz w:val="18"/>
          <w:szCs w:val="18"/>
          <w:color w:val="auto"/>
        </w:rPr>
        <w:t>One or more jurisdictions may seek to impose additional tax collection obligations on us, including for past sales.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products, or otherwise harm our business, results of operations and financial condition.</w:t>
      </w:r>
    </w:p>
    <w:p>
      <w:pPr>
        <w:spacing w:after="0" w:line="18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disallowed interest expense carryforwards and research and development carryforwards may be limited.</w:t>
      </w:r>
    </w:p>
    <w:p>
      <w:pPr>
        <w:spacing w:after="0" w:line="63" w:lineRule="exact"/>
        <w:rPr>
          <w:sz w:val="20"/>
          <w:szCs w:val="20"/>
          <w:color w:val="auto"/>
        </w:rPr>
      </w:pPr>
    </w:p>
    <w:p>
      <w:pPr>
        <w:ind w:right="20" w:firstLine="419"/>
        <w:spacing w:after="0" w:line="252" w:lineRule="auto"/>
        <w:rPr>
          <w:sz w:val="20"/>
          <w:szCs w:val="20"/>
          <w:color w:val="auto"/>
        </w:rPr>
      </w:pPr>
      <w:r>
        <w:rPr>
          <w:rFonts w:ascii="Arial" w:cs="Arial" w:eastAsia="Arial" w:hAnsi="Arial"/>
          <w:sz w:val="17"/>
          <w:szCs w:val="17"/>
          <w:color w:val="auto"/>
        </w:rPr>
        <w:t>As of December 31, 2021, we had U.S. federal and state net operating loss carryforwards, or NOLs, of $28.7 million and $6.5 million, respectively, and U.S. federal and state research and development credit carryforwards of $1.2 million and $0.9 million, respectively. In general, under Sections 382 and 383 of the Internal Revenue Code of 1986, as amended, or the Code, a corporation that undergoes an “ownership change,” generally defined as a greater than 50 percentage point change by value in its equity ownership over a rolling three-year period, is subject to limitations on its ability to utilize its pre-change net operating losses, or NOLs, and its research and development credit carryforwards to offset future taxable income. Our existing NOLs and research and development credit carryforwards could be subject to limitation under Sections 382 and 383 of the Code if we have undergone, or undergo in the future, any ownership changes for purposes of these provisions. If our NOLs and research and development credit carryforwards are subject to these limitations, we may not be able to utilize a material portion of the NOLs and research and development credit carryforwards, even if we attain profitability.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w:t>
      </w:r>
    </w:p>
    <w:p>
      <w:pPr>
        <w:spacing w:after="0" w:line="186" w:lineRule="exact"/>
        <w:rPr>
          <w:sz w:val="20"/>
          <w:szCs w:val="20"/>
          <w:color w:val="auto"/>
        </w:rPr>
      </w:pPr>
    </w:p>
    <w:p>
      <w:pPr>
        <w:ind w:firstLine="419"/>
        <w:spacing w:after="0" w:line="243" w:lineRule="auto"/>
        <w:rPr>
          <w:sz w:val="20"/>
          <w:szCs w:val="20"/>
          <w:color w:val="auto"/>
        </w:rPr>
      </w:pPr>
      <w:r>
        <w:rPr>
          <w:rFonts w:ascii="Arial" w:cs="Arial" w:eastAsia="Arial" w:hAnsi="Arial"/>
          <w:sz w:val="18"/>
          <w:szCs w:val="18"/>
          <w:color w:val="auto"/>
        </w:rPr>
        <w:t>In addition, the tax benefit of NOLs, temporary differences and credit carryforwards are required to be recorded as an asset to the extent that we assess that realization is more likely than not. We believe that recognition of the deferred tax asset arising from these future tax benefits is not likely to be realized and, accordingly, have provided a valuation allowance of $38.8 million and $24.5 million for the years ended December 31, 2021 and 2020, respectively.</w:t>
      </w:r>
    </w:p>
    <w:p>
      <w:pPr>
        <w:spacing w:after="0" w:line="18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The impact of the Tax Cuts and Jobs Act and the CARES Act on our financial results is not entirely clear and could differ materially from the financial statements provided herein.</w:t>
      </w:r>
    </w:p>
    <w:p>
      <w:pPr>
        <w:spacing w:after="0" w:line="63" w:lineRule="exact"/>
        <w:rPr>
          <w:sz w:val="20"/>
          <w:szCs w:val="20"/>
          <w:color w:val="auto"/>
        </w:rPr>
      </w:pPr>
    </w:p>
    <w:p>
      <w:pPr>
        <w:ind w:firstLine="419"/>
        <w:spacing w:after="0" w:line="259" w:lineRule="auto"/>
        <w:rPr>
          <w:sz w:val="20"/>
          <w:szCs w:val="20"/>
          <w:color w:val="auto"/>
        </w:rPr>
      </w:pPr>
      <w:r>
        <w:rPr>
          <w:rFonts w:ascii="Arial" w:cs="Arial" w:eastAsia="Arial" w:hAnsi="Arial"/>
          <w:sz w:val="17"/>
          <w:szCs w:val="17"/>
          <w:color w:val="auto"/>
        </w:rPr>
        <w:t>On December 22, 2017, the United States enacted the Tax Cuts and Jobs Act, or the TCJA, that significantly reformed the Code. The TCJA, among other things, contained significant changes to corporate taxation, including reduction of the corporate tax rate from a top marginal rate of 35% to a flat rate of 21%; limitation of the tax deduction for interest expense; limitation (as modified by the CARES Act as discussed below) of the deduction for NOLs and elimination of NOL carrybacks, in each case, for losses arising in taxable years beginning after December 31, 2017 (though any such tax losses may be carried forward indefinitely); and modifying or repealing many business deductions and credits.</w:t>
      </w:r>
    </w:p>
    <w:p>
      <w:pPr>
        <w:spacing w:after="0" w:line="174" w:lineRule="exact"/>
        <w:rPr>
          <w:sz w:val="20"/>
          <w:szCs w:val="20"/>
          <w:color w:val="auto"/>
        </w:rPr>
      </w:pPr>
    </w:p>
    <w:p>
      <w:pPr>
        <w:ind w:firstLine="419"/>
        <w:spacing w:after="0"/>
        <w:rPr>
          <w:sz w:val="20"/>
          <w:szCs w:val="20"/>
          <w:color w:val="auto"/>
        </w:rPr>
      </w:pPr>
      <w:r>
        <w:rPr>
          <w:rFonts w:ascii="Arial" w:cs="Arial" w:eastAsia="Arial" w:hAnsi="Arial"/>
          <w:sz w:val="18"/>
          <w:szCs w:val="18"/>
          <w:color w:val="auto"/>
        </w:rPr>
        <w:t>On March 27, 2020, President Trump signed the Coronavirus Aid, Relief, and Economic Security Act (the CARES Act), aimed at helping American workers and businesses impacted by the COVID-19 pandemic. The CARES Act, among other things, temporarily removes the current-law taxable income limitation established under the Tax Cuts and Jobs Act of 2017, and permits NOL carryovers and carrybacks to offset 100% of taxable income for taxable years beginning before 2021. In addition, the CARES Act allows NOLs incurred in 2018, 2019 and 2020 to be carried back to each of the five preceding taxable years. The NOL provisions of the CARES Act are not expected to result in a cash benefit to the Company nor did they impact our NOL balance upon enactment.</w:t>
      </w:r>
    </w:p>
    <w:p>
      <w:pPr>
        <w:spacing w:after="0" w:line="189" w:lineRule="exact"/>
        <w:rPr>
          <w:sz w:val="20"/>
          <w:szCs w:val="20"/>
          <w:color w:val="auto"/>
        </w:rPr>
      </w:pPr>
    </w:p>
    <w:p>
      <w:pPr>
        <w:ind w:right="40" w:firstLine="419"/>
        <w:spacing w:after="0"/>
        <w:rPr>
          <w:sz w:val="20"/>
          <w:szCs w:val="20"/>
          <w:color w:val="auto"/>
        </w:rPr>
      </w:pPr>
      <w:r>
        <w:rPr>
          <w:rFonts w:ascii="Arial" w:cs="Arial" w:eastAsia="Arial" w:hAnsi="Arial"/>
          <w:sz w:val="18"/>
          <w:szCs w:val="18"/>
          <w:color w:val="auto"/>
        </w:rPr>
        <w:t>The financial statements contained herein reflect the effects of the TCJA and the CARES Act based on current guidance. However, there remain uncertainties and ambiguities in the application of certain provisions of the TCJA and the CARES Act, and, as a result, we made certain judgments and assumptions in the interpretation thereof. The U.S. Treasury Department and the Internal Revenue Service may issue further guidance on how the provisions of the TCJA and the CARES Act will be applied or otherwise administered that differs from our current interpretation. In addition, the TCJA and the CARES Act could be subject to potential amendments and technical corrections, any of which could materially lessen or increase certain adverse impacts of the legislation on us.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59" w:name="page60"/>
    <w:bookmarkEnd w:id="59"/>
    <w:p>
      <w:pPr>
        <w:ind w:right="120"/>
        <w:spacing w:after="0" w:line="261" w:lineRule="auto"/>
        <w:rPr>
          <w:sz w:val="20"/>
          <w:szCs w:val="20"/>
          <w:color w:val="auto"/>
        </w:rPr>
      </w:pPr>
      <w:r>
        <w:rPr>
          <w:rFonts w:ascii="Arial" w:cs="Arial" w:eastAsia="Arial" w:hAnsi="Arial"/>
          <w:sz w:val="18"/>
          <w:szCs w:val="18"/>
          <w:b w:val="1"/>
          <w:bCs w:val="1"/>
          <w:i w:val="1"/>
          <w:iCs w:val="1"/>
          <w:color w:val="auto"/>
        </w:rPr>
        <w:t>The planned international expansion of our business will expose us to market, legal, regulatory, political, operational, financial and economic risks associated with doing business outside of the United States.</w:t>
      </w:r>
    </w:p>
    <w:p>
      <w:pPr>
        <w:spacing w:after="0" w:line="63" w:lineRule="exact"/>
        <w:rPr>
          <w:sz w:val="20"/>
          <w:szCs w:val="20"/>
          <w:color w:val="auto"/>
        </w:rPr>
      </w:pPr>
    </w:p>
    <w:p>
      <w:pPr>
        <w:ind w:right="60" w:firstLine="419"/>
        <w:spacing w:after="0" w:line="248" w:lineRule="auto"/>
        <w:rPr>
          <w:sz w:val="20"/>
          <w:szCs w:val="20"/>
          <w:color w:val="auto"/>
        </w:rPr>
      </w:pPr>
      <w:r>
        <w:rPr>
          <w:rFonts w:ascii="Arial" w:cs="Arial" w:eastAsia="Arial" w:hAnsi="Arial"/>
          <w:sz w:val="18"/>
          <w:szCs w:val="18"/>
          <w:color w:val="auto"/>
        </w:rPr>
        <w:t>We intend to increase our international presence, including securing additional regulatory approvals in targeted countries outside the United States. This strategy may include establishing and maintaining physician outreach and education capabilities outside of the United States and expanding our relationships with international payors. Doing business internationally involves a number of risks, including:</w:t>
      </w:r>
    </w:p>
    <w:p>
      <w:pPr>
        <w:spacing w:after="0" w:line="182" w:lineRule="exact"/>
        <w:rPr>
          <w:sz w:val="20"/>
          <w:szCs w:val="20"/>
          <w:color w:val="auto"/>
        </w:rPr>
      </w:pPr>
    </w:p>
    <w:p>
      <w:pPr>
        <w:ind w:left="800" w:hanging="283"/>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staffing and managing our international operations;</w:t>
      </w:r>
    </w:p>
    <w:p>
      <w:pPr>
        <w:spacing w:after="0" w:line="103" w:lineRule="exact"/>
        <w:rPr>
          <w:rFonts w:ascii="Arial" w:cs="Arial" w:eastAsia="Arial" w:hAnsi="Arial"/>
          <w:sz w:val="18"/>
          <w:szCs w:val="18"/>
          <w:color w:val="auto"/>
        </w:rPr>
      </w:pPr>
    </w:p>
    <w:p>
      <w:pPr>
        <w:ind w:left="800" w:right="780" w:hanging="283"/>
        <w:spacing w:after="0" w:line="261"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regulatory clearance, certification or approval where required for our products in various countries;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maintain data and the processing of that data on servers located within such countries;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required to manufacture our products locally;</w:t>
      </w:r>
    </w:p>
    <w:p>
      <w:pPr>
        <w:spacing w:after="0" w:line="103" w:lineRule="exact"/>
        <w:rPr>
          <w:rFonts w:ascii="Arial" w:cs="Arial" w:eastAsia="Arial" w:hAnsi="Arial"/>
          <w:sz w:val="18"/>
          <w:szCs w:val="18"/>
          <w:color w:val="auto"/>
        </w:rPr>
      </w:pPr>
    </w:p>
    <w:p>
      <w:pPr>
        <w:ind w:left="800" w:right="920" w:hanging="283"/>
        <w:spacing w:after="0" w:line="248"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foreign tax laws and complexities of foreign value-added tax systems, the effect of local and regional financial pressures on demand and payment for our products and exposure to foreign currency exchange rate fluctuations;</w:t>
      </w:r>
    </w:p>
    <w:p>
      <w:pPr>
        <w:spacing w:after="0" w:line="73" w:lineRule="exact"/>
        <w:rPr>
          <w:rFonts w:ascii="Arial" w:cs="Arial" w:eastAsia="Arial" w:hAnsi="Arial"/>
          <w:sz w:val="18"/>
          <w:szCs w:val="18"/>
          <w:color w:val="auto"/>
        </w:rPr>
      </w:pPr>
    </w:p>
    <w:p>
      <w:pPr>
        <w:ind w:left="800" w:hanging="283"/>
        <w:spacing w:after="0"/>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Restrictions on the site-of-service for use of our products and the economics related thereto for physicians, providers and payors;</w:t>
      </w:r>
    </w:p>
    <w:p>
      <w:pPr>
        <w:spacing w:after="0" w:line="115" w:lineRule="exact"/>
        <w:rPr>
          <w:rFonts w:ascii="Arial" w:cs="Arial" w:eastAsia="Arial" w:hAnsi="Arial"/>
          <w:sz w:val="17"/>
          <w:szCs w:val="17"/>
          <w:color w:val="auto"/>
        </w:rPr>
      </w:pPr>
    </w:p>
    <w:p>
      <w:pPr>
        <w:ind w:left="800" w:hanging="283"/>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foreign currency exchange rates and costs associated with hedging against such changes;</w:t>
      </w:r>
    </w:p>
    <w:p>
      <w:pPr>
        <w:spacing w:after="0" w:line="103" w:lineRule="exact"/>
        <w:rPr>
          <w:rFonts w:ascii="Arial" w:cs="Arial" w:eastAsia="Arial" w:hAnsi="Arial"/>
          <w:sz w:val="18"/>
          <w:szCs w:val="18"/>
          <w:color w:val="auto"/>
        </w:rPr>
      </w:pPr>
    </w:p>
    <w:p>
      <w:pPr>
        <w:ind w:left="800" w:right="1280" w:hanging="283"/>
        <w:spacing w:after="0" w:line="324" w:lineRule="auto"/>
        <w:tabs>
          <w:tab w:leader="none" w:pos="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Natural disasters, political and economic instability, including wars, such as the current military conflict between Russia and Ukraine, terrorism, political unrest, outbreak of disease, boycotts, curtailment of trade and other market restrictions; and</w:t>
      </w:r>
    </w:p>
    <w:p>
      <w:pPr>
        <w:spacing w:after="0" w:line="16" w:lineRule="exact"/>
        <w:rPr>
          <w:rFonts w:ascii="Arial" w:cs="Arial" w:eastAsia="Arial" w:hAnsi="Arial"/>
          <w:sz w:val="16"/>
          <w:szCs w:val="16"/>
          <w:color w:val="auto"/>
        </w:rPr>
      </w:pPr>
    </w:p>
    <w:p>
      <w:pPr>
        <w:ind w:left="800" w:right="1040" w:hanging="283"/>
        <w:spacing w:after="0" w:line="248"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subject to regulation under the United States Foreign Corrupt Practices Act of 1977, or FCPA, U.K. Bribery Act of 2010 and comparable laws and regulations in other countries.</w:t>
      </w:r>
    </w:p>
    <w:p>
      <w:pPr>
        <w:spacing w:after="0" w:line="74" w:lineRule="exact"/>
        <w:rPr>
          <w:sz w:val="20"/>
          <w:szCs w:val="20"/>
          <w:color w:val="auto"/>
        </w:rPr>
      </w:pPr>
    </w:p>
    <w:p>
      <w:pPr>
        <w:ind w:firstLine="419"/>
        <w:spacing w:after="0" w:line="261"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have a material adverse effect on our business, financial condition and results of operations.</w:t>
      </w:r>
    </w:p>
    <w:p>
      <w:pPr>
        <w:spacing w:after="0" w:line="171" w:lineRule="exact"/>
        <w:rPr>
          <w:sz w:val="20"/>
          <w:szCs w:val="20"/>
          <w:color w:val="auto"/>
        </w:rPr>
      </w:pPr>
    </w:p>
    <w:p>
      <w:pPr>
        <w:ind w:right="380"/>
        <w:spacing w:after="0" w:line="324" w:lineRule="auto"/>
        <w:rPr>
          <w:sz w:val="20"/>
          <w:szCs w:val="20"/>
          <w:color w:val="auto"/>
        </w:rPr>
      </w:pPr>
      <w:r>
        <w:rPr>
          <w:rFonts w:ascii="Arial" w:cs="Arial" w:eastAsia="Arial" w:hAnsi="Arial"/>
          <w:sz w:val="16"/>
          <w:szCs w:val="16"/>
          <w:b w:val="1"/>
          <w:bCs w:val="1"/>
          <w:i w:val="1"/>
          <w:iCs w:val="1"/>
          <w:color w:val="auto"/>
        </w:rPr>
        <w:t>We could be adversely affected by violations of the FCPA and similar worldwide anti-bribery laws and any investigation, and the outcome of any investigation, by government agencies of possible violations by us of the FCPA could have a material adverse effect on our business.</w:t>
      </w:r>
    </w:p>
    <w:p>
      <w:pPr>
        <w:spacing w:after="0" w:line="16" w:lineRule="exact"/>
        <w:rPr>
          <w:sz w:val="20"/>
          <w:szCs w:val="20"/>
          <w:color w:val="auto"/>
        </w:rPr>
      </w:pPr>
    </w:p>
    <w:p>
      <w:pPr>
        <w:ind w:right="20" w:firstLine="419"/>
        <w:spacing w:after="0" w:line="270" w:lineRule="auto"/>
        <w:rPr>
          <w:sz w:val="20"/>
          <w:szCs w:val="20"/>
          <w:color w:val="auto"/>
        </w:rPr>
      </w:pPr>
      <w:r>
        <w:rPr>
          <w:rFonts w:ascii="Arial" w:cs="Arial" w:eastAsia="Arial" w:hAnsi="Arial"/>
          <w:sz w:val="16"/>
          <w:szCs w:val="16"/>
          <w:color w:val="auto"/>
        </w:rPr>
        <w:t>The FCPA and similar worldwide anti-bribery and anti-corruption laws prohibit companies and their intermediaries from corruptly providing any payments or other benefits to government officials for the purpose of obtaining or retaining business. The U.S. Departments of Justice, Commerce, State and Treasury and other federal agencies and authorities have a broad range of civil and criminal penalties they may seek to impose against corporations and individuals for violations of economic sanctions laws, export control laws, the FCPA, and other federal statutes and regulations, including those established by the Office of Foreign Assets Control, or OFAC. In addition, the U.K. Bribery Act of 2010, or the Bribery Act, prohibits both domestic and international bribery, as well as bribery across both private and public sectors. An organization that fails to prevent bribery by anyone associated with the organization can be charged under the Bribery Act unless the organization can establish the defense of having implemented adequate procedures to prevent bribery. Under these laws and regulations, as well as other anti-corruption laws, anti-money laundering laws, export control laws, customs laws, sanctions laws and other laws governing our operations, various government agencies may require export licenses, may seek to impose modifications to business practices, including cessation of business activities in sanctioned countries or</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60" w:name="page61"/>
    <w:bookmarkEnd w:id="60"/>
    <w:p>
      <w:pPr>
        <w:ind w:right="560"/>
        <w:spacing w:after="0" w:line="261" w:lineRule="auto"/>
        <w:rPr>
          <w:sz w:val="20"/>
          <w:szCs w:val="20"/>
          <w:color w:val="auto"/>
        </w:rPr>
      </w:pPr>
      <w:r>
        <w:rPr>
          <w:rFonts w:ascii="Arial" w:cs="Arial" w:eastAsia="Arial" w:hAnsi="Arial"/>
          <w:sz w:val="18"/>
          <w:szCs w:val="18"/>
          <w:color w:val="auto"/>
        </w:rPr>
        <w:t>with sanctioned persons or entities and modifications to compliance programs, which may increase compliance costs, and may subject us to fines, penalties and other sanctions.</w:t>
      </w:r>
    </w:p>
    <w:p>
      <w:pPr>
        <w:spacing w:after="0" w:line="171" w:lineRule="exact"/>
        <w:rPr>
          <w:sz w:val="20"/>
          <w:szCs w:val="20"/>
          <w:color w:val="auto"/>
        </w:rPr>
      </w:pPr>
    </w:p>
    <w:p>
      <w:pPr>
        <w:ind w:firstLine="419"/>
        <w:spacing w:after="0" w:line="252" w:lineRule="auto"/>
        <w:rPr>
          <w:sz w:val="20"/>
          <w:szCs w:val="20"/>
          <w:color w:val="auto"/>
        </w:rPr>
      </w:pPr>
      <w:r>
        <w:rPr>
          <w:rFonts w:ascii="Arial" w:cs="Arial" w:eastAsia="Arial" w:hAnsi="Arial"/>
          <w:sz w:val="17"/>
          <w:szCs w:val="17"/>
          <w:color w:val="auto"/>
        </w:rPr>
        <w:t>We have commenced commercial sales of OMNI in certain European countries through a combination of direct sales personnel and independent distributors, and we are also in the process of conducting an EU-based clinical investigation. Further, a portion of our business with respect to our manufacturing is conducted outside of the United States. We expect our international activities to increase in the future. Though we maintain policies, internal controls and other measures reasonably designed to promote compliance with applicable anticorruption and anti-bribery laws and regulations, and certain safeguards designed to ensure compliance with U.S. trade control laws, our employees or agents may nevertheless engage in improper conduct for which we might be held responsible. Any violations of these anti-corruption or trade controls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be subject to criminal and civil enforcement action, suffer severe fines and penalties, profit disgorgement, injunctions on future conduct, securities litigation, bans on transacting government business, delisting from securities exchanges and other consequences that may have a material adverse effect on our business, financial condition and results of operations. In addition, our reputation, our net sales or our stock price could be adversely affected if we become the subject of any negative publicity related to actual or potential violations of anti-corruption, anti-bribery or trade control laws and regulations.</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Changes in government trade policies, including the imposition of tariffs and export restrictions, could have a negative impact on our manufacturing process, which may materially and adversely affect our sales and results of operations.</w:t>
      </w:r>
    </w:p>
    <w:p>
      <w:pPr>
        <w:spacing w:after="0" w:line="63" w:lineRule="exact"/>
        <w:rPr>
          <w:sz w:val="20"/>
          <w:szCs w:val="20"/>
          <w:color w:val="auto"/>
        </w:rPr>
      </w:pPr>
    </w:p>
    <w:p>
      <w:pPr>
        <w:ind w:right="20" w:firstLine="419"/>
        <w:spacing w:after="0" w:line="257" w:lineRule="auto"/>
        <w:rPr>
          <w:sz w:val="20"/>
          <w:szCs w:val="20"/>
          <w:color w:val="auto"/>
        </w:rPr>
      </w:pPr>
      <w:r>
        <w:rPr>
          <w:rFonts w:ascii="Arial" w:cs="Arial" w:eastAsia="Arial" w:hAnsi="Arial"/>
          <w:sz w:val="17"/>
          <w:szCs w:val="17"/>
          <w:color w:val="auto"/>
        </w:rPr>
        <w:t>Certain public officials, including members of the current U.S. Congress, have made public statements indicating the possibility of significant changes in U.S. trade policy and have taken certain actions that may impact U.S. trade policy, including imposing new or increased tariffs on certain goods imported into the United States during the Trump administration. For example, the United States and China have imposed a number of tariffs and other restrictions on items imported or exported between the United States and China, and have proposed to impose a number of additional tariffs. We cannot predict what actions may ultimately be taken with respect to tariffs or trade relations between the United States and China or other countries, what products may be subject to such actions, or what actions may be taken by the other countries in retaliation.</w:t>
      </w:r>
    </w:p>
    <w:p>
      <w:pPr>
        <w:spacing w:after="0" w:line="175" w:lineRule="exact"/>
        <w:rPr>
          <w:sz w:val="20"/>
          <w:szCs w:val="20"/>
          <w:color w:val="auto"/>
        </w:rPr>
      </w:pPr>
    </w:p>
    <w:p>
      <w:pPr>
        <w:ind w:right="100" w:firstLine="419"/>
        <w:spacing w:after="0"/>
        <w:rPr>
          <w:sz w:val="20"/>
          <w:szCs w:val="20"/>
          <w:color w:val="auto"/>
        </w:rPr>
      </w:pPr>
      <w:r>
        <w:rPr>
          <w:rFonts w:ascii="Arial" w:cs="Arial" w:eastAsia="Arial" w:hAnsi="Arial"/>
          <w:sz w:val="18"/>
          <w:szCs w:val="18"/>
          <w:color w:val="auto"/>
        </w:rPr>
        <w:t>Since certain of our critical product and product component manufacturers are located outside the United States, such changes, if adopted, could have a negative impact on our business and make our products more expensive and less competitive in domestic markets. Furthermore, changes in U.S. trade policy could trigger retaliatory actions by affected countries, which could impose restrictions on our ability to do business in or with affected countries or prohibit, reduce or discourage purchases of our products by foreign customers. Changes in, and responses to, U.S. trade policy could reduce the competitiveness of our products and cause our sales to decline, which could materially and adversely impact our business, financial condition and results of operations.</w:t>
      </w:r>
    </w:p>
    <w:p>
      <w:pPr>
        <w:spacing w:after="0" w:line="18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3" w:lineRule="exact"/>
        <w:rPr>
          <w:sz w:val="20"/>
          <w:szCs w:val="20"/>
          <w:color w:val="auto"/>
        </w:rPr>
      </w:pPr>
    </w:p>
    <w:p>
      <w:pPr>
        <w:ind w:right="20" w:firstLine="419"/>
        <w:spacing w:after="0" w:line="269" w:lineRule="auto"/>
        <w:rPr>
          <w:sz w:val="20"/>
          <w:szCs w:val="20"/>
          <w:color w:val="auto"/>
        </w:rPr>
      </w:pPr>
      <w:r>
        <w:rPr>
          <w:rFonts w:ascii="Arial" w:cs="Arial" w:eastAsia="Arial" w:hAnsi="Arial"/>
          <w:sz w:val="16"/>
          <w:szCs w:val="16"/>
          <w:color w:val="auto"/>
        </w:rPr>
        <w:t>Following a national referendum and enactment of legislation by the government of the United Kingdom, or UK, the UK formally withdrew from the EU. The EU-UK Trade and Cooperation Agreement, or TCA, came into effect on January 1, 2021. The TCA does not specifically refer to medical devices. However, as a result of Brexit, the EU Medical Devices Regulation will not be implemented in the UK, and previous legislation that mirrored the EU Medical Devices Regulation in UK law has been revoked. The regulatory regime for medical devices in Great Britain (England, Scotland and Wales) will continue to be based on the requirements derived from current EU legislation, and the UK may choose to retain regulatory flexibility or align with the (EU) Medical Devices Regulation going forward. CE marks will continue to be recognized in the UK, and certificates issued by EU-recognized notified bodies will be valid in the UK, until June 30, 2023. For medical devices placed on the market in Great Britain after this period, a UK Conformity Assessed, or UKCA, marking will be mandatory. In contrast, UKCA marking and certificates issued by UK notified bodies will not be recognized on the EU market. The TCA does provide for cooperation and exchange of information in the area of product safety and compliance, including market surveillance, enforcement activities and measures, standardization related activities, exchanges of officials, and coordinated product recalls (or other similar actions). These developments, or the perception that any related developments could occur, have had and may continue to have an adverse effect on global economic conditions and financial markets, and may significantly reduce global market liquidity, restrict the ability of key market</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61" w:name="page62"/>
    <w:bookmarkEnd w:id="61"/>
    <w:p>
      <w:pPr>
        <w:ind w:right="380"/>
        <w:spacing w:after="0" w:line="261" w:lineRule="auto"/>
        <w:rPr>
          <w:sz w:val="20"/>
          <w:szCs w:val="20"/>
          <w:color w:val="auto"/>
        </w:rPr>
      </w:pPr>
      <w:r>
        <w:rPr>
          <w:rFonts w:ascii="Arial" w:cs="Arial" w:eastAsia="Arial" w:hAnsi="Arial"/>
          <w:sz w:val="18"/>
          <w:szCs w:val="18"/>
          <w:color w:val="auto"/>
        </w:rPr>
        <w:t>participants to operate in certain financial markets or restrict our access to capital. Any of these factors could have an adverse effect on our business, financial condition and results of operations and reduce the price of our common stock.</w:t>
      </w:r>
    </w:p>
    <w:p>
      <w:pPr>
        <w:spacing w:after="0" w:line="171" w:lineRule="exact"/>
        <w:rPr>
          <w:sz w:val="20"/>
          <w:szCs w:val="20"/>
          <w:color w:val="auto"/>
        </w:rPr>
      </w:pPr>
    </w:p>
    <w:p>
      <w:pPr>
        <w:ind w:right="120" w:firstLine="419"/>
        <w:spacing w:after="0" w:line="257" w:lineRule="auto"/>
        <w:rPr>
          <w:sz w:val="20"/>
          <w:szCs w:val="20"/>
          <w:color w:val="auto"/>
        </w:rPr>
      </w:pPr>
      <w:r>
        <w:rPr>
          <w:rFonts w:ascii="Arial" w:cs="Arial" w:eastAsia="Arial" w:hAnsi="Arial"/>
          <w:sz w:val="17"/>
          <w:szCs w:val="17"/>
          <w:color w:val="auto"/>
        </w:rPr>
        <w:t>The withdrawal has also given rise to calls for the governments of other EU member states to consider withdrawal. 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common stock. Any of these factors could have a material adverse effect on our business, financial condition and results of operations.</w:t>
      </w:r>
    </w:p>
    <w:p>
      <w:pPr>
        <w:spacing w:after="0" w:line="175" w:lineRule="exact"/>
        <w:rPr>
          <w:sz w:val="20"/>
          <w:szCs w:val="20"/>
          <w:color w:val="auto"/>
        </w:rPr>
      </w:pPr>
    </w:p>
    <w:p>
      <w:pPr>
        <w:ind w:right="220"/>
        <w:spacing w:after="0" w:line="356" w:lineRule="auto"/>
        <w:rPr>
          <w:sz w:val="20"/>
          <w:szCs w:val="20"/>
          <w:color w:val="auto"/>
        </w:rPr>
      </w:pPr>
      <w:r>
        <w:rPr>
          <w:rFonts w:ascii="Arial" w:cs="Arial" w:eastAsia="Arial" w:hAnsi="Arial"/>
          <w:sz w:val="15"/>
          <w:szCs w:val="15"/>
          <w:b w:val="1"/>
          <w:bCs w:val="1"/>
          <w:i w:val="1"/>
          <w:iCs w:val="1"/>
          <w:color w:val="auto"/>
        </w:rPr>
        <w:t>Security breaches, loss of data and other disruptions could compromise sensitive information related to our business or our customer’s patients, or prevent us from accessing critical information and expose us to liability, which could adversely affect our business and our reputation.</w:t>
      </w:r>
    </w:p>
    <w:p>
      <w:pPr>
        <w:spacing w:after="0" w:line="1" w:lineRule="exact"/>
        <w:rPr>
          <w:sz w:val="20"/>
          <w:szCs w:val="20"/>
          <w:color w:val="auto"/>
        </w:rPr>
      </w:pPr>
    </w:p>
    <w:p>
      <w:pPr>
        <w:ind w:firstLine="419"/>
        <w:spacing w:after="0" w:line="267" w:lineRule="auto"/>
        <w:rPr>
          <w:sz w:val="20"/>
          <w:szCs w:val="20"/>
          <w:color w:val="auto"/>
        </w:rPr>
      </w:pPr>
      <w:r>
        <w:rPr>
          <w:rFonts w:ascii="Arial" w:cs="Arial" w:eastAsia="Arial" w:hAnsi="Arial"/>
          <w:sz w:val="16"/>
          <w:szCs w:val="16"/>
          <w:color w:val="auto"/>
        </w:rPr>
        <w:t>In the ordinary course of our business, we may become exposed to, or collect and store, sensitive data, including procedure-based information and legally-protected health information, credit card, and other financial information, insurance information, and other potentially personally identifiable information. We also store sensitive intellectual property and other proprietary business information. We are taking measures to implement policies and procedures designed to ensure compliance with applicable data security and privacy-related laws and regulations and protect sensitive information from unauthorized access or disclosure. However, our information technology, or IT, and infrastructure, and that of our third-party billing and collections provider and other technology partners and providers, may be vulnerable to cyber-attacks by hackers or viruses or breaches due to employee error, malfeasance or other disruptions. We rely extensively on IT systems, networks and services, including internet sites, data hosting and processing facilities and tools, physical security systems and other hardware, software and technical applications and platforms, some of which are managed, hosted, provided and/or used by third parties or their vendors, to assist in conducting our business. A significant breakdown, invasion, corruption, destruction or interruption of critical information technology systems or infrastructure, by our workforce, others with authorized access to our systems or unauthorized persons could negatively impact operations. The ever-increasing use and evolution of technology, including cloud-based computing, creates opportunities for the unintentional dissemination or intentional destruction of confidential information stored in our or our third-party providers’ systems, portable media or storage devices. For example, companies have experienced an increase in phishing and social engineering attacks from third parties in connection with the COVID-19 pandemic. We could also experience a business interruption, theft of confidential information or reputational damage from industrial espionage attacks, malware or other cyber-attacks, which may compromise our system infrastructure or lead to data leakage, either internally or at our third-party providers. Although the aggregate impact on our operations and financial condition has not been material to date, we have been the target of events of this nature and expect them to continue as cybersecurity threats have been rapidly evolving in sophistication and becoming more prevalent in the industry. We are investing in protections and monitoring practices of our data and IT to reduce these risks and continue to monitor our systems on an ongoing basis for any current or potential threats. There can be no assurance, however, that our efforts will prevent breakdowns or breaches to our or our third-party providers’ databases or systems, and such breakdowns or breaches could adversely affect our business, financial condition and reputation. We also intend to mitigate the risks related to these risks by purchasing cybersecurity insurance. However, such insurance, if purchased, will not necessarily cover all costs and impacts related to these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on our, and any of our future licensors’, ability to obtain, maintain and protect our intellectual property rights.</w:t>
      </w:r>
    </w:p>
    <w:p>
      <w:pPr>
        <w:spacing w:after="0" w:line="115" w:lineRule="exact"/>
        <w:rPr>
          <w:sz w:val="20"/>
          <w:szCs w:val="20"/>
          <w:color w:val="auto"/>
        </w:rPr>
      </w:pPr>
    </w:p>
    <w:p>
      <w:pPr>
        <w:ind w:right="40" w:firstLine="419"/>
        <w:spacing w:after="0" w:line="241" w:lineRule="auto"/>
        <w:rPr>
          <w:sz w:val="20"/>
          <w:szCs w:val="20"/>
          <w:color w:val="auto"/>
        </w:rPr>
      </w:pPr>
      <w:r>
        <w:rPr>
          <w:rFonts w:ascii="Arial" w:cs="Arial" w:eastAsia="Arial" w:hAnsi="Arial"/>
          <w:sz w:val="18"/>
          <w:szCs w:val="18"/>
          <w:color w:val="auto"/>
        </w:rPr>
        <w:t>Our commercial success will depend in part on our, and any of our future licensors’, success in obtaining and maintaining issued patents, trademarks and other intellectual property rights in the United States and elsewhere and protecting our proprietary technology. If we, or any of our future licensors, do not adequately protect our intellectual property and proprietary technology, competitors may be able to use our technologies or the goodwill we have acquired in the marketplace and erode or negate any competitive advantage we may have, which could harm our business and ability to achieve profitability.</w:t>
      </w:r>
    </w:p>
    <w:p>
      <w:pPr>
        <w:spacing w:after="0" w:line="189" w:lineRule="exact"/>
        <w:rPr>
          <w:sz w:val="20"/>
          <w:szCs w:val="20"/>
          <w:color w:val="auto"/>
        </w:rPr>
      </w:pPr>
    </w:p>
    <w:p>
      <w:pPr>
        <w:jc w:val="both"/>
        <w:ind w:right="120" w:firstLine="419"/>
        <w:spacing w:after="0" w:line="248" w:lineRule="auto"/>
        <w:rPr>
          <w:sz w:val="20"/>
          <w:szCs w:val="20"/>
          <w:color w:val="auto"/>
        </w:rPr>
      </w:pPr>
      <w:r>
        <w:rPr>
          <w:rFonts w:ascii="Arial" w:cs="Arial" w:eastAsia="Arial" w:hAnsi="Arial"/>
          <w:sz w:val="18"/>
          <w:szCs w:val="18"/>
          <w:color w:val="auto"/>
        </w:rPr>
        <w:t>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62" w:name="page63"/>
    <w:bookmarkEnd w:id="62"/>
    <w:p>
      <w:pPr>
        <w:ind w:right="120"/>
        <w:spacing w:after="0" w:line="248" w:lineRule="auto"/>
        <w:rPr>
          <w:sz w:val="20"/>
          <w:szCs w:val="20"/>
          <w:color w:val="auto"/>
        </w:rPr>
      </w:pPr>
      <w:r>
        <w:rPr>
          <w:rFonts w:ascii="Arial" w:cs="Arial" w:eastAsia="Arial" w:hAnsi="Arial"/>
          <w:sz w:val="18"/>
          <w:szCs w:val="18"/>
          <w:color w:val="auto"/>
        </w:rPr>
        <w:t>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w:t>
      </w:r>
    </w:p>
    <w:p>
      <w:pPr>
        <w:spacing w:after="0" w:line="182" w:lineRule="exact"/>
        <w:rPr>
          <w:sz w:val="20"/>
          <w:szCs w:val="20"/>
          <w:color w:val="auto"/>
        </w:rPr>
      </w:pPr>
    </w:p>
    <w:p>
      <w:pPr>
        <w:ind w:right="160" w:firstLine="419"/>
        <w:spacing w:after="0" w:line="254" w:lineRule="auto"/>
        <w:rPr>
          <w:sz w:val="20"/>
          <w:szCs w:val="20"/>
          <w:color w:val="auto"/>
        </w:rPr>
      </w:pPr>
      <w:r>
        <w:rPr>
          <w:rFonts w:ascii="Arial" w:cs="Arial" w:eastAsia="Arial" w:hAnsi="Arial"/>
          <w:sz w:val="17"/>
          <w:szCs w:val="17"/>
          <w:color w:val="auto"/>
        </w:rPr>
        <w:t>In addition, despite our efforts to enter into confidentiality agreements with our employees, consultants, suppliers, clients and other vendors who have access to information that we regard as proprietary, our trade secrets, data, know-how and other proprietary information and technology could be subject to unauthorized access, use, misappropriation, or disclosure to unauthorized parties, and could otherwise become known or be independently discovered by third parties. Our intellectual property, including trademarks, could be challenged, invalidated, infringed, misappropriated, violated and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causing us to suffer other competitive harm. Third parties may also adopt trademarks similar to ours, which could harm our brand identity and lead to market confusion.</w:t>
      </w:r>
    </w:p>
    <w:p>
      <w:pPr>
        <w:spacing w:after="0" w:line="181" w:lineRule="exact"/>
        <w:rPr>
          <w:sz w:val="20"/>
          <w:szCs w:val="20"/>
          <w:color w:val="auto"/>
        </w:rPr>
      </w:pPr>
    </w:p>
    <w:p>
      <w:pPr>
        <w:ind w:right="140" w:firstLine="419"/>
        <w:spacing w:after="0" w:line="279" w:lineRule="auto"/>
        <w:rPr>
          <w:sz w:val="20"/>
          <w:szCs w:val="20"/>
          <w:color w:val="auto"/>
        </w:rPr>
      </w:pPr>
      <w:r>
        <w:rPr>
          <w:rFonts w:ascii="Arial" w:cs="Arial" w:eastAsia="Arial" w:hAnsi="Arial"/>
          <w:sz w:val="16"/>
          <w:szCs w:val="16"/>
          <w:color w:val="auto"/>
        </w:rPr>
        <w:t>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services, and may not provide an adequate remedy if our intellectual property rights are infringed, misappropriated or otherwise violated.</w:t>
      </w:r>
    </w:p>
    <w:p>
      <w:pPr>
        <w:spacing w:after="0" w:line="159" w:lineRule="exact"/>
        <w:rPr>
          <w:sz w:val="20"/>
          <w:szCs w:val="20"/>
          <w:color w:val="auto"/>
        </w:rPr>
      </w:pPr>
    </w:p>
    <w:p>
      <w:pPr>
        <w:ind w:right="60" w:firstLine="419"/>
        <w:spacing w:after="0" w:line="267" w:lineRule="auto"/>
        <w:rPr>
          <w:sz w:val="20"/>
          <w:szCs w:val="20"/>
          <w:color w:val="auto"/>
        </w:rPr>
      </w:pPr>
      <w:r>
        <w:rPr>
          <w:rFonts w:ascii="Arial" w:cs="Arial" w:eastAsia="Arial" w:hAnsi="Arial"/>
          <w:sz w:val="16"/>
          <w:szCs w:val="16"/>
          <w:color w:val="auto"/>
        </w:rPr>
        <w:t>Our business relies, in part, on our ability to obtain, maintain, expand, enforce, and defend the scope of our intellectual property portfolio or other proprietary rights, including making any payments required in connection with the licensing, filing, defense and enforcement of any patents or other intellectual property rights. The process of applying for and obtaining a patent is expensive, time consuming and complex, and we may not be able to prepare, file, prosecute, maintain, enforce or license all necessary or desirable patent applications and patents at a reasonable cost, in a timely manner, or in all jurisdictions where protection may be commercially advantageous, or we may not be able to protect our proprietary rights at all. It is also possible that we may fail to identify patentable aspects of inventions made in the course of development and commercialization activities before it is too late to obtain patent protection on them.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maintained, and/or enforced in a manner consistent with the best interests of our business. Despite our efforts to protect our proprietary rights, unauthorized parties may be able to obtain and use information that we regard as proprietary. Additionally, if there are material defects in the form, preparation or prosecution of our patents or patent applications, such patents or applications may be invalid and unenforceable. Any of these outcomes could impair our ability to prevent competition from third parties, which may have an adverse impact on our business.</w:t>
      </w:r>
    </w:p>
    <w:p>
      <w:pPr>
        <w:spacing w:after="0" w:line="175" w:lineRule="exact"/>
        <w:rPr>
          <w:sz w:val="20"/>
          <w:szCs w:val="20"/>
          <w:color w:val="auto"/>
        </w:rPr>
      </w:pPr>
    </w:p>
    <w:p>
      <w:pPr>
        <w:ind w:firstLine="419"/>
        <w:spacing w:after="0" w:line="272" w:lineRule="auto"/>
        <w:rPr>
          <w:sz w:val="20"/>
          <w:szCs w:val="20"/>
          <w:color w:val="auto"/>
        </w:rPr>
      </w:pPr>
      <w:r>
        <w:rPr>
          <w:rFonts w:ascii="Arial" w:cs="Arial" w:eastAsia="Arial" w:hAnsi="Arial"/>
          <w:sz w:val="16"/>
          <w:szCs w:val="16"/>
          <w:color w:val="auto"/>
        </w:rPr>
        <w:t>The patent positions of medical device companies may involve complex legal and factual questions and have been the subject of much litigation in recent years, and therefore, the scope, validity and enforceability of any patent claims that we have or may obtain cannot be predicted with certainty. We cannot offer any assurances about which of our patent applications will issue, the breadth of any resulting patent or whether any of the issued patents will be found to be infringed, invalid or unenforceable or will be threatened or challenged by third parties.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and commercializing a product in a non-infringing manner that would be competitive with one or more of our products, or otherwise provide us with any competitive advantage. Furthermore, any successful challenge to these patents or any other patents owned by or licensed to us after patent issuance could deprive us of rights necessary for our commercial success.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63" w:name="page64"/>
    <w:bookmarkEnd w:id="63"/>
    <w:p>
      <w:pPr>
        <w:jc w:val="both"/>
        <w:ind w:right="40" w:firstLine="419"/>
        <w:spacing w:after="0" w:line="241" w:lineRule="auto"/>
        <w:rPr>
          <w:sz w:val="20"/>
          <w:szCs w:val="20"/>
          <w:color w:val="auto"/>
        </w:rPr>
      </w:pPr>
      <w:r>
        <w:rPr>
          <w:rFonts w:ascii="Arial" w:cs="Arial" w:eastAsia="Arial" w:hAnsi="Arial"/>
          <w:sz w:val="18"/>
          <w:szCs w:val="18"/>
          <w:color w:val="auto"/>
        </w:rPr>
        <w:t>Patents have a limited lifespan. In the United States, the natural expiration of a utility patent is generally 20 years. Further, if we encounter delays in any future regulatory approvals, the period of time during which we could market a product under patent protection could be reduced, and, given the amount of time required for the development, testing and regulatory review of planned or future products, patents protecting such products might expire before or shortly after such products are commercialized. As a result, our intellectual property may not provide us with sufficient rights to exclude others from commercializing products similar or identical to ours.</w:t>
      </w:r>
    </w:p>
    <w:p>
      <w:pPr>
        <w:spacing w:after="0" w:line="189" w:lineRule="exact"/>
        <w:rPr>
          <w:sz w:val="20"/>
          <w:szCs w:val="20"/>
          <w:color w:val="auto"/>
        </w:rPr>
      </w:pPr>
    </w:p>
    <w:p>
      <w:pPr>
        <w:ind w:firstLine="419"/>
        <w:spacing w:after="0" w:line="269" w:lineRule="auto"/>
        <w:rPr>
          <w:sz w:val="20"/>
          <w:szCs w:val="20"/>
          <w:color w:val="auto"/>
        </w:rPr>
      </w:pPr>
      <w:r>
        <w:rPr>
          <w:rFonts w:ascii="Arial" w:cs="Arial" w:eastAsia="Arial" w:hAnsi="Arial"/>
          <w:sz w:val="16"/>
          <w:szCs w:val="16"/>
          <w:color w:val="auto"/>
        </w:rPr>
        <w:t>Though an issued patent is presumed valid and enforceable, its issuance is not conclusive as to its validity or its enforceability and it may not provide us with adequate proprietary protection or competitive advantages against competitors with similar products.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commercialize our products. Competitors could purchase our products and attempt to replicate or reverse engineer some or all of the competitive advantages we derive from our development efforts, willfully infringe, misappropriate or otherwise violate our intellectual property rights, design around 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 countries do not protect our proprietary rights to the same extent as the laws of the United States, and we may encounter significant problems in protecting our proprietary rights in these countries.</w:t>
      </w:r>
    </w:p>
    <w:p>
      <w:pPr>
        <w:spacing w:after="0" w:line="168" w:lineRule="exact"/>
        <w:rPr>
          <w:sz w:val="20"/>
          <w:szCs w:val="20"/>
          <w:color w:val="auto"/>
        </w:rPr>
      </w:pPr>
    </w:p>
    <w:p>
      <w:pPr>
        <w:ind w:right="80" w:firstLine="419"/>
        <w:spacing w:after="0" w:line="259"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found unenforceable or interpreted narrowly, or if a court found that valid, enforceable patents held by third parties covered one or more of our products, our competitive position could be harmed or we could be required to incur significant expenses to enforce or defend our rights.</w:t>
      </w:r>
    </w:p>
    <w:p>
      <w:pPr>
        <w:spacing w:after="0" w:line="174" w:lineRule="exact"/>
        <w:rPr>
          <w:sz w:val="20"/>
          <w:szCs w:val="20"/>
          <w:color w:val="auto"/>
        </w:rPr>
      </w:pPr>
    </w:p>
    <w:p>
      <w:pPr>
        <w:ind w:right="60" w:firstLine="419"/>
        <w:spacing w:after="0" w:line="284" w:lineRule="auto"/>
        <w:rPr>
          <w:sz w:val="20"/>
          <w:szCs w:val="20"/>
          <w:color w:val="auto"/>
        </w:rPr>
      </w:pPr>
      <w:r>
        <w:rPr>
          <w:rFonts w:ascii="Arial" w:cs="Arial" w:eastAsia="Arial" w:hAnsi="Arial"/>
          <w:sz w:val="16"/>
          <w:szCs w:val="16"/>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12" w:lineRule="exact"/>
        <w:rPr>
          <w:sz w:val="20"/>
          <w:szCs w:val="20"/>
          <w:color w:val="auto"/>
        </w:rPr>
      </w:pPr>
    </w:p>
    <w:p>
      <w:pPr>
        <w:ind w:left="800" w:right="840" w:hanging="283"/>
        <w:spacing w:after="0" w:line="261"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our products;</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103" w:lineRule="exact"/>
        <w:rPr>
          <w:rFonts w:ascii="Arial" w:cs="Arial" w:eastAsia="Arial" w:hAnsi="Arial"/>
          <w:sz w:val="18"/>
          <w:szCs w:val="18"/>
          <w:color w:val="auto"/>
        </w:rPr>
      </w:pPr>
    </w:p>
    <w:p>
      <w:pPr>
        <w:ind w:left="800" w:right="840" w:hanging="283"/>
        <w:spacing w:after="0" w:line="261"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products on a substantial scale, if approved, before our relevant patents we may have expire;</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of our challenged patents will be found to ultimately be valid and enforceable;</w:t>
      </w:r>
    </w:p>
    <w:p>
      <w:pPr>
        <w:spacing w:after="0" w:line="103" w:lineRule="exact"/>
        <w:rPr>
          <w:rFonts w:ascii="Arial" w:cs="Arial" w:eastAsia="Arial" w:hAnsi="Arial"/>
          <w:sz w:val="18"/>
          <w:szCs w:val="18"/>
          <w:color w:val="auto"/>
        </w:rPr>
      </w:pPr>
    </w:p>
    <w:p>
      <w:pPr>
        <w:ind w:left="800" w:right="740" w:hanging="283"/>
        <w:spacing w:after="0" w:line="261"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products that are separately patentable; or</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64" w:name="page65"/>
    <w:bookmarkEnd w:id="64"/>
    <w:p>
      <w:pPr>
        <w:ind w:right="120" w:firstLine="455"/>
        <w:spacing w:after="0" w:line="271" w:lineRule="auto"/>
        <w:rPr>
          <w:sz w:val="20"/>
          <w:szCs w:val="20"/>
          <w:color w:val="auto"/>
        </w:rPr>
      </w:pPr>
      <w:r>
        <w:rPr>
          <w:rFonts w:ascii="Arial" w:cs="Arial" w:eastAsia="Arial" w:hAnsi="Arial"/>
          <w:sz w:val="16"/>
          <w:szCs w:val="16"/>
          <w:color w:val="auto"/>
        </w:rPr>
        <w:t>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that are in the future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169" w:lineRule="exact"/>
        <w:rPr>
          <w:sz w:val="20"/>
          <w:szCs w:val="20"/>
          <w:color w:val="auto"/>
        </w:rPr>
      </w:pPr>
    </w:p>
    <w:p>
      <w:pPr>
        <w:ind w:firstLine="419"/>
        <w:spacing w:after="0" w:line="238" w:lineRule="auto"/>
        <w:rPr>
          <w:sz w:val="20"/>
          <w:szCs w:val="20"/>
          <w:color w:val="auto"/>
        </w:rPr>
      </w:pPr>
      <w:r>
        <w:rPr>
          <w:rFonts w:ascii="Arial" w:cs="Arial" w:eastAsia="Arial" w:hAnsi="Arial"/>
          <w:sz w:val="18"/>
          <w:szCs w:val="18"/>
          <w:color w:val="auto"/>
        </w:rPr>
        <w:t>In addition, 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patent owner or successors in title to the patent to grant a “nonexclusive, partially exclusive, or exclusive license” to a “responsible applicant or applicants.” If the patent owner refuses to do so, the government may grant the license to itself. We cannot be sure that if we acquired intellectual property in the future it will be free from government rights or regulations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 Any of the foregoing could have a material adverse effect on our business, financial condition and results of operations.</w:t>
      </w:r>
    </w:p>
    <w:p>
      <w:pPr>
        <w:spacing w:after="0" w:line="191"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4" w:lineRule="exact"/>
        <w:rPr>
          <w:sz w:val="20"/>
          <w:szCs w:val="20"/>
          <w:color w:val="auto"/>
        </w:rPr>
      </w:pPr>
    </w:p>
    <w:p>
      <w:pPr>
        <w:ind w:right="40" w:firstLine="419"/>
        <w:spacing w:after="0" w:line="270" w:lineRule="auto"/>
        <w:rPr>
          <w:sz w:val="20"/>
          <w:szCs w:val="20"/>
          <w:color w:val="auto"/>
        </w:rPr>
      </w:pPr>
      <w:r>
        <w:rPr>
          <w:rFonts w:ascii="Arial" w:cs="Arial" w:eastAsia="Arial" w:hAnsi="Arial"/>
          <w:sz w:val="16"/>
          <w:szCs w:val="16"/>
          <w:color w:val="auto"/>
        </w:rPr>
        <w:t>The U.S. Patent and Trademark Office, or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 financial condition and results of operations.</w:t>
      </w:r>
    </w:p>
    <w:p>
      <w:pPr>
        <w:spacing w:after="0" w:line="17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We may be unsuccessful in licensing or acquiring intellectual property from third parties that may be required to develop and commercialize our current and/or future products.</w:t>
      </w:r>
    </w:p>
    <w:p>
      <w:pPr>
        <w:spacing w:after="0" w:line="63" w:lineRule="exact"/>
        <w:rPr>
          <w:sz w:val="20"/>
          <w:szCs w:val="20"/>
          <w:color w:val="auto"/>
        </w:rPr>
      </w:pPr>
    </w:p>
    <w:p>
      <w:pPr>
        <w:ind w:right="80" w:firstLine="419"/>
        <w:spacing w:after="0" w:line="252" w:lineRule="auto"/>
        <w:rPr>
          <w:sz w:val="20"/>
          <w:szCs w:val="20"/>
          <w:color w:val="auto"/>
        </w:rPr>
      </w:pPr>
      <w:r>
        <w:rPr>
          <w:rFonts w:ascii="Arial" w:cs="Arial" w:eastAsia="Arial" w:hAnsi="Arial"/>
          <w:sz w:val="17"/>
          <w:szCs w:val="17"/>
          <w:color w:val="auto"/>
        </w:rPr>
        <w:t>A third party may hold intellectual property rights, including patent rights that are important or necessary to the development and commercialization of our current and/or future products. It may be necessary for us to use the patented or proprietary technology of third parties to commercialize our current and/or future products,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we may not be able to develop, manufacture or market a product or future product, which could have a material adverse effect on our business, financial condition and results of operations.</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65" w:name="page66"/>
    <w:bookmarkEnd w:id="65"/>
    <w:p>
      <w:pPr>
        <w:jc w:val="both"/>
        <w:ind w:right="180"/>
        <w:spacing w:after="0" w:line="248"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 and could increase the uncertainties and costs surrounding the prosecution of our patent applications and the enforcement or defense of our patents or our future patents.</w:t>
      </w:r>
    </w:p>
    <w:p>
      <w:pPr>
        <w:spacing w:after="0" w:line="74" w:lineRule="exact"/>
        <w:rPr>
          <w:sz w:val="20"/>
          <w:szCs w:val="20"/>
          <w:color w:val="auto"/>
        </w:rPr>
      </w:pPr>
    </w:p>
    <w:p>
      <w:pPr>
        <w:ind w:right="120" w:firstLine="419"/>
        <w:spacing w:after="0" w:line="243" w:lineRule="auto"/>
        <w:rPr>
          <w:sz w:val="20"/>
          <w:szCs w:val="20"/>
          <w:color w:val="auto"/>
        </w:rPr>
      </w:pPr>
      <w:r>
        <w:rPr>
          <w:rFonts w:ascii="Arial" w:cs="Arial" w:eastAsia="Arial" w:hAnsi="Arial"/>
          <w:sz w:val="18"/>
          <w:szCs w:val="18"/>
          <w:color w:val="auto"/>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Furthermore, changes in either patent laws or interpretations of patent laws in the United States and other countries may diminish the value of our intellectual property or narrow the scope of our patent protection.</w:t>
      </w:r>
    </w:p>
    <w:p>
      <w:pPr>
        <w:spacing w:after="0" w:line="188" w:lineRule="exact"/>
        <w:rPr>
          <w:sz w:val="20"/>
          <w:szCs w:val="20"/>
          <w:color w:val="auto"/>
        </w:rPr>
      </w:pPr>
    </w:p>
    <w:p>
      <w:pPr>
        <w:ind w:right="20" w:firstLine="419"/>
        <w:spacing w:after="0" w:line="271" w:lineRule="auto"/>
        <w:rPr>
          <w:sz w:val="20"/>
          <w:szCs w:val="20"/>
          <w:color w:val="auto"/>
        </w:rPr>
      </w:pPr>
      <w:r>
        <w:rPr>
          <w:rFonts w:ascii="Arial" w:cs="Arial" w:eastAsia="Arial" w:hAnsi="Arial"/>
          <w:sz w:val="16"/>
          <w:szCs w:val="16"/>
          <w:color w:val="auto"/>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169" w:lineRule="exact"/>
        <w:rPr>
          <w:sz w:val="20"/>
          <w:szCs w:val="20"/>
          <w:color w:val="auto"/>
        </w:rPr>
      </w:pPr>
    </w:p>
    <w:p>
      <w:pPr>
        <w:ind w:firstLine="419"/>
        <w:spacing w:after="0" w:line="269" w:lineRule="auto"/>
        <w:rPr>
          <w:sz w:val="20"/>
          <w:szCs w:val="20"/>
          <w:color w:val="auto"/>
        </w:rPr>
      </w:pPr>
      <w:r>
        <w:rPr>
          <w:rFonts w:ascii="Arial" w:cs="Arial" w:eastAsia="Arial" w:hAnsi="Arial"/>
          <w:sz w:val="16"/>
          <w:szCs w:val="16"/>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business, financial condition and results of operations.</w:t>
      </w:r>
    </w:p>
    <w:p>
      <w:pPr>
        <w:spacing w:after="0" w:line="16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may become a party to intellectual property litigation or administrative proceedings that could be costly, time-consuming, unsuccessful, and could interfere with our ability to sell and market our products.</w:t>
      </w:r>
    </w:p>
    <w:p>
      <w:pPr>
        <w:spacing w:after="0" w:line="63" w:lineRule="exact"/>
        <w:rPr>
          <w:sz w:val="20"/>
          <w:szCs w:val="20"/>
          <w:color w:val="auto"/>
        </w:rPr>
      </w:pPr>
    </w:p>
    <w:p>
      <w:pPr>
        <w:ind w:right="200" w:firstLine="419"/>
        <w:spacing w:after="0" w:line="284" w:lineRule="auto"/>
        <w:rPr>
          <w:sz w:val="20"/>
          <w:szCs w:val="20"/>
          <w:color w:val="auto"/>
        </w:rPr>
      </w:pPr>
      <w:r>
        <w:rPr>
          <w:rFonts w:ascii="Arial" w:cs="Arial" w:eastAsia="Arial" w:hAnsi="Arial"/>
          <w:sz w:val="16"/>
          <w:szCs w:val="16"/>
          <w:color w:val="auto"/>
        </w:rPr>
        <w:t>Our commercial success depends, in part, upon our ability and the ability of future collaborators, if any, to develop, manufacture, market and sell our products and use our proprietary technologies without infringing, misappropriating or otherwise violating the proprietary rights and intellectual property of third parties. The medical device industry has been characterized by extensive litigation regarding patents, trademarks, trade secrets, and other intellectual property rights, and companies in the industry have used intellectual property litigation to gain a competitive advantage.</w:t>
      </w:r>
    </w:p>
    <w:p>
      <w:pPr>
        <w:spacing w:after="0" w:line="155" w:lineRule="exact"/>
        <w:rPr>
          <w:sz w:val="20"/>
          <w:szCs w:val="20"/>
          <w:color w:val="auto"/>
        </w:rPr>
      </w:pPr>
    </w:p>
    <w:p>
      <w:pPr>
        <w:ind w:firstLine="419"/>
        <w:spacing w:after="0" w:line="238" w:lineRule="auto"/>
        <w:rPr>
          <w:sz w:val="20"/>
          <w:szCs w:val="20"/>
          <w:color w:val="auto"/>
        </w:rPr>
      </w:pPr>
      <w:r>
        <w:rPr>
          <w:rFonts w:ascii="Arial" w:cs="Arial" w:eastAsia="Arial" w:hAnsi="Arial"/>
          <w:sz w:val="18"/>
          <w:szCs w:val="18"/>
          <w:color w:val="auto"/>
        </w:rPr>
        <w:t xml:space="preserve">Third parties may initiate legal proceedings alleging that we are infringing, misappropriating or otherwise violating their intellectual property rights, the outcome of which would be uncertain and could have a negative impact on the success of our business. It is possible that U.S. and foreign patents and pending patent applications controlled by third parties may be alleged to cover our products,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and technology, including interference proceedings, post grant review and </w:t>
      </w: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 before the USPTO or equivalent foreign regulatory authority. Third parties may assert infringement claims against us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66" w:name="page67"/>
    <w:bookmarkEnd w:id="66"/>
    <w:p>
      <w:pPr>
        <w:ind w:right="40"/>
        <w:spacing w:after="0" w:line="272" w:lineRule="auto"/>
        <w:rPr>
          <w:sz w:val="20"/>
          <w:szCs w:val="20"/>
          <w:color w:val="auto"/>
        </w:rPr>
      </w:pPr>
      <w:r>
        <w:rPr>
          <w:rFonts w:ascii="Arial" w:cs="Arial" w:eastAsia="Arial" w:hAnsi="Arial"/>
          <w:sz w:val="16"/>
          <w:szCs w:val="16"/>
          <w:color w:val="auto"/>
        </w:rPr>
        <w:t>patents, which our current or future products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the commercial success of our current and any future products.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w:t>
      </w:r>
    </w:p>
    <w:p>
      <w:pPr>
        <w:spacing w:after="0" w:line="168" w:lineRule="exact"/>
        <w:rPr>
          <w:sz w:val="20"/>
          <w:szCs w:val="20"/>
          <w:color w:val="auto"/>
        </w:rPr>
      </w:pPr>
    </w:p>
    <w:p>
      <w:pPr>
        <w:ind w:firstLine="419"/>
        <w:spacing w:after="0" w:line="253" w:lineRule="auto"/>
        <w:rPr>
          <w:sz w:val="20"/>
          <w:szCs w:val="20"/>
          <w:color w:val="auto"/>
        </w:rPr>
      </w:pPr>
      <w:r>
        <w:rPr>
          <w:rFonts w:ascii="Arial" w:cs="Arial" w:eastAsia="Arial" w:hAnsi="Arial"/>
          <w:sz w:val="17"/>
          <w:szCs w:val="17"/>
          <w:color w:val="auto"/>
        </w:rPr>
        <w:t>If we are found to infringe, misappropriate or otherwise violate a third party’s valid and enforceable intellectual property rights, we could be required to obtain a license from such third party to continue developing, manufacturing and marketing our products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80" w:lineRule="exact"/>
        <w:rPr>
          <w:sz w:val="20"/>
          <w:szCs w:val="20"/>
          <w:color w:val="auto"/>
        </w:rPr>
      </w:pPr>
    </w:p>
    <w:p>
      <w:pPr>
        <w:ind w:right="100" w:firstLine="419"/>
        <w:spacing w:after="0" w:line="269" w:lineRule="auto"/>
        <w:rPr>
          <w:sz w:val="20"/>
          <w:szCs w:val="20"/>
          <w:color w:val="auto"/>
        </w:rPr>
      </w:pPr>
      <w:r>
        <w:rPr>
          <w:rFonts w:ascii="Arial" w:cs="Arial" w:eastAsia="Arial" w:hAnsi="Arial"/>
          <w:sz w:val="16"/>
          <w:szCs w:val="16"/>
          <w:color w:val="auto"/>
        </w:rPr>
        <w:t>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products or to use our technologies or product names.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misappropriate or otherwise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 In addition, vendors from whom we purchase hardware or software may not indemnify us in the event that such hardware or software is accused of infringing a third-party’s patent or trademark or of misappropriating a third-party’s trade secret.</w:t>
      </w:r>
    </w:p>
    <w:p>
      <w:pPr>
        <w:spacing w:after="0" w:line="171" w:lineRule="exact"/>
        <w:rPr>
          <w:sz w:val="20"/>
          <w:szCs w:val="20"/>
          <w:color w:val="auto"/>
        </w:rPr>
      </w:pPr>
    </w:p>
    <w:p>
      <w:pPr>
        <w:ind w:right="20" w:firstLine="419"/>
        <w:spacing w:after="0" w:line="243" w:lineRule="auto"/>
        <w:rPr>
          <w:sz w:val="20"/>
          <w:szCs w:val="20"/>
          <w:color w:val="auto"/>
        </w:rPr>
      </w:pPr>
      <w:r>
        <w:rPr>
          <w:rFonts w:ascii="Arial" w:cs="Arial" w:eastAsia="Arial" w:hAnsi="Arial"/>
          <w:sz w:val="18"/>
          <w:szCs w:val="18"/>
          <w:color w:val="auto"/>
        </w:rPr>
        <w:t>We cannot be certain that we were the first to file any patent application related to our products, in part because patent applications are confidential for a period of time after filing. Competitors may also contest our patents, if issued, by demonstrating that the claimed invention was not original, was not novel or was obvious. In litigation, a competitor could claim that our patents are not valid for a number of reasons. If a court agrees, we would lose our rights to those challenged patents.</w:t>
      </w:r>
    </w:p>
    <w:p>
      <w:pPr>
        <w:spacing w:after="0" w:line="188" w:lineRule="exact"/>
        <w:rPr>
          <w:sz w:val="20"/>
          <w:szCs w:val="20"/>
          <w:color w:val="auto"/>
        </w:rPr>
      </w:pPr>
    </w:p>
    <w:p>
      <w:pPr>
        <w:ind w:right="20" w:firstLine="419"/>
        <w:spacing w:after="0" w:line="257"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patent applications or other intellectual property, as a result of the work they performed on our behalf. Although we generally require all of our employees and consultants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8" w:right="439" w:bottom="1440" w:gutter="0" w:footer="0" w:header="0"/>
        </w:sectPr>
      </w:pPr>
    </w:p>
    <w:bookmarkStart w:id="67" w:name="page68"/>
    <w:bookmarkEnd w:id="67"/>
    <w:p>
      <w:pPr>
        <w:ind w:right="180" w:firstLine="419"/>
        <w:spacing w:after="0" w:line="261" w:lineRule="auto"/>
        <w:rPr>
          <w:sz w:val="20"/>
          <w:szCs w:val="20"/>
          <w:color w:val="auto"/>
        </w:rPr>
      </w:pPr>
      <w:r>
        <w:rPr>
          <w:rFonts w:ascii="Arial" w:cs="Arial" w:eastAsia="Arial" w:hAnsi="Arial"/>
          <w:sz w:val="18"/>
          <w:szCs w:val="18"/>
          <w:color w:val="auto"/>
        </w:rPr>
        <w:t>Any lawsuits relating to intellectual property rights could subject us to significant liability for damages and invalidate our intellectual property or proprietary rights. Any potential intellectual property litigation also could force us to do one or more of the following:</w:t>
      </w:r>
    </w:p>
    <w:p>
      <w:pPr>
        <w:spacing w:after="0" w:line="63" w:lineRule="exact"/>
        <w:rPr>
          <w:sz w:val="20"/>
          <w:szCs w:val="20"/>
          <w:color w:val="auto"/>
        </w:rPr>
      </w:pPr>
    </w:p>
    <w:p>
      <w:pPr>
        <w:ind w:left="800" w:right="1140" w:hanging="283"/>
        <w:spacing w:after="0" w:line="261"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Stop making, selling or using products or technologies that allegedly infringe, misappropriate or otherwise violate the asserted intellectual property;</w:t>
      </w:r>
    </w:p>
    <w:p>
      <w:pPr>
        <w:spacing w:after="0" w:line="62" w:lineRule="exact"/>
        <w:rPr>
          <w:rFonts w:ascii="Arial" w:cs="Arial" w:eastAsia="Arial" w:hAnsi="Arial"/>
          <w:sz w:val="18"/>
          <w:szCs w:val="18"/>
          <w:color w:val="auto"/>
        </w:rPr>
      </w:pPr>
    </w:p>
    <w:p>
      <w:pPr>
        <w:ind w:left="800" w:right="940" w:hanging="283"/>
        <w:spacing w:after="0" w:line="261"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Lose the opportunity to license our intellectual property to others or to collect royalty payments based upon successful protection and assertion of our intellectual property rights against others;</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03" w:lineRule="exact"/>
        <w:rPr>
          <w:rFonts w:ascii="Arial" w:cs="Arial" w:eastAsia="Arial" w:hAnsi="Arial"/>
          <w:sz w:val="18"/>
          <w:szCs w:val="18"/>
          <w:color w:val="auto"/>
        </w:rPr>
      </w:pPr>
    </w:p>
    <w:p>
      <w:pPr>
        <w:ind w:left="800" w:right="1800" w:hanging="283"/>
        <w:spacing w:after="0" w:line="261"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substantial damages or royalties to the party whose intellectual property rights we may be found to be infringing, misappropriating or otherwise violating;</w:t>
      </w:r>
    </w:p>
    <w:p>
      <w:pPr>
        <w:spacing w:after="0" w:line="62" w:lineRule="exact"/>
        <w:rPr>
          <w:rFonts w:ascii="Arial" w:cs="Arial" w:eastAsia="Arial" w:hAnsi="Arial"/>
          <w:sz w:val="18"/>
          <w:szCs w:val="18"/>
          <w:color w:val="auto"/>
        </w:rPr>
      </w:pPr>
    </w:p>
    <w:p>
      <w:pPr>
        <w:ind w:left="800" w:right="1180" w:hanging="283"/>
        <w:spacing w:after="0" w:line="261"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the attorney’s fees and costs of litigation to the party whose intellectual property rights we may be found to be infringing, misappropriating or otherwise violating;</w:t>
      </w:r>
    </w:p>
    <w:p>
      <w:pPr>
        <w:spacing w:after="0" w:line="62" w:lineRule="exact"/>
        <w:rPr>
          <w:rFonts w:ascii="Arial" w:cs="Arial" w:eastAsia="Arial" w:hAnsi="Arial"/>
          <w:sz w:val="18"/>
          <w:szCs w:val="18"/>
          <w:color w:val="auto"/>
        </w:rPr>
      </w:pPr>
    </w:p>
    <w:p>
      <w:pPr>
        <w:ind w:left="800" w:right="760" w:hanging="283"/>
        <w:spacing w:after="0" w:line="261"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Redesign those products or technologies that contain the allegedly infringing intellectual property, which could be costly, disruptive and infeasible; and</w:t>
      </w:r>
    </w:p>
    <w:p>
      <w:pPr>
        <w:spacing w:after="0" w:line="62" w:lineRule="exact"/>
        <w:rPr>
          <w:rFonts w:ascii="Arial" w:cs="Arial" w:eastAsia="Arial" w:hAnsi="Arial"/>
          <w:sz w:val="18"/>
          <w:szCs w:val="18"/>
          <w:color w:val="auto"/>
        </w:rPr>
      </w:pPr>
    </w:p>
    <w:p>
      <w:pPr>
        <w:ind w:left="800" w:right="860" w:hanging="283"/>
        <w:spacing w:after="0" w:line="261"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63" w:lineRule="exact"/>
        <w:rPr>
          <w:sz w:val="20"/>
          <w:szCs w:val="20"/>
          <w:color w:val="auto"/>
        </w:rPr>
      </w:pPr>
    </w:p>
    <w:p>
      <w:pPr>
        <w:jc w:val="both"/>
        <w:ind w:right="80" w:firstLine="419"/>
        <w:spacing w:after="0" w:line="281" w:lineRule="auto"/>
        <w:rPr>
          <w:sz w:val="20"/>
          <w:szCs w:val="20"/>
          <w:color w:val="auto"/>
        </w:rPr>
      </w:pPr>
      <w:r>
        <w:rPr>
          <w:rFonts w:ascii="Arial" w:cs="Arial" w:eastAsia="Arial" w:hAnsi="Arial"/>
          <w:sz w:val="16"/>
          <w:szCs w:val="16"/>
          <w:color w:val="auto"/>
        </w:rPr>
        <w:t>In addition, if we are found to willfully infringe third-party patents or trademarks or to have misappropriated trade secrets, we could be required to pay treble damages in addition to other penalties. Although patent, trademark, trade secret, and other intellectual property disputes in the medical device area have often been settled through licensing or similar arrangements, costs associated with such arrangements may be substantial and could include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ongoing royalties.</w:t>
      </w:r>
    </w:p>
    <w:p>
      <w:pPr>
        <w:spacing w:after="0" w:line="225" w:lineRule="exact"/>
        <w:rPr>
          <w:sz w:val="20"/>
          <w:szCs w:val="20"/>
          <w:color w:val="auto"/>
        </w:rPr>
      </w:pPr>
    </w:p>
    <w:p>
      <w:pPr>
        <w:ind w:firstLine="419"/>
        <w:spacing w:after="0" w:line="272" w:lineRule="auto"/>
        <w:rPr>
          <w:sz w:val="20"/>
          <w:szCs w:val="20"/>
          <w:color w:val="auto"/>
        </w:rPr>
      </w:pPr>
      <w:r>
        <w:rPr>
          <w:rFonts w:ascii="Arial" w:cs="Arial" w:eastAsia="Arial" w:hAnsi="Arial"/>
          <w:sz w:val="16"/>
          <w:szCs w:val="16"/>
          <w:color w:val="auto"/>
        </w:rPr>
        <w:t>Any litigation or claim against us, even those without merit and even those where we prevail, may cause us to incur substantial costs, and could place a significant strain on our financial resources, divert the attention of management from our core business and harm our reputation.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spacing w:after="0" w:line="168" w:lineRule="exact"/>
        <w:rPr>
          <w:sz w:val="20"/>
          <w:szCs w:val="20"/>
          <w:color w:val="auto"/>
        </w:rPr>
      </w:pPr>
    </w:p>
    <w:p>
      <w:pPr>
        <w:ind w:right="220" w:firstLine="419"/>
        <w:spacing w:after="0" w:line="284" w:lineRule="auto"/>
        <w:rPr>
          <w:sz w:val="20"/>
          <w:szCs w:val="20"/>
          <w:color w:val="auto"/>
        </w:rPr>
      </w:pPr>
      <w:r>
        <w:rPr>
          <w:rFonts w:ascii="Arial" w:cs="Arial" w:eastAsia="Arial" w:hAnsi="Arial"/>
          <w:sz w:val="16"/>
          <w:szCs w:val="16"/>
          <w:color w:val="auto"/>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55" w:lineRule="exact"/>
        <w:rPr>
          <w:sz w:val="20"/>
          <w:szCs w:val="20"/>
          <w:color w:val="auto"/>
        </w:rPr>
      </w:pPr>
    </w:p>
    <w:p>
      <w:pPr>
        <w:ind w:firstLine="419"/>
        <w:spacing w:after="0" w:line="238" w:lineRule="auto"/>
        <w:rPr>
          <w:sz w:val="20"/>
          <w:szCs w:val="20"/>
          <w:color w:val="auto"/>
        </w:rPr>
      </w:pPr>
      <w:r>
        <w:rPr>
          <w:rFonts w:ascii="Arial" w:cs="Arial" w:eastAsia="Arial" w:hAnsi="Arial"/>
          <w:sz w:val="18"/>
          <w:szCs w:val="18"/>
          <w:color w:val="auto"/>
        </w:rPr>
        <w:t xml:space="preserve">Similarly, interference or derivation proceedings provoked by third parties or brought by the USPTO may be necessary to determine priority with respect to our patents or patent applications.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We may also become involved in other proceedings, such as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derivation or opposition proceedings before the USPTO or other jurisdictional body relating to our intellectual property rights or the intellectual property rights of others. Our defense of any litigation or interference proceedings may fail and, even if successful, may result in substantial costs and distract our management and other employees.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68" w:name="page69"/>
    <w:bookmarkEnd w:id="68"/>
    <w:p>
      <w:pPr>
        <w:ind w:firstLine="419"/>
        <w:spacing w:after="0" w:line="272" w:lineRule="auto"/>
        <w:rPr>
          <w:sz w:val="20"/>
          <w:szCs w:val="20"/>
          <w:color w:val="auto"/>
        </w:rPr>
      </w:pPr>
      <w:r>
        <w:rPr>
          <w:rFonts w:ascii="Arial" w:cs="Arial" w:eastAsia="Arial" w:hAnsi="Arial"/>
          <w:sz w:val="16"/>
          <w:szCs w:val="16"/>
          <w:color w:val="auto"/>
        </w:rPr>
        <w:t>Additionally, competitors or other third parties may currently, or in the future, infringe, misappropriate or otherwise violate our issued patents or other intellectual property, and we may file lawsuits or initiate other proceedings to protect or enforce our patents or other intellectual property rights, which could be expensive, time consuming and unsuccessful.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w:t>
      </w:r>
    </w:p>
    <w:p>
      <w:pPr>
        <w:spacing w:after="0" w:line="168" w:lineRule="exact"/>
        <w:rPr>
          <w:sz w:val="20"/>
          <w:szCs w:val="20"/>
          <w:color w:val="auto"/>
        </w:rPr>
      </w:pPr>
    </w:p>
    <w:p>
      <w:pPr>
        <w:ind w:firstLine="419"/>
        <w:spacing w:after="0" w:line="251" w:lineRule="auto"/>
        <w:rPr>
          <w:sz w:val="20"/>
          <w:szCs w:val="20"/>
          <w:color w:val="auto"/>
        </w:rPr>
      </w:pPr>
      <w:r>
        <w:rPr>
          <w:rFonts w:ascii="Arial" w:cs="Arial" w:eastAsia="Arial" w:hAnsi="Arial"/>
          <w:sz w:val="17"/>
          <w:szCs w:val="17"/>
          <w:color w:val="auto"/>
        </w:rPr>
        <w:t>If we initiate legal proceedings against a third party to enforce a patent covering one of our products, the defendant could counterclaim that the patent covering our product is invalid and/or unenforceable. In patent litigation in the United States, counterclaims alleging invalidity and/or unenforceability are common, and there are numerous grounds upon which a third party can assert invalidity or unenforceability of a patent. Any claims we assert against perceived infringers could also provoke these parties to assert counterclaims against us alleging that we infringe, misappropriate or otherwise violate their intellectual property.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at risk of being invalidated or interpreted narrowly, which could adversely affect our competitive business position, financial condition and results of operations. Moreover, even if we are successful in any litigation, we may incur significant expense in connection with such proceedings, and the amount of any monetary damages may be inadequate to compensate us for damage as a result of the infringement and the proceedings.</w:t>
      </w:r>
    </w:p>
    <w:p>
      <w:pPr>
        <w:spacing w:after="0" w:line="189" w:lineRule="exact"/>
        <w:rPr>
          <w:sz w:val="20"/>
          <w:szCs w:val="20"/>
          <w:color w:val="auto"/>
        </w:rPr>
      </w:pPr>
    </w:p>
    <w:p>
      <w:pPr>
        <w:ind w:right="80" w:firstLine="419"/>
        <w:spacing w:after="0" w:line="276" w:lineRule="auto"/>
        <w:rPr>
          <w:sz w:val="20"/>
          <w:szCs w:val="20"/>
          <w:color w:val="auto"/>
        </w:rPr>
      </w:pPr>
      <w:r>
        <w:rPr>
          <w:rFonts w:ascii="Arial" w:cs="Arial" w:eastAsia="Arial" w:hAnsi="Arial"/>
          <w:sz w:val="16"/>
          <w:szCs w:val="16"/>
          <w:color w:val="auto"/>
        </w:rPr>
        <w:t xml:space="preserve">Third parties may also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(for example, opposition proceedings). Such proceedings could result in revocation of or amendment to our patents in such a way that they no longer cover our products.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products.</w:t>
      </w:r>
    </w:p>
    <w:p>
      <w:pPr>
        <w:spacing w:after="0" w:line="162" w:lineRule="exact"/>
        <w:rPr>
          <w:sz w:val="20"/>
          <w:szCs w:val="20"/>
          <w:color w:val="auto"/>
        </w:rPr>
      </w:pPr>
    </w:p>
    <w:p>
      <w:pPr>
        <w:ind w:right="20" w:firstLine="419"/>
        <w:spacing w:after="0" w:line="279"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may cause us to incur substantial costs, and could place a significant strain on our financial resources, divert the attention of management from our core business and harm our reputation.</w:t>
      </w:r>
    </w:p>
    <w:p>
      <w:pPr>
        <w:spacing w:after="0" w:line="159" w:lineRule="exact"/>
        <w:rPr>
          <w:sz w:val="20"/>
          <w:szCs w:val="20"/>
          <w:color w:val="auto"/>
        </w:rPr>
      </w:pPr>
    </w:p>
    <w:p>
      <w:pPr>
        <w:ind w:right="40" w:firstLine="419"/>
        <w:spacing w:after="0" w:line="262" w:lineRule="auto"/>
        <w:rPr>
          <w:sz w:val="20"/>
          <w:szCs w:val="20"/>
          <w:color w:val="auto"/>
        </w:rPr>
      </w:pPr>
      <w:r>
        <w:rPr>
          <w:rFonts w:ascii="Arial" w:cs="Arial" w:eastAsia="Arial" w:hAnsi="Arial"/>
          <w:sz w:val="17"/>
          <w:szCs w:val="17"/>
          <w:color w:val="auto"/>
        </w:rPr>
        <w:t>On September 16, 2021, we filed suit in the U.S. District Court for the District of Delaware (C.A. No. 1:21-cv-01317) alleging that Ivantis, Inc. directly or indirectly infringes U.S. Patent Nos. 8,287,482, 9,370,443, 9,486,361, and 10,314,742 previously issued to us by making, using, selling, and offering for sale the Hydrus® Microstent. We are presently unable to predict the outcome of this lawsuit or to reasonably estimate the potential financial impact of the lawsuit, which exposes us to the intellectual property litigation risk factors described above.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other proprietary information, our business and competitive position may be harmed.</w:t>
      </w:r>
    </w:p>
    <w:p>
      <w:pPr>
        <w:spacing w:after="0" w:line="127" w:lineRule="exact"/>
        <w:rPr>
          <w:sz w:val="20"/>
          <w:szCs w:val="20"/>
          <w:color w:val="auto"/>
        </w:rPr>
      </w:pPr>
    </w:p>
    <w:p>
      <w:pPr>
        <w:ind w:right="120" w:firstLine="419"/>
        <w:spacing w:after="0" w:line="261" w:lineRule="auto"/>
        <w:rPr>
          <w:sz w:val="20"/>
          <w:szCs w:val="20"/>
          <w:color w:val="auto"/>
        </w:rPr>
      </w:pPr>
      <w:r>
        <w:rPr>
          <w:rFonts w:ascii="Arial" w:cs="Arial" w:eastAsia="Arial" w:hAnsi="Arial"/>
          <w:sz w:val="18"/>
          <w:szCs w:val="18"/>
          <w:color w:val="auto"/>
        </w:rPr>
        <w:t>In addition to patent protection, we also rely on other proprietary rights, including protection of trade secrets, know-how, and/or other proprietary information that is not patentable or that we elect not to patent. However, trade secrets can be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28" w:right="459" w:bottom="1440" w:gutter="0" w:footer="0" w:header="0"/>
        </w:sectPr>
      </w:pPr>
    </w:p>
    <w:bookmarkStart w:id="69" w:name="page70"/>
    <w:bookmarkEnd w:id="69"/>
    <w:p>
      <w:pPr>
        <w:ind w:right="40"/>
        <w:spacing w:after="0" w:line="251" w:lineRule="auto"/>
        <w:rPr>
          <w:sz w:val="20"/>
          <w:szCs w:val="20"/>
          <w:color w:val="auto"/>
        </w:rPr>
      </w:pPr>
      <w:r>
        <w:rPr>
          <w:rFonts w:ascii="Arial" w:cs="Arial" w:eastAsia="Arial" w:hAnsi="Arial"/>
          <w:sz w:val="17"/>
          <w:szCs w:val="17"/>
          <w:color w:val="auto"/>
        </w:rPr>
        <w:t>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89" w:lineRule="exact"/>
        <w:rPr>
          <w:sz w:val="20"/>
          <w:szCs w:val="20"/>
          <w:color w:val="auto"/>
        </w:rPr>
      </w:pPr>
    </w:p>
    <w:p>
      <w:pPr>
        <w:ind w:right="40" w:firstLine="419"/>
        <w:spacing w:after="0" w:line="269" w:lineRule="auto"/>
        <w:rPr>
          <w:sz w:val="20"/>
          <w:szCs w:val="20"/>
          <w:color w:val="auto"/>
        </w:rPr>
      </w:pPr>
      <w:r>
        <w:rPr>
          <w:rFonts w:ascii="Arial" w:cs="Arial" w:eastAsia="Arial" w:hAnsi="Arial"/>
          <w:sz w:val="16"/>
          <w:szCs w:val="16"/>
          <w:color w:val="auto"/>
        </w:rPr>
        <w:t>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inadequate or incomplete, we are exposed to a greater risk of direct competition. A third party could, without authorization, copy or otherwise obtain and use our products or technology, or develop similar technology. Our competitors may independently develop knowledge, methods and know-how equivalent to our trade secrets. Our competitors could also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168" w:lineRule="exact"/>
        <w:rPr>
          <w:sz w:val="20"/>
          <w:szCs w:val="20"/>
          <w:color w:val="auto"/>
        </w:rPr>
      </w:pPr>
    </w:p>
    <w:p>
      <w:pPr>
        <w:ind w:firstLine="419"/>
        <w:spacing w:after="0" w:line="239" w:lineRule="auto"/>
        <w:rPr>
          <w:sz w:val="20"/>
          <w:szCs w:val="20"/>
          <w:color w:val="auto"/>
        </w:rPr>
      </w:pPr>
      <w:r>
        <w:rPr>
          <w:rFonts w:ascii="Arial" w:cs="Arial" w:eastAsia="Arial" w:hAnsi="Arial"/>
          <w:sz w:val="18"/>
          <w:szCs w:val="18"/>
          <w:color w:val="auto"/>
        </w:rPr>
        <w:t>Costly and time consuming litigation could be necessary to enforce and determine the scope of our trade secret rights and related confidentiality and nondisclosure provisions. Further, it is possible that others will independently develop the same or similar technology or products or otherwise obtain access to our unpatented technology, and in such cases we could not assert any trade secret rights against such parties.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91" w:lineRule="exact"/>
        <w:rPr>
          <w:sz w:val="20"/>
          <w:szCs w:val="20"/>
          <w:color w:val="auto"/>
        </w:rPr>
      </w:pPr>
    </w:p>
    <w:p>
      <w:pPr>
        <w:ind w:right="20" w:firstLine="419"/>
        <w:spacing w:after="0" w:line="255" w:lineRule="auto"/>
        <w:rPr>
          <w:sz w:val="20"/>
          <w:szCs w:val="20"/>
          <w:color w:val="auto"/>
        </w:rPr>
      </w:pPr>
      <w:r>
        <w:rPr>
          <w:rFonts w:ascii="Arial" w:cs="Arial" w:eastAsia="Arial" w:hAnsi="Arial"/>
          <w:sz w:val="17"/>
          <w:szCs w:val="17"/>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security measures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Also, if the steps taken to maintain our trade secrets we may have are deemed inadequate, we may have insufficient recourse against third parties for misappropriating the trade secret. In addition, others may independently develop our trade secrets and proprietary information.</w:t>
      </w:r>
    </w:p>
    <w:p>
      <w:pPr>
        <w:spacing w:after="0" w:line="18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70" w:name="page71"/>
    <w:bookmarkEnd w:id="70"/>
    <w:p>
      <w:pPr>
        <w:ind w:right="120" w:firstLine="419"/>
        <w:spacing w:after="0" w:line="248" w:lineRule="auto"/>
        <w:rPr>
          <w:sz w:val="20"/>
          <w:szCs w:val="20"/>
          <w:color w:val="auto"/>
        </w:rPr>
      </w:pPr>
      <w:r>
        <w:rPr>
          <w:rFonts w:ascii="Arial" w:cs="Arial" w:eastAsia="Arial" w:hAnsi="Arial"/>
          <w:sz w:val="18"/>
          <w:szCs w:val="18"/>
          <w:color w:val="auto"/>
        </w:rPr>
        <w:t>A company may attempt to commercialize competing products utilizing our proprietary technology, design, trademarks or tradenames in foreign countries where we do not have any patents or patent applications, trademarks, and/or other forms of intellectual property and where legal recourse may be limited. This may have a significant commercial impact on our foreign business operations.</w:t>
      </w:r>
    </w:p>
    <w:p>
      <w:pPr>
        <w:spacing w:after="0" w:line="182" w:lineRule="exact"/>
        <w:rPr>
          <w:sz w:val="20"/>
          <w:szCs w:val="20"/>
          <w:color w:val="auto"/>
        </w:rPr>
      </w:pPr>
    </w:p>
    <w:p>
      <w:pPr>
        <w:ind w:firstLine="419"/>
        <w:spacing w:after="0" w:line="254" w:lineRule="auto"/>
        <w:rPr>
          <w:sz w:val="20"/>
          <w:szCs w:val="20"/>
          <w:color w:val="auto"/>
        </w:rPr>
      </w:pPr>
      <w:r>
        <w:rPr>
          <w:rFonts w:ascii="Arial" w:cs="Arial" w:eastAsia="Arial" w:hAnsi="Arial"/>
          <w:sz w:val="17"/>
          <w:szCs w:val="17"/>
          <w:color w:val="auto"/>
        </w:rPr>
        <w:t>Filing, prosecuting and defending patents or trademarks on our current and future products in all countries throughout the world would be prohibitively expensive. The requirements for patentability and trademark protection may differ in certain countries, particularly developing countries. The laws of some foreign countries do not protect intellectual property rights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w:t>
      </w:r>
    </w:p>
    <w:p>
      <w:pPr>
        <w:spacing w:after="0" w:line="181" w:lineRule="exact"/>
        <w:rPr>
          <w:sz w:val="20"/>
          <w:szCs w:val="20"/>
          <w:color w:val="auto"/>
        </w:rPr>
      </w:pPr>
    </w:p>
    <w:p>
      <w:pPr>
        <w:ind w:right="20" w:firstLine="419"/>
        <w:spacing w:after="0" w:line="241" w:lineRule="auto"/>
        <w:rPr>
          <w:sz w:val="20"/>
          <w:szCs w:val="20"/>
          <w:color w:val="auto"/>
        </w:rPr>
      </w:pPr>
      <w:r>
        <w:rPr>
          <w:rFonts w:ascii="Arial" w:cs="Arial" w:eastAsia="Arial" w:hAnsi="Arial"/>
          <w:sz w:val="18"/>
          <w:szCs w:val="18"/>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or technology. For example, certain jurisdictions do not allow for patent protection with respect to method of treatment.</w:t>
      </w:r>
    </w:p>
    <w:p>
      <w:pPr>
        <w:spacing w:after="0" w:line="189" w:lineRule="exact"/>
        <w:rPr>
          <w:sz w:val="20"/>
          <w:szCs w:val="20"/>
          <w:color w:val="auto"/>
        </w:rPr>
      </w:pPr>
    </w:p>
    <w:p>
      <w:pPr>
        <w:ind w:right="300" w:firstLine="419"/>
        <w:spacing w:after="0"/>
        <w:rPr>
          <w:sz w:val="20"/>
          <w:szCs w:val="20"/>
          <w:color w:val="auto"/>
        </w:rPr>
      </w:pPr>
      <w:r>
        <w:rPr>
          <w:rFonts w:ascii="Arial" w:cs="Arial" w:eastAsia="Arial" w:hAnsi="Arial"/>
          <w:sz w:val="18"/>
          <w:szCs w:val="18"/>
          <w:color w:val="auto"/>
        </w:rPr>
        <w:t>While we seek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which may have an adverse effect on our ability to successfully commercialize our products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89" w:lineRule="exact"/>
        <w:rPr>
          <w:sz w:val="20"/>
          <w:szCs w:val="20"/>
          <w:color w:val="auto"/>
        </w:rPr>
      </w:pPr>
    </w:p>
    <w:p>
      <w:pPr>
        <w:ind w:right="20" w:firstLine="419"/>
        <w:spacing w:after="0" w:line="268"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or rules and regulations in the United States and many companies have encountered significant problems in protecting and defending intellectual property rights in foreign jurisdictions. The legal systems of certain countries, particularly certain developing countries, do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trademarks rights in foreign jurisdictions, whether or not successful, could result in substantial costs and divert our efforts and attention from other aspects of our business, could put our patents and trademarks in those jurisdictions, as well as elsewhere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and our competitive position may be impaired. In addition, some countries limit the enforceability of patents against government agencies or government contractors. In those countries, the patent owner may have limited remedies, which could materially diminish the value of such patents.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71" w:name="page72"/>
    <w:bookmarkEnd w:id="71"/>
    <w:p>
      <w:pPr>
        <w:ind w:right="40" w:firstLine="419"/>
        <w:spacing w:after="0" w:line="252" w:lineRule="auto"/>
        <w:rPr>
          <w:sz w:val="20"/>
          <w:szCs w:val="20"/>
          <w:color w:val="auto"/>
        </w:rPr>
      </w:pPr>
      <w:r>
        <w:rPr>
          <w:rFonts w:ascii="Arial" w:cs="Arial" w:eastAsia="Arial" w:hAnsi="Arial"/>
          <w:sz w:val="17"/>
          <w:szCs w:val="17"/>
          <w:color w:val="auto"/>
        </w:rPr>
        <w:t>We may be subject to claims that our employees, consultants, or independent contractors have wrongfully used or disclosed confidential information of third parties. 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or other third parties. In addition, we may be subject to claims that we are infringing, misappropriating or otherwise violating other intellectual property rights, such as trademarks or copyrights. To the extent that our employees, consultants or contractors use intellectual property or proprietary information owned by others in their work for us, disputes may arise as to the rights in related or resulting know-how and inventions. Litigation may be necessary to defend against these claims. There is no guarantee of success in defending these claims, and even if we are successful, litigation could result in substantial cost and be a distraction to our management and other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04" w:lineRule="exact"/>
        <w:rPr>
          <w:sz w:val="20"/>
          <w:szCs w:val="20"/>
          <w:color w:val="auto"/>
        </w:rPr>
      </w:pPr>
    </w:p>
    <w:p>
      <w:pPr>
        <w:ind w:right="20" w:firstLine="419"/>
        <w:spacing w:after="0" w:line="269"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current or future patents, patent applications, or other intellectual property, including as an inventor or co-inventor. We may be subject to ownership or inventorship disputes in the future arising, for example, from conflicting obligations of consultants, contractors or others who are involved in developing our products.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spacing w:after="0" w:line="171" w:lineRule="exact"/>
        <w:rPr>
          <w:sz w:val="20"/>
          <w:szCs w:val="20"/>
          <w:color w:val="auto"/>
        </w:rPr>
      </w:pPr>
    </w:p>
    <w:p>
      <w:pPr>
        <w:ind w:firstLine="419"/>
        <w:spacing w:after="0" w:line="252" w:lineRule="auto"/>
        <w:rPr>
          <w:sz w:val="20"/>
          <w:szCs w:val="20"/>
          <w:color w:val="auto"/>
        </w:rPr>
      </w:pPr>
      <w:r>
        <w:rPr>
          <w:rFonts w:ascii="Arial" w:cs="Arial" w:eastAsia="Arial" w:hAnsi="Arial"/>
          <w:sz w:val="17"/>
          <w:szCs w:val="17"/>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18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63" w:lineRule="exact"/>
        <w:rPr>
          <w:sz w:val="20"/>
          <w:szCs w:val="20"/>
          <w:color w:val="auto"/>
        </w:rPr>
      </w:pPr>
    </w:p>
    <w:p>
      <w:pPr>
        <w:ind w:right="40" w:firstLine="419"/>
        <w:spacing w:after="0" w:line="259" w:lineRule="auto"/>
        <w:rPr>
          <w:sz w:val="20"/>
          <w:szCs w:val="20"/>
          <w:color w:val="auto"/>
        </w:rPr>
      </w:pPr>
      <w:r>
        <w:rPr>
          <w:rFonts w:ascii="Arial" w:cs="Arial" w:eastAsia="Arial" w:hAnsi="Arial"/>
          <w:sz w:val="17"/>
          <w:szCs w:val="17"/>
          <w:color w:val="auto"/>
        </w:rPr>
        <w:t>We use our trademarks, service marks, tradenames and brand names to distinguish our products from the products of our competitors, and have registered or applied to register these trademarks. Our trademarks or trade names may be challenged, infringed, circumvented, declared generic or determined to be violating or infringing on other marks. We cannot assure you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72" w:name="page73"/>
    <w:bookmarkEnd w:id="72"/>
    <w:p>
      <w:pPr>
        <w:spacing w:after="0" w:line="270" w:lineRule="auto"/>
        <w:rPr>
          <w:sz w:val="20"/>
          <w:szCs w:val="20"/>
          <w:color w:val="auto"/>
        </w:rPr>
      </w:pPr>
      <w:r>
        <w:rPr>
          <w:rFonts w:ascii="Arial" w:cs="Arial" w:eastAsia="Arial" w:hAnsi="Arial"/>
          <w:sz w:val="16"/>
          <w:szCs w:val="16"/>
          <w:color w:val="auto"/>
        </w:rPr>
        <w:t>foreign jurisdictions, third parties are given an opportunity to oppose pending trademark applications and to seek to cancel trademark registrations. Opposition or cancellation proceedings may be filed against our trademark filings in these agencies, and such filings may not survive such proceedings. Our competitors may also infringe or otherwise violate our trademarks and we may not have adequate resources to enforce our trademarks, which may have a material adverse effect on our business.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p>
    <w:p>
      <w:pPr>
        <w:spacing w:after="0" w:line="167" w:lineRule="exact"/>
        <w:rPr>
          <w:sz w:val="20"/>
          <w:szCs w:val="20"/>
          <w:color w:val="auto"/>
        </w:rPr>
      </w:pPr>
    </w:p>
    <w:p>
      <w:pPr>
        <w:ind w:right="40" w:firstLine="419"/>
        <w:spacing w:after="0" w:line="248" w:lineRule="auto"/>
        <w:rPr>
          <w:sz w:val="20"/>
          <w:szCs w:val="20"/>
          <w:color w:val="auto"/>
        </w:rPr>
      </w:pPr>
      <w:r>
        <w:rPr>
          <w:rFonts w:ascii="Arial" w:cs="Arial" w:eastAsia="Arial" w:hAnsi="Arial"/>
          <w:sz w:val="18"/>
          <w:szCs w:val="18"/>
          <w:color w:val="auto"/>
        </w:rPr>
        <w:t>We have become aware of a third party’s use of and pending U.S. application for the TEARCLEAR trademark in connection with ophthalmic pharmaceuticals, which we believe may be an infringement of our TEARCARE trademark. We are currently considering assessing appropriate actions to take in this matter, which may include filing a complaint for trademark infringement in federal court.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04" w:lineRule="exact"/>
        <w:rPr>
          <w:sz w:val="20"/>
          <w:szCs w:val="20"/>
          <w:color w:val="auto"/>
        </w:rPr>
      </w:pPr>
    </w:p>
    <w:p>
      <w:pPr>
        <w:ind w:right="320" w:firstLine="419"/>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800" w:right="820" w:hanging="283"/>
        <w:spacing w:after="0" w:line="261"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current or future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800" w:right="1260" w:hanging="283"/>
        <w:spacing w:after="0" w:line="261"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800" w:right="1180" w:hanging="283"/>
        <w:spacing w:after="0" w:line="261"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03" w:lineRule="exact"/>
        <w:rPr>
          <w:rFonts w:ascii="Arial" w:cs="Arial" w:eastAsia="Arial" w:hAnsi="Arial"/>
          <w:sz w:val="18"/>
          <w:szCs w:val="18"/>
          <w:color w:val="auto"/>
        </w:rPr>
      </w:pPr>
    </w:p>
    <w:p>
      <w:pPr>
        <w:ind w:left="800" w:right="1480" w:hanging="283"/>
        <w:spacing w:after="0" w:line="261"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800" w:right="700" w:hanging="283"/>
        <w:spacing w:after="0" w:line="291" w:lineRule="auto"/>
        <w:tabs>
          <w:tab w:leader="none" w:pos="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800" w:hanging="283"/>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03" w:lineRule="exact"/>
        <w:rPr>
          <w:rFonts w:ascii="Arial" w:cs="Arial" w:eastAsia="Arial" w:hAnsi="Arial"/>
          <w:sz w:val="18"/>
          <w:szCs w:val="18"/>
          <w:color w:val="auto"/>
        </w:rPr>
      </w:pPr>
    </w:p>
    <w:p>
      <w:pPr>
        <w:ind w:left="800" w:right="780" w:hanging="283"/>
        <w:spacing w:after="0" w:line="261"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products, business practices, and operations are subject to extensive government regulation and oversight in the United States and elsewhere.</w:t>
      </w:r>
    </w:p>
    <w:p>
      <w:pPr>
        <w:spacing w:after="0" w:line="138" w:lineRule="exact"/>
        <w:rPr>
          <w:sz w:val="20"/>
          <w:szCs w:val="20"/>
          <w:color w:val="auto"/>
        </w:rPr>
      </w:pPr>
    </w:p>
    <w:p>
      <w:pPr>
        <w:ind w:right="40" w:firstLine="419"/>
        <w:spacing w:after="0" w:line="248" w:lineRule="auto"/>
        <w:rPr>
          <w:sz w:val="20"/>
          <w:szCs w:val="20"/>
          <w:color w:val="auto"/>
        </w:rPr>
      </w:pPr>
      <w:r>
        <w:rPr>
          <w:rFonts w:ascii="Arial" w:cs="Arial" w:eastAsia="Arial" w:hAnsi="Arial"/>
          <w:sz w:val="18"/>
          <w:szCs w:val="18"/>
          <w:color w:val="auto"/>
        </w:rPr>
        <w:t>Our products are regulated as medical devices by the FDA and foreign regulatory authorities. We and our products are subject to extensive regulation in the United States and elsewhere, including by state agencies, the FDA and the FDA’s foreign counterparts. The FDA and foreign regulatory agencies regulate, among other things, with respect to medical</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73" w:name="page74"/>
    <w:bookmarkEnd w:id="73"/>
    <w:p>
      <w:pPr>
        <w:ind w:right="180"/>
        <w:spacing w:after="0" w:line="241" w:lineRule="auto"/>
        <w:rPr>
          <w:sz w:val="20"/>
          <w:szCs w:val="20"/>
          <w:color w:val="auto"/>
        </w:rPr>
      </w:pPr>
      <w:r>
        <w:rPr>
          <w:rFonts w:ascii="Arial" w:cs="Arial" w:eastAsia="Arial" w:hAnsi="Arial"/>
          <w:sz w:val="18"/>
          <w:szCs w:val="18"/>
          <w:color w:val="auto"/>
        </w:rPr>
        <w:t>devices: design, development, manufacturing and release; laboratory, preclinical and clinical testing; labeling, packaging, content and language of instructions for use and storage; product safety and efficacy; establishment registration and device listing; marketing, sales and distribution; pre-market clearance, approval, and certification; service operations; record 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spacing w:after="0" w:line="189" w:lineRule="exact"/>
        <w:rPr>
          <w:sz w:val="20"/>
          <w:szCs w:val="20"/>
          <w:color w:val="auto"/>
        </w:rPr>
      </w:pPr>
    </w:p>
    <w:p>
      <w:pPr>
        <w:ind w:firstLine="419"/>
        <w:spacing w:after="0" w:line="253" w:lineRule="auto"/>
        <w:rPr>
          <w:sz w:val="20"/>
          <w:szCs w:val="20"/>
          <w:color w:val="auto"/>
        </w:rPr>
      </w:pPr>
      <w:r>
        <w:rPr>
          <w:rFonts w:ascii="Arial" w:cs="Arial" w:eastAsia="Arial" w:hAnsi="Arial"/>
          <w:sz w:val="17"/>
          <w:szCs w:val="17"/>
          <w:color w:val="auto"/>
        </w:rPr>
        <w:t>The law and regulations to which we are subject are complex, burdensome to understand and apply and have tended to become more stringent over time. Legal and regulatory changes could result in restrictions on our ability to carry on or expand our operations, higher than anticipated costs or lower than anticipated sales. The FDA and foreign regulatory authorities enforce these regulatory requirements through, among other means, periodic (unannounced) inspections and periodic reviews of public marketing and promotion materials. We do not know whether we will be found compliant in connection with any future FDA or foreign inspections or reviews. Failure to comply with applicable regulations could jeopardize our ability to sell our products and result in enforcement actions such as: warning letters; untitled letters; fines; injunctions; civil penalties; termination of distribution; recalls or seizures of products; delays in the introduction of products into the market; total or partial suspension of production; refusal to grant future clearances, approvals, or certifications; withdrawals or suspensions of current approvals or certifications, resulting in prohibitions on sales of our products; and in the most serious cases, criminal penalties.</w:t>
      </w:r>
    </w:p>
    <w:p>
      <w:pPr>
        <w:spacing w:after="0" w:line="18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b w:val="1"/>
          <w:bCs w:val="1"/>
          <w:i w:val="1"/>
          <w:iCs w:val="1"/>
          <w:color w:val="auto"/>
        </w:rPr>
        <w:t>We may not receive, or may be delayed in receiving, the necessary clearances, certifications or approvals for our future products or modifications to our current products, and failure to timely obtain necessary clearances, certifications or approvals for our future products or modifications to our current products would adversely affect our ability to grow our business.</w:t>
      </w:r>
    </w:p>
    <w:p>
      <w:pPr>
        <w:spacing w:after="0" w:line="56" w:lineRule="exact"/>
        <w:rPr>
          <w:sz w:val="20"/>
          <w:szCs w:val="20"/>
          <w:color w:val="auto"/>
        </w:rPr>
      </w:pPr>
    </w:p>
    <w:p>
      <w:pPr>
        <w:ind w:firstLine="419"/>
        <w:spacing w:after="0" w:line="270" w:lineRule="auto"/>
        <w:rPr>
          <w:sz w:val="20"/>
          <w:szCs w:val="20"/>
          <w:color w:val="auto"/>
        </w:rPr>
      </w:pPr>
      <w:r>
        <w:rPr>
          <w:rFonts w:ascii="Arial" w:cs="Arial" w:eastAsia="Arial" w:hAnsi="Arial"/>
          <w:sz w:val="16"/>
          <w:szCs w:val="16"/>
          <w:color w:val="auto"/>
        </w:rPr>
        <w:t>In the U.S., before we can market a new medical device, or a new use of, new claim for or significant modification to an existing product, we must first receive either clearance under Section 510(k) of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167" w:lineRule="exact"/>
        <w:rPr>
          <w:sz w:val="20"/>
          <w:szCs w:val="20"/>
          <w:color w:val="auto"/>
        </w:rPr>
      </w:pPr>
    </w:p>
    <w:p>
      <w:pPr>
        <w:ind w:right="40" w:firstLine="419"/>
        <w:spacing w:after="0" w:line="274" w:lineRule="auto"/>
        <w:rPr>
          <w:sz w:val="20"/>
          <w:szCs w:val="20"/>
          <w:color w:val="auto"/>
        </w:rPr>
      </w:pPr>
      <w:r>
        <w:rPr>
          <w:rFonts w:ascii="Arial" w:cs="Arial" w:eastAsia="Arial" w:hAnsi="Arial"/>
          <w:sz w:val="16"/>
          <w:szCs w:val="16"/>
          <w:color w:val="auto"/>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submitted to the FDA.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63" w:lineRule="exact"/>
        <w:rPr>
          <w:sz w:val="20"/>
          <w:szCs w:val="20"/>
          <w:color w:val="auto"/>
        </w:rPr>
      </w:pPr>
    </w:p>
    <w:p>
      <w:pPr>
        <w:ind w:right="60" w:firstLine="419"/>
        <w:spacing w:after="0" w:line="255" w:lineRule="auto"/>
        <w:rPr>
          <w:sz w:val="20"/>
          <w:szCs w:val="20"/>
          <w:color w:val="auto"/>
        </w:rPr>
      </w:pPr>
      <w:r>
        <w:rPr>
          <w:rFonts w:ascii="Arial" w:cs="Arial" w:eastAsia="Arial" w:hAnsi="Arial"/>
          <w:sz w:val="17"/>
          <w:szCs w:val="17"/>
          <w:color w:val="auto"/>
        </w:rPr>
        <w:t>In the U.S., we have obtained clearance from the FDA of OMNI and TearCare through the 510(k) clearance process. Any further modification to these products or their intended uses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74" w:name="page75"/>
    <w:bookmarkEnd w:id="74"/>
    <w:p>
      <w:pPr>
        <w:ind w:right="20"/>
        <w:spacing w:after="0" w:line="255" w:lineRule="auto"/>
        <w:rPr>
          <w:sz w:val="20"/>
          <w:szCs w:val="20"/>
          <w:color w:val="auto"/>
        </w:rPr>
      </w:pPr>
      <w:r>
        <w:rPr>
          <w:rFonts w:ascii="Arial" w:cs="Arial" w:eastAsia="Arial" w:hAnsi="Arial"/>
          <w:sz w:val="17"/>
          <w:szCs w:val="17"/>
          <w:color w:val="auto"/>
        </w:rPr>
        <w:t>our review of the applicable FDA regulations and guidance that in certain instances new 510(k) clearances or PMA approvals were not required. We may make modifications or add additional features in the future that we believe do not require a new 510(k) clearance or approval of a PMA. If the FDA disagrees with our determination and requires us to submit new 510(k) notifications or PMA applications for modifications to our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04" w:lineRule="exact"/>
        <w:rPr>
          <w:sz w:val="20"/>
          <w:szCs w:val="20"/>
          <w:color w:val="auto"/>
        </w:rPr>
      </w:pPr>
    </w:p>
    <w:p>
      <w:pPr>
        <w:ind w:left="800" w:hanging="283"/>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that our products are safe or effective for their intended uses;</w:t>
      </w:r>
    </w:p>
    <w:p>
      <w:pPr>
        <w:spacing w:after="0" w:line="103" w:lineRule="exact"/>
        <w:rPr>
          <w:rFonts w:ascii="Arial" w:cs="Arial" w:eastAsia="Arial" w:hAnsi="Arial"/>
          <w:sz w:val="18"/>
          <w:szCs w:val="18"/>
          <w:color w:val="auto"/>
        </w:rPr>
      </w:pPr>
    </w:p>
    <w:p>
      <w:pPr>
        <w:ind w:left="800" w:right="740" w:hanging="283"/>
        <w:spacing w:after="0" w:line="261"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disagreement of the FDA with the design or conduct of our clinical trials or the interpretation of data from preclinical studies or clinical trials;</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 and</w:t>
      </w:r>
    </w:p>
    <w:p>
      <w:pPr>
        <w:spacing w:after="0" w:line="103" w:lineRule="exact"/>
        <w:rPr>
          <w:rFonts w:ascii="Arial" w:cs="Arial" w:eastAsia="Arial" w:hAnsi="Arial"/>
          <w:sz w:val="18"/>
          <w:szCs w:val="18"/>
          <w:color w:val="auto"/>
        </w:rPr>
      </w:pPr>
    </w:p>
    <w:p>
      <w:pPr>
        <w:ind w:left="800" w:right="1140" w:hanging="283"/>
        <w:spacing w:after="0" w:line="261"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to change significantly in a manner rendering our clinical data or regulatory filings insufficient for clearance or approval.</w:t>
      </w:r>
    </w:p>
    <w:p>
      <w:pPr>
        <w:spacing w:after="0" w:line="63" w:lineRule="exact"/>
        <w:rPr>
          <w:sz w:val="20"/>
          <w:szCs w:val="20"/>
          <w:color w:val="auto"/>
        </w:rPr>
      </w:pPr>
    </w:p>
    <w:p>
      <w:pPr>
        <w:ind w:firstLine="419"/>
        <w:spacing w:after="0" w:line="251" w:lineRule="auto"/>
        <w:rPr>
          <w:sz w:val="20"/>
          <w:szCs w:val="20"/>
          <w:color w:val="auto"/>
        </w:rPr>
      </w:pPr>
      <w:r>
        <w:rPr>
          <w:rFonts w:ascii="Arial" w:cs="Arial" w:eastAsia="Arial" w:hAnsi="Arial"/>
          <w:sz w:val="17"/>
          <w:szCs w:val="17"/>
          <w:color w:val="auto"/>
        </w:rPr>
        <w:t>Subject to the transitional provisions and in order to sell our products in EU member states, our products must comply with the general safety and performance requirements of the Medical Devices Regulation, which repeals and replaces the Medical Devices Directive. Compliance with these requirements is a prerequisite to be able to affix the European Conformity (CE) mark to our products, without which they cannot be sold or marketed in the EU. All medical devices placed on the market in the EU must meet the general safety and performance requirements laid down in Annex I to the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procedures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w:t>
      </w:r>
    </w:p>
    <w:p>
      <w:pPr>
        <w:spacing w:after="0" w:line="185" w:lineRule="exact"/>
        <w:rPr>
          <w:sz w:val="20"/>
          <w:szCs w:val="20"/>
          <w:color w:val="auto"/>
        </w:rPr>
      </w:pPr>
    </w:p>
    <w:p>
      <w:pPr>
        <w:ind w:firstLine="419"/>
        <w:spacing w:after="0" w:line="239" w:lineRule="auto"/>
        <w:rPr>
          <w:sz w:val="20"/>
          <w:szCs w:val="20"/>
          <w:color w:val="auto"/>
        </w:rPr>
      </w:pPr>
      <w:r>
        <w:rPr>
          <w:rFonts w:ascii="Arial" w:cs="Arial" w:eastAsia="Arial" w:hAnsi="Arial"/>
          <w:sz w:val="18"/>
          <w:szCs w:val="18"/>
          <w:color w:val="auto"/>
        </w:rPr>
        <w:t>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Medical Devices Regulation or cause a substantial change to the intended use for which the device has been CE marked. The notified body will then assess the planned changes and verify whether they affect the products’ ongoing conformity with the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Medical Devices Regulation.</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75" w:name="page76"/>
    <w:bookmarkEnd w:id="75"/>
    <w:p>
      <w:pPr>
        <w:ind w:firstLine="419"/>
        <w:spacing w:after="0" w:line="276" w:lineRule="auto"/>
        <w:rPr>
          <w:sz w:val="20"/>
          <w:szCs w:val="20"/>
          <w:color w:val="auto"/>
        </w:rPr>
      </w:pPr>
      <w:r>
        <w:rPr>
          <w:rFonts w:ascii="Arial" w:cs="Arial" w:eastAsia="Arial" w:hAnsi="Arial"/>
          <w:sz w:val="16"/>
          <w:szCs w:val="16"/>
          <w:color w:val="auto"/>
        </w:rPr>
        <w:t xml:space="preserve">We are currently working with our notified body, BSI (which has been designated to certify products and services in accordance with the Medical Devices Regulation), to progress on compliance with the Medical Devices Regulation and have reached a first milestone in February 2022 by successfully passing our Medical Devices Regulation audit. However, as a result of the transition towards the new regime, notified body review times have lengthened, and obtaining re-certification of our products, seeking product introductions or modifications could be delayed or canceled, which could adversely affect our ability to grow our business in the EU. – </w:t>
      </w:r>
      <w:r>
        <w:rPr>
          <w:rFonts w:ascii="Arial" w:cs="Arial" w:eastAsia="Arial" w:hAnsi="Arial"/>
          <w:sz w:val="16"/>
          <w:szCs w:val="16"/>
          <w:i w:val="1"/>
          <w:iCs w:val="1"/>
          <w:color w:val="auto"/>
        </w:rPr>
        <w:t>See – Risk Factor “Our ability to continue sales of our products in the European Union</w:t>
      </w:r>
      <w:r>
        <w:rPr>
          <w:rFonts w:ascii="Arial" w:cs="Arial" w:eastAsia="Arial" w:hAnsi="Arial"/>
          <w:sz w:val="16"/>
          <w:szCs w:val="16"/>
          <w:color w:val="auto"/>
        </w:rPr>
        <w:t xml:space="preserve"> </w:t>
      </w:r>
      <w:r>
        <w:rPr>
          <w:rFonts w:ascii="Arial" w:cs="Arial" w:eastAsia="Arial" w:hAnsi="Arial"/>
          <w:sz w:val="16"/>
          <w:szCs w:val="16"/>
          <w:i w:val="1"/>
          <w:iCs w:val="1"/>
          <w:color w:val="auto"/>
        </w:rPr>
        <w:t>may be materially impaired if we do not take necessary steps to comply with the certification requirements of the new EU Medical Devices Regulation.”</w:t>
      </w:r>
    </w:p>
    <w:p>
      <w:pPr>
        <w:spacing w:after="0" w:line="162" w:lineRule="exact"/>
        <w:rPr>
          <w:sz w:val="20"/>
          <w:szCs w:val="20"/>
          <w:color w:val="auto"/>
        </w:rPr>
      </w:pPr>
    </w:p>
    <w:p>
      <w:pPr>
        <w:ind w:right="520" w:firstLine="419"/>
        <w:spacing w:after="0" w:line="261" w:lineRule="auto"/>
        <w:rPr>
          <w:sz w:val="20"/>
          <w:szCs w:val="20"/>
          <w:color w:val="auto"/>
        </w:rPr>
      </w:pPr>
      <w:r>
        <w:rPr>
          <w:rFonts w:ascii="Arial" w:cs="Arial" w:eastAsia="Arial" w:hAnsi="Arial"/>
          <w:sz w:val="18"/>
          <w:szCs w:val="18"/>
          <w:color w:val="auto"/>
        </w:rPr>
        <w:t>The aforementioned EU rules are generally applicable in the EEA. Non-compliance with the above requirements would also prevent us from selling our products in these three countries.</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may incur significant liability if it is determined that we are promoting off-label uses of our products in violation of federal and state regulations in the United States or elsewhere.</w:t>
      </w:r>
    </w:p>
    <w:p>
      <w:pPr>
        <w:spacing w:after="0" w:line="63" w:lineRule="exact"/>
        <w:rPr>
          <w:sz w:val="20"/>
          <w:szCs w:val="20"/>
          <w:color w:val="auto"/>
        </w:rPr>
      </w:pPr>
    </w:p>
    <w:p>
      <w:pPr>
        <w:ind w:right="40" w:firstLine="419"/>
        <w:spacing w:after="0" w:line="262" w:lineRule="auto"/>
        <w:rPr>
          <w:sz w:val="20"/>
          <w:szCs w:val="20"/>
          <w:color w:val="auto"/>
        </w:rPr>
      </w:pPr>
      <w:r>
        <w:rPr>
          <w:rFonts w:ascii="Arial" w:cs="Arial" w:eastAsia="Arial" w:hAnsi="Arial"/>
          <w:sz w:val="17"/>
          <w:szCs w:val="17"/>
          <w:color w:val="auto"/>
        </w:rPr>
        <w:t>The FDA and other regulatory authorities strictly regulate the promotional claims that may be made about medical devices. In particular, the FDA requires that medical devices be labeled, advertised and promoted only in accordance with their approved or cleared indications for use (or, in the case of products which are exempt from premarket review, in accordance with the regulations pertaining to such premarket clearance-exempt product classification). Similar limitations are imposed through certain national and international requirements outside of the U.S.</w:t>
      </w:r>
    </w:p>
    <w:p>
      <w:pPr>
        <w:spacing w:after="0" w:line="172" w:lineRule="exact"/>
        <w:rPr>
          <w:sz w:val="20"/>
          <w:szCs w:val="20"/>
          <w:color w:val="auto"/>
        </w:rPr>
      </w:pPr>
    </w:p>
    <w:p>
      <w:pPr>
        <w:ind w:right="180" w:firstLine="419"/>
        <w:spacing w:after="0" w:line="284" w:lineRule="auto"/>
        <w:rPr>
          <w:sz w:val="20"/>
          <w:szCs w:val="20"/>
          <w:color w:val="auto"/>
        </w:rPr>
      </w:pPr>
      <w:r>
        <w:rPr>
          <w:rFonts w:ascii="Arial" w:cs="Arial" w:eastAsia="Arial" w:hAnsi="Arial"/>
          <w:sz w:val="16"/>
          <w:szCs w:val="16"/>
          <w:color w:val="auto"/>
        </w:rPr>
        <w:t>The FDA and foreign regulatory authorities do not generally regulate the behavior of physicians in their choice of treatments. While physicians may choose to use medical devices for uses that are not described in the product’s labeling and for uses that differ from those authorized by the FDA or certified in foreign jurisdictions, our promotional materials, promotional activities and training methods must comply with applicable FDA regulations and other applicable federal, state and foreign laws and regulations, including the prohibition on the promotion of off-label uses of our products.</w:t>
      </w:r>
    </w:p>
    <w:p>
      <w:pPr>
        <w:spacing w:after="0" w:line="155" w:lineRule="exact"/>
        <w:rPr>
          <w:sz w:val="20"/>
          <w:szCs w:val="20"/>
          <w:color w:val="auto"/>
        </w:rPr>
      </w:pPr>
    </w:p>
    <w:p>
      <w:pPr>
        <w:ind w:right="60" w:firstLine="419"/>
        <w:spacing w:after="0" w:line="254" w:lineRule="auto"/>
        <w:rPr>
          <w:sz w:val="20"/>
          <w:szCs w:val="20"/>
          <w:color w:val="auto"/>
        </w:rPr>
      </w:pPr>
      <w:r>
        <w:rPr>
          <w:rFonts w:ascii="Arial" w:cs="Arial" w:eastAsia="Arial" w:hAnsi="Arial"/>
          <w:sz w:val="17"/>
          <w:szCs w:val="17"/>
          <w:color w:val="auto"/>
        </w:rPr>
        <w:t>If the FDA or equivalent foreign authorities determine that our labeling, promotional materials or other communications (including communications by our employees or other agents) constitute promotion of an off-label use, they could request or require that we modify our promotional materials or subject us to regulatory or enforcement actions, including the issuance of a warning letter or untitled letter, suspension or withdrawal of a product from the market, or requiring a recall or institution of fines, which could result in the disgorgement of money, operating restrictions, injunctions, civil fines and criminal penalties. It is also possible that other federal, state or foreign enforcement authorities might take action if they consider our promotional or training materials to constitute promotion of an off-label use, which could result in significant fines or penalties, such as laws prohibiting false or fraudulent claims for payment of government funds, such as the U.S. federal False Claims Act. In that event, our reputation could be damaged and adoption of our products could be impaired.</w:t>
      </w:r>
    </w:p>
    <w:p>
      <w:pPr>
        <w:spacing w:after="0" w:line="181" w:lineRule="exact"/>
        <w:rPr>
          <w:sz w:val="20"/>
          <w:szCs w:val="20"/>
          <w:color w:val="auto"/>
        </w:rPr>
      </w:pPr>
    </w:p>
    <w:p>
      <w:pPr>
        <w:ind w:right="80" w:firstLine="419"/>
        <w:spacing w:after="0" w:line="284" w:lineRule="auto"/>
        <w:rPr>
          <w:sz w:val="20"/>
          <w:szCs w:val="20"/>
          <w:color w:val="auto"/>
        </w:rPr>
      </w:pPr>
      <w:r>
        <w:rPr>
          <w:rFonts w:ascii="Arial" w:cs="Arial" w:eastAsia="Arial" w:hAnsi="Arial"/>
          <w:sz w:val="16"/>
          <w:szCs w:val="16"/>
          <w:color w:val="auto"/>
        </w:rPr>
        <w:t>Notwithstanding the regulatory restrictions on off-label promotion, the FDA and other regulatory authorities allow medical device companies to engage in truthful, non-misleading and non-promotional scientific exchange concerning their products. If the FDA or other regulatory or enforcement authorities determine that our communications regarding our marketed products are not in compliance with the relevant regulatory requirements and that we have improperly promoted off-label uses, we may be subject to significant liability, including civil, criminal and administrative penalties.</w:t>
      </w:r>
    </w:p>
    <w:p>
      <w:pPr>
        <w:spacing w:after="0" w:line="15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63" w:lineRule="exact"/>
        <w:rPr>
          <w:sz w:val="20"/>
          <w:szCs w:val="20"/>
          <w:color w:val="auto"/>
        </w:rPr>
      </w:pPr>
    </w:p>
    <w:p>
      <w:pPr>
        <w:ind w:right="120" w:firstLine="419"/>
        <w:spacing w:after="0" w:line="271" w:lineRule="auto"/>
        <w:rPr>
          <w:sz w:val="20"/>
          <w:szCs w:val="20"/>
          <w:color w:val="auto"/>
        </w:rPr>
      </w:pPr>
      <w:r>
        <w:rPr>
          <w:rFonts w:ascii="Arial" w:cs="Arial" w:eastAsia="Arial" w:hAnsi="Arial"/>
          <w:sz w:val="16"/>
          <w:szCs w:val="16"/>
          <w:color w:val="auto"/>
        </w:rPr>
        <w:t>Even though we have obtained clearance from the FDA for OMNI and TearCare in the U.S. and certifications for OMNI in the EU, we are subject to ongoing and pervasive regulatory requirements governing, among other things, the manufacture, marketing, advertising, medical device reporting, sale, promotion, import, export, registration, and listing of devices. For example, we must submit periodic reports to the FDA as a condition of 510(k) clearance. These reports include information about failures and certain adverse events associated with the device after its clearance. Failure to submit such reports, or failure to submit the reports in a timely manner, could result in enforcement action by the FDA. Following its review of the periodic reports, the FDA might ask for additional information or initiate further investigation. In addition, we must maintain an active registration of our facilities and listing of our products in order to legally market them in the United States. If the FDA were to disagree with our product listing or otherwise take issue with our registration and listing compliance, it could result in delisting of our products or other enforcement action resulting in potential inability to market our products. For example, in October 2020, the FDA communicated to us that the previous version of our TearCare</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76" w:name="page77"/>
    <w:bookmarkEnd w:id="76"/>
    <w:p>
      <w:pPr>
        <w:ind w:right="40"/>
        <w:spacing w:after="0" w:line="253" w:lineRule="auto"/>
        <w:rPr>
          <w:sz w:val="20"/>
          <w:szCs w:val="20"/>
          <w:color w:val="auto"/>
        </w:rPr>
      </w:pPr>
      <w:r>
        <w:rPr>
          <w:rFonts w:ascii="Arial" w:cs="Arial" w:eastAsia="Arial" w:hAnsi="Arial"/>
          <w:sz w:val="17"/>
          <w:szCs w:val="17"/>
          <w:color w:val="auto"/>
        </w:rPr>
        <w:t>System may not have been eligible for an exemption from 510(k) clearance. In response to that communication, among other things, we submitted a 510(k) premarket notification seeking clearance for TearCare in November 2020. The FDA requested several safety tests and modifications to this submission which we believe would have required additional time to complete beyond the designated review process. We voluntarily withdrew this submission in May 2021 to allow us to comply with the FDA’s requests in a comprehensive manner. We completed the additional testing and modifications requested by the FDA and received 510(k) clearance of TearCare for an expanded indication for use in December 2021. In February 2022, we received further communications from the FDA regarding the appropriateness of the marketing and distribution of our legacy TearCare Systems as a 510(k)-exempt device without premarket notification to and authorization from the FDA. We are conducting a voluntary recall of our legacy TearCare System because the FDA has informed us that the legacy system’s advanced technology makes it ineligible for an exemption from 510(k) clearance. Further, this voluntary recall does not involve the new version of the TearCare System, which has received premarket clearance from the FDA and will remain on the market.</w:t>
      </w:r>
    </w:p>
    <w:p>
      <w:pPr>
        <w:spacing w:after="0" w:line="180" w:lineRule="exact"/>
        <w:rPr>
          <w:sz w:val="20"/>
          <w:szCs w:val="20"/>
          <w:color w:val="auto"/>
        </w:rPr>
      </w:pPr>
    </w:p>
    <w:p>
      <w:pPr>
        <w:ind w:right="40" w:firstLine="419"/>
        <w:spacing w:after="0" w:line="279" w:lineRule="auto"/>
        <w:rPr>
          <w:sz w:val="20"/>
          <w:szCs w:val="20"/>
          <w:color w:val="auto"/>
        </w:rPr>
      </w:pPr>
      <w:r>
        <w:rPr>
          <w:rFonts w:ascii="Arial" w:cs="Arial" w:eastAsia="Arial" w:hAnsi="Arial"/>
          <w:sz w:val="16"/>
          <w:szCs w:val="16"/>
          <w:color w:val="auto"/>
        </w:rPr>
        <w:t>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which may include any of the following sanctions:</w:t>
      </w:r>
    </w:p>
    <w:p>
      <w:pPr>
        <w:spacing w:after="0" w:line="51" w:lineRule="exact"/>
        <w:rPr>
          <w:sz w:val="20"/>
          <w:szCs w:val="20"/>
          <w:color w:val="auto"/>
        </w:rPr>
      </w:pPr>
    </w:p>
    <w:p>
      <w:pPr>
        <w:ind w:left="800" w:hanging="283"/>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Untitled letters, warning letters or adverse publicity;</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injunctions, consent decrees and civil penalties;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Recalls, termination of distribution, administrative detention, or seizure of our products;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Customer notifications or repair, replacement or refunds;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03" w:lineRule="exact"/>
        <w:rPr>
          <w:rFonts w:ascii="Arial" w:cs="Arial" w:eastAsia="Arial" w:hAnsi="Arial"/>
          <w:sz w:val="18"/>
          <w:szCs w:val="18"/>
          <w:color w:val="auto"/>
        </w:rPr>
      </w:pPr>
    </w:p>
    <w:p>
      <w:pPr>
        <w:ind w:left="800" w:right="960" w:hanging="283"/>
        <w:spacing w:after="0" w:line="261"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or refusal to grant our requests for future clearances or approvals or foreign clearance, certification or approval of new products, new intended uses, or modifications to existing products;</w:t>
      </w:r>
    </w:p>
    <w:p>
      <w:pPr>
        <w:spacing w:after="0" w:line="62" w:lineRule="exact"/>
        <w:rPr>
          <w:rFonts w:ascii="Arial" w:cs="Arial" w:eastAsia="Arial" w:hAnsi="Arial"/>
          <w:sz w:val="18"/>
          <w:szCs w:val="18"/>
          <w:color w:val="auto"/>
        </w:rPr>
      </w:pPr>
    </w:p>
    <w:p>
      <w:pPr>
        <w:ind w:left="800" w:right="1140" w:hanging="283"/>
        <w:spacing w:after="0" w:line="261"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Withdrawals or suspensions of 510(k) clearances or certifications, or requirements for new 510(k) clearances or certifications, resulting in prohibitions on sales of our products pending such further clearance or certification;</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 and</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04" w:lineRule="exact"/>
        <w:rPr>
          <w:sz w:val="20"/>
          <w:szCs w:val="20"/>
          <w:color w:val="auto"/>
        </w:rPr>
      </w:pPr>
    </w:p>
    <w:p>
      <w:pPr>
        <w:ind w:firstLine="419"/>
        <w:spacing w:after="0" w:line="276" w:lineRule="auto"/>
        <w:rPr>
          <w:sz w:val="20"/>
          <w:szCs w:val="20"/>
          <w:color w:val="auto"/>
        </w:rPr>
      </w:pPr>
      <w:r>
        <w:rPr>
          <w:rFonts w:ascii="Arial" w:cs="Arial" w:eastAsia="Arial" w:hAnsi="Arial"/>
          <w:sz w:val="16"/>
          <w:szCs w:val="16"/>
          <w:color w:val="auto"/>
        </w:rPr>
        <w:t>Any of these sanctions could result in higher than anticipated costs or lower than anticipated sales and have a material adverse effect on our reputation, business, financial condition and results of operations. In addition, the FDA and foreign regulatory authorities may change its clearance or certification policies, adopt additional regulations or revise existing regulations, or take other actions, which may prevent or delay clearance, approval, or certification of our future products under development or impact our ability to modify our currently cleared or certified products on a timely basis. Such policy or regulatory changes could impose additional requirements upon us that could delay our ability to obtain new clearances, approvals, or certifications, increase the costs of compliance or restrict our ability to maintain our clearances and certifications of our current products.</w:t>
      </w:r>
    </w:p>
    <w:p>
      <w:pPr>
        <w:spacing w:after="0" w:line="16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Our products must be manufactured in accordance with federal, state and foreign regulations, and we could be forced to recall our devices or terminate production if we fail to comply with these regulations.</w:t>
      </w:r>
    </w:p>
    <w:p>
      <w:pPr>
        <w:spacing w:after="0" w:line="63" w:lineRule="exact"/>
        <w:rPr>
          <w:sz w:val="20"/>
          <w:szCs w:val="20"/>
          <w:color w:val="auto"/>
        </w:rPr>
      </w:pPr>
    </w:p>
    <w:p>
      <w:pPr>
        <w:ind w:right="80" w:firstLine="419"/>
        <w:spacing w:after="0" w:line="255" w:lineRule="auto"/>
        <w:rPr>
          <w:sz w:val="20"/>
          <w:szCs w:val="20"/>
          <w:color w:val="auto"/>
        </w:rPr>
      </w:pPr>
      <w:r>
        <w:rPr>
          <w:rFonts w:ascii="Arial" w:cs="Arial" w:eastAsia="Arial" w:hAnsi="Arial"/>
          <w:sz w:val="17"/>
          <w:szCs w:val="17"/>
          <w:color w:val="auto"/>
        </w:rPr>
        <w:t>The methods used in, and the facilities used for, the manufacture of our products must comply with the FDA’s QSR and subject to transitional provisions, the European Union Medical Devices Regulation, both of which are complex regulatory schemes that cover the procedures and documentation of the design, testing, production, process controls, quality assurance, labeling, packaging, handling, storage, distribution, installation, servicing and shipping of medical devices. Furthermore, we are required to maintain, and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various laws and regulations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8" w:right="439" w:bottom="1440" w:gutter="0" w:footer="0" w:header="0"/>
        </w:sectPr>
      </w:pPr>
    </w:p>
    <w:bookmarkStart w:id="77" w:name="page78"/>
    <w:bookmarkEnd w:id="77"/>
    <w:p>
      <w:pPr>
        <w:ind w:right="80"/>
        <w:spacing w:after="0" w:line="255" w:lineRule="auto"/>
        <w:rPr>
          <w:sz w:val="20"/>
          <w:szCs w:val="20"/>
          <w:color w:val="auto"/>
        </w:rPr>
      </w:pPr>
      <w:r>
        <w:rPr>
          <w:rFonts w:ascii="Arial" w:cs="Arial" w:eastAsia="Arial" w:hAnsi="Arial"/>
          <w:sz w:val="17"/>
          <w:szCs w:val="17"/>
          <w:color w:val="auto"/>
        </w:rPr>
        <w:t>foreign countries governing manufacturing and a requirement for adherence to industry standards of the International Standards Organization, or ISO, in connection with our medical device operations outside of the United States. Failure to comply with applicable FDA or foreign requirements or later discovery of previously unknown problems with our products or manufacturing processes could result in, among other things: warning letters or untitled letters; fines, injunctions or civil penalties; suspension or withdrawal of clearances, approvals, or certifications; seizures or recalls of our products; total or partial suspension of production or distribution; administrative or judicially imposed sanctions; the FDA’s foreign regulatory authorities' or notified bodies' refusal to grant pending or future clearances, approvals, or certifications for our products; clinical holds; refusal to permit the import or export of our products; and criminal prosecution of us, our suppliers, or our employees.</w:t>
      </w:r>
    </w:p>
    <w:p>
      <w:pPr>
        <w:spacing w:after="0" w:line="180" w:lineRule="exact"/>
        <w:rPr>
          <w:sz w:val="20"/>
          <w:szCs w:val="20"/>
          <w:color w:val="auto"/>
        </w:rPr>
      </w:pPr>
    </w:p>
    <w:p>
      <w:pPr>
        <w:ind w:firstLine="419"/>
        <w:spacing w:after="0" w:line="261" w:lineRule="auto"/>
        <w:rPr>
          <w:sz w:val="20"/>
          <w:szCs w:val="20"/>
          <w:color w:val="auto"/>
        </w:rPr>
      </w:pPr>
      <w:r>
        <w:rPr>
          <w:rFonts w:ascii="Arial" w:cs="Arial" w:eastAsia="Arial" w:hAnsi="Arial"/>
          <w:sz w:val="18"/>
          <w:szCs w:val="18"/>
          <w:color w:val="auto"/>
        </w:rPr>
        <w:t>We have received ISO 13485:2016 certification for our quality management system. ISO certification generally includes recertification audits every third year, scheduled annual surveillance audits and periodic unannounced audits.</w:t>
      </w:r>
    </w:p>
    <w:p>
      <w:pPr>
        <w:spacing w:after="0" w:line="171" w:lineRule="exact"/>
        <w:rPr>
          <w:sz w:val="20"/>
          <w:szCs w:val="20"/>
          <w:color w:val="auto"/>
        </w:rPr>
      </w:pPr>
    </w:p>
    <w:p>
      <w:pPr>
        <w:ind w:right="40" w:firstLine="419"/>
        <w:spacing w:after="0"/>
        <w:rPr>
          <w:sz w:val="20"/>
          <w:szCs w:val="20"/>
          <w:color w:val="auto"/>
        </w:rPr>
      </w:pPr>
      <w:r>
        <w:rPr>
          <w:rFonts w:ascii="Arial" w:cs="Arial" w:eastAsia="Arial" w:hAnsi="Arial"/>
          <w:sz w:val="18"/>
          <w:szCs w:val="18"/>
          <w:color w:val="auto"/>
        </w:rPr>
        <w:t>We can provide no assurance that we will be found to remain in compliance with the QSR or ISO standards upon a regulator’s review. If the FDA, other regulator, or notified body, inspect or audit any of our manufacturers’ facilities and discovers compliance problems, we may have to cease manufacturing and product distribution until we can take the appropriate remedial steps to correct the audit findings. Any of the actions noted above could significantly and negatively affect supply of our products. Taking corrective action may be expensive, time-consuming and a distraction for management. If any of these events occurs, our reputation could be harmed, we could be exposed to product liability claims and we could lose customers and experience reduced sales and increased costs.</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i w:val="1"/>
          <w:iCs w:val="1"/>
          <w:color w:val="auto"/>
        </w:rPr>
        <w:t>Our products may cause or contribute to adverse medical events or be subject to failures or malfunctions that we are required to report to the FDA (or similar foreign authorities), and if we fail to do so, we would be subject to sanctions that could negatively affect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64" w:lineRule="exact"/>
        <w:rPr>
          <w:sz w:val="20"/>
          <w:szCs w:val="20"/>
          <w:color w:val="auto"/>
        </w:rPr>
      </w:pPr>
    </w:p>
    <w:p>
      <w:pPr>
        <w:ind w:right="120" w:firstLine="419"/>
        <w:spacing w:after="0" w:line="253" w:lineRule="auto"/>
        <w:rPr>
          <w:sz w:val="20"/>
          <w:szCs w:val="20"/>
          <w:color w:val="auto"/>
        </w:rPr>
      </w:pPr>
      <w:r>
        <w:rPr>
          <w:rFonts w:ascii="Arial" w:cs="Arial" w:eastAsia="Arial" w:hAnsi="Arial"/>
          <w:sz w:val="17"/>
          <w:szCs w:val="17"/>
          <w:color w:val="auto"/>
        </w:rPr>
        <w:t>We are subject to the FDA’s medical device reporting regulations and similar foreign regulations, which require us to report to the FDA (and other foreign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based on the date we become aware of the adverse event as well as on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its foreign counterparts could take action, including warning letters, untitled letters, administrative actions, criminal prosecution, imposition of civil monetary penalties, revocation of device clearance, approval or certification, seizure of our products or delay in clearance, approval, or certification of future products, which could have a negative impact on us.</w:t>
      </w:r>
    </w:p>
    <w:p>
      <w:pPr>
        <w:spacing w:after="0" w:line="180" w:lineRule="exact"/>
        <w:rPr>
          <w:sz w:val="20"/>
          <w:szCs w:val="20"/>
          <w:color w:val="auto"/>
        </w:rPr>
      </w:pPr>
    </w:p>
    <w:p>
      <w:pPr>
        <w:ind w:right="140" w:firstLine="419"/>
        <w:spacing w:after="0" w:line="257" w:lineRule="auto"/>
        <w:rPr>
          <w:sz w:val="20"/>
          <w:szCs w:val="20"/>
          <w:color w:val="auto"/>
        </w:rPr>
      </w:pPr>
      <w:r>
        <w:rPr>
          <w:rFonts w:ascii="Arial" w:cs="Arial" w:eastAsia="Arial" w:hAnsi="Arial"/>
          <w:sz w:val="17"/>
          <w:szCs w:val="17"/>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75" w:lineRule="exact"/>
        <w:rPr>
          <w:sz w:val="20"/>
          <w:szCs w:val="20"/>
          <w:color w:val="auto"/>
        </w:rPr>
      </w:pPr>
    </w:p>
    <w:p>
      <w:pPr>
        <w:ind w:right="260" w:firstLine="419"/>
        <w:spacing w:after="0" w:line="279" w:lineRule="auto"/>
        <w:rPr>
          <w:sz w:val="20"/>
          <w:szCs w:val="20"/>
          <w:color w:val="auto"/>
        </w:rPr>
      </w:pPr>
      <w:r>
        <w:rPr>
          <w:rFonts w:ascii="Arial" w:cs="Arial" w:eastAsia="Arial" w:hAnsi="Arial"/>
          <w:sz w:val="16"/>
          <w:szCs w:val="16"/>
          <w:color w:val="auto"/>
        </w:rPr>
        <w:t>If we initiate a correction or removal for our products to reduce a risk to health posed by them or to remedy a violation of law that may present a risk to health, we would be required to submit a report to the FDA and may be required to submit similar notifications to other regulatory authorities. This report could lead to increased scrutiny by the FDA, other foreign regulatory agencies and our customers regarding the quality and safety of our products. Furthermore, the submission of these reports, to the extent made publicly available in accordance with FDA regulations, could be used by competitors against us or otherwise publicized and cause physicians to delay or cancel product orders, which will harm our reputation.</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78" w:name="page79"/>
    <w:bookmarkEnd w:id="78"/>
    <w:p>
      <w:pPr>
        <w:ind w:right="200" w:firstLine="419"/>
        <w:spacing w:after="0" w:line="262" w:lineRule="auto"/>
        <w:rPr>
          <w:sz w:val="20"/>
          <w:szCs w:val="20"/>
          <w:color w:val="auto"/>
        </w:rPr>
      </w:pPr>
      <w:r>
        <w:rPr>
          <w:rFonts w:ascii="Arial" w:cs="Arial" w:eastAsia="Arial" w:hAnsi="Arial"/>
          <w:sz w:val="17"/>
          <w:szCs w:val="17"/>
          <w:color w:val="auto"/>
        </w:rPr>
        <w:t>If we assess a potential quality issue or complaint as not requiring either a field action or regulatory notification, regulators may review documentation of that decision during a subsequent audit. If regulators disagree with our decision, or take issue with either our investigation process or the resulting documentation, regulatory agencies may impose sanctions and we may be subject to regulatory enforcement actions, including warning letters, all of which will negatively affect our business, financial condition and results of operations.</w:t>
      </w:r>
    </w:p>
    <w:p>
      <w:pPr>
        <w:spacing w:after="0" w:line="172" w:lineRule="exact"/>
        <w:rPr>
          <w:sz w:val="20"/>
          <w:szCs w:val="20"/>
          <w:color w:val="auto"/>
        </w:rPr>
      </w:pPr>
    </w:p>
    <w:p>
      <w:pPr>
        <w:ind w:right="140" w:firstLine="419"/>
        <w:spacing w:after="0" w:line="259" w:lineRule="auto"/>
        <w:rPr>
          <w:sz w:val="20"/>
          <w:szCs w:val="20"/>
          <w:color w:val="auto"/>
        </w:rPr>
      </w:pPr>
      <w:r>
        <w:rPr>
          <w:rFonts w:ascii="Arial" w:cs="Arial" w:eastAsia="Arial" w:hAnsi="Arial"/>
          <w:sz w:val="17"/>
          <w:szCs w:val="17"/>
          <w:color w:val="auto"/>
        </w:rPr>
        <w:t>Depending on the corrective action we take to redress a product’s deficiencies or defects, the FDA or FDA’s foreign counterparts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74" w:lineRule="exact"/>
        <w:rPr>
          <w:sz w:val="20"/>
          <w:szCs w:val="20"/>
          <w:color w:val="auto"/>
        </w:rPr>
      </w:pPr>
    </w:p>
    <w:p>
      <w:pPr>
        <w:ind w:right="20" w:firstLine="419"/>
        <w:spacing w:after="0" w:line="239"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or foreign regulatory authorities. We may initiate voluntary withdrawals or corrections for our products in the future that we determine do not require notification of the FDA or foreign regulatory authorities. If the FDA or foreign regulatory authorities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will negatively affect our reputation, business, financial condition and results of operations.</w:t>
      </w:r>
    </w:p>
    <w:p>
      <w:pPr>
        <w:spacing w:after="0" w:line="19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If we do not obtain and maintain applicable regulatory registrations, clearances, certifications or approvals for our products, we will be unable to market and sell our products outside of the U.S.</w:t>
      </w:r>
    </w:p>
    <w:p>
      <w:pPr>
        <w:spacing w:after="0" w:line="63" w:lineRule="exact"/>
        <w:rPr>
          <w:sz w:val="20"/>
          <w:szCs w:val="20"/>
          <w:color w:val="auto"/>
        </w:rPr>
      </w:pPr>
    </w:p>
    <w:p>
      <w:pPr>
        <w:ind w:firstLine="419"/>
        <w:spacing w:after="0" w:line="253" w:lineRule="auto"/>
        <w:rPr>
          <w:sz w:val="20"/>
          <w:szCs w:val="20"/>
          <w:color w:val="auto"/>
        </w:rPr>
      </w:pPr>
      <w:r>
        <w:rPr>
          <w:rFonts w:ascii="Arial" w:cs="Arial" w:eastAsia="Arial" w:hAnsi="Arial"/>
          <w:sz w:val="17"/>
          <w:szCs w:val="17"/>
          <w:color w:val="auto"/>
        </w:rPr>
        <w:t>We intend to expand our sales operations outside of the U.S. Sales of our products outside of the U.S. are subject to foreign regulatory requirements that vary widely from country to country. In addition, the FDA regulates exports of medical devices from the U.S. While the regulations of some countries may not impose barriers to marketing and selling our products or only require notification, others require that we obtain the clearance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regulatory clearances or approvals before we are permitted to sell the modified product.</w:t>
      </w:r>
    </w:p>
    <w:p>
      <w:pPr>
        <w:spacing w:after="0" w:line="184" w:lineRule="exact"/>
        <w:rPr>
          <w:sz w:val="20"/>
          <w:szCs w:val="20"/>
          <w:color w:val="auto"/>
        </w:rPr>
      </w:pPr>
    </w:p>
    <w:p>
      <w:pPr>
        <w:ind w:right="200" w:firstLine="419"/>
        <w:spacing w:after="0" w:line="291" w:lineRule="auto"/>
        <w:rPr>
          <w:sz w:val="20"/>
          <w:szCs w:val="20"/>
          <w:color w:val="auto"/>
        </w:rPr>
      </w:pPr>
      <w:r>
        <w:rPr>
          <w:rFonts w:ascii="Arial" w:cs="Arial" w:eastAsia="Arial" w:hAnsi="Arial"/>
          <w:sz w:val="17"/>
          <w:szCs w:val="17"/>
          <w:color w:val="auto"/>
        </w:rPr>
        <w:t>In addition, we may not continue to meet the quality and safety standards required to maintain the authorizations that we have received. If we are unable to maintain our authorizations in a particular country, we will no longer be able to sell the applicable product in that country.</w:t>
      </w:r>
    </w:p>
    <w:p>
      <w:pPr>
        <w:spacing w:after="0" w:line="147" w:lineRule="exact"/>
        <w:rPr>
          <w:sz w:val="20"/>
          <w:szCs w:val="20"/>
          <w:color w:val="auto"/>
        </w:rPr>
      </w:pPr>
    </w:p>
    <w:p>
      <w:pPr>
        <w:ind w:right="120" w:firstLine="419"/>
        <w:spacing w:after="0" w:line="241" w:lineRule="auto"/>
        <w:rPr>
          <w:sz w:val="20"/>
          <w:szCs w:val="20"/>
          <w:color w:val="auto"/>
        </w:rPr>
      </w:pPr>
      <w:r>
        <w:rPr>
          <w:rFonts w:ascii="Arial" w:cs="Arial" w:eastAsia="Arial" w:hAnsi="Arial"/>
          <w:sz w:val="18"/>
          <w:szCs w:val="18"/>
          <w:color w:val="auto"/>
        </w:rPr>
        <w:t>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w:t>
      </w:r>
    </w:p>
    <w:p>
      <w:pPr>
        <w:spacing w:after="0" w:line="18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b w:val="1"/>
          <w:bCs w:val="1"/>
          <w:i w:val="1"/>
          <w:iCs w:val="1"/>
          <w:color w:val="auto"/>
        </w:rPr>
        <w:t>The clinical trial or investigation process is lengthy and expensive with uncertain outcomes. Results of earlier studies may not be predictive of future clinical trial or investigation results, or the safety or efficacy profile for such products for such uses. Further, we may incur significant fines, penalties and other liabilities if it is determined that we are failing or have failed to comply with applicable regulatory requirements for the conduct of our clinical trials.</w:t>
      </w:r>
    </w:p>
    <w:p>
      <w:pPr>
        <w:spacing w:after="0" w:line="80" w:lineRule="exact"/>
        <w:rPr>
          <w:sz w:val="20"/>
          <w:szCs w:val="20"/>
          <w:color w:val="auto"/>
        </w:rPr>
      </w:pPr>
    </w:p>
    <w:p>
      <w:pPr>
        <w:ind w:right="240" w:firstLine="419"/>
        <w:spacing w:after="0" w:line="241" w:lineRule="auto"/>
        <w:rPr>
          <w:sz w:val="20"/>
          <w:szCs w:val="20"/>
          <w:color w:val="auto"/>
        </w:rPr>
      </w:pPr>
      <w:r>
        <w:rPr>
          <w:rFonts w:ascii="Arial" w:cs="Arial" w:eastAsia="Arial" w:hAnsi="Arial"/>
          <w:sz w:val="18"/>
          <w:szCs w:val="18"/>
          <w:color w:val="auto"/>
        </w:rPr>
        <w:t>Clinical testing is difficult to design and implement, can take many years, can be expensive and carries uncertain outcomes. The results of preclinical studies and clinical trials and investigations of our products conducted to date and ongoing or future studies, trials and investigations of our current, planned or future products may not be predictive of the results of later clinical trials or investigations, and interim results of a clinical trial or investigation do not necessarily predict final results. Our interpretation of data and results from our clinical trials or investigations does not ensure that we</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79" w:name="page80"/>
    <w:bookmarkEnd w:id="79"/>
    <w:p>
      <w:pPr>
        <w:ind w:right="40"/>
        <w:spacing w:after="0" w:line="238" w:lineRule="auto"/>
        <w:rPr>
          <w:sz w:val="20"/>
          <w:szCs w:val="20"/>
          <w:color w:val="auto"/>
        </w:rPr>
      </w:pPr>
      <w:r>
        <w:rPr>
          <w:rFonts w:ascii="Arial" w:cs="Arial" w:eastAsia="Arial" w:hAnsi="Arial"/>
          <w:sz w:val="18"/>
          <w:szCs w:val="18"/>
          <w:color w:val="auto"/>
        </w:rPr>
        <w:t>will achieve similar results in future clinical trials or investigations. In addition, preclinical and clinical data are often susceptible to various interpretations and analyses, and many companies that have believed their products performed satisfactorily in preclinical studies and earlier clinical trials or investigations have nonetheless failed to produce strong results in later clinical trials or investigations. Products in later stages of clinical trials or investigations may fail to show the desired safety and efficacy despite having progressed through nonclinical studies and earlier clinical trials or investigations. We incur substantial expense for, and devote significant time to, clinical trials or investigations but cannot be certain that such trials will yield positive results relating to our products. Failure can occur at any stage of clinical testing. Our clinical trials or investigations may produce negative or inconclusive results, and we may decide, or regulators may require us, to conduct additional clinical and non-clinical testing in addition to those we have planned.</w:t>
      </w:r>
    </w:p>
    <w:p>
      <w:pPr>
        <w:spacing w:after="0" w:line="194" w:lineRule="exact"/>
        <w:rPr>
          <w:sz w:val="20"/>
          <w:szCs w:val="20"/>
          <w:color w:val="auto"/>
        </w:rPr>
      </w:pPr>
    </w:p>
    <w:p>
      <w:pPr>
        <w:jc w:val="both"/>
        <w:ind w:firstLine="419"/>
        <w:spacing w:after="0" w:line="248" w:lineRule="auto"/>
        <w:rPr>
          <w:sz w:val="20"/>
          <w:szCs w:val="20"/>
          <w:color w:val="auto"/>
        </w:rPr>
      </w:pPr>
      <w:r>
        <w:rPr>
          <w:rFonts w:ascii="Arial" w:cs="Arial" w:eastAsia="Arial" w:hAnsi="Arial"/>
          <w:sz w:val="18"/>
          <w:szCs w:val="18"/>
          <w:color w:val="auto"/>
        </w:rPr>
        <w:t>The initiation and completion of any of our clinical trials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74" w:lineRule="exact"/>
        <w:rPr>
          <w:sz w:val="20"/>
          <w:szCs w:val="20"/>
          <w:color w:val="auto"/>
        </w:rPr>
      </w:pPr>
    </w:p>
    <w:p>
      <w:pPr>
        <w:ind w:left="800" w:right="700" w:hanging="283"/>
        <w:spacing w:after="0" w:line="24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submit an Investigational Device Exemption, or IDE, application to the FDA, which must become effective prior to commencing certain human clinical trials of medical devices, and the FDA may reject our IDE application and notify us that we may not begin clinical trials;</w:t>
      </w:r>
    </w:p>
    <w:p>
      <w:pPr>
        <w:spacing w:after="0" w:line="73" w:lineRule="exact"/>
        <w:rPr>
          <w:rFonts w:ascii="Arial" w:cs="Arial" w:eastAsia="Arial" w:hAnsi="Arial"/>
          <w:sz w:val="18"/>
          <w:szCs w:val="18"/>
          <w:color w:val="auto"/>
        </w:rPr>
      </w:pPr>
    </w:p>
    <w:p>
      <w:pPr>
        <w:ind w:left="800" w:right="1100" w:hanging="283"/>
        <w:spacing w:after="0" w:line="261"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Regulators and other comparable foreign regulatory authorities may disagree as to the design or conduct of our clinical trials or investigations;</w:t>
      </w:r>
    </w:p>
    <w:p>
      <w:pPr>
        <w:spacing w:after="0" w:line="62" w:lineRule="exact"/>
        <w:rPr>
          <w:rFonts w:ascii="Arial" w:cs="Arial" w:eastAsia="Arial" w:hAnsi="Arial"/>
          <w:sz w:val="18"/>
          <w:szCs w:val="18"/>
          <w:color w:val="auto"/>
        </w:rPr>
      </w:pPr>
    </w:p>
    <w:p>
      <w:pPr>
        <w:ind w:left="800" w:right="860" w:hanging="283"/>
        <w:spacing w:after="0" w:line="24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Regulators and/or institutional review boards, or IRBs, or other reviewing bodies may not authorize us or our investigators to commence a clinical trial or investigation, or to conduct or continue a clinical trial or investigation at a prospective or specific trial site;</w:t>
      </w:r>
    </w:p>
    <w:p>
      <w:pPr>
        <w:spacing w:after="0" w:line="73" w:lineRule="exact"/>
        <w:rPr>
          <w:rFonts w:ascii="Arial" w:cs="Arial" w:eastAsia="Arial" w:hAnsi="Arial"/>
          <w:sz w:val="18"/>
          <w:szCs w:val="18"/>
          <w:color w:val="auto"/>
        </w:rPr>
      </w:pPr>
    </w:p>
    <w:p>
      <w:pPr>
        <w:ind w:left="800" w:right="780" w:hanging="283"/>
        <w:spacing w:after="0" w:line="324"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6" w:lineRule="exact"/>
        <w:rPr>
          <w:rFonts w:ascii="Arial" w:cs="Arial" w:eastAsia="Arial" w:hAnsi="Arial"/>
          <w:sz w:val="16"/>
          <w:szCs w:val="16"/>
          <w:color w:val="auto"/>
        </w:rPr>
      </w:pPr>
    </w:p>
    <w:p>
      <w:pPr>
        <w:ind w:left="800" w:right="920" w:hanging="283"/>
        <w:spacing w:after="0" w:line="261"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Clinical trials or investigations may produce negative or inconclusive results, and we may decide, or regulators may require us, to conduct additional clinical trials or investigations or abandon product development programs;</w:t>
      </w:r>
    </w:p>
    <w:p>
      <w:pPr>
        <w:spacing w:after="0" w:line="62" w:lineRule="exact"/>
        <w:rPr>
          <w:rFonts w:ascii="Arial" w:cs="Arial" w:eastAsia="Arial" w:hAnsi="Arial"/>
          <w:sz w:val="18"/>
          <w:szCs w:val="18"/>
          <w:color w:val="auto"/>
        </w:rPr>
      </w:pPr>
    </w:p>
    <w:p>
      <w:pPr>
        <w:ind w:left="800" w:right="720" w:hanging="283"/>
        <w:spacing w:after="0" w:line="243"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subjects or patients required for clinical trials may be larger than we anticipate, enrollment in these clinical trials or investigations may be insufficient or slower than we anticipate, and the number of clinical trials or investigations being conducted at any given time may be high and result in fewer available patients for any given clinical trial, or patients may drop out of these clinical trials or investigations at a higher rate than we anticipate;</w:t>
      </w:r>
    </w:p>
    <w:p>
      <w:pPr>
        <w:spacing w:after="0" w:line="79" w:lineRule="exact"/>
        <w:rPr>
          <w:rFonts w:ascii="Arial" w:cs="Arial" w:eastAsia="Arial" w:hAnsi="Arial"/>
          <w:sz w:val="18"/>
          <w:szCs w:val="18"/>
          <w:color w:val="auto"/>
        </w:rPr>
      </w:pPr>
    </w:p>
    <w:p>
      <w:pPr>
        <w:ind w:left="800" w:right="700" w:hanging="283"/>
        <w:spacing w:after="0" w:line="291" w:lineRule="auto"/>
        <w:tabs>
          <w:tab w:leader="none" w:pos="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third-party contractors, including those manufacturing products or conducting clinical trials or investigations on our behalf, may fail to comply with regulatory requirements or meet their contractual obligations to us in a timely manner, or at all;</w:t>
      </w:r>
    </w:p>
    <w:p>
      <w:pPr>
        <w:spacing w:after="0" w:line="38" w:lineRule="exact"/>
        <w:rPr>
          <w:rFonts w:ascii="Arial" w:cs="Arial" w:eastAsia="Arial" w:hAnsi="Arial"/>
          <w:sz w:val="17"/>
          <w:szCs w:val="17"/>
          <w:color w:val="auto"/>
        </w:rPr>
      </w:pPr>
    </w:p>
    <w:p>
      <w:pPr>
        <w:ind w:left="800" w:right="1500" w:hanging="283"/>
        <w:spacing w:after="0" w:line="261"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might have to suspend or terminate clinical trials or investigations for various reasons, including difficulties in patient enrollment or a finding that the subjects are being exposed to unacceptable health risks;</w:t>
      </w:r>
    </w:p>
    <w:p>
      <w:pPr>
        <w:spacing w:after="0" w:line="62" w:lineRule="exact"/>
        <w:rPr>
          <w:rFonts w:ascii="Arial" w:cs="Arial" w:eastAsia="Arial" w:hAnsi="Arial"/>
          <w:sz w:val="18"/>
          <w:szCs w:val="18"/>
          <w:color w:val="auto"/>
        </w:rPr>
      </w:pPr>
    </w:p>
    <w:p>
      <w:pPr>
        <w:ind w:left="800" w:right="720" w:hanging="283"/>
        <w:spacing w:after="0" w:line="24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have to amend clinical trial or investigation protocols or conduct additional studies to reflect changes in regulatory requirements or guidance, which we may be required to submit to an IRB or other reviewing bodies and/or regulatory authorities for re-examination;</w:t>
      </w:r>
    </w:p>
    <w:p>
      <w:pPr>
        <w:spacing w:after="0" w:line="73" w:lineRule="exact"/>
        <w:rPr>
          <w:rFonts w:ascii="Arial" w:cs="Arial" w:eastAsia="Arial" w:hAnsi="Arial"/>
          <w:sz w:val="18"/>
          <w:szCs w:val="18"/>
          <w:color w:val="auto"/>
        </w:rPr>
      </w:pPr>
    </w:p>
    <w:p>
      <w:pPr>
        <w:ind w:left="800" w:right="1120" w:hanging="283"/>
        <w:spacing w:after="0" w:line="324"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Regulators, IRBs or other reviewing bodies, or other parties may require or recommend that we or our investigators suspend or terminate clinical research for various reasons, including safety signals or noncompliance with regulatory requirements;</w:t>
      </w:r>
    </w:p>
    <w:p>
      <w:pPr>
        <w:spacing w:after="0" w:line="16" w:lineRule="exact"/>
        <w:rPr>
          <w:rFonts w:ascii="Arial" w:cs="Arial" w:eastAsia="Arial" w:hAnsi="Arial"/>
          <w:sz w:val="16"/>
          <w:szCs w:val="16"/>
          <w:color w:val="auto"/>
        </w:rPr>
      </w:pPr>
    </w:p>
    <w:p>
      <w:pPr>
        <w:ind w:left="800" w:hanging="283"/>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clinical trials or investigations may be greater than we anticipate;</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Clinical sites may not adhere to our clinical protocol or may drop out of a clinical trial or investigation;</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unable to recruit a sufficient number of clinical trial or investigation sites;</w:t>
      </w:r>
    </w:p>
    <w:p>
      <w:pPr>
        <w:spacing w:after="0" w:line="103" w:lineRule="exact"/>
        <w:rPr>
          <w:rFonts w:ascii="Arial" w:cs="Arial" w:eastAsia="Arial" w:hAnsi="Arial"/>
          <w:sz w:val="18"/>
          <w:szCs w:val="18"/>
          <w:color w:val="auto"/>
        </w:rPr>
      </w:pPr>
    </w:p>
    <w:p>
      <w:pPr>
        <w:ind w:left="800" w:right="1060" w:hanging="283"/>
        <w:spacing w:after="0" w:line="261"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Regulators, IRBs, or other reviewing bodies may fail to approve or subsequently find fault with our manufacturing processes or facilities of third-party manufacturers with which we enter into agreement</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80" w:name="page81"/>
    <w:bookmarkEnd w:id="80"/>
    <w:p>
      <w:pPr>
        <w:ind w:left="800" w:right="940"/>
        <w:spacing w:after="0" w:line="324" w:lineRule="auto"/>
        <w:rPr>
          <w:sz w:val="20"/>
          <w:szCs w:val="20"/>
          <w:color w:val="auto"/>
        </w:rPr>
      </w:pPr>
      <w:r>
        <w:rPr>
          <w:rFonts w:ascii="Arial" w:cs="Arial" w:eastAsia="Arial" w:hAnsi="Arial"/>
          <w:sz w:val="16"/>
          <w:szCs w:val="16"/>
          <w:color w:val="auto"/>
        </w:rPr>
        <w:t>for clinical and commercial supplies, the supply of devices or other materials necessary to conduct clinical trials or investigations may be insufficient, inadequate or not available at an acceptable cost, or we may experience interruptions in supply;</w:t>
      </w:r>
    </w:p>
    <w:p>
      <w:pPr>
        <w:spacing w:after="0" w:line="16" w:lineRule="exact"/>
        <w:rPr>
          <w:sz w:val="20"/>
          <w:szCs w:val="20"/>
          <w:color w:val="auto"/>
        </w:rPr>
      </w:pPr>
    </w:p>
    <w:p>
      <w:pPr>
        <w:ind w:left="800" w:right="1240" w:hanging="283"/>
        <w:spacing w:after="0" w:line="261"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Approval policies or regulations of the FDA or applicable foreign regulatory agencies may change in a manner rendering our clinical data insufficient for approval; and</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current or future products may have undesirable side effects or other unexpected characteristics.</w:t>
      </w:r>
    </w:p>
    <w:p>
      <w:pPr>
        <w:spacing w:after="0" w:line="104" w:lineRule="exact"/>
        <w:rPr>
          <w:sz w:val="20"/>
          <w:szCs w:val="20"/>
          <w:color w:val="auto"/>
        </w:rPr>
      </w:pPr>
    </w:p>
    <w:p>
      <w:pPr>
        <w:jc w:val="both"/>
        <w:ind w:right="20" w:firstLine="419"/>
        <w:spacing w:after="0" w:line="248"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our planned and ongoing clinical trials or investigations. If COVID-19 continues to spread, we may experience disruptions that could have a material adverse impact on our clinical trial plans and timelines, including:</w:t>
      </w:r>
    </w:p>
    <w:p>
      <w:pPr>
        <w:spacing w:after="0" w:line="74" w:lineRule="exact"/>
        <w:rPr>
          <w:sz w:val="20"/>
          <w:szCs w:val="20"/>
          <w:color w:val="auto"/>
        </w:rPr>
      </w:pPr>
    </w:p>
    <w:p>
      <w:pPr>
        <w:ind w:left="800" w:hanging="283"/>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in receiving authorizations from local regulatory authorities to initiate planned clinical trials or investigations;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investigations;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03" w:lineRule="exact"/>
        <w:rPr>
          <w:rFonts w:ascii="Arial" w:cs="Arial" w:eastAsia="Arial" w:hAnsi="Arial"/>
          <w:sz w:val="18"/>
          <w:szCs w:val="18"/>
          <w:color w:val="auto"/>
        </w:rPr>
      </w:pPr>
    </w:p>
    <w:p>
      <w:pPr>
        <w:ind w:left="800" w:right="1380" w:hanging="283"/>
        <w:spacing w:after="0" w:line="291" w:lineRule="auto"/>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Delays in clinical sites receiving the supplies and materials needed to conduct our clinical trials or investigations, including interruptions in global shipping that may affect the transport of clinical trial or investigation materials;</w:t>
      </w:r>
    </w:p>
    <w:p>
      <w:pPr>
        <w:spacing w:after="0" w:line="38" w:lineRule="exact"/>
        <w:rPr>
          <w:rFonts w:ascii="Arial" w:cs="Arial" w:eastAsia="Arial" w:hAnsi="Arial"/>
          <w:sz w:val="17"/>
          <w:szCs w:val="17"/>
          <w:color w:val="auto"/>
        </w:rPr>
      </w:pPr>
    </w:p>
    <w:p>
      <w:pPr>
        <w:ind w:left="800" w:right="960" w:hanging="283"/>
        <w:spacing w:after="0" w:line="248"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our clinical trials or investigations are conducted, which may result in unexpected costs, or to discontinue the clinical trials or investigations altogether;</w:t>
      </w:r>
    </w:p>
    <w:p>
      <w:pPr>
        <w:spacing w:after="0" w:line="73" w:lineRule="exact"/>
        <w:rPr>
          <w:rFonts w:ascii="Arial" w:cs="Arial" w:eastAsia="Arial" w:hAnsi="Arial"/>
          <w:sz w:val="18"/>
          <w:szCs w:val="18"/>
          <w:color w:val="auto"/>
        </w:rPr>
      </w:pPr>
    </w:p>
    <w:p>
      <w:pPr>
        <w:ind w:left="800" w:right="1100" w:hanging="283"/>
        <w:spacing w:after="0" w:line="291" w:lineRule="auto"/>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or investigations, including the diversion of hospitals serving as our clinical trial sites and hospital staff supporting the conduct of our clinical trials or investigations;</w:t>
      </w:r>
    </w:p>
    <w:p>
      <w:pPr>
        <w:spacing w:after="0" w:line="38" w:lineRule="exact"/>
        <w:rPr>
          <w:rFonts w:ascii="Arial" w:cs="Arial" w:eastAsia="Arial" w:hAnsi="Arial"/>
          <w:sz w:val="17"/>
          <w:szCs w:val="17"/>
          <w:color w:val="auto"/>
        </w:rPr>
      </w:pPr>
    </w:p>
    <w:p>
      <w:pPr>
        <w:ind w:left="800" w:right="780" w:hanging="283"/>
        <w:spacing w:after="0" w:line="248"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Interruption of key clinical trial or investigation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73" w:lineRule="exact"/>
        <w:rPr>
          <w:rFonts w:ascii="Arial" w:cs="Arial" w:eastAsia="Arial" w:hAnsi="Arial"/>
          <w:sz w:val="18"/>
          <w:szCs w:val="18"/>
          <w:color w:val="auto"/>
        </w:rPr>
      </w:pPr>
    </w:p>
    <w:p>
      <w:pPr>
        <w:ind w:left="800" w:right="800" w:hanging="283"/>
        <w:spacing w:after="0" w:line="248"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or investigations will contract COVID-19 while the clinical trial or investigation is ongoing, which could impact the results of the clinical trial or investigation, including by increasing the number of observed adverse events;</w:t>
      </w:r>
    </w:p>
    <w:p>
      <w:pPr>
        <w:spacing w:after="0" w:line="73" w:lineRule="exact"/>
        <w:rPr>
          <w:rFonts w:ascii="Arial" w:cs="Arial" w:eastAsia="Arial" w:hAnsi="Arial"/>
          <w:sz w:val="18"/>
          <w:szCs w:val="18"/>
          <w:color w:val="auto"/>
        </w:rPr>
      </w:pPr>
    </w:p>
    <w:p>
      <w:pPr>
        <w:ind w:left="800" w:right="760" w:hanging="283"/>
        <w:spacing w:after="0" w:line="261"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third parties and contractors due to limitations in employee resources or forced furlough of government employees;</w:t>
      </w:r>
    </w:p>
    <w:p>
      <w:pPr>
        <w:spacing w:after="0" w:line="62" w:lineRule="exact"/>
        <w:rPr>
          <w:rFonts w:ascii="Arial" w:cs="Arial" w:eastAsia="Arial" w:hAnsi="Arial"/>
          <w:sz w:val="18"/>
          <w:szCs w:val="18"/>
          <w:color w:val="auto"/>
        </w:rPr>
      </w:pPr>
    </w:p>
    <w:p>
      <w:pPr>
        <w:ind w:left="800" w:right="820" w:hanging="283"/>
        <w:spacing w:after="0" w:line="324"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or investigations, including because of sickness of employees or their families or the desire of employees to avoid contact with large groups of people; and</w:t>
      </w:r>
    </w:p>
    <w:p>
      <w:pPr>
        <w:spacing w:after="0" w:line="16" w:lineRule="exact"/>
        <w:rPr>
          <w:rFonts w:ascii="Arial" w:cs="Arial" w:eastAsia="Arial" w:hAnsi="Arial"/>
          <w:sz w:val="16"/>
          <w:szCs w:val="16"/>
          <w:color w:val="auto"/>
        </w:rPr>
      </w:pPr>
    </w:p>
    <w:p>
      <w:pPr>
        <w:ind w:left="800" w:hanging="283"/>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of the FDA or foreign regulatory authorities to accept data from clinical trials or investigations in affected geographies.</w:t>
      </w:r>
    </w:p>
    <w:p>
      <w:pPr>
        <w:spacing w:after="0" w:line="104" w:lineRule="exact"/>
        <w:rPr>
          <w:sz w:val="20"/>
          <w:szCs w:val="20"/>
          <w:color w:val="auto"/>
        </w:rPr>
      </w:pPr>
    </w:p>
    <w:p>
      <w:pPr>
        <w:ind w:right="20" w:firstLine="419"/>
        <w:spacing w:after="0" w:line="248" w:lineRule="auto"/>
        <w:rPr>
          <w:sz w:val="20"/>
          <w:szCs w:val="20"/>
          <w:color w:val="auto"/>
        </w:rPr>
      </w:pPr>
      <w:r>
        <w:rPr>
          <w:rFonts w:ascii="Arial" w:cs="Arial" w:eastAsia="Arial" w:hAnsi="Arial"/>
          <w:sz w:val="18"/>
          <w:szCs w:val="18"/>
          <w:color w:val="auto"/>
        </w:rPr>
        <w:t>Any of these factors may significantly harm our business, financial condition and prospects. In addition, many of the factors that cause, or lead to, a delay in the commencement or completion of clinical trials or investigations may also ultimately lead to the denial of regulatory approval of our product candidates, which may also significantly harm our business, financial condition and prospects.</w:t>
      </w:r>
    </w:p>
    <w:p>
      <w:pPr>
        <w:spacing w:after="0" w:line="182" w:lineRule="exact"/>
        <w:rPr>
          <w:sz w:val="20"/>
          <w:szCs w:val="20"/>
          <w:color w:val="auto"/>
        </w:rPr>
      </w:pPr>
    </w:p>
    <w:p>
      <w:pPr>
        <w:ind w:firstLine="419"/>
        <w:spacing w:after="0" w:line="259" w:lineRule="auto"/>
        <w:rPr>
          <w:sz w:val="20"/>
          <w:szCs w:val="20"/>
          <w:color w:val="auto"/>
        </w:rPr>
      </w:pPr>
      <w:r>
        <w:rPr>
          <w:rFonts w:ascii="Arial" w:cs="Arial" w:eastAsia="Arial" w:hAnsi="Arial"/>
          <w:sz w:val="17"/>
          <w:szCs w:val="17"/>
          <w:color w:val="auto"/>
        </w:rPr>
        <w:t>Patient enrollment in clinical trials or investigations and completion of patient follow-up depend on many factors, including the size of the patient population, the nature of the trial protocol, the proximity of patients to clinical sites, the eligibility criteria for the clinical trial or investigation, patient compliance, competing clinical trials or investigations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or investigations if the trial protocol requires them to</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81" w:name="page82"/>
    <w:bookmarkEnd w:id="81"/>
    <w:p>
      <w:pPr>
        <w:spacing w:after="0" w:line="259" w:lineRule="auto"/>
        <w:rPr>
          <w:sz w:val="20"/>
          <w:szCs w:val="20"/>
          <w:color w:val="auto"/>
        </w:rPr>
      </w:pPr>
      <w:r>
        <w:rPr>
          <w:rFonts w:ascii="Arial" w:cs="Arial" w:eastAsia="Arial" w:hAnsi="Arial"/>
          <w:sz w:val="17"/>
          <w:szCs w:val="17"/>
          <w:color w:val="auto"/>
        </w:rPr>
        <w:t>undergo extensive post-treatment procedures, monitoring or follow-up to assess the safety and efficacy of a product, or they may be persuaded to participate in contemporaneous clinical trials or investigations of a competitor’s product. In addition, patients participating in our clinical trials or investigations may drop out before completion of the trial or experience adverse medical events unrelated to our products. Delays in patient enrollment or failure of patients to continue to participate in a clinical trial or investigation may delay commencement or completion of the clinical trial or investigation, cause an increase in the costs of the clinical trial or investigation and delays, or result in the failure of the clinical trial.</w:t>
      </w:r>
    </w:p>
    <w:p>
      <w:pPr>
        <w:spacing w:after="0" w:line="174" w:lineRule="exact"/>
        <w:rPr>
          <w:sz w:val="20"/>
          <w:szCs w:val="20"/>
          <w:color w:val="auto"/>
        </w:rPr>
      </w:pPr>
    </w:p>
    <w:p>
      <w:pPr>
        <w:ind w:firstLine="419"/>
        <w:spacing w:after="0" w:line="257" w:lineRule="auto"/>
        <w:rPr>
          <w:sz w:val="20"/>
          <w:szCs w:val="20"/>
          <w:color w:val="auto"/>
        </w:rPr>
      </w:pPr>
      <w:r>
        <w:rPr>
          <w:rFonts w:ascii="Arial" w:cs="Arial" w:eastAsia="Arial" w:hAnsi="Arial"/>
          <w:sz w:val="17"/>
          <w:szCs w:val="17"/>
          <w:color w:val="auto"/>
        </w:rPr>
        <w:t>Clinical trials and investigations must be conducted in accordance with the regulations of the FDA and other applicable regulatory authorities’ legal requirements, regulations or guidelines, and are subject to oversight by these governmental agencies and IRBs or other regulatory bodies at the medical institutions where the clinical trials or investigations are conducted. In addition, clinical trials and investigations must be conducted with supplies of our devices produced under QSR requirements and other regulations. Further, clinical trials of medical devices for investigational uses must be conducted in accordance with the FDA’s IDE regulations, which govern investigational device labeling, prohibit promotion of the device for investigational uses, and specify an array of recordkeeping, reporting and monitoring responsibilities of study sponsors and study investigators.</w:t>
      </w:r>
    </w:p>
    <w:p>
      <w:pPr>
        <w:spacing w:after="0" w:line="175" w:lineRule="exact"/>
        <w:rPr>
          <w:sz w:val="20"/>
          <w:szCs w:val="20"/>
          <w:color w:val="auto"/>
        </w:rPr>
      </w:pPr>
    </w:p>
    <w:p>
      <w:pPr>
        <w:ind w:right="20" w:firstLine="419"/>
        <w:spacing w:after="0" w:line="268" w:lineRule="auto"/>
        <w:rPr>
          <w:sz w:val="20"/>
          <w:szCs w:val="20"/>
          <w:color w:val="auto"/>
        </w:rPr>
      </w:pPr>
      <w:r>
        <w:rPr>
          <w:rFonts w:ascii="Arial" w:cs="Arial" w:eastAsia="Arial" w:hAnsi="Arial"/>
          <w:sz w:val="16"/>
          <w:szCs w:val="16"/>
          <w:color w:val="auto"/>
        </w:rPr>
        <w:t>For certain devices which present a “significant risk” to human health, as defined by the FDA, the FDA requires the device sponsor to submit an IDE application to the FDA, which must become effective prior to commencing clinical trials. The FDA’s IDE regulations, among other things, govern investigational device labeling, prohibit promotion of the investigational device, and specify an array of recordkeeping, reporting and monitoring responsibilities of study sponsors and study investigators. Further, clinical trials of investigational devices which are non-significant risk devices must still comply with applicable regulatory requirements, including abbreviated IDE requirements, such as ensuring that investigators obtain informed consent, and labeling and record-keeping requirements. Regardless of the degree of risk presented by the medical device, clinical studies must be approved by, and conducted under the oversight of, an Institutional Review Board, or IRB, for each clinical site. We have in the past, and may in the future, conduct clinical trials and investigations that do not comply with all applicable regulations of the FDA and other applicable regulatory authorities’ legal requirements, regulations or guidelines. For example, we did not seek an IDE from the FDA for the conduct of the GEMINI trial, but instead submitted a justification to the IRB that OMNI was a non-significant risk device. The non-significant risk justification and informed consent documents for the GEMINI trial both initially described the trial as a post-market trial. Subsequently, we amended the study protocol and obtained informed consent for a revised description of the trial. Even if we conclude that the conduct of any of our clinical trials or investigations comply with the applicable requirements, regulations or guidelines, there can be no guarantee that the FDA or other applicable regulatory authorities will agree with such conclusion. The FDA may conclude that our ongoing or planned clinical studies require the submission and approval of an IDE, which would require us to devote additional resources to ensuring compliance with IDE requirements in the conduct of our clinical programs.</w:t>
      </w:r>
    </w:p>
    <w:p>
      <w:pPr>
        <w:spacing w:after="0" w:line="172" w:lineRule="exact"/>
        <w:rPr>
          <w:sz w:val="20"/>
          <w:szCs w:val="20"/>
          <w:color w:val="auto"/>
        </w:rPr>
      </w:pPr>
    </w:p>
    <w:p>
      <w:pPr>
        <w:ind w:right="80" w:firstLine="419"/>
        <w:spacing w:after="0" w:line="239" w:lineRule="auto"/>
        <w:rPr>
          <w:sz w:val="20"/>
          <w:szCs w:val="20"/>
          <w:color w:val="auto"/>
        </w:rPr>
      </w:pPr>
      <w:r>
        <w:rPr>
          <w:rFonts w:ascii="Arial" w:cs="Arial" w:eastAsia="Arial" w:hAnsi="Arial"/>
          <w:sz w:val="18"/>
          <w:szCs w:val="18"/>
          <w:color w:val="auto"/>
        </w:rPr>
        <w:t>If the FDA determines that we have failed to comply with applicable regulatory requirements for the conduct of our clinical trials and investigations, the FDA may refuse to accept any data generated from such clinical trials and investigations in any future premarket applications, and may take a variety of other compliance or enforcement actions, which may result in, among other things, warning letters, untitled letters, fines, injunctions, consent decrees, civil penalties, unanticipated expenditures, repairs, replacements, refunds, recalls or seizures of products, operating restrictions, total or partial suspension of production, the FDA’s refusal to issue certificates to foreign governments needed to export products for sale in other countries, the FDA’s refusal to grant future premarket clearances or approvals, suspensions of current product clearances or approvals and criminal prosecution.</w:t>
      </w:r>
    </w:p>
    <w:p>
      <w:pPr>
        <w:spacing w:after="0" w:line="191" w:lineRule="exact"/>
        <w:rPr>
          <w:sz w:val="20"/>
          <w:szCs w:val="20"/>
          <w:color w:val="auto"/>
        </w:rPr>
      </w:pPr>
    </w:p>
    <w:p>
      <w:pPr>
        <w:ind w:firstLine="419"/>
        <w:spacing w:after="0" w:line="254" w:lineRule="auto"/>
        <w:rPr>
          <w:sz w:val="20"/>
          <w:szCs w:val="20"/>
          <w:color w:val="auto"/>
        </w:rPr>
      </w:pPr>
      <w:r>
        <w:rPr>
          <w:rFonts w:ascii="Arial" w:cs="Arial" w:eastAsia="Arial" w:hAnsi="Arial"/>
          <w:sz w:val="17"/>
          <w:szCs w:val="17"/>
          <w:color w:val="auto"/>
        </w:rPr>
        <w:t>Furthermore, we may rely on CROs, and clinical trial or investigation sites to ensure the proper and timely conduct of our clinical trials or investigations and we may have limited influence over their actual performance. We depend on our collaborators and on medical institutions and CROs to conduct our clinical trials or investigations in compliance with good clinical practice, or GCP, requirements. To the extent our collaborators or the CROs fail to enroll participants for our clinical trials and investigations, fail to conduct the study to GCP standards or are delayed for a significant time in the execution of trials, including achieving full enrollment, we may be affected by increased costs, program delays or both. In addition, clinical trials and investigations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82" w:name="page83"/>
    <w:bookmarkEnd w:id="82"/>
    <w:p>
      <w:pPr>
        <w:ind w:right="300" w:firstLine="419"/>
        <w:spacing w:after="0" w:line="241" w:lineRule="auto"/>
        <w:rPr>
          <w:sz w:val="20"/>
          <w:szCs w:val="20"/>
          <w:color w:val="auto"/>
        </w:rPr>
      </w:pPr>
      <w:r>
        <w:rPr>
          <w:rFonts w:ascii="Arial" w:cs="Arial" w:eastAsia="Arial" w:hAnsi="Arial"/>
          <w:sz w:val="18"/>
          <w:szCs w:val="18"/>
          <w:color w:val="auto"/>
        </w:rPr>
        <w:t>Even if our future products are cleared or approved in the U.S., commercialization of our products in foreign countries would require clearance, certification or approval by regulatory authorities or notified bodies in those countries. Clearance, certification or approval procedures vary among jurisdictions and can involve requirements and administrative review periods different from, and greater than, those in the U.S., including additional preclinical studies or clinical trials or investigations. Any of these occurrences could have an adverse effect on our business, financial condition and results of operations.</w:t>
      </w:r>
    </w:p>
    <w:p>
      <w:pPr>
        <w:spacing w:after="0" w:line="189"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b w:val="1"/>
          <w:bCs w:val="1"/>
          <w:i w:val="1"/>
          <w:iCs w:val="1"/>
          <w:color w:val="auto"/>
        </w:rPr>
        <w:t>Changes in funding for, or disruptions caused by global health concerns impacting, the FDA and other government agencies could hinder their ability to hire and retain key leadership and other personnel, or otherwise prevent new products and services from being developed, cleared or approved or commercialized in a timely manner, which could negatively impact our business.</w:t>
      </w:r>
    </w:p>
    <w:p>
      <w:pPr>
        <w:spacing w:after="0" w:line="56" w:lineRule="exact"/>
        <w:rPr>
          <w:sz w:val="20"/>
          <w:szCs w:val="20"/>
          <w:color w:val="auto"/>
        </w:rPr>
      </w:pPr>
    </w:p>
    <w:p>
      <w:pPr>
        <w:ind w:right="20" w:firstLine="419"/>
        <w:spacing w:after="0"/>
        <w:rPr>
          <w:sz w:val="20"/>
          <w:szCs w:val="20"/>
          <w:color w:val="auto"/>
        </w:rPr>
      </w:pPr>
      <w:r>
        <w:rPr>
          <w:rFonts w:ascii="Arial" w:cs="Arial" w:eastAsia="Arial" w:hAnsi="Arial"/>
          <w:sz w:val="18"/>
          <w:szCs w:val="18"/>
          <w:color w:val="auto"/>
        </w:rPr>
        <w:t>The ability of the FDA, foreign regulatory authorities and notified bodies to review and approve or certify new products can be affected by a variety of factors, including government budget and funding levels, ability to hire and retain key personnel and accept the payment of user fees, statutory, regulatory, and policy changes and other events that may otherwise affect the FDA’s, foreign regulatory authorities', and notified bodies' ability to perform routine functions. Average review times at the FDA, foreign regulatory authorities and notified bodies have fluctuated in recent years as a result. In addition, government funding of other government agencies that fund research and development activities is subject to the political process, which is inherently fluid and unpredictable.</w:t>
      </w:r>
    </w:p>
    <w:p>
      <w:pPr>
        <w:spacing w:after="0" w:line="189" w:lineRule="exact"/>
        <w:rPr>
          <w:sz w:val="20"/>
          <w:szCs w:val="20"/>
          <w:color w:val="auto"/>
        </w:rPr>
      </w:pPr>
    </w:p>
    <w:p>
      <w:pPr>
        <w:ind w:right="60" w:firstLine="419"/>
        <w:spacing w:after="0" w:line="268" w:lineRule="auto"/>
        <w:rPr>
          <w:sz w:val="20"/>
          <w:szCs w:val="20"/>
          <w:color w:val="auto"/>
        </w:rPr>
      </w:pPr>
      <w:r>
        <w:rPr>
          <w:rFonts w:ascii="Arial" w:cs="Arial" w:eastAsia="Arial" w:hAnsi="Arial"/>
          <w:sz w:val="16"/>
          <w:szCs w:val="16"/>
          <w:color w:val="auto"/>
        </w:rPr>
        <w:t>Disruptions at the FDA, other agencies, and notified bodies may also slow the time necessary for new devices to be reviewed and/or approved, cleared, certified by necessary government agencies or notified bodies,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Separately, in response to the COVID-19 pandemic, on March 10, 2020, the FDA announced its intention to postpone inspections of foreign manufacturing facilities and products, and subsequently,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Other regulatory authorities have adopted similar restrictions or other policy measures in response to the COVID-19 pandemic.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172" w:lineRule="exact"/>
        <w:rPr>
          <w:sz w:val="20"/>
          <w:szCs w:val="20"/>
          <w:color w:val="auto"/>
        </w:rPr>
      </w:pPr>
    </w:p>
    <w:p>
      <w:pPr>
        <w:ind w:right="220" w:firstLine="419"/>
        <w:spacing w:after="0" w:line="241" w:lineRule="auto"/>
        <w:rPr>
          <w:sz w:val="20"/>
          <w:szCs w:val="20"/>
          <w:color w:val="auto"/>
        </w:rPr>
      </w:pPr>
      <w:r>
        <w:rPr>
          <w:rFonts w:ascii="Arial" w:cs="Arial" w:eastAsia="Arial" w:hAnsi="Arial"/>
          <w:sz w:val="18"/>
          <w:szCs w:val="18"/>
          <w:color w:val="auto"/>
        </w:rPr>
        <w:t>In the EU, notified bodies must be officially designated to certify products and services in accordance with the Medical Devices Regulation. Several notified bodies, including our notified body (BSI), have been designated under the MDR. However, the COVID-19 pandemic has significantly slowed down their designation process and the current designated notified bodies are facing a large amount of requests with the new regulation as a consequence of which review times may have lengthened. This situation may impact the ability of our notified body to timely review and process our regulatory submissions.</w:t>
      </w:r>
    </w:p>
    <w:p>
      <w:pPr>
        <w:spacing w:after="0" w:line="189"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auto"/>
        </w:rPr>
        <w:t>We are subject to certain federal, state and foreign fraud and abuse laws, health information privacy and security laws and transparency laws that could subject us to substantial penalties. Additionally, any challenge to or investigation into our practices under these laws could cause adverse publicity and be costly to respond to, and thus could harm our business.</w:t>
      </w:r>
    </w:p>
    <w:p>
      <w:pPr>
        <w:spacing w:after="0" w:line="74" w:lineRule="exact"/>
        <w:rPr>
          <w:sz w:val="20"/>
          <w:szCs w:val="20"/>
          <w:color w:val="auto"/>
        </w:rPr>
      </w:pPr>
    </w:p>
    <w:p>
      <w:pPr>
        <w:ind w:firstLine="419"/>
        <w:spacing w:after="0" w:line="243" w:lineRule="auto"/>
        <w:rPr>
          <w:sz w:val="20"/>
          <w:szCs w:val="20"/>
          <w:color w:val="auto"/>
        </w:rPr>
      </w:pPr>
      <w:r>
        <w:rPr>
          <w:rFonts w:ascii="Arial" w:cs="Arial" w:eastAsia="Arial" w:hAnsi="Arial"/>
          <w:sz w:val="18"/>
          <w:szCs w:val="18"/>
          <w:color w:val="auto"/>
        </w:rPr>
        <w:t>There are numerous U.S. federal and state, as well as foreign, laws pertaining to healthcare fraud and abuse, including anti-kickback, false claims and physician transparency laws. Our business practices and relationships with providers are subject to scrutiny under these laws. We may also be subject to privacy and security regulation related to patient, customer, employee and other third-party information by both the federal government and the states and foreign jurisdictions in which</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we conduct our business. The healthcare laws and regulations that may affect our ability to operate include, but are not limited to:</w:t>
      </w:r>
    </w:p>
    <w:p>
      <w:pPr>
        <w:spacing w:after="0" w:line="104" w:lineRule="exact"/>
        <w:rPr>
          <w:sz w:val="20"/>
          <w:szCs w:val="20"/>
          <w:color w:val="auto"/>
        </w:rPr>
      </w:pPr>
    </w:p>
    <w:p>
      <w:pPr>
        <w:ind w:left="800" w:right="60" w:hanging="283"/>
        <w:spacing w:after="0" w:line="252" w:lineRule="auto"/>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 The U.S. government has interpreted this law broadly and has historically applied the law to the marketing and sales activities of manufacturers. Moreover, the government may assert that a claim including items or services resulting from a violation of the federal Anti-Kickback Statute constitutes a false or fraudulent claim for purposes of the federal civil False Claims Act. Violations of the federal False Claims Act may result in significant civil monetary penalties, plus up to three times the remuneration involved. Violations of the Anti-Kickback Statute can result in criminal penalties, including significant criminal fines and imprisonment of up to 10 years. Similarly, violations can result in exclusion from participation in government healthcare programs, including Medicare and Medicaid;</w:t>
      </w:r>
    </w:p>
    <w:p>
      <w:pPr>
        <w:spacing w:after="0" w:line="77" w:lineRule="exact"/>
        <w:rPr>
          <w:rFonts w:ascii="Arial" w:cs="Arial" w:eastAsia="Arial" w:hAnsi="Arial"/>
          <w:sz w:val="17"/>
          <w:szCs w:val="17"/>
          <w:color w:val="auto"/>
        </w:rPr>
      </w:pPr>
    </w:p>
    <w:p>
      <w:pPr>
        <w:ind w:left="800" w:right="120" w:hanging="283"/>
        <w:spacing w:after="0" w:line="253" w:lineRule="auto"/>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federal civil and criminal false claims laws and civil monetary penalties laws, including the federal civil False Claims Act, which prohibit, among other things, individuals or entities from knowingly presenting, or causing to be presented, claims for payment from Medicare, Medicaid or other federal healthcare programs that are false or fraudulent. These laws can apply to manufacturers who provide information on coverage, coding, and reimbursement of their products to persons who bill third-party payors. Private individuals can bring False Claims Act “qui tam” actions, on behalf of the government and such individuals, commonly known as “whistleblowers,” may share in amounts paid by the entity to the government in fines or settlement. When an entity is determined to have violated the federal civil False Claims Act, the government may impose significant civil fines and penalties for each false claim, plus treble damages, and exclude the entity from participation in Medicare, Medicaid and other federal healthcare programs;</w:t>
      </w:r>
    </w:p>
    <w:p>
      <w:pPr>
        <w:spacing w:after="0" w:line="75" w:lineRule="exact"/>
        <w:rPr>
          <w:rFonts w:ascii="Arial" w:cs="Arial" w:eastAsia="Arial" w:hAnsi="Arial"/>
          <w:sz w:val="17"/>
          <w:szCs w:val="17"/>
          <w:color w:val="auto"/>
        </w:rPr>
      </w:pPr>
    </w:p>
    <w:p>
      <w:pPr>
        <w:ind w:left="800" w:right="80" w:hanging="283"/>
        <w:spacing w:after="0" w:line="248"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3" w:lineRule="exact"/>
        <w:rPr>
          <w:rFonts w:ascii="Arial" w:cs="Arial" w:eastAsia="Arial" w:hAnsi="Arial"/>
          <w:sz w:val="18"/>
          <w:szCs w:val="18"/>
          <w:color w:val="auto"/>
        </w:rPr>
      </w:pPr>
    </w:p>
    <w:p>
      <w:pPr>
        <w:ind w:left="800" w:right="60" w:hanging="283"/>
        <w:spacing w:after="0" w:line="243"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79" w:lineRule="exact"/>
        <w:rPr>
          <w:rFonts w:ascii="Arial" w:cs="Arial" w:eastAsia="Arial" w:hAnsi="Arial"/>
          <w:sz w:val="18"/>
          <w:szCs w:val="18"/>
          <w:color w:val="auto"/>
        </w:rPr>
      </w:pPr>
    </w:p>
    <w:p>
      <w:pPr>
        <w:ind w:left="800" w:hanging="283"/>
        <w:spacing w:after="0" w:line="254" w:lineRule="auto"/>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certain applicable manufacturers of drugs, devices, biologics and medical supplies for which payment is available under Medicare, Medicaid or the Children’s Health Insurance Program, or CHIP, to report annually to the Centers for Medicare and Medicaid Services, or CMS, information related to payments and other transfers of value to physicians, which is defined broadly to include other healthcare providers, and teaching hospitals, and to report annually ownership and investment interests held by physicians and their immediate family members. Failure to submit required information may result in significant civil monetary penalties (and additional penalties for “knowing failures”), for all payments, transfers of value or ownership or investment interests that are not timely, accurately, and completely reported in an annual submission, and may result in liability under other federal laws or regulations;</w:t>
      </w:r>
    </w:p>
    <w:p>
      <w:pPr>
        <w:spacing w:after="0" w:line="72" w:lineRule="exact"/>
        <w:rPr>
          <w:rFonts w:ascii="Arial" w:cs="Arial" w:eastAsia="Arial" w:hAnsi="Arial"/>
          <w:sz w:val="17"/>
          <w:szCs w:val="17"/>
          <w:color w:val="auto"/>
        </w:rPr>
      </w:pPr>
    </w:p>
    <w:p>
      <w:pPr>
        <w:ind w:left="800" w:right="180" w:hanging="283"/>
        <w:spacing w:after="0" w:line="257" w:lineRule="auto"/>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Act, and their respective implementing regulations, which impose requirements on certain covered healthcare providers, health plans and healthcare clearinghouses as well as their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 Failure to comply with the HIPAA privacy and security</w:t>
      </w:r>
    </w:p>
    <w:p>
      <w:pPr>
        <w:spacing w:after="0" w:line="6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440" w:top="328" w:right="1119" w:bottom="1440" w:gutter="0" w:footer="0" w:header="0"/>
        </w:sectPr>
      </w:pPr>
    </w:p>
    <w:bookmarkStart w:id="84" w:name="page85"/>
    <w:bookmarkEnd w:id="84"/>
    <w:p>
      <w:pPr>
        <w:ind w:left="800" w:right="920"/>
        <w:spacing w:after="0" w:line="248" w:lineRule="auto"/>
        <w:rPr>
          <w:sz w:val="20"/>
          <w:szCs w:val="20"/>
          <w:color w:val="auto"/>
        </w:rPr>
      </w:pPr>
      <w:r>
        <w:rPr>
          <w:rFonts w:ascii="Arial" w:cs="Arial" w:eastAsia="Arial" w:hAnsi="Arial"/>
          <w:sz w:val="18"/>
          <w:szCs w:val="18"/>
          <w:color w:val="auto"/>
        </w:rPr>
        <w:t>standards can result in significant civil monetary penalties, and, in certain circumstances, criminal penalties with fines and/or imprisonment. State attorneys general can also bring a civil action to enjoin a HIPAA violation or to obtain statutory damages on behalf of residents of his or her state;</w:t>
      </w:r>
    </w:p>
    <w:p>
      <w:pPr>
        <w:spacing w:after="0" w:line="74" w:lineRule="exact"/>
        <w:rPr>
          <w:sz w:val="20"/>
          <w:szCs w:val="20"/>
          <w:color w:val="auto"/>
        </w:rPr>
      </w:pPr>
    </w:p>
    <w:p>
      <w:pPr>
        <w:ind w:left="800" w:hanging="283"/>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03" w:lineRule="exact"/>
        <w:rPr>
          <w:rFonts w:ascii="Arial" w:cs="Arial" w:eastAsia="Arial" w:hAnsi="Arial"/>
          <w:sz w:val="18"/>
          <w:szCs w:val="18"/>
          <w:color w:val="auto"/>
        </w:rPr>
      </w:pPr>
    </w:p>
    <w:p>
      <w:pPr>
        <w:ind w:left="800" w:right="1040" w:hanging="283"/>
        <w:spacing w:after="0" w:line="261"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Federal and state laws and regulations regarding billing and claims payment applicable to our products and regulatory agencies enforcing those laws and regulations; and</w:t>
      </w:r>
    </w:p>
    <w:p>
      <w:pPr>
        <w:spacing w:after="0" w:line="62" w:lineRule="exact"/>
        <w:rPr>
          <w:rFonts w:ascii="Arial" w:cs="Arial" w:eastAsia="Arial" w:hAnsi="Arial"/>
          <w:sz w:val="18"/>
          <w:szCs w:val="18"/>
          <w:color w:val="auto"/>
        </w:rPr>
      </w:pPr>
    </w:p>
    <w:p>
      <w:pPr>
        <w:ind w:left="800" w:right="720" w:hanging="283"/>
        <w:spacing w:after="0" w:line="270" w:lineRule="auto"/>
        <w:tabs>
          <w:tab w:leader="none" w:pos="8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foreign and state laws, including the EU General Data Protection Regulation, or GDPR, governing the privacy and security of personal (including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spacing w:after="0" w:line="63" w:lineRule="exact"/>
        <w:rPr>
          <w:sz w:val="20"/>
          <w:szCs w:val="20"/>
          <w:color w:val="auto"/>
        </w:rPr>
      </w:pPr>
    </w:p>
    <w:p>
      <w:pPr>
        <w:ind w:right="100" w:firstLine="419"/>
        <w:spacing w:after="0" w:line="239" w:lineRule="auto"/>
        <w:rPr>
          <w:sz w:val="20"/>
          <w:szCs w:val="20"/>
          <w:color w:val="auto"/>
        </w:rPr>
      </w:pPr>
      <w:r>
        <w:rPr>
          <w:rFonts w:ascii="Arial" w:cs="Arial" w:eastAsia="Arial" w:hAnsi="Arial"/>
          <w:sz w:val="18"/>
          <w:szCs w:val="18"/>
          <w:color w:val="auto"/>
        </w:rPr>
        <w:t>These laws and regulations, among other things, constrain our business, marketing and other promotional and research activities by limiting the kinds of financial arrangements, including sales programs, we may have with hospitals, ambulatory surgery centers, physicians or other potential purchasers of our products. We have entered into consulting agreements with physicians, including some who have ownership interests in us, which could be viewed as influencing the purchase of or use of our products in procedures they perform. Compensation under some of these arrangements includes the provision of stock or stock options.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91" w:lineRule="exact"/>
        <w:rPr>
          <w:sz w:val="20"/>
          <w:szCs w:val="20"/>
          <w:color w:val="auto"/>
        </w:rPr>
      </w:pPr>
    </w:p>
    <w:p>
      <w:pPr>
        <w:ind w:right="100" w:firstLine="419"/>
        <w:spacing w:after="0" w:line="243" w:lineRule="auto"/>
        <w:rPr>
          <w:sz w:val="20"/>
          <w:szCs w:val="20"/>
          <w:color w:val="auto"/>
        </w:rPr>
      </w:pPr>
      <w:r>
        <w:rPr>
          <w:rFonts w:ascii="Arial" w:cs="Arial" w:eastAsia="Arial" w:hAnsi="Arial"/>
          <w:sz w:val="18"/>
          <w:szCs w:val="18"/>
          <w:color w:val="auto"/>
        </w:rPr>
        <w:t>Any action brought against us for violations of these laws or regulations, even if successfully defended, could cause us to incur significant legal expenses and divert our management’s attention from the operation of our business. We may be subject to private qui tam actions brought by individual whistleblowers on behalf of the federal or state governments, with potential liability under the federal False Claims Act including mandatory treble damages and significant per-claim penalties.</w:t>
      </w:r>
    </w:p>
    <w:p>
      <w:pPr>
        <w:spacing w:after="0" w:line="188" w:lineRule="exact"/>
        <w:rPr>
          <w:sz w:val="20"/>
          <w:szCs w:val="20"/>
          <w:color w:val="auto"/>
        </w:rPr>
      </w:pPr>
    </w:p>
    <w:p>
      <w:pPr>
        <w:ind w:right="40" w:firstLine="419"/>
        <w:spacing w:after="0" w:line="255" w:lineRule="auto"/>
        <w:rPr>
          <w:sz w:val="20"/>
          <w:szCs w:val="20"/>
          <w:color w:val="auto"/>
        </w:rPr>
      </w:pPr>
      <w:r>
        <w:rPr>
          <w:rFonts w:ascii="Arial" w:cs="Arial" w:eastAsia="Arial" w:hAnsi="Arial"/>
          <w:sz w:val="17"/>
          <w:szCs w:val="17"/>
          <w:color w:val="auto"/>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financial condition and results of operations. Even an unsuccessful challenge or investigation into our practices could cause adverse publicity, and be costly to respond to.</w:t>
      </w:r>
    </w:p>
    <w:p>
      <w:pPr>
        <w:spacing w:after="0" w:line="180" w:lineRule="exact"/>
        <w:rPr>
          <w:sz w:val="20"/>
          <w:szCs w:val="20"/>
          <w:color w:val="auto"/>
        </w:rPr>
      </w:pPr>
    </w:p>
    <w:p>
      <w:pPr>
        <w:ind w:firstLine="419"/>
        <w:spacing w:after="0" w:line="238" w:lineRule="auto"/>
        <w:rPr>
          <w:sz w:val="20"/>
          <w:szCs w:val="20"/>
          <w:color w:val="auto"/>
        </w:rPr>
      </w:pPr>
      <w:r>
        <w:rPr>
          <w:rFonts w:ascii="Arial" w:cs="Arial" w:eastAsia="Arial" w:hAnsi="Arial"/>
          <w:sz w:val="18"/>
          <w:szCs w:val="18"/>
          <w:color w:val="auto"/>
        </w:rPr>
        <w:t>Our activities, including those relating to providing billing, coding, coverage and reimbursement information about procedures using our products to our customers and the sale and marketing of our products, may be subject to scrutiny under these laws. The growth of our business and sales organization and our expansion outside of the United States may increase the potential of violating these laws or our internal policies and procedures.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and disgorgement and we could be required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28" w:right="459" w:bottom="1440" w:gutter="0" w:footer="0" w:header="0"/>
        </w:sectPr>
      </w:pPr>
    </w:p>
    <w:bookmarkStart w:id="85" w:name="page86"/>
    <w:bookmarkEnd w:id="85"/>
    <w:p>
      <w:pPr>
        <w:ind w:right="240"/>
        <w:spacing w:after="0" w:line="261" w:lineRule="auto"/>
        <w:rPr>
          <w:sz w:val="20"/>
          <w:szCs w:val="20"/>
          <w:color w:val="auto"/>
        </w:rPr>
      </w:pPr>
      <w:r>
        <w:rPr>
          <w:rFonts w:ascii="Arial" w:cs="Arial" w:eastAsia="Arial" w:hAnsi="Arial"/>
          <w:sz w:val="18"/>
          <w:szCs w:val="18"/>
          <w:color w:val="auto"/>
        </w:rPr>
        <w:t>to curtail, restructure or cease our operations. Any of the foregoing consequences will negatively affect our business, financial condition and results of operations.</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b w:val="1"/>
          <w:bCs w:val="1"/>
          <w:i w:val="1"/>
          <w:iCs w:val="1"/>
          <w:color w:val="auto"/>
        </w:rPr>
        <w:t>We are subject to governmental regulations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 Ensuring compliance with such laws could also impair our efforts to maintain and expand our customer base, and thereby decrease our revenue.</w:t>
      </w:r>
    </w:p>
    <w:p>
      <w:pPr>
        <w:spacing w:after="0" w:line="64" w:lineRule="exact"/>
        <w:rPr>
          <w:sz w:val="20"/>
          <w:szCs w:val="20"/>
          <w:color w:val="auto"/>
        </w:rPr>
      </w:pPr>
    </w:p>
    <w:p>
      <w:pPr>
        <w:ind w:right="40" w:firstLine="419"/>
        <w:spacing w:after="0" w:line="253" w:lineRule="auto"/>
        <w:rPr>
          <w:sz w:val="20"/>
          <w:szCs w:val="20"/>
          <w:color w:val="auto"/>
        </w:rPr>
      </w:pPr>
      <w:r>
        <w:rPr>
          <w:rFonts w:ascii="Arial" w:cs="Arial" w:eastAsia="Arial" w:hAnsi="Arial"/>
          <w:sz w:val="17"/>
          <w:szCs w:val="17"/>
          <w:color w:val="auto"/>
        </w:rPr>
        <w:t>In the conduct of our business, we may at times process personal information, including health-related personal information. The U.S. federal government and various states have adopted or proposed laws, regulations, guidelines and rules for the collection, distribution, use and storage of personal information of individuals. We may also be subject to U.S. federal rules, regulations and guidance concerning data security for medical devices, including guidance from the FDA. According to the Federal Trade Commission, or the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State privacy and security laws vary from state to state and, in some cases, can impose more restrictive requirements than U.S. federal law.</w:t>
      </w:r>
    </w:p>
    <w:p>
      <w:pPr>
        <w:spacing w:after="0" w:line="184" w:lineRule="exact"/>
        <w:rPr>
          <w:sz w:val="20"/>
          <w:szCs w:val="20"/>
          <w:color w:val="auto"/>
        </w:rPr>
      </w:pPr>
    </w:p>
    <w:p>
      <w:pPr>
        <w:ind w:firstLine="419"/>
        <w:spacing w:after="0" w:line="251" w:lineRule="auto"/>
        <w:rPr>
          <w:sz w:val="20"/>
          <w:szCs w:val="20"/>
          <w:color w:val="auto"/>
        </w:rPr>
      </w:pPr>
      <w:r>
        <w:rPr>
          <w:rFonts w:ascii="Arial" w:cs="Arial" w:eastAsia="Arial" w:hAnsi="Arial"/>
          <w:sz w:val="17"/>
          <w:szCs w:val="17"/>
          <w:color w:val="auto"/>
        </w:rPr>
        <w:t>In addition, certain state and non-U.S. laws, such as the European Union General Data Protection Regulation (2016/679), or GDPR, govern the privacy and security of personal (including health) data in certain circumstances, some of which are more stringent than U.S. federal law and many of which differ from each other in significant ways and may not have the same effect, thus complicating compliance efforts. The GDPR is directly applicable in each member state and is extended to the EEA. Failure to comply with these laws, where applicable, can result in the imposition of significant civil and/or criminal penalties and private litigation. Where state laws are more protective, we must comply with the stricter provisions. In addition to fines and penalties that may be imposed for failure to comply with state law, some states also provide for private rights of action to individuals for misuse of personal information. For example, California enacted the California Consumer Privacy Act, or CCPA, on June 28, 2018, which went into effect on January 1, 2020. The CCPA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Further, the California Privacy Rights Act, or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w:t>
      </w:r>
    </w:p>
    <w:p>
      <w:pPr>
        <w:spacing w:after="0" w:line="183" w:lineRule="exact"/>
        <w:rPr>
          <w:sz w:val="20"/>
          <w:szCs w:val="20"/>
          <w:color w:val="auto"/>
        </w:rPr>
      </w:pPr>
    </w:p>
    <w:p>
      <w:pPr>
        <w:jc w:val="both"/>
        <w:ind w:right="20" w:firstLine="419"/>
        <w:spacing w:after="0" w:line="243" w:lineRule="auto"/>
        <w:rPr>
          <w:sz w:val="20"/>
          <w:szCs w:val="20"/>
          <w:color w:val="auto"/>
        </w:rPr>
      </w:pPr>
      <w:r>
        <w:rPr>
          <w:rFonts w:ascii="Arial" w:cs="Arial" w:eastAsia="Arial" w:hAnsi="Arial"/>
          <w:sz w:val="18"/>
          <w:szCs w:val="18"/>
          <w:color w:val="auto"/>
        </w:rPr>
        <w:t>In Europe, the GDPR went into effect on May 25, 2018 and imposes strict requirements for processing the personal data of data subjects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preceding financial year of the noncompliant company, whichever is greater.</w:t>
      </w:r>
    </w:p>
    <w:p>
      <w:pPr>
        <w:spacing w:after="0" w:line="188" w:lineRule="exact"/>
        <w:rPr>
          <w:sz w:val="20"/>
          <w:szCs w:val="20"/>
          <w:color w:val="auto"/>
        </w:rPr>
      </w:pPr>
    </w:p>
    <w:p>
      <w:pPr>
        <w:ind w:firstLine="419"/>
        <w:spacing w:after="0" w:line="255" w:lineRule="auto"/>
        <w:rPr>
          <w:sz w:val="20"/>
          <w:szCs w:val="20"/>
          <w:color w:val="auto"/>
        </w:rPr>
      </w:pPr>
      <w:r>
        <w:rPr>
          <w:rFonts w:ascii="Arial" w:cs="Arial" w:eastAsia="Arial" w:hAnsi="Arial"/>
          <w:sz w:val="17"/>
          <w:szCs w:val="17"/>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in July 2020, the Court of Justice of the EU, or the CJEU, limited how organizations could lawfully transfer personal data from the EEA to the United States by invalidating the Privacy Shield for purposes of international transfers and imposing further restrictions on the use of standard contractual clauses, or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86" w:name="page87"/>
    <w:bookmarkEnd w:id="86"/>
    <w:p>
      <w:pPr>
        <w:spacing w:after="0" w:line="254" w:lineRule="auto"/>
        <w:rPr>
          <w:sz w:val="20"/>
          <w:szCs w:val="20"/>
          <w:color w:val="auto"/>
        </w:rPr>
      </w:pPr>
      <w:r>
        <w:rPr>
          <w:rFonts w:ascii="Arial" w:cs="Arial" w:eastAsia="Arial" w:hAnsi="Arial"/>
          <w:sz w:val="17"/>
          <w:szCs w:val="17"/>
          <w:color w:val="auto"/>
        </w:rPr>
        <w:t>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81" w:lineRule="exact"/>
        <w:rPr>
          <w:sz w:val="20"/>
          <w:szCs w:val="20"/>
          <w:color w:val="auto"/>
        </w:rPr>
      </w:pPr>
    </w:p>
    <w:p>
      <w:pPr>
        <w:ind w:right="20" w:firstLine="419"/>
        <w:spacing w:after="0" w:line="254" w:lineRule="auto"/>
        <w:rPr>
          <w:sz w:val="20"/>
          <w:szCs w:val="20"/>
          <w:color w:val="auto"/>
        </w:rPr>
      </w:pPr>
      <w:r>
        <w:rPr>
          <w:rFonts w:ascii="Arial" w:cs="Arial" w:eastAsia="Arial" w:hAnsi="Arial"/>
          <w:sz w:val="17"/>
          <w:szCs w:val="17"/>
          <w:color w:val="auto"/>
        </w:rPr>
        <w:t>Further, from January 1, 2021, companies have to comply with the GDPR and also the United Kingdom General Data Protection Regulation, or the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 also unclear how United Kingdom data protection laws and regulations will develop in the medium to longer term, and how data transfers to and from the United Kingdom will be regulated in the long term.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w:t>
      </w:r>
    </w:p>
    <w:p>
      <w:pPr>
        <w:spacing w:after="0" w:line="181" w:lineRule="exact"/>
        <w:rPr>
          <w:sz w:val="20"/>
          <w:szCs w:val="20"/>
          <w:color w:val="auto"/>
        </w:rPr>
      </w:pPr>
    </w:p>
    <w:p>
      <w:pPr>
        <w:ind w:right="20" w:firstLine="419"/>
        <w:spacing w:after="0"/>
        <w:rPr>
          <w:sz w:val="20"/>
          <w:szCs w:val="20"/>
          <w:color w:val="auto"/>
        </w:rPr>
      </w:pPr>
      <w:r>
        <w:rPr>
          <w:rFonts w:ascii="Arial" w:cs="Arial" w:eastAsia="Arial" w:hAnsi="Arial"/>
          <w:sz w:val="18"/>
          <w:szCs w:val="18"/>
          <w:color w:val="auto"/>
        </w:rPr>
        <w:t>Any actual or perceived failure by us or the third parties with whom we work to comply with privacy or security laws, policies, legal obligations or industry standards, or any security incident that results in the unauthorized release or transfer of personally identifiable information, may result in governmental enforcement actions and investigations including by European Data Protection Authorities and U.S. federal and state regulatory authorities, fines and penalties, litigation and/or adverse publicity, including by consumer advocacy groups, and could cause our customers, their patients and other healthcare professionals to lose trust in us, which could harm our reputation and have a material adverse effect on our business, financial condition and results of operations.</w:t>
      </w:r>
    </w:p>
    <w:p>
      <w:pPr>
        <w:spacing w:after="0" w:line="189" w:lineRule="exact"/>
        <w:rPr>
          <w:sz w:val="20"/>
          <w:szCs w:val="20"/>
          <w:color w:val="auto"/>
        </w:rPr>
      </w:pPr>
    </w:p>
    <w:p>
      <w:pPr>
        <w:ind w:right="60" w:firstLine="419"/>
        <w:spacing w:after="0" w:line="255" w:lineRule="auto"/>
        <w:rPr>
          <w:sz w:val="20"/>
          <w:szCs w:val="20"/>
          <w:color w:val="auto"/>
        </w:rPr>
      </w:pPr>
      <w:r>
        <w:rPr>
          <w:rFonts w:ascii="Arial" w:cs="Arial" w:eastAsia="Arial" w:hAnsi="Arial"/>
          <w:sz w:val="17"/>
          <w:szCs w:val="17"/>
          <w:color w:val="auto"/>
        </w:rPr>
        <w:t>We cannot assure you that any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storage and transmission of such information. Increasing use of social media could also give rise to liability, breaches of data security or reputational damage.</w:t>
      </w:r>
    </w:p>
    <w:p>
      <w:pPr>
        <w:spacing w:after="0" w:line="180" w:lineRule="exact"/>
        <w:rPr>
          <w:sz w:val="20"/>
          <w:szCs w:val="20"/>
          <w:color w:val="auto"/>
        </w:rPr>
      </w:pPr>
    </w:p>
    <w:p>
      <w:pPr>
        <w:ind w:right="300" w:firstLine="419"/>
        <w:spacing w:after="0"/>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8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employees, consultants, and other commercial partners may engage in misconduct or other improper activities, including non-compliance with regulatory standards and requirements.</w:t>
      </w:r>
    </w:p>
    <w:p>
      <w:pPr>
        <w:spacing w:after="0" w:line="63" w:lineRule="exact"/>
        <w:rPr>
          <w:sz w:val="20"/>
          <w:szCs w:val="20"/>
          <w:color w:val="auto"/>
        </w:rPr>
      </w:pPr>
    </w:p>
    <w:p>
      <w:pPr>
        <w:ind w:right="220" w:firstLine="419"/>
        <w:spacing w:after="0" w:line="279" w:lineRule="auto"/>
        <w:rPr>
          <w:sz w:val="20"/>
          <w:szCs w:val="20"/>
          <w:color w:val="auto"/>
        </w:rPr>
      </w:pPr>
      <w:r>
        <w:rPr>
          <w:rFonts w:ascii="Arial" w:cs="Arial" w:eastAsia="Arial" w:hAnsi="Arial"/>
          <w:sz w:val="16"/>
          <w:szCs w:val="16"/>
          <w:color w:val="auto"/>
        </w:rPr>
        <w:t>We are exposed to the risk that our employees, consultants, distributors and other commercial partners and business associates may engage in fraudulent or other illegal activity. Misconduct by these parties could include intentional, reckless or negligent conduct or other unauthorized activities that violate federal and/or state laws and regulations, such as laws or regulations requiring the reporting of true, complete and accurate information to such regulators, manufacturing standards, healthcare fraud and abuse laws and regulations in the U.S. and internationally or laws that require the true, complete and accurate reporting of financial information or data. In particular, sales, marketing and business arrangements in the</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87" w:name="page88"/>
    <w:bookmarkEnd w:id="87"/>
    <w:p>
      <w:pPr>
        <w:spacing w:after="0" w:line="252" w:lineRule="auto"/>
        <w:rPr>
          <w:sz w:val="20"/>
          <w:szCs w:val="20"/>
          <w:color w:val="auto"/>
        </w:rPr>
      </w:pPr>
      <w:r>
        <w:rPr>
          <w:rFonts w:ascii="Arial" w:cs="Arial" w:eastAsia="Arial" w:hAnsi="Arial"/>
          <w:sz w:val="17"/>
          <w:szCs w:val="17"/>
          <w:color w:val="auto"/>
        </w:rPr>
        <w:t>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operations, any of which could adversely affect our business, financial condition and results of operations.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spacing w:after="0" w:line="18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Compliance with environmental laws and regulations could be expensive, and the failure to comply with these laws and regulations could subject us to significant liability.</w:t>
      </w:r>
    </w:p>
    <w:p>
      <w:pPr>
        <w:spacing w:after="0" w:line="63" w:lineRule="exact"/>
        <w:rPr>
          <w:sz w:val="20"/>
          <w:szCs w:val="20"/>
          <w:color w:val="auto"/>
        </w:rPr>
      </w:pPr>
    </w:p>
    <w:p>
      <w:pPr>
        <w:ind w:right="20" w:firstLine="419"/>
        <w:spacing w:after="0" w:line="252" w:lineRule="auto"/>
        <w:rPr>
          <w:sz w:val="20"/>
          <w:szCs w:val="20"/>
          <w:color w:val="auto"/>
        </w:rPr>
      </w:pPr>
      <w:r>
        <w:rPr>
          <w:rFonts w:ascii="Arial" w:cs="Arial" w:eastAsia="Arial" w:hAnsi="Arial"/>
          <w:sz w:val="17"/>
          <w:szCs w:val="17"/>
          <w:color w:val="auto"/>
        </w:rPr>
        <w:t>Our research and development operations involve the use of hazardous substances, such as isopropyl alcohol and various adhesives. We are subject to a variety of federal, state, local and foreign environmental laws and regulations relating to the storage, use, handling, generation, manufacture, treatment, discharge and disposal of, hazardous substances. Our products may also contain hazardous substances, and they are subject to laws and regulations relating to labelling requirements and to their sale, collection, recycling, treatment, storage and disposal. Compliance with these laws and regulations may be expensive and noncompliance could result in substantial fines and penalties. Environmental laws and regulations also impose liability for the remediation of releases of hazardous substances into the environment and for personal injuries resulting from exposure to hazardous substances, and they can give rise to substantial remediation costs and to third-party claims, including for property damage and personal injury. Liability under environmental laws and regulations can be joint and several and without regard to fault or negligence, and they tend to become more stringent over time, imposing greater compliance costs and increased risks and penalties associated with violations. We cannot assure you that violations of these laws and regulations, or releases of or exposure to hazardous substances, will not occur in the future or have not occurred in the past, including as a result of human error, accidents, equipment failure or other causes. The costs of complying with environmental laws and regulations, and liabilities that may be imposed for violating them, or for remediation obligations or responding to third-party claims, could negatively affect our business, financial condition and results of operations.</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Healthcare policy changes, including recently enacted legislation reforming the U.S. healthcare system, could harm our business, financial condition and results of operations.</w:t>
      </w:r>
    </w:p>
    <w:p>
      <w:pPr>
        <w:spacing w:after="0" w:line="63" w:lineRule="exact"/>
        <w:rPr>
          <w:sz w:val="20"/>
          <w:szCs w:val="20"/>
          <w:color w:val="auto"/>
        </w:rPr>
      </w:pPr>
    </w:p>
    <w:p>
      <w:pPr>
        <w:ind w:right="40" w:firstLine="419"/>
        <w:spacing w:after="0" w:line="255" w:lineRule="auto"/>
        <w:rPr>
          <w:sz w:val="20"/>
          <w:szCs w:val="20"/>
          <w:color w:val="auto"/>
        </w:rPr>
      </w:pPr>
      <w:r>
        <w:rPr>
          <w:rFonts w:ascii="Arial" w:cs="Arial" w:eastAsia="Arial" w:hAnsi="Arial"/>
          <w:sz w:val="17"/>
          <w:szCs w:val="17"/>
          <w:color w:val="auto"/>
        </w:rPr>
        <w:t>In the U.S., there have been and continue to be a number of legislative initiatives to contain healthcare costs.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 The Affordable Care Act, or ACA, made a number of substantial changes in the way healthcare is financed by both governmental and private insurers. Among other ways in which it may affect our business, the ACA:</w:t>
      </w:r>
    </w:p>
    <w:p>
      <w:pPr>
        <w:spacing w:after="0" w:line="72" w:lineRule="exact"/>
        <w:rPr>
          <w:sz w:val="20"/>
          <w:szCs w:val="20"/>
          <w:color w:val="auto"/>
        </w:rPr>
      </w:pPr>
    </w:p>
    <w:p>
      <w:pPr>
        <w:ind w:left="800" w:right="1220" w:hanging="283"/>
        <w:spacing w:after="0" w:line="261"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Imposed a new federal excise tax on the sale of certain medical devices, which was suspended, effective January 1, 2016, and permanently repealed in December 2019;</w:t>
      </w:r>
    </w:p>
    <w:p>
      <w:pPr>
        <w:spacing w:after="0" w:line="62" w:lineRule="exact"/>
        <w:rPr>
          <w:rFonts w:ascii="Arial" w:cs="Arial" w:eastAsia="Arial" w:hAnsi="Arial"/>
          <w:sz w:val="18"/>
          <w:szCs w:val="18"/>
          <w:color w:val="auto"/>
        </w:rPr>
      </w:pPr>
    </w:p>
    <w:p>
      <w:pPr>
        <w:ind w:left="800" w:right="1500" w:hanging="283"/>
        <w:spacing w:after="0" w:line="261"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and identify priorities in comparative clinical effectiveness research in an effort to coordinate and develop such research;</w:t>
      </w:r>
    </w:p>
    <w:p>
      <w:pPr>
        <w:spacing w:after="0" w:line="62" w:lineRule="exact"/>
        <w:rPr>
          <w:rFonts w:ascii="Arial" w:cs="Arial" w:eastAsia="Arial" w:hAnsi="Arial"/>
          <w:sz w:val="18"/>
          <w:szCs w:val="18"/>
          <w:color w:val="auto"/>
        </w:rPr>
      </w:pPr>
    </w:p>
    <w:p>
      <w:pPr>
        <w:ind w:left="800" w:right="900" w:hanging="283"/>
        <w:spacing w:after="0" w:line="248"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Implemented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73" w:lineRule="exact"/>
        <w:rPr>
          <w:rFonts w:ascii="Arial" w:cs="Arial" w:eastAsia="Arial" w:hAnsi="Arial"/>
          <w:sz w:val="18"/>
          <w:szCs w:val="18"/>
          <w:color w:val="auto"/>
        </w:rPr>
      </w:pPr>
    </w:p>
    <w:p>
      <w:pPr>
        <w:ind w:left="800" w:hanging="283"/>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Expanded the eligibility criteria for Medicaid programs.</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88" w:name="page89"/>
    <w:bookmarkEnd w:id="88"/>
    <w:p>
      <w:pPr>
        <w:ind w:right="120" w:firstLine="419"/>
        <w:spacing w:after="0" w:line="254"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and we expect there will be additional challenges and amendments to the ACA in the future. By way of example, the Tax Cuts and Jobs Act of 2017, or TCJA, was enacted, which, among other things, removes penalties for not complying with the individual mandate to carry health insurance. On June 17, 2021, the U.S. Supreme Court dismissed the most recent judicial challenge to the ACA brought by several states without specifically ruling on the constitutionality of the ACA. It is unclear how healthcare reform measures of the Biden administration or other efforts, if any, to challenge, repeal or replace the ACA will impact the law and our business. Any expansion in the government’s role in the U.S. healthcare industry may result in decreased profits to us, lower reimbursement by payors for procedures using OMNI, and/or reduced medical procedure volumes, any of which may have a material adverse effect on our business, financial condition or results of operations.</w:t>
      </w:r>
    </w:p>
    <w:p>
      <w:pPr>
        <w:spacing w:after="0" w:line="181" w:lineRule="exact"/>
        <w:rPr>
          <w:sz w:val="20"/>
          <w:szCs w:val="20"/>
          <w:color w:val="auto"/>
        </w:rPr>
      </w:pPr>
    </w:p>
    <w:p>
      <w:pPr>
        <w:ind w:firstLine="419"/>
        <w:spacing w:after="0" w:line="253"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The Budget Control Act of 2011, among other things, reduced Medicare payments to providers by 2% per fiscal year, effective on April 1, 2013 and, due to subsequent legislative amendments to the statute, will remain in effect through 2030. Additionally, the American Taxpayer Relief Act of 2012, among other things, reduced Medicare payments to several providers, including hospitals, and increased the statute of limitations period for the government to recover overpayments to providers from three to five years. The Medicare Access and CHIP Reauthorization Act of 2015, or MACRA, enacted on April 16, 2015, repealed the formula by which Medicare made annual payment adjustments to physicians and replaced the former formula with fixed annual updates and a new system of incentive payments that are based on various performance measures and physicians’ participation in alternative payment models such as accountable care organizations. It is unclear what effect new quality and payment programs, such as MACRA, may have on our business, financial condition, results of operations or cash flows.</w:t>
      </w:r>
    </w:p>
    <w:p>
      <w:pPr>
        <w:spacing w:after="0" w:line="184" w:lineRule="exact"/>
        <w:rPr>
          <w:sz w:val="20"/>
          <w:szCs w:val="20"/>
          <w:color w:val="auto"/>
        </w:rPr>
      </w:pPr>
    </w:p>
    <w:p>
      <w:pPr>
        <w:ind w:firstLine="419"/>
        <w:spacing w:after="0" w:line="257" w:lineRule="auto"/>
        <w:rPr>
          <w:sz w:val="20"/>
          <w:szCs w:val="20"/>
          <w:color w:val="auto"/>
        </w:rPr>
      </w:pPr>
      <w:r>
        <w:rPr>
          <w:rFonts w:ascii="Arial" w:cs="Arial" w:eastAsia="Arial" w:hAnsi="Arial"/>
          <w:sz w:val="17"/>
          <w:szCs w:val="17"/>
          <w:color w:val="auto"/>
        </w:rPr>
        <w:t>We expect additional state and federal healthcare policies and reform measures to be adopted in the future, any of which could limit reimbursement for healthcare products and services or otherwise result in reduced demand for our products or additional pricing pressure and have a material adverse effect on our industry generally and on our customers. We cannot predict what other healthcare programs and regulations will ultimately be implemented at the federal or state level or the effect of any future legislation or regulation in the U.S. may negatively affect our business, financial condition and results of operations. The continuing efforts of the government, insurance companies, managed care organizations and other payors of healthcare services to contain or reduce costs of healthcare may adversely affect:</w:t>
      </w:r>
    </w:p>
    <w:p>
      <w:pPr>
        <w:spacing w:after="0" w:line="67" w:lineRule="exact"/>
        <w:rPr>
          <w:sz w:val="20"/>
          <w:szCs w:val="20"/>
          <w:color w:val="auto"/>
        </w:rPr>
      </w:pPr>
    </w:p>
    <w:p>
      <w:pPr>
        <w:ind w:left="800" w:hanging="283"/>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04" w:lineRule="exact"/>
        <w:rPr>
          <w:sz w:val="20"/>
          <w:szCs w:val="20"/>
          <w:color w:val="auto"/>
        </w:rPr>
      </w:pPr>
    </w:p>
    <w:p>
      <w:pPr>
        <w:ind w:firstLine="419"/>
        <w:spacing w:after="0" w:line="248" w:lineRule="auto"/>
        <w:rPr>
          <w:sz w:val="20"/>
          <w:szCs w:val="20"/>
          <w:color w:val="auto"/>
        </w:rPr>
      </w:pPr>
      <w:r>
        <w:rPr>
          <w:rFonts w:ascii="Arial" w:cs="Arial" w:eastAsia="Arial" w:hAnsi="Arial"/>
          <w:sz w:val="18"/>
          <w:szCs w:val="18"/>
          <w:color w:val="auto"/>
        </w:rPr>
        <w:t>Any changes of, or uncertainty with respect to, future coverage or reimbursement rates could affect demand for our products, which in turn could impact our ability to successfully commercialize these devices and could have a material adverse effect on our business, financial condition and results of operations.</w:t>
      </w:r>
    </w:p>
    <w:p>
      <w:pPr>
        <w:spacing w:after="0" w:line="18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Our ability to continue sales of our products in the European Union may be materially impaired if we do not take necessary steps to comply with the certification requirements of the new EU Medical Devices Regulation.</w:t>
      </w:r>
    </w:p>
    <w:p>
      <w:pPr>
        <w:spacing w:after="0" w:line="63" w:lineRule="exact"/>
        <w:rPr>
          <w:sz w:val="20"/>
          <w:szCs w:val="20"/>
          <w:color w:val="auto"/>
        </w:rPr>
      </w:pPr>
    </w:p>
    <w:p>
      <w:pPr>
        <w:ind w:firstLine="419"/>
        <w:spacing w:after="0" w:line="253" w:lineRule="auto"/>
        <w:rPr>
          <w:sz w:val="20"/>
          <w:szCs w:val="20"/>
          <w:color w:val="auto"/>
        </w:rPr>
      </w:pPr>
      <w:r>
        <w:rPr>
          <w:rFonts w:ascii="Arial" w:cs="Arial" w:eastAsia="Arial" w:hAnsi="Arial"/>
          <w:sz w:val="17"/>
          <w:szCs w:val="17"/>
          <w:color w:val="auto"/>
        </w:rPr>
        <w:t>The EU landscape concerning medical devices recently evolved. On May 25, 2017, the Medical Devices Regulation entered into force, which repeals and replaces the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Devices lawfully placed on the market pursuant to the Medical Devices Directive prior to May 26, 2021 may generally continue to be made available on the market or put into service until May 26, 2025, provided that the requirements of the transitional provisions are fulfilled. In particular, the certificate in question must still be valid. Our current certificates which were granted under the Medical Devices Directive are valid until May 26, 2024. However, to date, we must comply with a number of new or reinforced requirements set forth in the Medical Devices Regulation with regard to registration of economic operators and of devices, post-market surveillance, market surveillance and vigilance requirements.</w:t>
      </w:r>
    </w:p>
    <w:p>
      <w:pPr>
        <w:spacing w:after="0" w:line="184" w:lineRule="exact"/>
        <w:rPr>
          <w:sz w:val="20"/>
          <w:szCs w:val="20"/>
          <w:color w:val="auto"/>
        </w:rPr>
      </w:pPr>
    </w:p>
    <w:p>
      <w:pPr>
        <w:ind w:right="320" w:firstLine="419"/>
        <w:spacing w:after="0" w:line="261" w:lineRule="auto"/>
        <w:rPr>
          <w:sz w:val="20"/>
          <w:szCs w:val="20"/>
          <w:color w:val="auto"/>
        </w:rPr>
      </w:pPr>
      <w:r>
        <w:rPr>
          <w:rFonts w:ascii="Arial" w:cs="Arial" w:eastAsia="Arial" w:hAnsi="Arial"/>
          <w:sz w:val="18"/>
          <w:szCs w:val="18"/>
          <w:color w:val="auto"/>
        </w:rPr>
        <w:t>We are currently working with our notified body, BSI, to progress on compliance with the Medical Devices Regulation and have reached a first milestone in February 2022 by successfully passing our Medical Devices Regulation audit.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89" w:name="page90"/>
    <w:bookmarkEnd w:id="89"/>
    <w:p>
      <w:pPr>
        <w:ind w:firstLine="419"/>
        <w:spacing w:after="0" w:line="248" w:lineRule="auto"/>
        <w:rPr>
          <w:sz w:val="20"/>
          <w:szCs w:val="20"/>
          <w:color w:val="auto"/>
        </w:rPr>
      </w:pPr>
      <w:r>
        <w:rPr>
          <w:rFonts w:ascii="Arial" w:cs="Arial" w:eastAsia="Arial" w:hAnsi="Arial"/>
          <w:sz w:val="18"/>
          <w:szCs w:val="18"/>
          <w:color w:val="auto"/>
        </w:rPr>
        <w:t>Non-compliance with the Medical Devices Regulation may affect our business or the way we intend to conduct our business in the EU. In addition, as a result of the transition towards the new regime, notified body review times have lengthened, and product introductions or modifications could be delayed or canceled, which could adversely affect our ability to grow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Common Stock</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The price of our common stock may fluctuate substantially or may decline regardless of our operating performance and you could lose all or part of your investment</w:t>
      </w:r>
    </w:p>
    <w:p>
      <w:pPr>
        <w:spacing w:after="0" w:line="63" w:lineRule="exact"/>
        <w:rPr>
          <w:sz w:val="20"/>
          <w:szCs w:val="20"/>
          <w:color w:val="auto"/>
        </w:rPr>
      </w:pPr>
    </w:p>
    <w:p>
      <w:pPr>
        <w:ind w:right="80" w:firstLine="419"/>
        <w:spacing w:after="0" w:line="261" w:lineRule="auto"/>
        <w:rPr>
          <w:sz w:val="20"/>
          <w:szCs w:val="20"/>
          <w:color w:val="auto"/>
        </w:rPr>
      </w:pPr>
      <w:r>
        <w:rPr>
          <w:rFonts w:ascii="Arial" w:cs="Arial" w:eastAsia="Arial" w:hAnsi="Arial"/>
          <w:sz w:val="18"/>
          <w:szCs w:val="18"/>
          <w:color w:val="231F20"/>
        </w:rPr>
        <w:t>The market price of our common stock may be highly volatile and may fluctuate or decline substantially as a result of a variety of factors, some of which are beyond our control or are related in complex ways, including:</w:t>
      </w:r>
    </w:p>
    <w:p>
      <w:pPr>
        <w:spacing w:after="0" w:line="211" w:lineRule="exact"/>
        <w:rPr>
          <w:sz w:val="20"/>
          <w:szCs w:val="20"/>
          <w:color w:val="auto"/>
        </w:rPr>
      </w:pPr>
    </w:p>
    <w:p>
      <w:pPr>
        <w:ind w:left="800" w:right="940" w:hanging="283"/>
        <w:spacing w:after="0" w:line="261" w:lineRule="auto"/>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Changes in analysts’ estimates, investors’ perceptions, recommendations by securities analysts or our failure to achieve analysts’ estimates;</w:t>
      </w:r>
    </w:p>
    <w:p>
      <w:pPr>
        <w:spacing w:after="0" w:line="62" w:lineRule="exact"/>
        <w:rPr>
          <w:rFonts w:ascii="Arial" w:cs="Arial" w:eastAsia="Arial" w:hAnsi="Arial"/>
          <w:sz w:val="18"/>
          <w:szCs w:val="18"/>
          <w:color w:val="231F20"/>
        </w:rPr>
      </w:pPr>
    </w:p>
    <w:p>
      <w:pPr>
        <w:ind w:left="800" w:hanging="283"/>
        <w:spacing w:after="0"/>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Quarterly variations in our or our competitors’ results of operations;</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Periodic fluctuations in our revenue, which could be due in part to the way in which we recognize revenue;</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The financial projections we may provide to the public, any changes in these projections or our failure to meet these projections;</w:t>
      </w:r>
    </w:p>
    <w:p>
      <w:pPr>
        <w:spacing w:after="0" w:line="103" w:lineRule="exact"/>
        <w:rPr>
          <w:rFonts w:ascii="Arial" w:cs="Arial" w:eastAsia="Arial" w:hAnsi="Arial"/>
          <w:sz w:val="18"/>
          <w:szCs w:val="18"/>
          <w:color w:val="231F20"/>
        </w:rPr>
      </w:pPr>
    </w:p>
    <w:p>
      <w:pPr>
        <w:ind w:left="800" w:right="980" w:hanging="283"/>
        <w:spacing w:after="0" w:line="261" w:lineRule="auto"/>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Future sales of our common stock or other securities, by us or our stockholders, as well as the anticipation of lock-up releases or lock-up waivers;</w:t>
      </w:r>
    </w:p>
    <w:p>
      <w:pPr>
        <w:spacing w:after="0" w:line="62" w:lineRule="exact"/>
        <w:rPr>
          <w:rFonts w:ascii="Arial" w:cs="Arial" w:eastAsia="Arial" w:hAnsi="Arial"/>
          <w:sz w:val="18"/>
          <w:szCs w:val="18"/>
          <w:color w:val="231F20"/>
        </w:rPr>
      </w:pPr>
    </w:p>
    <w:p>
      <w:pPr>
        <w:ind w:left="800" w:hanging="283"/>
        <w:spacing w:after="0"/>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The trading volume of our common stock;</w:t>
      </w:r>
    </w:p>
    <w:p>
      <w:pPr>
        <w:spacing w:after="0" w:line="103" w:lineRule="exact"/>
        <w:rPr>
          <w:rFonts w:ascii="Arial" w:cs="Arial" w:eastAsia="Arial" w:hAnsi="Arial"/>
          <w:sz w:val="18"/>
          <w:szCs w:val="18"/>
          <w:color w:val="231F20"/>
        </w:rPr>
      </w:pPr>
    </w:p>
    <w:p>
      <w:pPr>
        <w:ind w:left="800" w:right="1560" w:hanging="283"/>
        <w:spacing w:after="0" w:line="261" w:lineRule="auto"/>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General market conditions and other factors unrelated to our operating performance or the operating performance of our competitors;</w:t>
      </w:r>
    </w:p>
    <w:p>
      <w:pPr>
        <w:spacing w:after="0" w:line="62" w:lineRule="exact"/>
        <w:rPr>
          <w:rFonts w:ascii="Arial" w:cs="Arial" w:eastAsia="Arial" w:hAnsi="Arial"/>
          <w:sz w:val="18"/>
          <w:szCs w:val="18"/>
          <w:color w:val="231F20"/>
        </w:rPr>
      </w:pPr>
    </w:p>
    <w:p>
      <w:pPr>
        <w:ind w:left="800" w:hanging="283"/>
        <w:spacing w:after="0"/>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Changes in reimbursement by current or potential payors;</w:t>
      </w:r>
    </w:p>
    <w:p>
      <w:pPr>
        <w:spacing w:after="0" w:line="103" w:lineRule="exact"/>
        <w:rPr>
          <w:rFonts w:ascii="Arial" w:cs="Arial" w:eastAsia="Arial" w:hAnsi="Arial"/>
          <w:sz w:val="18"/>
          <w:szCs w:val="18"/>
          <w:color w:val="231F20"/>
        </w:rPr>
      </w:pPr>
    </w:p>
    <w:p>
      <w:pPr>
        <w:ind w:left="800" w:right="960" w:hanging="283"/>
        <w:spacing w:after="0" w:line="261" w:lineRule="auto"/>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Changes in operating performance and stock market valuations of other technology companies generally, or those in the medical device industry in particular;</w:t>
      </w:r>
    </w:p>
    <w:p>
      <w:pPr>
        <w:spacing w:after="0" w:line="62" w:lineRule="exact"/>
        <w:rPr>
          <w:rFonts w:ascii="Arial" w:cs="Arial" w:eastAsia="Arial" w:hAnsi="Arial"/>
          <w:sz w:val="18"/>
          <w:szCs w:val="18"/>
          <w:color w:val="231F20"/>
        </w:rPr>
      </w:pPr>
    </w:p>
    <w:p>
      <w:pPr>
        <w:ind w:left="800" w:hanging="283"/>
        <w:spacing w:after="0"/>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Actual or anticipated changes in regulatory oversight of our products;</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The results of our clinical trials;</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The loss of key personnel, including changes in our board of directors and management;</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Product recalls or other problems associated with our products;</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Legislation or regulation of our market;</w:t>
      </w:r>
    </w:p>
    <w:p>
      <w:pPr>
        <w:spacing w:after="0" w:line="103" w:lineRule="exact"/>
        <w:rPr>
          <w:rFonts w:ascii="Arial" w:cs="Arial" w:eastAsia="Arial" w:hAnsi="Arial"/>
          <w:sz w:val="18"/>
          <w:szCs w:val="18"/>
          <w:color w:val="231F20"/>
        </w:rPr>
      </w:pPr>
    </w:p>
    <w:p>
      <w:pPr>
        <w:ind w:left="800" w:right="900" w:hanging="283"/>
        <w:spacing w:after="0" w:line="261" w:lineRule="auto"/>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Lawsuits threatened or filed against us, including litigation by current or former employees alleging wrongful termination, sexual harassment, whistleblower or other claims;</w:t>
      </w:r>
    </w:p>
    <w:p>
      <w:pPr>
        <w:spacing w:after="0" w:line="62" w:lineRule="exact"/>
        <w:rPr>
          <w:rFonts w:ascii="Arial" w:cs="Arial" w:eastAsia="Arial" w:hAnsi="Arial"/>
          <w:sz w:val="18"/>
          <w:szCs w:val="18"/>
          <w:color w:val="231F20"/>
        </w:rPr>
      </w:pPr>
    </w:p>
    <w:p>
      <w:pPr>
        <w:ind w:left="800" w:hanging="283"/>
        <w:spacing w:after="0"/>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The announcement of new products or product enhancements by us or our competitors;</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Announced or completed acquisitions of businesses or technologies by us or our competitors;</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Announcements related to patents issued to us or our competitors and related litigation; and</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Developments in our industry.</w:t>
      </w:r>
    </w:p>
    <w:p>
      <w:pPr>
        <w:spacing w:after="0" w:line="104" w:lineRule="exact"/>
        <w:rPr>
          <w:sz w:val="20"/>
          <w:szCs w:val="20"/>
          <w:color w:val="auto"/>
        </w:rPr>
      </w:pPr>
    </w:p>
    <w:p>
      <w:pPr>
        <w:jc w:val="both"/>
        <w:ind w:right="540" w:firstLine="419"/>
        <w:spacing w:after="0" w:line="248" w:lineRule="auto"/>
        <w:rPr>
          <w:sz w:val="20"/>
          <w:szCs w:val="20"/>
          <w:color w:val="auto"/>
        </w:rPr>
      </w:pPr>
      <w:r>
        <w:rPr>
          <w:rFonts w:ascii="Arial" w:cs="Arial" w:eastAsia="Arial" w:hAnsi="Arial"/>
          <w:sz w:val="18"/>
          <w:szCs w:val="18"/>
          <w:color w:val="231F20"/>
        </w:rPr>
        <w:t>In addition, the trading prices for common stock of other medical device companies have been highly volatile as a result of the COVID-19 pandemic. The COVID-19 outbreak continues to rapidly evolve. The extent to which the outbreak may impact our business will depend on future developments, which are highly uncertain and cannot be predicted with confidence.</w:t>
      </w:r>
    </w:p>
    <w:p>
      <w:pPr>
        <w:spacing w:after="0" w:line="182" w:lineRule="exact"/>
        <w:rPr>
          <w:sz w:val="20"/>
          <w:szCs w:val="20"/>
          <w:color w:val="auto"/>
        </w:rPr>
      </w:pPr>
    </w:p>
    <w:p>
      <w:pPr>
        <w:ind w:right="280" w:firstLine="419"/>
        <w:spacing w:after="0" w:line="248" w:lineRule="auto"/>
        <w:rPr>
          <w:sz w:val="20"/>
          <w:szCs w:val="20"/>
          <w:color w:val="auto"/>
        </w:rPr>
      </w:pPr>
      <w:r>
        <w:rPr>
          <w:rFonts w:ascii="Arial" w:cs="Arial" w:eastAsia="Arial" w:hAnsi="Arial"/>
          <w:sz w:val="18"/>
          <w:szCs w:val="18"/>
          <w:color w:val="231F20"/>
        </w:rPr>
        <w:t>In recent years, the stock markets generally have experienced extreme price and volume fluctuations that have often been unrelated or disproportionate to the operating performance of listed companies. Broad market and industry factors may significantly affect the market price of our common stock, regardless of our actual operating performance.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8" w:right="439" w:bottom="1440" w:gutter="0" w:footer="0" w:header="0"/>
        </w:sectPr>
      </w:pPr>
    </w:p>
    <w:bookmarkStart w:id="90" w:name="page91"/>
    <w:bookmarkEnd w:id="90"/>
    <w:p>
      <w:pPr>
        <w:ind w:right="40" w:firstLine="419"/>
        <w:spacing w:after="0" w:line="243" w:lineRule="auto"/>
        <w:rPr>
          <w:sz w:val="20"/>
          <w:szCs w:val="20"/>
          <w:color w:val="auto"/>
        </w:rPr>
      </w:pPr>
      <w:r>
        <w:rPr>
          <w:rFonts w:ascii="Arial" w:cs="Arial" w:eastAsia="Arial" w:hAnsi="Arial"/>
          <w:sz w:val="18"/>
          <w:szCs w:val="18"/>
          <w:color w:val="231F20"/>
        </w:rPr>
        <w:t>In addition,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financial condition and reputation. These factors may materially and adversely affect the market price of our common stock.</w:t>
      </w:r>
    </w:p>
    <w:p>
      <w:pPr>
        <w:spacing w:after="0" w:line="188"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b w:val="1"/>
          <w:bCs w:val="1"/>
          <w:i w:val="1"/>
          <w:iCs w:val="1"/>
          <w:color w:val="231F20"/>
        </w:rPr>
        <w:t>Securities analysts may not publish favorable research or reports about our business, may publish no information at all, or may publish favorable research or reports about our competitors, which could cause our stock price or trading volume to decline.</w:t>
      </w:r>
    </w:p>
    <w:p>
      <w:pPr>
        <w:spacing w:after="0" w:line="39" w:lineRule="exact"/>
        <w:rPr>
          <w:sz w:val="20"/>
          <w:szCs w:val="20"/>
          <w:color w:val="auto"/>
        </w:rPr>
      </w:pPr>
    </w:p>
    <w:p>
      <w:pPr>
        <w:ind w:right="160" w:firstLine="419"/>
        <w:spacing w:after="0" w:line="284" w:lineRule="auto"/>
        <w:rPr>
          <w:sz w:val="20"/>
          <w:szCs w:val="20"/>
          <w:color w:val="auto"/>
        </w:rPr>
      </w:pPr>
      <w:r>
        <w:rPr>
          <w:rFonts w:ascii="Arial" w:cs="Arial" w:eastAsia="Arial" w:hAnsi="Arial"/>
          <w:sz w:val="16"/>
          <w:szCs w:val="16"/>
          <w:color w:val="231F20"/>
        </w:rPr>
        <w:t>Our stock price and trading volume may be heavily influenced by the way analysts and investors interpret our financial information and other disclosures, as well as their interpretations of our competitors' financial, regulatory, reimbursement and other disclosures. If securities or industry analysts do not publish research or reports about our business, delay publishing reports about our business, publish negative reports about our business, or publish favorable reports about our competitors' businesses, regardless of accuracy, our common stock price and trading volume could decline.</w:t>
      </w:r>
    </w:p>
    <w:p>
      <w:pPr>
        <w:spacing w:after="0" w:line="155" w:lineRule="exact"/>
        <w:rPr>
          <w:sz w:val="20"/>
          <w:szCs w:val="20"/>
          <w:color w:val="auto"/>
        </w:rPr>
      </w:pPr>
    </w:p>
    <w:p>
      <w:pPr>
        <w:ind w:right="40" w:firstLine="419"/>
        <w:spacing w:after="0" w:line="270" w:lineRule="auto"/>
        <w:rPr>
          <w:sz w:val="20"/>
          <w:szCs w:val="20"/>
          <w:color w:val="auto"/>
        </w:rPr>
      </w:pPr>
      <w:r>
        <w:rPr>
          <w:rFonts w:ascii="Arial" w:cs="Arial" w:eastAsia="Arial" w:hAnsi="Arial"/>
          <w:sz w:val="16"/>
          <w:szCs w:val="16"/>
          <w:color w:val="231F20"/>
        </w:rPr>
        <w:t>As the trading market for our common stock matures, the trading market will be influenced to some extent by the research and reports that industry or financial analysts publish about us and our competitors and our respective businesses. We do not control these analysts. As a newly public company, we may be slow to attract research coverage and the analysts who publish information about our common stock will have had relatively little experience with us or our industry, which could affect their ability to accurately forecast our results and could make it more likely that we fail to meet their estimates. If any of the analysts who cover us provide inaccurate or unfavorable research or issue an adverse opinion regarding our stock price or prospects, our stock price could decline. Further, if analysts provide favorable reports or forecasts regarding our competitors, this information, regardless of its accuracy, may cast doubt on the strength and durability of our business performance and prospects. We may also fail to meet the expectations of these analysts, leading to a reduction in the market price of our common stock. For instance, if we are unable to meet analyst expectations regarding OMNI procedure growth in the standalone market, our stock price could suffer. If one or more of these analysts cease coverage of us or fail to publish reports covering us regularly, we could lose visibility in the market, which in turn could cause our stock price or trading volume to decline.</w:t>
      </w:r>
    </w:p>
    <w:p>
      <w:pPr>
        <w:spacing w:after="0" w:line="171" w:lineRule="exact"/>
        <w:rPr>
          <w:sz w:val="20"/>
          <w:szCs w:val="20"/>
          <w:color w:val="auto"/>
        </w:rPr>
      </w:pPr>
    </w:p>
    <w:p>
      <w:pPr>
        <w:ind w:right="180" w:firstLine="419"/>
        <w:spacing w:after="0" w:line="248" w:lineRule="auto"/>
        <w:rPr>
          <w:sz w:val="20"/>
          <w:szCs w:val="20"/>
          <w:color w:val="auto"/>
        </w:rPr>
      </w:pPr>
      <w:r>
        <w:rPr>
          <w:rFonts w:ascii="Arial" w:cs="Arial" w:eastAsia="Arial" w:hAnsi="Arial"/>
          <w:sz w:val="18"/>
          <w:szCs w:val="18"/>
          <w:color w:val="231F20"/>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lead to forecasts that differ significantly from our own.</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231F20"/>
        </w:rPr>
        <w:t>We are an emerging growth company and a smaller reporting company and we cannot be certain if the reduced disclosure requirements applicable to us will make our common stock less attractive to investors.</w:t>
      </w:r>
    </w:p>
    <w:p>
      <w:pPr>
        <w:spacing w:after="0" w:line="63" w:lineRule="exact"/>
        <w:rPr>
          <w:sz w:val="20"/>
          <w:szCs w:val="20"/>
          <w:color w:val="auto"/>
        </w:rPr>
      </w:pPr>
    </w:p>
    <w:p>
      <w:pPr>
        <w:ind w:right="20" w:firstLine="419"/>
        <w:spacing w:after="0" w:line="255" w:lineRule="auto"/>
        <w:rPr>
          <w:sz w:val="20"/>
          <w:szCs w:val="20"/>
          <w:color w:val="auto"/>
        </w:rPr>
      </w:pPr>
      <w:r>
        <w:rPr>
          <w:rFonts w:ascii="Arial" w:cs="Arial" w:eastAsia="Arial" w:hAnsi="Arial"/>
          <w:sz w:val="17"/>
          <w:szCs w:val="17"/>
          <w:color w:val="231F20"/>
        </w:rPr>
        <w:t>We are an “emerging growth company,” as defined in the JOBS Act, and we take advantage of certain exemptions and relief from various reporting requirements that are applicable to other public companies that are not emerging growth companies. In particular, while we are an emerging growth company, we are not required to comply with the auditor attestation requirements of Section 404(b) of the Sarbanes-Oxley Act of 2002, or the Sarbanes-Oxley Act; we are exempt from any rules that could be adopted by the Public Company Accounting Oversight Board requiring mandatory audit firm rotations or a supplement to the auditor’s report on financial statements; we are subject to reduced disclosure obligations regarding executive compensation in our periodic reports and proxy statements; and we are not required to hold nonbinding advisory votes on executive compensation or stockholder approval of any golden parachute payments not previously approved.</w:t>
      </w:r>
    </w:p>
    <w:p>
      <w:pPr>
        <w:spacing w:after="0" w:line="180" w:lineRule="exact"/>
        <w:rPr>
          <w:sz w:val="20"/>
          <w:szCs w:val="20"/>
          <w:color w:val="auto"/>
        </w:rPr>
      </w:pPr>
    </w:p>
    <w:p>
      <w:pPr>
        <w:ind w:right="100" w:firstLine="419"/>
        <w:spacing w:after="0" w:line="241" w:lineRule="auto"/>
        <w:rPr>
          <w:sz w:val="20"/>
          <w:szCs w:val="20"/>
          <w:color w:val="auto"/>
        </w:rPr>
      </w:pPr>
      <w:r>
        <w:rPr>
          <w:rFonts w:ascii="Arial" w:cs="Arial" w:eastAsia="Arial" w:hAnsi="Arial"/>
          <w:sz w:val="18"/>
          <w:szCs w:val="18"/>
          <w:color w:val="231F20"/>
        </w:rPr>
        <w:t>In addition, while we are an emerging growth company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take advantage of this extended transition period and, as a result, our operating results and financial statements may not be comparable to the operating results and financial statements of companies who have adopted the new or revised accounting standards.</w:t>
      </w:r>
    </w:p>
    <w:p>
      <w:pPr>
        <w:spacing w:after="0" w:line="189" w:lineRule="exact"/>
        <w:rPr>
          <w:sz w:val="20"/>
          <w:szCs w:val="20"/>
          <w:color w:val="auto"/>
        </w:rPr>
      </w:pPr>
    </w:p>
    <w:p>
      <w:pPr>
        <w:ind w:right="80" w:firstLine="419"/>
        <w:spacing w:after="0" w:line="243" w:lineRule="auto"/>
        <w:rPr>
          <w:sz w:val="20"/>
          <w:szCs w:val="20"/>
          <w:color w:val="auto"/>
        </w:rPr>
      </w:pPr>
      <w:r>
        <w:rPr>
          <w:rFonts w:ascii="Arial" w:cs="Arial" w:eastAsia="Arial" w:hAnsi="Arial"/>
          <w:sz w:val="18"/>
          <w:szCs w:val="18"/>
          <w:color w:val="231F20"/>
        </w:rPr>
        <w:t>We will remain an emerging growth company until the earlier of (1) December 31, 2026, (2) the last day of the fiscal year in which we have total annual gross revenue of at least $1.07 billion, (3) the last day of the fiscal year in which we are deemed to be a large accelerated filer, which requires the market value of our common stock that is held by non-affiliates to exceed $700.0 million as of the prior June 30th, or (4) the date on which we have issued more than $1.0 billion in non-convertible debt during the prior three-year period.</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91" w:name="page92"/>
    <w:bookmarkEnd w:id="91"/>
    <w:p>
      <w:pPr>
        <w:ind w:left="7" w:firstLine="419"/>
        <w:spacing w:after="0"/>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9" w:lineRule="exact"/>
        <w:rPr>
          <w:sz w:val="20"/>
          <w:szCs w:val="20"/>
          <w:color w:val="auto"/>
        </w:rPr>
      </w:pPr>
    </w:p>
    <w:p>
      <w:pPr>
        <w:ind w:left="7" w:right="160" w:firstLine="419"/>
        <w:spacing w:after="0" w:line="248" w:lineRule="auto"/>
        <w:rPr>
          <w:sz w:val="20"/>
          <w:szCs w:val="20"/>
          <w:color w:val="auto"/>
        </w:rPr>
      </w:pPr>
      <w:r>
        <w:rPr>
          <w:rFonts w:ascii="Arial" w:cs="Arial" w:eastAsia="Arial" w:hAnsi="Arial"/>
          <w:sz w:val="18"/>
          <w:szCs w:val="18"/>
          <w:color w:val="231F20"/>
        </w:rPr>
        <w:t>Investors may find our common stock less attractive to the extent we rely on the exemptions and relief granted by the JOBS Act. We have elected to take advantage of these exemptions and relief. If some investors find our common stock less attractive as a result, there may be a less active trading market for our common stock and our stock price may decline or become more volatile.</w:t>
      </w:r>
    </w:p>
    <w:p>
      <w:pPr>
        <w:spacing w:after="0" w:line="182" w:lineRule="exact"/>
        <w:rPr>
          <w:sz w:val="20"/>
          <w:szCs w:val="20"/>
          <w:color w:val="auto"/>
        </w:rPr>
      </w:pPr>
    </w:p>
    <w:p>
      <w:pPr>
        <w:ind w:left="7" w:right="280"/>
        <w:spacing w:after="0" w:line="261" w:lineRule="auto"/>
        <w:rPr>
          <w:sz w:val="20"/>
          <w:szCs w:val="20"/>
          <w:color w:val="auto"/>
        </w:rPr>
      </w:pPr>
      <w:r>
        <w:rPr>
          <w:rFonts w:ascii="Arial" w:cs="Arial" w:eastAsia="Arial" w:hAnsi="Arial"/>
          <w:sz w:val="18"/>
          <w:szCs w:val="18"/>
          <w:b w:val="1"/>
          <w:bCs w:val="1"/>
          <w:i w:val="1"/>
          <w:iCs w:val="1"/>
          <w:color w:val="231F20"/>
        </w:rPr>
        <w:t>Sales of substantial amounts of our common stock in the public markets, or the perception that sales might occur, could cause the trading price of our common stock to decline.</w:t>
      </w:r>
    </w:p>
    <w:p>
      <w:pPr>
        <w:spacing w:after="0" w:line="63" w:lineRule="exact"/>
        <w:rPr>
          <w:sz w:val="20"/>
          <w:szCs w:val="20"/>
          <w:color w:val="auto"/>
        </w:rPr>
      </w:pPr>
    </w:p>
    <w:p>
      <w:pPr>
        <w:ind w:left="7" w:right="260" w:firstLine="419"/>
        <w:spacing w:after="0" w:line="294" w:lineRule="auto"/>
        <w:rPr>
          <w:sz w:val="20"/>
          <w:szCs w:val="20"/>
          <w:color w:val="auto"/>
        </w:rPr>
      </w:pPr>
      <w:r>
        <w:rPr>
          <w:rFonts w:ascii="Arial" w:cs="Arial" w:eastAsia="Arial" w:hAnsi="Arial"/>
          <w:sz w:val="16"/>
          <w:szCs w:val="16"/>
          <w:color w:val="231F20"/>
        </w:rPr>
        <w:t xml:space="preserve">Sales of </w:t>
      </w:r>
      <w:r>
        <w:rPr>
          <w:rFonts w:ascii="Arial" w:cs="Arial" w:eastAsia="Arial" w:hAnsi="Arial"/>
          <w:sz w:val="16"/>
          <w:szCs w:val="16"/>
          <w:color w:val="000000"/>
        </w:rPr>
        <w:t>a substantial number of shares of our common stock into the public market, particularly sales by our executive officers, directors and</w:t>
      </w:r>
      <w:r>
        <w:rPr>
          <w:rFonts w:ascii="Arial" w:cs="Arial" w:eastAsia="Arial" w:hAnsi="Arial"/>
          <w:sz w:val="16"/>
          <w:szCs w:val="16"/>
          <w:color w:val="231F20"/>
        </w:rPr>
        <w:t xml:space="preserve"> </w:t>
      </w:r>
      <w:r>
        <w:rPr>
          <w:rFonts w:ascii="Arial" w:cs="Arial" w:eastAsia="Arial" w:hAnsi="Arial"/>
          <w:sz w:val="16"/>
          <w:szCs w:val="16"/>
          <w:color w:val="000000"/>
        </w:rPr>
        <w:t>principal stockholders, or the perception that these sales might occur in large quantities, could cause the trading price of our common stock to decline. None of our securityholders are subject to any contractual lock-up or other contractual restriction on the transfer or sale of their shares.</w:t>
      </w:r>
    </w:p>
    <w:p>
      <w:pPr>
        <w:spacing w:after="0" w:line="147" w:lineRule="exact"/>
        <w:rPr>
          <w:sz w:val="20"/>
          <w:szCs w:val="20"/>
          <w:color w:val="auto"/>
        </w:rPr>
      </w:pPr>
    </w:p>
    <w:p>
      <w:pPr>
        <w:ind w:left="7" w:right="20" w:firstLine="419"/>
        <w:spacing w:after="0" w:line="274" w:lineRule="auto"/>
        <w:rPr>
          <w:sz w:val="20"/>
          <w:szCs w:val="20"/>
          <w:color w:val="auto"/>
        </w:rPr>
      </w:pPr>
      <w:r>
        <w:rPr>
          <w:rFonts w:ascii="Arial" w:cs="Arial" w:eastAsia="Arial" w:hAnsi="Arial"/>
          <w:sz w:val="16"/>
          <w:szCs w:val="16"/>
          <w:color w:val="231F20"/>
        </w:rPr>
        <w:t>Moreover, assuming the availability of certain public information about us, (i) non-affiliates who have beneficially owned our common stock for at least six months may rely on Rule 144 promulgated under the Securities Act of 1933, as amended (“Rule 144”), to sell their shares of common stock, and</w:t>
      </w:r>
    </w:p>
    <w:p>
      <w:pPr>
        <w:spacing w:after="0" w:line="1" w:lineRule="exact"/>
        <w:rPr>
          <w:sz w:val="20"/>
          <w:szCs w:val="20"/>
          <w:color w:val="auto"/>
        </w:rPr>
      </w:pPr>
    </w:p>
    <w:p>
      <w:pPr>
        <w:ind w:left="7" w:right="340" w:hanging="7"/>
        <w:spacing w:after="0" w:line="271" w:lineRule="auto"/>
        <w:tabs>
          <w:tab w:leader="none" w:pos="272" w:val="left"/>
        </w:tabs>
        <w:numPr>
          <w:ilvl w:val="0"/>
          <w:numId w:val="50"/>
        </w:numPr>
        <w:rPr>
          <w:rFonts w:ascii="Arial" w:cs="Arial" w:eastAsia="Arial" w:hAnsi="Arial"/>
          <w:sz w:val="17"/>
          <w:szCs w:val="17"/>
          <w:color w:val="231F20"/>
        </w:rPr>
      </w:pPr>
      <w:r>
        <w:rPr>
          <w:rFonts w:ascii="Arial" w:cs="Arial" w:eastAsia="Arial" w:hAnsi="Arial"/>
          <w:sz w:val="17"/>
          <w:szCs w:val="17"/>
          <w:color w:val="231F20"/>
        </w:rPr>
        <w:t>our executive officers, directors and other affiliates who have beneficially owned our common stock for at least six months will be entitled to sell their shares of our common stock subject to volume and other limitations under Rule 144 and various vesting agreements.</w:t>
      </w:r>
    </w:p>
    <w:p>
      <w:pPr>
        <w:spacing w:after="0" w:line="164" w:lineRule="exact"/>
        <w:rPr>
          <w:sz w:val="20"/>
          <w:szCs w:val="20"/>
          <w:color w:val="auto"/>
        </w:rPr>
      </w:pPr>
    </w:p>
    <w:p>
      <w:pPr>
        <w:ind w:left="7" w:right="160" w:firstLine="419"/>
        <w:spacing w:after="0" w:line="243" w:lineRule="auto"/>
        <w:rPr>
          <w:sz w:val="20"/>
          <w:szCs w:val="20"/>
          <w:color w:val="auto"/>
        </w:rPr>
      </w:pPr>
      <w:r>
        <w:rPr>
          <w:rFonts w:ascii="Arial" w:cs="Arial" w:eastAsia="Arial" w:hAnsi="Arial"/>
          <w:sz w:val="18"/>
          <w:szCs w:val="18"/>
          <w:color w:val="231F20"/>
        </w:rPr>
        <w:t>In addition, we filed a registration statement to register all shares subject to equity awards under our equity compensation plans. As of December 31, 2021, we had stock options outstanding that, if fully exercised, would result in the issuance of 4,996,945 shares of common stock, as well as 53,250 shares of common stock subject to RSU awards. Accordingly, these shares will be able to be freely sold in the public market upon issuance, subject to applicable vesting requirements and compliance by affiliates with Rule 144.</w:t>
      </w:r>
    </w:p>
    <w:p>
      <w:pPr>
        <w:spacing w:after="0" w:line="390" w:lineRule="exact"/>
        <w:rPr>
          <w:sz w:val="20"/>
          <w:szCs w:val="20"/>
          <w:color w:val="auto"/>
        </w:rPr>
      </w:pPr>
    </w:p>
    <w:p>
      <w:pPr>
        <w:ind w:left="7" w:right="200" w:firstLine="419"/>
        <w:spacing w:after="0" w:line="243" w:lineRule="auto"/>
        <w:rPr>
          <w:sz w:val="20"/>
          <w:szCs w:val="20"/>
          <w:color w:val="auto"/>
        </w:rPr>
      </w:pPr>
      <w:r>
        <w:rPr>
          <w:rFonts w:ascii="Arial" w:cs="Arial" w:eastAsia="Arial" w:hAnsi="Arial"/>
          <w:sz w:val="18"/>
          <w:szCs w:val="18"/>
          <w:color w:val="231F20"/>
        </w:rPr>
        <w:t>Moreover, certain holders of our common stock have rights, subject to some conditions, to require us to file registration statements covering their shares or to include their shares in registration statements that we may file for ourselves or other stockholders. Any registration statement we file to register additional shares, whether as a result of registration rights or otherwise, could cause the trading price of our common stock to decline or be volatile.</w:t>
      </w:r>
    </w:p>
    <w:p>
      <w:pPr>
        <w:spacing w:after="0" w:line="390" w:lineRule="exact"/>
        <w:rPr>
          <w:sz w:val="20"/>
          <w:szCs w:val="20"/>
          <w:color w:val="auto"/>
        </w:rPr>
      </w:pPr>
    </w:p>
    <w:p>
      <w:pPr>
        <w:ind w:left="7" w:right="180"/>
        <w:spacing w:after="0" w:line="261" w:lineRule="auto"/>
        <w:rPr>
          <w:sz w:val="20"/>
          <w:szCs w:val="20"/>
          <w:color w:val="auto"/>
        </w:rPr>
      </w:pPr>
      <w:r>
        <w:rPr>
          <w:rFonts w:ascii="Arial" w:cs="Arial" w:eastAsia="Arial" w:hAnsi="Arial"/>
          <w:sz w:val="18"/>
          <w:szCs w:val="18"/>
          <w:b w:val="1"/>
          <w:bCs w:val="1"/>
          <w:i w:val="1"/>
          <w:iCs w:val="1"/>
          <w:color w:val="231F20"/>
        </w:rPr>
        <w:t>Our directors, executive officers and principal stockholders have significant voting power and may take actions that may not be in the best interests of our other stockholders.</w:t>
      </w:r>
    </w:p>
    <w:p>
      <w:pPr>
        <w:spacing w:after="0" w:line="63" w:lineRule="exact"/>
        <w:rPr>
          <w:sz w:val="20"/>
          <w:szCs w:val="20"/>
          <w:color w:val="auto"/>
        </w:rPr>
      </w:pPr>
    </w:p>
    <w:p>
      <w:pPr>
        <w:ind w:left="7" w:right="240" w:firstLine="419"/>
        <w:spacing w:after="0" w:line="279" w:lineRule="auto"/>
        <w:rPr>
          <w:sz w:val="20"/>
          <w:szCs w:val="20"/>
          <w:color w:val="auto"/>
        </w:rPr>
      </w:pPr>
      <w:r>
        <w:rPr>
          <w:rFonts w:ascii="Arial" w:cs="Arial" w:eastAsia="Arial" w:hAnsi="Arial"/>
          <w:sz w:val="16"/>
          <w:szCs w:val="16"/>
          <w:color w:val="231F20"/>
        </w:rPr>
        <w:t>As of December 31, 2021, our executive officers, directors and principal stockholders each holding more than 5% of our common stock will collectively control approximately 63.0%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159" w:lineRule="exact"/>
        <w:rPr>
          <w:sz w:val="20"/>
          <w:szCs w:val="20"/>
          <w:color w:val="auto"/>
        </w:rPr>
      </w:pPr>
    </w:p>
    <w:p>
      <w:pPr>
        <w:ind w:left="7" w:right="40"/>
        <w:spacing w:after="0" w:line="261" w:lineRule="auto"/>
        <w:rPr>
          <w:sz w:val="20"/>
          <w:szCs w:val="20"/>
          <w:color w:val="auto"/>
        </w:rPr>
      </w:pPr>
      <w:r>
        <w:rPr>
          <w:rFonts w:ascii="Arial" w:cs="Arial" w:eastAsia="Arial" w:hAnsi="Arial"/>
          <w:sz w:val="18"/>
          <w:szCs w:val="18"/>
          <w:b w:val="1"/>
          <w:bCs w:val="1"/>
          <w:i w:val="1"/>
          <w:iCs w:val="1"/>
          <w:color w:val="231F20"/>
        </w:rPr>
        <w:t>We incur significant additional costs as a result of being a public company, and our management is required to devote substantial time to compliance with our public company responsibilities and corporate governance practices.</w:t>
      </w:r>
    </w:p>
    <w:p>
      <w:pPr>
        <w:spacing w:after="0" w:line="63" w:lineRule="exact"/>
        <w:rPr>
          <w:sz w:val="20"/>
          <w:szCs w:val="20"/>
          <w:color w:val="auto"/>
        </w:rPr>
      </w:pPr>
    </w:p>
    <w:p>
      <w:pPr>
        <w:ind w:left="7" w:right="220" w:firstLine="419"/>
        <w:spacing w:after="0" w:line="243" w:lineRule="auto"/>
        <w:rPr>
          <w:sz w:val="20"/>
          <w:szCs w:val="20"/>
          <w:color w:val="auto"/>
        </w:rPr>
      </w:pPr>
      <w:r>
        <w:rPr>
          <w:rFonts w:ascii="Arial" w:cs="Arial" w:eastAsia="Arial" w:hAnsi="Arial"/>
          <w:sz w:val="18"/>
          <w:szCs w:val="18"/>
          <w:color w:val="231F20"/>
        </w:rPr>
        <w:t>As a public company, we incur costs associated with corporate governance requirements, including rules and regulations of the SEC, under the Sarbanes-Oxley Act, the Dodd-Frank Wall Street Reform and Consumer Protection Act of 2010, and the Exchange Act, as well as the rules of Nasdaq. These rules and regulations are expected to significantly increase our accounting, legal and financial compliance costs and make some activities more time-consuming. We expect</w:t>
      </w:r>
    </w:p>
    <w:p>
      <w:pPr>
        <w:spacing w:after="0" w:line="188"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7"/>
          </w:cols>
          <w:pgMar w:left="433" w:top="328" w:right="39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231F20"/>
        </w:rPr>
        <w:t>such expenses to further increase after we are no longer an emerging growth company. We also expect these rules and regulations to make it more expensive for us to maintain directors’ and officers’ liability insurance. As a result, it may be more difficult for us to attract and retain qualified persons to serve on our board of directors or as executive officers. Furthermore, these rules and regulations will increase our legal and financial compliance costs and will make some activities more time-consuming and costly. We cannot predict or estimate the amount of additional costs we will incur as a public company or the timing of such costs. Accordingly, increases in costs incurred as a result of becoming a publicly traded company may adversely affect our business, financial condition and results of operations.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We may also be subject to more stringent state law requirements. For example, on September 30, 2018, California signed into law Senate Bill 826,</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231F20"/>
        </w:rPr>
        <w:t>which generally requires public companies with principal executive offices in California to have a minimum number of females on their board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231F20"/>
        </w:rPr>
        <w:t>directors, and on September 30, 2020, California signed into law Assembly Bill 979, which generally requires public companies with principal executive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offices in California to have a minimum number of members of an “underrepresented community” on their boards of directors. To be a member of an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“underrepresented community, an individual must self-identify as </w:t>
      </w:r>
      <w:r>
        <w:rPr>
          <w:rFonts w:ascii="Arial" w:cs="Arial" w:eastAsia="Arial" w:hAnsi="Arial"/>
          <w:sz w:val="16"/>
          <w:szCs w:val="16"/>
          <w:color w:val="000000"/>
        </w:rPr>
        <w:t>Black, African American, Hispanic, Latino, Asian, Pacific Islander, Native American,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Native Hawaiian, or Alaska Native, or as gay, lesbian, bisexual, or transgender. </w:t>
      </w:r>
      <w:r>
        <w:rPr>
          <w:rFonts w:ascii="Arial" w:cs="Arial" w:eastAsia="Arial" w:hAnsi="Arial"/>
          <w:sz w:val="16"/>
          <w:szCs w:val="16"/>
          <w:color w:val="231F20"/>
        </w:rPr>
        <w:t>Pursuant to the terms of Senate Bill 826, by December 31, 2019,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public company with principal executive offices in California was required to have at least one female on its board of directors. By December 31, 2021,</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231F20"/>
        </w:rPr>
        <w:t>each public company was required to have at least two females on its board of directors if the company has at least five directors, and at least three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females on its board of directors if the company has at least six directors. Pursuant to the terms of Assembly Bill 979, by December 31, 2021, each public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company with principal executive offices in California was required to have at least one director from an underrepresented community on its board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directors. By December 31, 2022, each public company is required to have at least two directors from underrepresented communities if the company has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at least five directors, and at least three directors from underrepresented communities if the company has at least nine directors These new laws do not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231F20"/>
        </w:rPr>
        <w:t>provide a transition period for newly listed companies. We are currently compliant with the gender requirements of Senate Bill 826 but we are not in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231F20"/>
        </w:rPr>
        <w:t>compliance with the diversity requirements of Assembly Bill 979. These new laws provide the California Secretary of State with the power to levy 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231F20"/>
        </w:rPr>
        <w:t>$100,000 fine for the first violation and a $300,000 fine for each subsequent violation. We are seeking to further diversify our board of directors, with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intent of coming into compliance with Assembly Bill 979. However, there are no assurances that we can come into compliance with this law or remain 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compliance with these or other diversity laws that come into effect. If we are unable to recruit, attract and/or retain qualified members of the board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231F20"/>
        </w:rPr>
        <w:t>meet the requirements of the California laws it may expose us to penalties and/or reputational harm.</w:t>
      </w:r>
    </w:p>
    <w:p>
      <w:pPr>
        <w:spacing w:after="0" w:line="196" w:lineRule="exact"/>
        <w:rPr>
          <w:sz w:val="20"/>
          <w:szCs w:val="20"/>
          <w:color w:val="auto"/>
        </w:rPr>
      </w:pPr>
    </w:p>
    <w:p>
      <w:pPr>
        <w:ind w:right="520"/>
        <w:spacing w:after="0" w:line="356" w:lineRule="auto"/>
        <w:rPr>
          <w:sz w:val="20"/>
          <w:szCs w:val="20"/>
          <w:color w:val="auto"/>
        </w:rPr>
      </w:pPr>
      <w:r>
        <w:rPr>
          <w:rFonts w:ascii="Arial" w:cs="Arial" w:eastAsia="Arial" w:hAnsi="Arial"/>
          <w:sz w:val="15"/>
          <w:szCs w:val="15"/>
          <w:b w:val="1"/>
          <w:bCs w:val="1"/>
          <w:i w:val="1"/>
          <w:iCs w:val="1"/>
          <w:color w:val="231F20"/>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1" w:lineRule="exact"/>
        <w:rPr>
          <w:sz w:val="20"/>
          <w:szCs w:val="20"/>
          <w:color w:val="auto"/>
        </w:rPr>
      </w:pPr>
    </w:p>
    <w:p>
      <w:pPr>
        <w:ind w:right="160" w:firstLine="419"/>
        <w:spacing w:after="0" w:line="253" w:lineRule="auto"/>
        <w:rPr>
          <w:sz w:val="20"/>
          <w:szCs w:val="20"/>
          <w:color w:val="auto"/>
        </w:rPr>
      </w:pPr>
      <w:r>
        <w:rPr>
          <w:rFonts w:ascii="Arial" w:cs="Arial" w:eastAsia="Arial" w:hAnsi="Arial"/>
          <w:sz w:val="17"/>
          <w:szCs w:val="17"/>
          <w:color w:val="231F20"/>
        </w:rPr>
        <w:t>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Although we will be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will not be required to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material weaknesses have been identified in our internal control over financial reporting.</w:t>
      </w:r>
    </w:p>
    <w:p>
      <w:pPr>
        <w:spacing w:after="0" w:line="184" w:lineRule="exact"/>
        <w:rPr>
          <w:sz w:val="20"/>
          <w:szCs w:val="20"/>
          <w:color w:val="auto"/>
        </w:rPr>
      </w:pPr>
    </w:p>
    <w:p>
      <w:pPr>
        <w:ind w:right="80" w:firstLine="419"/>
        <w:spacing w:after="0" w:line="254" w:lineRule="auto"/>
        <w:rPr>
          <w:sz w:val="20"/>
          <w:szCs w:val="20"/>
          <w:color w:val="auto"/>
        </w:rPr>
      </w:pPr>
      <w:r>
        <w:rPr>
          <w:rFonts w:ascii="Arial" w:cs="Arial" w:eastAsia="Arial" w:hAnsi="Arial"/>
          <w:sz w:val="17"/>
          <w:szCs w:val="17"/>
          <w:color w:val="231F20"/>
        </w:rPr>
        <w:t>To comply with the requirements of being a public company, we need to undertake actions, such as implementing new internal controls and procedures and hiring additional accounting or internal audit staff. Testing and maintaining internal control can divert our management’s attention from other matters that are important to the operation of our business. In addition,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controls over financial reporting or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93" w:name="page94"/>
    <w:bookmarkEnd w:id="93"/>
    <w:p>
      <w:pPr>
        <w:ind w:right="240"/>
        <w:spacing w:after="0" w:line="261" w:lineRule="auto"/>
        <w:rPr>
          <w:sz w:val="20"/>
          <w:szCs w:val="20"/>
          <w:color w:val="auto"/>
        </w:rPr>
      </w:pPr>
      <w:r>
        <w:rPr>
          <w:rFonts w:ascii="Arial" w:cs="Arial" w:eastAsia="Arial" w:hAnsi="Arial"/>
          <w:sz w:val="18"/>
          <w:szCs w:val="18"/>
          <w:color w:val="231F20"/>
        </w:rPr>
        <w:t>confidence in the accuracy and completeness of our financial reports. As a result, the market price of our common stock could be materially adversely affected.</w:t>
      </w:r>
    </w:p>
    <w:p>
      <w:pPr>
        <w:spacing w:after="0" w:line="17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231F20"/>
        </w:rPr>
        <w:t>Material weaknesses in our internal control over financial reporting may cause us to fail to timely and accurately report our financial results or result in a material misstatement of our financial statements.</w:t>
      </w:r>
    </w:p>
    <w:p>
      <w:pPr>
        <w:spacing w:after="0" w:line="63" w:lineRule="exact"/>
        <w:rPr>
          <w:sz w:val="20"/>
          <w:szCs w:val="20"/>
          <w:color w:val="auto"/>
        </w:rPr>
      </w:pPr>
    </w:p>
    <w:p>
      <w:pPr>
        <w:ind w:right="40" w:firstLine="419"/>
        <w:spacing w:after="0" w:line="262" w:lineRule="auto"/>
        <w:rPr>
          <w:sz w:val="20"/>
          <w:szCs w:val="20"/>
          <w:color w:val="auto"/>
        </w:rPr>
      </w:pPr>
      <w:r>
        <w:rPr>
          <w:rFonts w:ascii="Arial" w:cs="Arial" w:eastAsia="Arial" w:hAnsi="Arial"/>
          <w:sz w:val="17"/>
          <w:szCs w:val="17"/>
          <w:color w:val="auto"/>
        </w:rPr>
        <w:t>In connection with the preparation of our financial statements in connection with our IPO, we identified a material weakness in our internal controls due to a lack of sufficient full-time accounting personnel with requisite experience and deep technical accounting knowledge to (i) identify and resolve complex accounting issues under generally accepted accounting principles in the United States, or GAAP, and (ii) enable appropriate segregation of duties and reviews over the financial reviews over the financial close and reporting process.</w:t>
      </w:r>
    </w:p>
    <w:p>
      <w:pPr>
        <w:spacing w:after="0" w:line="172" w:lineRule="exact"/>
        <w:rPr>
          <w:sz w:val="20"/>
          <w:szCs w:val="20"/>
          <w:color w:val="auto"/>
        </w:rPr>
      </w:pPr>
    </w:p>
    <w:p>
      <w:pPr>
        <w:ind w:right="40" w:firstLine="419"/>
        <w:spacing w:after="0"/>
        <w:rPr>
          <w:sz w:val="20"/>
          <w:szCs w:val="20"/>
          <w:color w:val="auto"/>
        </w:rPr>
      </w:pPr>
      <w:r>
        <w:rPr>
          <w:rFonts w:ascii="Arial" w:cs="Arial" w:eastAsia="Arial" w:hAnsi="Arial"/>
          <w:sz w:val="18"/>
          <w:szCs w:val="18"/>
          <w:color w:val="auto"/>
        </w:rPr>
        <w:t>We are evaluating and implementing additional internal controls and procedures to remediate this material weakness, however, we cannot assure you that these or other measures will fully remediate the material weakness in a timely manner or prevent future material weaknesses from occurring. As part of our remediation plan to address the material weakness identified above, we have hired additional accounting employees with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spacing w:after="0" w:line="189" w:lineRule="exact"/>
        <w:rPr>
          <w:sz w:val="20"/>
          <w:szCs w:val="20"/>
          <w:color w:val="auto"/>
        </w:rPr>
      </w:pPr>
    </w:p>
    <w:p>
      <w:pPr>
        <w:ind w:right="20" w:firstLine="419"/>
        <w:spacing w:after="0" w:line="259" w:lineRule="auto"/>
        <w:rPr>
          <w:sz w:val="20"/>
          <w:szCs w:val="20"/>
          <w:color w:val="auto"/>
        </w:rPr>
      </w:pPr>
      <w:r>
        <w:rPr>
          <w:rFonts w:ascii="Arial" w:cs="Arial" w:eastAsia="Arial" w:hAnsi="Arial"/>
          <w:sz w:val="17"/>
          <w:szCs w:val="17"/>
          <w:color w:val="231F20"/>
        </w:rPr>
        <w:t>If we identify future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SEC or other regulatory authorities. If additional material weaknesses exist or are discovered in the future, and we are unable to remediate any such material weaknesses, our reputation, financial condition, and operating results could suffer.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firstLine="419"/>
        <w:spacing w:after="0" w:line="272" w:lineRule="auto"/>
        <w:rPr>
          <w:sz w:val="20"/>
          <w:szCs w:val="20"/>
          <w:color w:val="auto"/>
        </w:rPr>
      </w:pPr>
      <w:r>
        <w:rPr>
          <w:rFonts w:ascii="Arial" w:cs="Arial" w:eastAsia="Arial" w:hAnsi="Arial"/>
          <w:sz w:val="16"/>
          <w:szCs w:val="16"/>
          <w:color w:val="auto"/>
        </w:rPr>
        <w:t>Upon the closing of the initial public offering of our common stock, we became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68"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b w:val="1"/>
          <w:bCs w:val="1"/>
          <w:i w:val="1"/>
          <w:iCs w:val="1"/>
          <w:color w:val="231F20"/>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spacing w:after="0" w:line="16" w:lineRule="exact"/>
        <w:rPr>
          <w:sz w:val="20"/>
          <w:szCs w:val="20"/>
          <w:color w:val="auto"/>
        </w:rPr>
      </w:pPr>
    </w:p>
    <w:p>
      <w:pPr>
        <w:ind w:firstLine="419"/>
        <w:spacing w:after="0" w:line="276" w:lineRule="auto"/>
        <w:rPr>
          <w:sz w:val="20"/>
          <w:szCs w:val="20"/>
          <w:color w:val="auto"/>
        </w:rPr>
      </w:pPr>
      <w:r>
        <w:rPr>
          <w:rFonts w:ascii="Arial" w:cs="Arial" w:eastAsia="Arial" w:hAnsi="Arial"/>
          <w:sz w:val="16"/>
          <w:szCs w:val="16"/>
          <w:color w:val="231F20"/>
        </w:rPr>
        <w:t>Provisions in our restated certificate of incorporation and our restated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53" w:lineRule="exact"/>
        <w:rPr>
          <w:sz w:val="20"/>
          <w:szCs w:val="20"/>
          <w:color w:val="auto"/>
        </w:rPr>
      </w:pPr>
    </w:p>
    <w:p>
      <w:pPr>
        <w:ind w:left="800" w:right="1500" w:hanging="283"/>
        <w:spacing w:after="0" w:line="261" w:lineRule="auto"/>
        <w:tabs>
          <w:tab w:leader="none" w:pos="80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231F20"/>
        </w:rPr>
      </w:pPr>
    </w:p>
    <w:p>
      <w:pPr>
        <w:jc w:val="center"/>
        <w:ind w:left="5420" w:right="1140" w:hanging="4903"/>
        <w:spacing w:after="0" w:line="387" w:lineRule="auto"/>
        <w:tabs>
          <w:tab w:leader="none" w:pos="815"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 xml:space="preserve">No cumulative voting in the election of directors, which limits the ability of minority stockholders to elect director candidates; </w:t>
      </w:r>
      <w:r>
        <w:rPr>
          <w:rFonts w:ascii="Arial" w:cs="Arial" w:eastAsia="Arial" w:hAnsi="Arial"/>
          <w:sz w:val="18"/>
          <w:szCs w:val="18"/>
          <w:color w:val="000000"/>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-32385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94" w:name="page95"/>
    <w:bookmarkEnd w:id="94"/>
    <w:p>
      <w:pPr>
        <w:ind w:left="800" w:right="740" w:hanging="283"/>
        <w:spacing w:after="0" w:line="324" w:lineRule="auto"/>
        <w:tabs>
          <w:tab w:leader="none" w:pos="800" w:val="left"/>
        </w:tabs>
        <w:numPr>
          <w:ilvl w:val="0"/>
          <w:numId w:val="52"/>
        </w:numPr>
        <w:rPr>
          <w:rFonts w:ascii="Arial" w:cs="Arial" w:eastAsia="Arial" w:hAnsi="Arial"/>
          <w:sz w:val="16"/>
          <w:szCs w:val="16"/>
          <w:color w:val="231F20"/>
        </w:rPr>
      </w:pPr>
      <w:r>
        <w:rPr>
          <w:rFonts w:ascii="Arial" w:cs="Arial" w:eastAsia="Arial" w:hAnsi="Arial"/>
          <w:sz w:val="16"/>
          <w:szCs w:val="16"/>
          <w:color w:val="231F20"/>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6" w:lineRule="exact"/>
        <w:rPr>
          <w:rFonts w:ascii="Arial" w:cs="Arial" w:eastAsia="Arial" w:hAnsi="Arial"/>
          <w:sz w:val="16"/>
          <w:szCs w:val="16"/>
          <w:color w:val="231F20"/>
        </w:rPr>
      </w:pPr>
    </w:p>
    <w:p>
      <w:pPr>
        <w:jc w:val="both"/>
        <w:ind w:left="800" w:right="680" w:hanging="283"/>
        <w:spacing w:after="0" w:line="248" w:lineRule="auto"/>
        <w:tabs>
          <w:tab w:leader="none" w:pos="80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73" w:lineRule="exact"/>
        <w:rPr>
          <w:rFonts w:ascii="Arial" w:cs="Arial" w:eastAsia="Arial" w:hAnsi="Arial"/>
          <w:sz w:val="18"/>
          <w:szCs w:val="18"/>
          <w:color w:val="231F20"/>
        </w:rPr>
      </w:pPr>
    </w:p>
    <w:p>
      <w:pPr>
        <w:ind w:left="800" w:hanging="283"/>
        <w:spacing w:after="0"/>
        <w:tabs>
          <w:tab w:leader="none" w:pos="80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The ability of our board of directors to alter our bylaws without obtaining stockholder approval;</w:t>
      </w:r>
    </w:p>
    <w:p>
      <w:pPr>
        <w:spacing w:after="0" w:line="103" w:lineRule="exact"/>
        <w:rPr>
          <w:rFonts w:ascii="Arial" w:cs="Arial" w:eastAsia="Arial" w:hAnsi="Arial"/>
          <w:sz w:val="18"/>
          <w:szCs w:val="18"/>
          <w:color w:val="231F20"/>
        </w:rPr>
      </w:pPr>
    </w:p>
    <w:p>
      <w:pPr>
        <w:jc w:val="both"/>
        <w:ind w:left="800" w:right="680" w:hanging="283"/>
        <w:spacing w:after="0" w:line="324" w:lineRule="auto"/>
        <w:tabs>
          <w:tab w:leader="none" w:pos="800" w:val="left"/>
        </w:tabs>
        <w:numPr>
          <w:ilvl w:val="0"/>
          <w:numId w:val="52"/>
        </w:numPr>
        <w:rPr>
          <w:rFonts w:ascii="Arial" w:cs="Arial" w:eastAsia="Arial" w:hAnsi="Arial"/>
          <w:sz w:val="16"/>
          <w:szCs w:val="16"/>
          <w:color w:val="231F20"/>
        </w:rPr>
      </w:pPr>
      <w:r>
        <w:rPr>
          <w:rFonts w:ascii="Arial" w:cs="Arial" w:eastAsia="Arial" w:hAnsi="Arial"/>
          <w:sz w:val="16"/>
          <w:szCs w:val="16"/>
          <w:color w:val="231F20"/>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16" w:lineRule="exact"/>
        <w:rPr>
          <w:rFonts w:ascii="Arial" w:cs="Arial" w:eastAsia="Arial" w:hAnsi="Arial"/>
          <w:sz w:val="16"/>
          <w:szCs w:val="16"/>
          <w:color w:val="231F20"/>
        </w:rPr>
      </w:pPr>
    </w:p>
    <w:p>
      <w:pPr>
        <w:ind w:left="800" w:right="800" w:hanging="283"/>
        <w:spacing w:after="0" w:line="261" w:lineRule="auto"/>
        <w:tabs>
          <w:tab w:leader="none" w:pos="80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231F20"/>
        </w:rPr>
      </w:pPr>
    </w:p>
    <w:p>
      <w:pPr>
        <w:ind w:left="800" w:right="780" w:hanging="283"/>
        <w:spacing w:after="0" w:line="248" w:lineRule="auto"/>
        <w:tabs>
          <w:tab w:leader="none" w:pos="80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231F20"/>
        </w:rPr>
      </w:pPr>
    </w:p>
    <w:p>
      <w:pPr>
        <w:ind w:left="800" w:right="820" w:hanging="283"/>
        <w:spacing w:after="0" w:line="294" w:lineRule="auto"/>
        <w:tabs>
          <w:tab w:leader="none" w:pos="800" w:val="left"/>
        </w:tabs>
        <w:numPr>
          <w:ilvl w:val="0"/>
          <w:numId w:val="52"/>
        </w:numPr>
        <w:rPr>
          <w:rFonts w:ascii="Arial" w:cs="Arial" w:eastAsia="Arial" w:hAnsi="Arial"/>
          <w:sz w:val="16"/>
          <w:szCs w:val="16"/>
          <w:color w:val="231F20"/>
        </w:rPr>
      </w:pPr>
      <w:r>
        <w:rPr>
          <w:rFonts w:ascii="Arial" w:cs="Arial" w:eastAsia="Arial" w:hAnsi="Arial"/>
          <w:sz w:val="16"/>
          <w:szCs w:val="16"/>
          <w:color w:val="231F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39" w:lineRule="exact"/>
        <w:rPr>
          <w:sz w:val="20"/>
          <w:szCs w:val="20"/>
          <w:color w:val="auto"/>
        </w:rPr>
      </w:pPr>
    </w:p>
    <w:p>
      <w:pPr>
        <w:ind w:firstLine="419"/>
        <w:spacing w:after="0" w:line="243" w:lineRule="auto"/>
        <w:rPr>
          <w:sz w:val="20"/>
          <w:szCs w:val="20"/>
          <w:color w:val="auto"/>
        </w:rPr>
      </w:pPr>
      <w:r>
        <w:rPr>
          <w:rFonts w:ascii="Arial" w:cs="Arial" w:eastAsia="Arial" w:hAnsi="Arial"/>
          <w:sz w:val="18"/>
          <w:szCs w:val="18"/>
          <w:color w:val="231F20"/>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820"/>
        <w:spacing w:after="0" w:line="324" w:lineRule="auto"/>
        <w:rPr>
          <w:sz w:val="20"/>
          <w:szCs w:val="20"/>
          <w:color w:val="auto"/>
        </w:rPr>
      </w:pPr>
      <w:r>
        <w:rPr>
          <w:rFonts w:ascii="Arial" w:cs="Arial" w:eastAsia="Arial" w:hAnsi="Arial"/>
          <w:sz w:val="16"/>
          <w:szCs w:val="16"/>
          <w:b w:val="1"/>
          <w:bCs w:val="1"/>
          <w:i w:val="1"/>
          <w:iCs w:val="1"/>
          <w:color w:val="231F20"/>
        </w:rPr>
        <w:t>Our restated certificate of incorporation designates specific courts as the exclusive forum for certain litigation that may be initiated by our stockholders, which could limit our stockholders’ ability to obtain a favorable judicial forum for disputes with us.</w:t>
      </w:r>
    </w:p>
    <w:p>
      <w:pPr>
        <w:spacing w:after="0" w:line="165" w:lineRule="exact"/>
        <w:rPr>
          <w:sz w:val="20"/>
          <w:szCs w:val="20"/>
          <w:color w:val="auto"/>
        </w:rPr>
      </w:pPr>
    </w:p>
    <w:p>
      <w:pPr>
        <w:ind w:firstLine="419"/>
        <w:spacing w:after="0" w:line="253" w:lineRule="auto"/>
        <w:rPr>
          <w:sz w:val="20"/>
          <w:szCs w:val="20"/>
          <w:color w:val="auto"/>
        </w:rPr>
      </w:pPr>
      <w:r>
        <w:rPr>
          <w:rFonts w:ascii="Arial" w:cs="Arial" w:eastAsia="Arial" w:hAnsi="Arial"/>
          <w:sz w:val="17"/>
          <w:szCs w:val="17"/>
          <w:color w:val="231F20"/>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restated certificate of incorporation described above.</w:t>
      </w:r>
    </w:p>
    <w:p>
      <w:pPr>
        <w:spacing w:after="0" w:line="180" w:lineRule="exact"/>
        <w:rPr>
          <w:sz w:val="20"/>
          <w:szCs w:val="20"/>
          <w:color w:val="auto"/>
        </w:rPr>
      </w:pPr>
    </w:p>
    <w:p>
      <w:pPr>
        <w:ind w:right="20" w:firstLine="419"/>
        <w:spacing w:after="0" w:line="238" w:lineRule="auto"/>
        <w:rPr>
          <w:sz w:val="20"/>
          <w:szCs w:val="20"/>
          <w:color w:val="auto"/>
        </w:rPr>
      </w:pPr>
      <w:r>
        <w:rPr>
          <w:rFonts w:ascii="Arial" w:cs="Arial" w:eastAsia="Arial" w:hAnsi="Arial"/>
          <w:sz w:val="18"/>
          <w:szCs w:val="18"/>
          <w:color w:val="231F20"/>
        </w:rPr>
        <w:t>We believe these provisions benefit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provision may also have the effect of resulting in increased costs to a stockholder seeking to bring a claim against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95" w:name="page96"/>
    <w:bookmarkEnd w:id="95"/>
    <w:p>
      <w:pPr>
        <w:spacing w:after="0" w:line="248" w:lineRule="auto"/>
        <w:rPr>
          <w:sz w:val="20"/>
          <w:szCs w:val="20"/>
          <w:color w:val="auto"/>
        </w:rPr>
      </w:pPr>
      <w:r>
        <w:rPr>
          <w:rFonts w:ascii="Arial" w:cs="Arial" w:eastAsia="Arial" w:hAnsi="Arial"/>
          <w:sz w:val="18"/>
          <w:szCs w:val="18"/>
          <w:color w:val="231F20"/>
        </w:rPr>
        <w:t>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right="160" w:firstLine="419"/>
        <w:spacing w:after="0" w:line="259" w:lineRule="auto"/>
        <w:rPr>
          <w:sz w:val="20"/>
          <w:szCs w:val="20"/>
          <w:color w:val="auto"/>
        </w:rPr>
      </w:pPr>
      <w:r>
        <w:rPr>
          <w:rFonts w:ascii="Arial" w:cs="Arial" w:eastAsia="Arial" w:hAnsi="Arial"/>
          <w:sz w:val="17"/>
          <w:szCs w:val="17"/>
          <w:color w:val="auto"/>
        </w:rPr>
        <w:t>Our corporate headquarters are located in Menlo Park, California, where we lease approximately 10,823 square feet of office, research and development, engineering and laboratory space pursuant to a lease that commenced effective August 1, 2021, and expires on August 31, 2024. We also lease approximately 2,040 square feet of office space, which is primarily used by our commercial leadership team, in Southlake, Texas, pursuant to a lease that commenced on April 30, 2019 and expires on May 15, 2024. We believe that our existing facilities are adequate to meet our business requirements for the near-term, and that additional space will be available on commercially reasonable terms, if required.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right="60" w:firstLine="419"/>
        <w:spacing w:after="0" w:line="241" w:lineRule="auto"/>
        <w:rPr>
          <w:sz w:val="20"/>
          <w:szCs w:val="20"/>
          <w:color w:val="auto"/>
        </w:rPr>
      </w:pPr>
      <w:r>
        <w:rPr>
          <w:rFonts w:ascii="Arial" w:cs="Arial" w:eastAsia="Arial" w:hAnsi="Arial"/>
          <w:sz w:val="18"/>
          <w:szCs w:val="18"/>
          <w:color w:val="auto"/>
        </w:rPr>
        <w:t>On September 16, 2021, the Company filed suit in the U.S. District Court for the District of Delaware (C.A. No. 1:21-cv-01317) alleging that Ivantis, Inc. directly or indirectly infringes U.S. Patent Nos. 8,287,482, 9,370,443, 9,486,361, and 10,314,742 by making, using, selling, and offering for sale the Hydrus® Microstent. The Company’s Complaint seeks money damages and injunctive relief. Ivantis, Inc. answered the Complaint on January 2022, however no trial date has yet been set. The Company is presently unable to predict the outcome of this lawsuit or to reasonably estimate the potential financial impact of the lawsuit on the Company, if any.</w:t>
      </w:r>
    </w:p>
    <w:p>
      <w:pPr>
        <w:spacing w:after="0" w:line="189" w:lineRule="exact"/>
        <w:rPr>
          <w:sz w:val="20"/>
          <w:szCs w:val="20"/>
          <w:color w:val="auto"/>
        </w:rPr>
      </w:pPr>
    </w:p>
    <w:p>
      <w:pPr>
        <w:ind w:right="60" w:firstLine="419"/>
        <w:spacing w:after="0" w:line="239" w:lineRule="auto"/>
        <w:rPr>
          <w:sz w:val="20"/>
          <w:szCs w:val="20"/>
          <w:color w:val="auto"/>
        </w:rPr>
      </w:pPr>
      <w:r>
        <w:rPr>
          <w:rFonts w:ascii="Arial" w:cs="Arial" w:eastAsia="Arial" w:hAnsi="Arial"/>
          <w:sz w:val="18"/>
          <w:szCs w:val="18"/>
          <w:color w:val="231F20"/>
        </w:rPr>
        <w:t>We may, in the ordinary course of business, face various claims brought by third parties, and we may, from time to time, make claims or take legal actions to assert our rights, including intellectual property rights as well as claims relating to employment matters and the safety or effectiveness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business, financial condition and results of operations. Additionally, any such claims, whether or not successful, could damage our reputation and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8" w:right="439" w:bottom="1440" w:gutter="0" w:footer="0" w:header="0"/>
        </w:sectPr>
      </w:pPr>
    </w:p>
    <w:bookmarkStart w:id="96" w:name="page97"/>
    <w:bookmarkEnd w:id="96"/>
    <w:p>
      <w:pPr>
        <w:jc w:val="center"/>
        <w:ind w:left="500"/>
        <w:spacing w:after="0"/>
        <w:rPr>
          <w:sz w:val="20"/>
          <w:szCs w:val="20"/>
          <w:color w:val="auto"/>
        </w:rPr>
      </w:pPr>
      <w:r>
        <w:rPr>
          <w:rFonts w:ascii="Arial" w:cs="Arial" w:eastAsia="Arial" w:hAnsi="Arial"/>
          <w:sz w:val="18"/>
          <w:szCs w:val="18"/>
          <w:b w:val="1"/>
          <w:bCs w:val="1"/>
          <w:color w:val="auto"/>
        </w:rPr>
        <w:t>PART II</w:t>
      </w:r>
    </w:p>
    <w:p>
      <w:pPr>
        <w:spacing w:after="0" w:line="16" w:lineRule="exact"/>
        <w:rPr>
          <w:sz w:val="20"/>
          <w:szCs w:val="20"/>
          <w:color w:val="auto"/>
        </w:rPr>
      </w:pPr>
    </w:p>
    <w:p>
      <w:pPr>
        <w:ind w:left="420" w:right="1700" w:hanging="418"/>
        <w:spacing w:after="0" w:line="35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for Common Stock</w:t>
      </w:r>
    </w:p>
    <w:p>
      <w:pPr>
        <w:spacing w:after="0" w:line="1" w:lineRule="exact"/>
        <w:rPr>
          <w:sz w:val="20"/>
          <w:szCs w:val="20"/>
          <w:color w:val="auto"/>
        </w:rPr>
      </w:pPr>
    </w:p>
    <w:p>
      <w:pPr>
        <w:ind w:right="240" w:firstLine="419"/>
        <w:spacing w:after="0" w:line="261" w:lineRule="auto"/>
        <w:rPr>
          <w:sz w:val="20"/>
          <w:szCs w:val="20"/>
          <w:color w:val="auto"/>
        </w:rPr>
      </w:pPr>
      <w:r>
        <w:rPr>
          <w:rFonts w:ascii="Arial" w:cs="Arial" w:eastAsia="Arial" w:hAnsi="Arial"/>
          <w:sz w:val="18"/>
          <w:szCs w:val="18"/>
          <w:color w:val="auto"/>
        </w:rPr>
        <w:t>Our common stock has been listed on the Nasdaq Global Market under the symbol “SGHT” since July 15, 2021. Prior to this date, there was no public market for our common stock.</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Holders of Record</w:t>
      </w:r>
    </w:p>
    <w:p>
      <w:pPr>
        <w:spacing w:after="0" w:line="108" w:lineRule="exact"/>
        <w:rPr>
          <w:sz w:val="20"/>
          <w:szCs w:val="20"/>
          <w:color w:val="auto"/>
        </w:rPr>
      </w:pPr>
    </w:p>
    <w:p>
      <w:pPr>
        <w:ind w:right="40" w:firstLine="419"/>
        <w:spacing w:after="0" w:line="248" w:lineRule="auto"/>
        <w:rPr>
          <w:sz w:val="20"/>
          <w:szCs w:val="20"/>
          <w:color w:val="auto"/>
        </w:rPr>
      </w:pPr>
      <w:r>
        <w:rPr>
          <w:rFonts w:ascii="Arial" w:cs="Arial" w:eastAsia="Arial" w:hAnsi="Arial"/>
          <w:sz w:val="18"/>
          <w:szCs w:val="18"/>
          <w:color w:val="auto"/>
        </w:rPr>
        <w:t>As of March 18, 2022, there were approximately 22 holders of record of our common stock. The actual number of stockholders is greater than this number of holders of record and includes stockholders who are beneficial owners but whose shares are held in the street name by brokers and other nominees.</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Initial Public Offering</w:t>
      </w:r>
    </w:p>
    <w:p>
      <w:pPr>
        <w:spacing w:after="0" w:line="108" w:lineRule="exact"/>
        <w:rPr>
          <w:sz w:val="20"/>
          <w:szCs w:val="20"/>
          <w:color w:val="auto"/>
        </w:rPr>
      </w:pPr>
    </w:p>
    <w:p>
      <w:pPr>
        <w:ind w:right="260" w:firstLine="419"/>
        <w:spacing w:after="0" w:line="324" w:lineRule="auto"/>
        <w:rPr>
          <w:sz w:val="20"/>
          <w:szCs w:val="20"/>
          <w:color w:val="auto"/>
        </w:rPr>
      </w:pPr>
      <w:r>
        <w:rPr>
          <w:rFonts w:ascii="Arial" w:cs="Arial" w:eastAsia="Arial" w:hAnsi="Arial"/>
          <w:sz w:val="16"/>
          <w:szCs w:val="16"/>
          <w:color w:val="auto"/>
        </w:rPr>
        <w:t>On July 14, 2021, our registration statement on Form S-1 (File No. 333-257320) relating to our initial public offering ("IPO") of common stock became effective. The IPO closed on July 15, 2021, at which time we issued 11,500,000 shares of our common stock at a price of $24.00 per share.</w:t>
      </w:r>
    </w:p>
    <w:p>
      <w:pPr>
        <w:spacing w:after="0" w:line="124" w:lineRule="exact"/>
        <w:rPr>
          <w:sz w:val="20"/>
          <w:szCs w:val="20"/>
          <w:color w:val="auto"/>
        </w:rPr>
      </w:pPr>
    </w:p>
    <w:p>
      <w:pPr>
        <w:ind w:right="120" w:firstLine="419"/>
        <w:spacing w:after="0" w:line="261"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dated July 14, 2021 and filed with the SEC on July 15, 2021 pursuant to Rule 424(b) under the Securities Act.</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firstLine="419"/>
        <w:spacing w:after="0" w:line="241" w:lineRule="auto"/>
        <w:rPr>
          <w:sz w:val="20"/>
          <w:szCs w:val="20"/>
          <w:color w:val="auto"/>
        </w:rPr>
      </w:pPr>
      <w:r>
        <w:rPr>
          <w:rFonts w:ascii="Arial" w:cs="Arial" w:eastAsia="Arial" w:hAnsi="Arial"/>
          <w:sz w:val="18"/>
          <w:szCs w:val="18"/>
          <w:color w:val="231F20"/>
        </w:rPr>
        <w:t>We have never declared or paid cash dividends on our capital stock. We currently intend to retain all available funds and future earnings, if any, to fund the operation, development and expansion of our business, and we do not anticipate paying any cash dividends in the foreseeable future. Any future determination regarding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Information about our equity compensation plans is incorporated herein by reference to Item 12 of Part III of this Annual Report on Form 10-K.</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Not applicable.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24" w:right="4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 w:lineRule="exact"/>
        <w:rPr>
          <w:sz w:val="20"/>
          <w:szCs w:val="20"/>
          <w:color w:val="auto"/>
        </w:rPr>
      </w:pPr>
    </w:p>
    <w:p>
      <w:pPr>
        <w:ind w:right="40" w:firstLine="419"/>
        <w:spacing w:after="0" w:line="269" w:lineRule="auto"/>
        <w:rPr>
          <w:sz w:val="20"/>
          <w:szCs w:val="20"/>
          <w:color w:val="auto"/>
        </w:rPr>
      </w:pPr>
      <w:r>
        <w:rPr>
          <w:rFonts w:ascii="Arial" w:cs="Arial" w:eastAsia="Arial" w:hAnsi="Arial"/>
          <w:sz w:val="16"/>
          <w:szCs w:val="16"/>
          <w:i w:val="1"/>
          <w:iCs w:val="1"/>
          <w:color w:val="231F20"/>
        </w:rPr>
        <w:t>You should read the following discussion and analysis of our financial condition and results of operations together with the information presented in our financial statements and the related notes included elsewhere in this Annual Report on Form 10-K. This discussion contains forward-looking statements based upon current plans, expectation, and beliefs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 Please also see the section of this Annual Report on Form 10-K titled “Forward-Looking Statements.” A discussion of the year ended December 31, 2020 compared to the year ended December 31, 2019 has been reported previously in our final prospectus dated July 14, 2021 (File No. 333-257320) filed with the SEC on July 15, 2021 pursuant to Rule 424(b)(4) of the Securities Act (the “Prospectus”), under the heading “Management’s Discussion and Analysis of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08" w:lineRule="exact"/>
        <w:rPr>
          <w:sz w:val="20"/>
          <w:szCs w:val="20"/>
          <w:color w:val="auto"/>
        </w:rPr>
      </w:pPr>
    </w:p>
    <w:p>
      <w:pPr>
        <w:ind w:right="120" w:firstLine="419"/>
        <w:spacing w:after="0" w:line="284" w:lineRule="auto"/>
        <w:rPr>
          <w:sz w:val="20"/>
          <w:szCs w:val="20"/>
          <w:color w:val="auto"/>
        </w:rPr>
      </w:pPr>
      <w:r>
        <w:rPr>
          <w:rFonts w:ascii="Arial" w:cs="Arial" w:eastAsia="Arial" w:hAnsi="Arial"/>
          <w:sz w:val="16"/>
          <w:szCs w:val="16"/>
          <w:color w:val="231F20"/>
        </w:rPr>
        <w:t>Sight Sciences’ mission is to transform ophthalmology and optometry through the development and commercialization of proprietary devices that target the underlying causes of the world’s most prevalent eye diseases. We are passionate about improving patients’ lives.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w:t>
      </w:r>
    </w:p>
    <w:p>
      <w:pPr>
        <w:spacing w:after="0" w:line="47" w:lineRule="exact"/>
        <w:rPr>
          <w:sz w:val="20"/>
          <w:szCs w:val="20"/>
          <w:color w:val="auto"/>
        </w:rPr>
      </w:pPr>
    </w:p>
    <w:p>
      <w:pPr>
        <w:ind w:left="800" w:hanging="283"/>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comprehensively understand disease physiology,</w:t>
      </w:r>
    </w:p>
    <w:p>
      <w:pPr>
        <w:spacing w:after="0" w:line="103" w:lineRule="exact"/>
        <w:rPr>
          <w:rFonts w:ascii="Arial" w:cs="Arial" w:eastAsia="Arial" w:hAnsi="Arial"/>
          <w:sz w:val="18"/>
          <w:szCs w:val="18"/>
          <w:color w:val="auto"/>
        </w:rPr>
      </w:pPr>
    </w:p>
    <w:p>
      <w:pPr>
        <w:ind w:left="800" w:hanging="283"/>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develop products that are intended to restore natural physiological functionality to diseased eyes;</w:t>
      </w:r>
    </w:p>
    <w:p>
      <w:pPr>
        <w:spacing w:after="0" w:line="103" w:lineRule="exact"/>
        <w:rPr>
          <w:rFonts w:ascii="Arial" w:cs="Arial" w:eastAsia="Arial" w:hAnsi="Arial"/>
          <w:sz w:val="18"/>
          <w:szCs w:val="18"/>
          <w:color w:val="auto"/>
        </w:rPr>
      </w:pPr>
    </w:p>
    <w:p>
      <w:pPr>
        <w:ind w:left="800" w:right="680" w:hanging="283"/>
        <w:spacing w:after="0" w:line="261"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develop and market products that achieve superior effectiveness versus current treatment paradigms while minimizing complications or side effects,</w:t>
      </w:r>
    </w:p>
    <w:p>
      <w:pPr>
        <w:spacing w:after="0" w:line="62" w:lineRule="exact"/>
        <w:rPr>
          <w:rFonts w:ascii="Arial" w:cs="Arial" w:eastAsia="Arial" w:hAnsi="Arial"/>
          <w:sz w:val="18"/>
          <w:szCs w:val="18"/>
          <w:color w:val="auto"/>
        </w:rPr>
      </w:pPr>
    </w:p>
    <w:p>
      <w:pPr>
        <w:ind w:left="800" w:hanging="283"/>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provide intuitive, patient friendly solutions to ophthalmologists and optometrists; and</w:t>
      </w:r>
    </w:p>
    <w:p>
      <w:pPr>
        <w:spacing w:after="0" w:line="103" w:lineRule="exact"/>
        <w:rPr>
          <w:rFonts w:ascii="Arial" w:cs="Arial" w:eastAsia="Arial" w:hAnsi="Arial"/>
          <w:sz w:val="18"/>
          <w:szCs w:val="18"/>
          <w:color w:val="auto"/>
        </w:rPr>
      </w:pPr>
    </w:p>
    <w:p>
      <w:pPr>
        <w:ind w:left="800" w:right="960" w:hanging="283"/>
        <w:spacing w:after="0" w:line="261"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deliver compelling economic value to all stakeholders, including patients, providers and third-party payors such as Medicare and commercial insurers</w:t>
      </w:r>
    </w:p>
    <w:p>
      <w:pPr>
        <w:spacing w:after="0" w:line="63" w:lineRule="exact"/>
        <w:rPr>
          <w:sz w:val="20"/>
          <w:szCs w:val="20"/>
          <w:color w:val="auto"/>
        </w:rPr>
      </w:pPr>
    </w:p>
    <w:p>
      <w:pPr>
        <w:ind w:firstLine="419"/>
        <w:spacing w:after="0" w:line="271" w:lineRule="auto"/>
        <w:rPr>
          <w:sz w:val="20"/>
          <w:szCs w:val="20"/>
          <w:color w:val="auto"/>
        </w:rPr>
      </w:pPr>
      <w:r>
        <w:rPr>
          <w:rFonts w:ascii="Arial" w:cs="Arial" w:eastAsia="Arial" w:hAnsi="Arial"/>
          <w:sz w:val="16"/>
          <w:szCs w:val="16"/>
          <w:color w:val="231F20"/>
        </w:rPr>
        <w:t>Our initial product development has focused on the treatment of two of the world’s most prevalent and underserved eye diseases, glaucoma and dry eye disease. We have commercialized products in each of our two reportable segments. Our Surgical Glaucoma segment consists of sales of the OMNI Surgical System, or OMNI, and also included sales of VISCO360 and TRAB360, OMNI’s predicate devices, until they were discontinued in the first quarter of 2019. Our Dry Eye segment includes sales of the TearCare System, or TearCare, and related components and accessories. For the year ended December 31, 2021, 95% and 5% of our revenues were derived from our Surgical Glaucoma and Dry Eye segments, respectively. Both systems are primarily sold through a highly-involved direct sales model that offers intensive education, training and customer service. We believe this philosophy and model not only enables us to differentiate our products and our overall company from competitors, but also to expand our addressable market by educating ECPs, patients and other stakeholders on our products and evolving treatment paradigms. Outside of the U.S., we have historically sold OMNI primarily through a network of distributors, although we began employing a small direct sales force outside of the United States in April 2021.</w:t>
      </w:r>
    </w:p>
    <w:p>
      <w:pPr>
        <w:spacing w:after="0" w:line="169" w:lineRule="exact"/>
        <w:rPr>
          <w:sz w:val="20"/>
          <w:szCs w:val="20"/>
          <w:color w:val="auto"/>
        </w:rPr>
      </w:pPr>
    </w:p>
    <w:p>
      <w:pPr>
        <w:ind w:firstLine="419"/>
        <w:spacing w:after="0" w:line="270" w:lineRule="auto"/>
        <w:rPr>
          <w:sz w:val="20"/>
          <w:szCs w:val="20"/>
          <w:color w:val="auto"/>
        </w:rPr>
      </w:pPr>
      <w:r>
        <w:rPr>
          <w:rFonts w:ascii="Arial" w:cs="Arial" w:eastAsia="Arial" w:hAnsi="Arial"/>
          <w:sz w:val="16"/>
          <w:szCs w:val="16"/>
          <w:color w:val="231F20"/>
        </w:rPr>
        <w:t xml:space="preserve">We commercially launched OMNI and TearCare in February 2018 and April 2019, respectively. In May 2020, we introduced our next generation OMNI Surgical System that incorporated extensive feedback from our physician users and that we believe improved upon the first-generation device. We sell OMNI to facilities where ophthalmic surgeons perform outpatient procedures, mainly ASCs and HOPDs, which are typically reimbursed by Medicare or private payors for procedures using our products. We sell TearCare to optometrist and ophthalmologist practices. Currently, there is no meaningful reimbursement coverage by Medicare or private payors for MGD procedures, including TearCare, and patients typically pay out-of-pocket for TearCare. We are continuing our controlled commercial launch and are focused upon </w:t>
      </w:r>
      <w:r>
        <w:rPr>
          <w:rFonts w:ascii="Arial" w:cs="Arial" w:eastAsia="Arial" w:hAnsi="Arial"/>
          <w:sz w:val="16"/>
          <w:szCs w:val="16"/>
          <w:color w:val="000000"/>
        </w:rPr>
        <w:t>our</w:t>
      </w:r>
      <w:r>
        <w:rPr>
          <w:rFonts w:ascii="Arial" w:cs="Arial" w:eastAsia="Arial" w:hAnsi="Arial"/>
          <w:sz w:val="16"/>
          <w:szCs w:val="16"/>
          <w:color w:val="231F20"/>
        </w:rPr>
        <w:t xml:space="preserve"> comprehensive, clinical data-driven long-term market development plan that aims to improve awareness and patient access to TearCare. As of December 31, 2021, we employed over 100 people to execute our commercial strategy in direct sales, marketing, training and professional services. The overall success of our approach to eyecare to date is evidenced by the over 85,000 estimated uses of OMNI and its direct predicates in over 1,200 hospitals and ASCs in the U.S. and Europe, and over 15,000 estimated uses of TearCare in over 550 eyecare facilities in the U.S. through December 31, 2021.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4" w:right="419" w:bottom="1440" w:gutter="0" w:footer="0" w:header="0"/>
        </w:sectPr>
      </w:pPr>
    </w:p>
    <w:bookmarkStart w:id="98" w:name="page99"/>
    <w:bookmarkEnd w:id="98"/>
    <w:p>
      <w:pPr>
        <w:ind w:right="140" w:firstLine="419"/>
        <w:spacing w:after="0" w:line="248" w:lineRule="auto"/>
        <w:rPr>
          <w:sz w:val="20"/>
          <w:szCs w:val="20"/>
          <w:color w:val="auto"/>
        </w:rPr>
      </w:pPr>
      <w:r>
        <w:rPr>
          <w:rFonts w:ascii="Arial" w:cs="Arial" w:eastAsia="Arial" w:hAnsi="Arial"/>
          <w:sz w:val="18"/>
          <w:szCs w:val="18"/>
          <w:color w:val="231F20"/>
        </w:rPr>
        <w:t>We currently operate no manufacturing facilities and instead contract with third parties for our production requirements. We believe our suppliers will be able to meet our current and anticipated manufacturing needs across all our products. We plan to continue to utilize third party contract manufacturers for our products and any related components.</w:t>
      </w:r>
    </w:p>
    <w:p>
      <w:pPr>
        <w:spacing w:after="0" w:line="182" w:lineRule="exact"/>
        <w:rPr>
          <w:sz w:val="20"/>
          <w:szCs w:val="20"/>
          <w:color w:val="auto"/>
        </w:rPr>
      </w:pPr>
    </w:p>
    <w:p>
      <w:pPr>
        <w:ind w:right="60" w:firstLine="419"/>
        <w:spacing w:after="0" w:line="269" w:lineRule="auto"/>
        <w:rPr>
          <w:sz w:val="20"/>
          <w:szCs w:val="20"/>
          <w:color w:val="auto"/>
        </w:rPr>
      </w:pPr>
      <w:r>
        <w:rPr>
          <w:rFonts w:ascii="Arial" w:cs="Arial" w:eastAsia="Arial" w:hAnsi="Arial"/>
          <w:sz w:val="16"/>
          <w:szCs w:val="16"/>
          <w:color w:val="231F20"/>
        </w:rPr>
        <w:t xml:space="preserve">Our gross margin in our Surgical Glaucoma segment for the years ended December 31, 2021 and 2020 was 86.1% and 72.8%, respectively. </w:t>
      </w:r>
      <w:r>
        <w:rPr>
          <w:rFonts w:ascii="Arial" w:cs="Arial" w:eastAsia="Arial" w:hAnsi="Arial"/>
          <w:sz w:val="16"/>
          <w:szCs w:val="16"/>
          <w:color w:val="000000"/>
        </w:rPr>
        <w:t xml:space="preserve">Beginning with the production of finished goods inventory in Q1 2021, we shifted our primary production of OMNI from a U.S.-based third-party contract manufacturer, to a lower cost, higher volume contract manufacturer in Asia. We are in the process of supplementing this OMNI production capacity with a U.S.-based contract manufacturer. These cost optimization initiatives contributed to the increase in gross margins in our Surgical Glaucoma segment in 2021 as compared to the same period in 2020. The TearCare System includes the SmartHub component, which is typically only sold in initial purchase orders, and single-use SmartLids which are sold as part of initial purchase orders and through repeat orders as the ECP performs procedures over time. In an effort to build a meaningful TearCare installed base and encourage product trial and adoption by ECPs, our pricing strategy for SmartHubs has not focused on gross profit maximization. As the installed base of TearCare customers grows, we believe SmartLids, which currently generate higher gross margins than SmartHubs, will increase as a proportion of total Dry Eye segment revenues and gross profit. Given the earlier stage of TearCare’s commercial development and our pricing strategy with respect to SmartHubs, we expect our Dry Eye segment’s gross margins to be lower than our Surgical Glaucoma segment’s gross margins for the near and medium-term. </w:t>
      </w:r>
      <w:r>
        <w:rPr>
          <w:rFonts w:ascii="Arial" w:cs="Arial" w:eastAsia="Arial" w:hAnsi="Arial"/>
          <w:sz w:val="16"/>
          <w:szCs w:val="16"/>
          <w:color w:val="231F20"/>
        </w:rPr>
        <w:t>Our gross margin for our Dry Eye segment for the years ended</w:t>
      </w:r>
      <w:r>
        <w:rPr>
          <w:rFonts w:ascii="Arial" w:cs="Arial" w:eastAsia="Arial" w:hAnsi="Arial"/>
          <w:sz w:val="16"/>
          <w:szCs w:val="16"/>
          <w:color w:val="000000"/>
        </w:rPr>
        <w:t xml:space="preserve"> </w:t>
      </w:r>
      <w:r>
        <w:rPr>
          <w:rFonts w:ascii="Arial" w:cs="Arial" w:eastAsia="Arial" w:hAnsi="Arial"/>
          <w:sz w:val="16"/>
          <w:szCs w:val="16"/>
          <w:color w:val="231F20"/>
        </w:rPr>
        <w:t>December 31, 2021 and 2020 was 13.1% and (30.5%), respectively.</w:t>
      </w:r>
    </w:p>
    <w:p>
      <w:pPr>
        <w:spacing w:after="0" w:line="171" w:lineRule="exact"/>
        <w:rPr>
          <w:sz w:val="20"/>
          <w:szCs w:val="20"/>
          <w:color w:val="auto"/>
        </w:rPr>
      </w:pPr>
    </w:p>
    <w:p>
      <w:pPr>
        <w:ind w:firstLine="419"/>
        <w:spacing w:after="0" w:line="271" w:lineRule="auto"/>
        <w:rPr>
          <w:sz w:val="20"/>
          <w:szCs w:val="20"/>
          <w:color w:val="auto"/>
        </w:rPr>
      </w:pPr>
      <w:r>
        <w:rPr>
          <w:rFonts w:ascii="Arial" w:cs="Arial" w:eastAsia="Arial" w:hAnsi="Arial"/>
          <w:sz w:val="16"/>
          <w:szCs w:val="16"/>
          <w:color w:val="231F20"/>
        </w:rPr>
        <w:t>We believe in the importance of continued strategic investment in initiatives that: further demonstrate our products’ clinical effectiveness and safety to potential customers, patients, payors and regulators; enhance our commercial capabilities, including resources dedicated to sales, marketing and education; ensure the broadest possible patient access to the treatment alternatives that our products are cleared to offer; enhance and improve upon our existing product technologies; and allow us to innovate new products, devices or drugs, in glaucoma and DED or in new eye disease areas. As a result, we intend to continue to invest in clinical studies, sales and marketing, education initiatives, market access, and product development. Because of these and other factors, we expect to continue to incur net losses for at least the next several fiscal years. Moreover, we expect to incur additional expenses as a result of operating as a public company, including expenses related to compliance with the rules and regulations of the SEC and those of the Nasdaq Stock Market, additional insurance expenses, investor relations activities and other administrative and professional services. As a result of these and other factors, we may require and seek additional debt and equity financing to fund our operations and planned growth.</w:t>
      </w:r>
    </w:p>
    <w:p>
      <w:pPr>
        <w:spacing w:after="0" w:line="169" w:lineRule="exact"/>
        <w:rPr>
          <w:sz w:val="20"/>
          <w:szCs w:val="20"/>
          <w:color w:val="auto"/>
        </w:rPr>
      </w:pPr>
    </w:p>
    <w:p>
      <w:pPr>
        <w:ind w:right="40" w:firstLine="419"/>
        <w:spacing w:after="0" w:line="257" w:lineRule="auto"/>
        <w:rPr>
          <w:sz w:val="20"/>
          <w:szCs w:val="20"/>
          <w:color w:val="auto"/>
        </w:rPr>
      </w:pPr>
      <w:r>
        <w:rPr>
          <w:rFonts w:ascii="Arial" w:cs="Arial" w:eastAsia="Arial" w:hAnsi="Arial"/>
          <w:sz w:val="17"/>
          <w:szCs w:val="17"/>
          <w:color w:val="231F20"/>
        </w:rPr>
        <w:t>To date, our primary sources of capital has been private placements of redeemable convertible preferred stock, debt financing agreements, the sale of common stock in our IPO, and revenue from the sale of our products. In July 2021, we completed our IPO, including the underwriters full exercise of their option to purchase additional shares, selling 11,500,000 shares of our common stock at $24.00 per share. Upon completion of our IPO, we received net proceeds of $252.2 million, after deducting underwriting discounts and commissions and offering costs. As of December 31, 2021, we had an outstanding term loan balance of $35.0 million (excluding debt discount and amortized debt issuance costs). As of December 31, 2021, we had cash and cash equivalents of $260.7 million and an accumulated deficit of $153.0 million.</w:t>
      </w:r>
    </w:p>
    <w:p>
      <w:pPr>
        <w:spacing w:after="0" w:line="175" w:lineRule="exact"/>
        <w:rPr>
          <w:sz w:val="20"/>
          <w:szCs w:val="20"/>
          <w:color w:val="auto"/>
        </w:rPr>
      </w:pPr>
    </w:p>
    <w:p>
      <w:pPr>
        <w:ind w:right="160" w:firstLine="419"/>
        <w:spacing w:after="0" w:line="243" w:lineRule="auto"/>
        <w:rPr>
          <w:sz w:val="20"/>
          <w:szCs w:val="20"/>
          <w:color w:val="auto"/>
        </w:rPr>
      </w:pPr>
      <w:r>
        <w:rPr>
          <w:rFonts w:ascii="Arial" w:cs="Arial" w:eastAsia="Arial" w:hAnsi="Arial"/>
          <w:sz w:val="18"/>
          <w:szCs w:val="18"/>
          <w:color w:val="231F20"/>
        </w:rPr>
        <w:t>During the year ended December 31, 2021, we generated revenue of $49.0 million, with a gross margin of 82.4%. Our net loss for the year ended December 31, 2021 was $63.0 million. For the year ended December 31, 2020, we generated revenue of $27.6 million, with a gross margin of 66.7%. Our net loss for the year ended December 31, 2020 was $34.7 million. For all periods presented, substantially all of our revenue was generated from customers in the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Impact of COVID-19</w:t>
      </w:r>
    </w:p>
    <w:p>
      <w:pPr>
        <w:spacing w:after="0" w:line="104" w:lineRule="exact"/>
        <w:rPr>
          <w:sz w:val="20"/>
          <w:szCs w:val="20"/>
          <w:color w:val="auto"/>
        </w:rPr>
      </w:pPr>
    </w:p>
    <w:p>
      <w:pPr>
        <w:ind w:firstLine="419"/>
        <w:spacing w:after="0" w:line="254" w:lineRule="auto"/>
        <w:rPr>
          <w:sz w:val="20"/>
          <w:szCs w:val="20"/>
          <w:color w:val="auto"/>
        </w:rPr>
      </w:pPr>
      <w:r>
        <w:rPr>
          <w:rFonts w:ascii="Arial" w:cs="Arial" w:eastAsia="Arial" w:hAnsi="Arial"/>
          <w:sz w:val="17"/>
          <w:szCs w:val="17"/>
          <w:color w:val="231F20"/>
        </w:rPr>
        <w:t>The global COVID-19 pandemic impacted and is expected to continue to impact demand for our products, which are used in procedures and therapies that are considered elective. Although some of these governmental restrictions have since been lifted or scaled back, recent and future surges of COVID-19 may result in restrictions being re-implemented in response to efforts to reduce the spread of COVID-19. As elective eyecare procedures in many facilities that utilize our products were temporarily suspended by governmental authorities, many patients avoided visiting ECPs, and, even in areas that allowed elective procedures, ECPs and healthcare facilities in general substantially reduced or in some cases halted, the scheduling and performance of such procedures. The decrease in demand for our products due to COVID-19 most significantly impacted our revenues in the latter part of the first quarter and the first half of the second quarter of 2020. Beginning in June 2020, we began to see an increase in the number of procedures using our products. In the first quarter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8" w:right="439" w:bottom="1440" w:gutter="0" w:footer="0" w:header="0"/>
        </w:sectPr>
      </w:pPr>
    </w:p>
    <w:bookmarkStart w:id="99" w:name="page100"/>
    <w:bookmarkEnd w:id="99"/>
    <w:p>
      <w:pPr>
        <w:ind w:right="80"/>
        <w:spacing w:after="0" w:line="241" w:lineRule="auto"/>
        <w:rPr>
          <w:sz w:val="20"/>
          <w:szCs w:val="20"/>
          <w:color w:val="auto"/>
        </w:rPr>
      </w:pPr>
      <w:r>
        <w:rPr>
          <w:rFonts w:ascii="Arial" w:cs="Arial" w:eastAsia="Arial" w:hAnsi="Arial"/>
          <w:sz w:val="18"/>
          <w:szCs w:val="18"/>
          <w:color w:val="231F20"/>
        </w:rPr>
        <w:t>2021, our customers experienced a significant number of procedure cancellations which we believe were largely driven by patients postponing in-office treatments until their COVID-19 vaccinations were completed (as opposed to any restrictions imposed on elective procedures), thus adversely impacting our revenues. As vaccine availability and the vaccinated population increases across the U.S., the recovery of our end markets resumed in the second quarter of 2021. Our normal business operations were again disrupted by resurgence of the Delta variant in the third quarter of 2021 and emergence of the Omicron variant in the fourth quarter of 2021 and into early 2022.</w:t>
      </w:r>
    </w:p>
    <w:p>
      <w:pPr>
        <w:spacing w:after="0" w:line="189" w:lineRule="exact"/>
        <w:rPr>
          <w:sz w:val="20"/>
          <w:szCs w:val="20"/>
          <w:color w:val="auto"/>
        </w:rPr>
      </w:pPr>
    </w:p>
    <w:p>
      <w:pPr>
        <w:ind w:firstLine="419"/>
        <w:spacing w:after="0" w:line="268" w:lineRule="auto"/>
        <w:rPr>
          <w:sz w:val="20"/>
          <w:szCs w:val="20"/>
          <w:color w:val="auto"/>
        </w:rPr>
      </w:pPr>
      <w:r>
        <w:rPr>
          <w:rFonts w:ascii="Arial" w:cs="Arial" w:eastAsia="Arial" w:hAnsi="Arial"/>
          <w:sz w:val="16"/>
          <w:szCs w:val="16"/>
          <w:color w:val="231F20"/>
        </w:rPr>
        <w:t>We are continuing to closely monitor the global COVID-19 pandemic. In order to operate in a safe manner, we are following the health and safety guidelines of the U.S. Centers for Disease Control and Prevention, Occupational Safety and Health Administration, and local and state public health departments where we operate. The majority of our employees at our headquarters have been asked to work from home, with only limited access given to employees to work in the office when necessary. For roles that require employees to be on-site, such as our R&amp;D and manufacturing technical staff, we are providing protective equipment, practicing social distancing, and enforcing mask wearing and we have increased sanitization standards. In addition, we have created a business continuity plan and incident management team to respond quickly and effectively to COVID-19 related issues in order to offer customers uninterrupted products, services and support while safeguarding the best interests of employees, suppliers and stakeholders. The ultimate impact of the global COVID-19 pandemic on our operations is unknown and will depend on future developments which are highly uncertain and cannot be predicted with confidence, including the duration and severity of the COVID-19 pandemic, the status of health and safety actions taken to contain its spread and any additional preventative and protective actions that governments, or we, may direct, any resurgence of COVID-19 that may occur and how quickly and to what extent economic and operating conditions normalize within the markets in which we operate. The global COVID-19 pandemic could disrupt the operations of our third-party manufacturers and other suppliers. Although we have not experienced material disruptions in our supply chain to date, we cannot predict how long the pandemic and measures intended to contain the spread of COVID-19 will continue and what effect COVID-19 and the associated containment measures will have on our suppliers and vendors, in particular for any of our suppliers and vendors that may not qualify as essential businesses and suffer more significant disruptions to their business operations. We are working closely with our manufacturing partners and suppliers to help ensure we are able to source key components and maintain appropriate inventory levels to meet customer demand.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our Business and Results of Operations</w:t>
      </w:r>
    </w:p>
    <w:p>
      <w:pPr>
        <w:spacing w:after="0" w:line="108" w:lineRule="exact"/>
        <w:rPr>
          <w:sz w:val="20"/>
          <w:szCs w:val="20"/>
          <w:color w:val="auto"/>
        </w:rPr>
      </w:pPr>
    </w:p>
    <w:p>
      <w:pPr>
        <w:ind w:right="340" w:firstLine="419"/>
        <w:spacing w:after="0" w:line="261" w:lineRule="auto"/>
        <w:rPr>
          <w:sz w:val="20"/>
          <w:szCs w:val="20"/>
          <w:color w:val="auto"/>
        </w:rPr>
      </w:pPr>
      <w:r>
        <w:rPr>
          <w:rFonts w:ascii="Arial" w:cs="Arial" w:eastAsia="Arial" w:hAnsi="Arial"/>
          <w:sz w:val="18"/>
          <w:szCs w:val="18"/>
          <w:color w:val="231F20"/>
        </w:rPr>
        <w:t>We believe there are several important factors that have impacted and that will continue to impact our business and results of operations. These factors include, but are limited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Product Development</w:t>
      </w:r>
    </w:p>
    <w:p>
      <w:pPr>
        <w:spacing w:after="0" w:line="104" w:lineRule="exact"/>
        <w:rPr>
          <w:sz w:val="20"/>
          <w:szCs w:val="20"/>
          <w:color w:val="auto"/>
        </w:rPr>
      </w:pPr>
    </w:p>
    <w:p>
      <w:pPr>
        <w:ind w:firstLine="419"/>
        <w:spacing w:after="0" w:line="254" w:lineRule="auto"/>
        <w:rPr>
          <w:sz w:val="20"/>
          <w:szCs w:val="20"/>
          <w:color w:val="auto"/>
        </w:rPr>
      </w:pPr>
      <w:r>
        <w:rPr>
          <w:rFonts w:ascii="Arial" w:cs="Arial" w:eastAsia="Arial" w:hAnsi="Arial"/>
          <w:sz w:val="17"/>
          <w:szCs w:val="17"/>
          <w:color w:val="231F20"/>
        </w:rPr>
        <w:t>We believe our product development approach is a key differentiator of our team and our company. We are focused on continuous innovation and design and utilize input from our network of expert employees (including several ophthalmologists on staff), advisors and customers to rapidly iterate our pre-and post-commercial product designs with the aim of better satisfying the needs of our customers and their patients, and increasing adoption and utilization of our solutions. Once our products are launched, our customer feedback loop helps us further develop our products. This is particularly evident in the evolution of our OMNI Surgical System, which originated from the combined functionality of two internally developed, commercial predicate devices, each of which had their own multiple commercial iterations. We further refined ergonomics and functionality in our next generation OMNI Surgical System, which we launched in May 2020. Our future growth is dependent on our ability to continue innovating and applying our expertise of disease physiology to improve existing products and develop new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Education and Training on the Benefit of our Products vis-à-vis Existing Treatment Alternatives</w:t>
      </w:r>
    </w:p>
    <w:p>
      <w:pPr>
        <w:spacing w:after="0" w:line="104" w:lineRule="exact"/>
        <w:rPr>
          <w:sz w:val="20"/>
          <w:szCs w:val="20"/>
          <w:color w:val="auto"/>
        </w:rPr>
      </w:pPr>
    </w:p>
    <w:p>
      <w:pPr>
        <w:ind w:right="120" w:firstLine="419"/>
        <w:spacing w:after="0" w:line="255" w:lineRule="auto"/>
        <w:rPr>
          <w:sz w:val="20"/>
          <w:szCs w:val="20"/>
          <w:color w:val="auto"/>
        </w:rPr>
      </w:pPr>
      <w:r>
        <w:rPr>
          <w:rFonts w:ascii="Arial" w:cs="Arial" w:eastAsia="Arial" w:hAnsi="Arial"/>
          <w:sz w:val="17"/>
          <w:szCs w:val="17"/>
          <w:color w:val="231F20"/>
        </w:rPr>
        <w:t>One of the key drivers of our success is educating ophthalmologists, optometrists, patients, and third-party payors about the clinical and safety benefits of our products and of the benefits of more proactive, interventional approach to treating glaucoma and DED. We believe the required market education and development is best accomplished through a differentiated, highly involved commercial approach. As such, we devote significant resources to onboarding our sales professionals and to continuously augmenting their knowledge and capabilities. Our sales professionals provide ECPs with the necessary education, training and support to adopt and continue to use our products. We believe that increasing acceptance and usage of our products will require continued investment in our sales force and education efforts to ensure ECPs, patients and third-party payors learn more about our products and appreciate our benefits to their target patient populations.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231F20"/>
        </w:rPr>
        <w:t>Maximizing Product Usage by Customers</w:t>
      </w:r>
    </w:p>
    <w:p>
      <w:pPr>
        <w:spacing w:after="0" w:line="104" w:lineRule="exact"/>
        <w:rPr>
          <w:sz w:val="20"/>
          <w:szCs w:val="20"/>
          <w:color w:val="auto"/>
        </w:rPr>
      </w:pPr>
    </w:p>
    <w:p>
      <w:pPr>
        <w:ind w:right="20" w:firstLine="419"/>
        <w:spacing w:after="0" w:line="238" w:lineRule="auto"/>
        <w:rPr>
          <w:sz w:val="20"/>
          <w:szCs w:val="20"/>
          <w:color w:val="auto"/>
        </w:rPr>
      </w:pPr>
      <w:r>
        <w:rPr>
          <w:rFonts w:ascii="Arial" w:cs="Arial" w:eastAsia="Arial" w:hAnsi="Arial"/>
          <w:sz w:val="18"/>
          <w:szCs w:val="18"/>
          <w:color w:val="231F20"/>
        </w:rPr>
        <w:t xml:space="preserve">Demand for our products will be highly dependent on our ability to develop their potential addressable markets and maximize the breadth of patients our products can serve. OMNI is indicated for canaloplasty followed by trabeculotomy to reduce IOP in adult patients with POAG in the U.S. and with OAG, in the EU. We believe that OMNI is the only device that is authorized by the FDA as an </w:t>
      </w:r>
      <w:r>
        <w:rPr>
          <w:rFonts w:ascii="Arial" w:cs="Arial" w:eastAsia="Arial" w:hAnsi="Arial"/>
          <w:sz w:val="18"/>
          <w:szCs w:val="18"/>
          <w:i w:val="1"/>
          <w:iCs w:val="1"/>
          <w:color w:val="231F20"/>
        </w:rPr>
        <w:t>ab interno</w:t>
      </w:r>
      <w:r>
        <w:rPr>
          <w:rFonts w:ascii="Arial" w:cs="Arial" w:eastAsia="Arial" w:hAnsi="Arial"/>
          <w:sz w:val="18"/>
          <w:szCs w:val="18"/>
          <w:color w:val="231F20"/>
        </w:rPr>
        <w:t xml:space="preserve"> procedure to: reduce IOP in adult patients with POAG across the spectrum of disease severity; be used in Mild-to-Moderate Combination Cataract or Standalone procedures; access 360 degrees of the diseased conventional outflow pathway through a single clear corneal incision; and facilitate two consecutive procedures, canaloplasty and trabeculotomy, to comprehensively treat all three primary points of resistance in the conventional outflow pathway in a single operating room visit. Our ability to establish OMNI as the standard of care for all POAG patients by continuing to grow its adoption and utilization in Combination Cataract procedures and by pioneering the development of the market for interventional standalone procedures will have a substantial impact on our future growth.</w:t>
      </w:r>
    </w:p>
    <w:p>
      <w:pPr>
        <w:spacing w:after="0" w:line="191" w:lineRule="exact"/>
        <w:rPr>
          <w:sz w:val="20"/>
          <w:szCs w:val="20"/>
          <w:color w:val="auto"/>
        </w:rPr>
      </w:pPr>
    </w:p>
    <w:p>
      <w:pPr>
        <w:ind w:right="40" w:firstLine="419"/>
        <w:spacing w:after="0" w:line="252" w:lineRule="auto"/>
        <w:rPr>
          <w:sz w:val="20"/>
          <w:szCs w:val="20"/>
          <w:color w:val="auto"/>
        </w:rPr>
      </w:pPr>
      <w:r>
        <w:rPr>
          <w:rFonts w:ascii="Arial" w:cs="Arial" w:eastAsia="Arial" w:hAnsi="Arial"/>
          <w:sz w:val="17"/>
          <w:szCs w:val="17"/>
          <w:color w:val="231F20"/>
        </w:rPr>
        <w:t>TearCare is a unique open-eye heating and expression device designed to melt and remove meibomian gland obstructions. We believe TearCare has a compelling physiological profile to address obstruction from meibomian gland disease, or MGD, which is the primary cause of evaporative DED, a disease characterized by low quality tears that evaporate prematurely. The current DED treatment market primarily consists of an abundance of OTC and prescription eyedrops that seek to lubricate the ocular surface, alleviate inflammation and/or increase tear production. However, OTC and prescription eyedrops are incapable of clearing obstructions in the meibomian glands and do not address MGD’s eyelid-borne physiology and poor tear quality. MGD is associated with 86% of DED cases and is a leading root cause of evaporative DED, which is characterized by low quality tears that evaporate prematurely. Clinical studies have demonstrated that treating MGD by liquefying and removing clogged meibum is the most effective method to eliminate obstructions and restore the lipid layer of tear film, thereby preventing premature evaporation of tears. TearCare was designed to be administered during the course of a routine office visit to an ECP, which makes it convenient for patients, and allows providers to maintain procedural throughput in their practices. Our ability to improve patient access and market education on TearCare and the benefits of proactive MGD treatment will be key drivers of TearCare’s future growth.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Operational excellence and cost efficiency</w:t>
      </w:r>
    </w:p>
    <w:p>
      <w:pPr>
        <w:spacing w:after="0" w:line="104" w:lineRule="exact"/>
        <w:rPr>
          <w:sz w:val="20"/>
          <w:szCs w:val="20"/>
          <w:color w:val="auto"/>
        </w:rPr>
      </w:pPr>
    </w:p>
    <w:p>
      <w:pPr>
        <w:ind w:right="40" w:firstLine="419"/>
        <w:spacing w:after="0" w:line="254" w:lineRule="auto"/>
        <w:rPr>
          <w:sz w:val="20"/>
          <w:szCs w:val="20"/>
          <w:color w:val="auto"/>
        </w:rPr>
      </w:pPr>
      <w:r>
        <w:rPr>
          <w:rFonts w:ascii="Arial" w:cs="Arial" w:eastAsia="Arial" w:hAnsi="Arial"/>
          <w:sz w:val="17"/>
          <w:szCs w:val="17"/>
          <w:color w:val="231F20"/>
        </w:rPr>
        <w:t>We aim to achieve operating and financial milestones with optimal capital efficiency, and focus on our market value relative to invested capital as a key measurement of our performance. To date, we have raised $402.4 million in net proceeds from equity and debt financings, including $252.2 million from our IPO. With a portion of these net proceeds (our December 31, 2021 cash and equivalents was $260.7 million), we believe we have developed and commercially launched two clinically differentiated products, funded multiple completed and ongoing clinical trials, and built our management team and company infrastructure to support the continued growth of our business. We believe that this level of operational and commercial progress relative to our total capital investment to date compares favorably to medical technology peers. We seek to design products that can achieve attractive long-term gross margins. For example, we generated significantly higher gross margins in our Surgical Glaucoma segment in 2021 than prior years, which was a key financial objective we targeted for the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Components of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w:t>
      </w:r>
    </w:p>
    <w:p>
      <w:pPr>
        <w:spacing w:after="0" w:line="104" w:lineRule="exact"/>
        <w:rPr>
          <w:sz w:val="20"/>
          <w:szCs w:val="20"/>
          <w:color w:val="auto"/>
        </w:rPr>
      </w:pPr>
    </w:p>
    <w:p>
      <w:pPr>
        <w:ind w:firstLine="419"/>
        <w:spacing w:after="0" w:line="255" w:lineRule="auto"/>
        <w:rPr>
          <w:sz w:val="20"/>
          <w:szCs w:val="20"/>
          <w:color w:val="auto"/>
        </w:rPr>
      </w:pPr>
      <w:r>
        <w:rPr>
          <w:rFonts w:ascii="Arial" w:cs="Arial" w:eastAsia="Arial" w:hAnsi="Arial"/>
          <w:sz w:val="17"/>
          <w:szCs w:val="17"/>
          <w:color w:val="231F20"/>
        </w:rPr>
        <w:t>We currently derive the majority of our U.S. revenue from the sale of OMNI to ASCs and HOPDs and TearCare to ophthalmology and optometry practices. During the years ended December 31, 2021 and 2020, the revenues from our Surgical Glaucoma segment, including OMNI and its predicate devices, accounted for over 90% of our total revenues. Substantially all of our revenues for 2021 and 2020 were generated from sales within the U.S. Our OMNI customers place orders based on their expected procedure volume and reorder as needed, typically on a biweekly, monthly or bimonthly basis. Our TearCare customers typically purchase a TearCare System which consists of one or more SmartHubs, multiple single-use SmartLids and other accessories. After utilizing their initial inventory, customers will reorder SmartLids as needed. No single customer accounted for 10% or more of our revenue for the years ended December 31, 2021 and 2020.</w:t>
      </w:r>
    </w:p>
    <w:p>
      <w:pPr>
        <w:spacing w:after="0" w:line="180" w:lineRule="exact"/>
        <w:rPr>
          <w:sz w:val="20"/>
          <w:szCs w:val="20"/>
          <w:color w:val="auto"/>
        </w:rPr>
      </w:pPr>
    </w:p>
    <w:p>
      <w:pPr>
        <w:ind w:right="180" w:firstLine="419"/>
        <w:spacing w:after="0" w:line="248" w:lineRule="auto"/>
        <w:rPr>
          <w:sz w:val="20"/>
          <w:szCs w:val="20"/>
          <w:color w:val="auto"/>
        </w:rPr>
      </w:pPr>
      <w:r>
        <w:rPr>
          <w:rFonts w:ascii="Arial" w:cs="Arial" w:eastAsia="Arial" w:hAnsi="Arial"/>
          <w:sz w:val="18"/>
          <w:szCs w:val="18"/>
          <w:color w:val="231F20"/>
        </w:rPr>
        <w:t>The growth in our revenue is driven by the demand for elective surgery and treatment utilizing our products. Such demand is often lower during summer months because of ECP vacations and in winter months in certain parts of the world because of fewer business or surgery days due to holidays and adverse weather conditions.</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231F20"/>
        </w:rPr>
        <w:t>Cost of Goods Sold and Gross Margin</w:t>
      </w:r>
    </w:p>
    <w:p>
      <w:pPr>
        <w:spacing w:after="0" w:line="104" w:lineRule="exact"/>
        <w:rPr>
          <w:sz w:val="20"/>
          <w:szCs w:val="20"/>
          <w:color w:val="auto"/>
        </w:rPr>
      </w:pPr>
    </w:p>
    <w:p>
      <w:pPr>
        <w:ind w:right="160" w:firstLine="419"/>
        <w:spacing w:after="0" w:line="284" w:lineRule="auto"/>
        <w:rPr>
          <w:sz w:val="20"/>
          <w:szCs w:val="20"/>
          <w:color w:val="auto"/>
        </w:rPr>
      </w:pPr>
      <w:r>
        <w:rPr>
          <w:rFonts w:ascii="Arial" w:cs="Arial" w:eastAsia="Arial" w:hAnsi="Arial"/>
          <w:sz w:val="16"/>
          <w:szCs w:val="16"/>
          <w:color w:val="231F20"/>
        </w:rPr>
        <w:t>Our products are produced by third-party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w:t>
      </w:r>
    </w:p>
    <w:p>
      <w:pPr>
        <w:spacing w:after="0" w:line="155" w:lineRule="exact"/>
        <w:rPr>
          <w:sz w:val="20"/>
          <w:szCs w:val="20"/>
          <w:color w:val="auto"/>
        </w:rPr>
      </w:pPr>
    </w:p>
    <w:p>
      <w:pPr>
        <w:ind w:right="20" w:firstLine="419"/>
        <w:spacing w:after="0" w:line="253" w:lineRule="auto"/>
        <w:rPr>
          <w:sz w:val="20"/>
          <w:szCs w:val="20"/>
          <w:color w:val="auto"/>
        </w:rPr>
      </w:pPr>
      <w:r>
        <w:rPr>
          <w:rFonts w:ascii="Arial" w:cs="Arial" w:eastAsia="Arial" w:hAnsi="Arial"/>
          <w:sz w:val="17"/>
          <w:szCs w:val="17"/>
          <w:color w:val="231F20"/>
        </w:rPr>
        <w:t>We calculate gross margin as gross profit divided by revenue. Our gross margin has been and will continue to be affected by a variety of factors, including differences in segment gross margins, changes in average selling prices, product sales mix, production and ordering volumes, manufacturing costs, product yields, and headcount. In the near term, we expect our gross margins to increase as we transition production of OMNI to lower-cost manufacturers and as we expect Surgical Glaucoma revenues will grow as a percentage of our overall revenue mix. In general, we expect our gross margins to increase over the long-term to the extent our production and ordering volumes increase and to the extent we spread the fixed portion of our overhead costs over a larger number of units produced. We intend to use our design, engineering and manufacturing know-how and capabilities to further advance and improve the efficiency of our suppliers’ manufacturing processes, which we believe will reduce costs and increase our gross margins. Our gross margins could fluctuate from quarter to quarter as we transition to new suppliers, introduce new products and adopt new manufacturing processes and technologies.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104" w:lineRule="exact"/>
        <w:rPr>
          <w:sz w:val="20"/>
          <w:szCs w:val="20"/>
          <w:color w:val="auto"/>
        </w:rPr>
      </w:pPr>
    </w:p>
    <w:p>
      <w:pPr>
        <w:ind w:firstLine="419"/>
        <w:spacing w:after="0" w:line="272" w:lineRule="auto"/>
        <w:rPr>
          <w:sz w:val="20"/>
          <w:szCs w:val="20"/>
          <w:color w:val="auto"/>
        </w:rPr>
      </w:pPr>
      <w:r>
        <w:rPr>
          <w:rFonts w:ascii="Arial" w:cs="Arial" w:eastAsia="Arial" w:hAnsi="Arial"/>
          <w:sz w:val="16"/>
          <w:szCs w:val="16"/>
          <w:color w:val="231F20"/>
        </w:rPr>
        <w:t>Research and development, or R&amp;D, expenses consist primarily of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 either new or enhancements of existing platforms – that are in development. These expenses also include personnel expenses, including salaries, benefits and stock-based compensation, supplies, consulting, prototyping, testing, materials, travel expenses, depreciation expenses for equipment and an allocation of IT and facility overhead expenses. Our R&amp;D expenses as a percentage of revenue may vary over time depending on the level and timing of new product development efforts, as well as clinical development, clinical trial and other related activities. We expect our R&amp;D expenses to increase for the next several years as we continue to invest in our active clinical trial program, develop new products and improve our existing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Selling, General and Administrative Expenses</w:t>
      </w:r>
    </w:p>
    <w:p>
      <w:pPr>
        <w:spacing w:after="0" w:line="104" w:lineRule="exact"/>
        <w:rPr>
          <w:sz w:val="20"/>
          <w:szCs w:val="20"/>
          <w:color w:val="auto"/>
        </w:rPr>
      </w:pPr>
    </w:p>
    <w:p>
      <w:pPr>
        <w:ind w:right="100" w:firstLine="419"/>
        <w:spacing w:after="0" w:line="276" w:lineRule="auto"/>
        <w:rPr>
          <w:sz w:val="20"/>
          <w:szCs w:val="20"/>
          <w:color w:val="auto"/>
        </w:rPr>
      </w:pPr>
      <w:r>
        <w:rPr>
          <w:rFonts w:ascii="Arial" w:cs="Arial" w:eastAsia="Arial" w:hAnsi="Arial"/>
          <w:sz w:val="16"/>
          <w:szCs w:val="16"/>
          <w:color w:val="231F20"/>
        </w:rPr>
        <w:t>Selling, general and administrative, or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 We expect SG&amp;A expenses to continue to increase in absolute dollars as we expand our infrastructure to both drive and support the anticipated growth in revenue and due to additional legal, accounting, insurance and other expenses associated with being a public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Expense</w:t>
      </w:r>
    </w:p>
    <w:p>
      <w:pPr>
        <w:spacing w:after="0" w:line="104" w:lineRule="exact"/>
        <w:rPr>
          <w:sz w:val="20"/>
          <w:szCs w:val="20"/>
          <w:color w:val="auto"/>
        </w:rPr>
      </w:pPr>
    </w:p>
    <w:p>
      <w:pPr>
        <w:ind w:right="320" w:firstLine="419"/>
        <w:spacing w:after="0" w:line="261" w:lineRule="auto"/>
        <w:rPr>
          <w:sz w:val="20"/>
          <w:szCs w:val="20"/>
          <w:color w:val="auto"/>
        </w:rPr>
      </w:pPr>
      <w:r>
        <w:rPr>
          <w:rFonts w:ascii="Arial" w:cs="Arial" w:eastAsia="Arial" w:hAnsi="Arial"/>
          <w:sz w:val="18"/>
          <w:szCs w:val="18"/>
          <w:color w:val="231F20"/>
        </w:rPr>
        <w:t>Interest expense consists primarily of interest incurred on our outstanding indebtedness and non-cash interest related to the amortization of debt discount and issuance costs associated with our outstanding loan.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Income</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Interest income consists of interest earned on our balances of cash and cash equivalents.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04" w:lineRule="exact"/>
        <w:rPr>
          <w:sz w:val="20"/>
          <w:szCs w:val="20"/>
          <w:color w:val="auto"/>
        </w:rPr>
      </w:pPr>
    </w:p>
    <w:p>
      <w:pPr>
        <w:ind w:firstLine="419"/>
        <w:spacing w:after="0" w:line="294" w:lineRule="auto"/>
        <w:rPr>
          <w:sz w:val="20"/>
          <w:szCs w:val="20"/>
          <w:color w:val="auto"/>
        </w:rPr>
      </w:pPr>
      <w:r>
        <w:rPr>
          <w:rFonts w:ascii="Arial" w:cs="Arial" w:eastAsia="Arial" w:hAnsi="Arial"/>
          <w:sz w:val="16"/>
          <w:szCs w:val="16"/>
          <w:color w:val="231F20"/>
        </w:rPr>
        <w:t>Other income (expense), net primarily consists of gains and losses resulting from the remeasurement of the fair value of our redeemable convertible preferred stock warrant liability during each reporting period. The redeemable convertible preferred stock warrants were exercised during 2021 and the final fair value of the warrant liability was reclassified to stockholders’ equity. We will no longer record any related periodic fair value adjustments.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102" w:name="page103"/>
    <w:bookmarkEnd w:id="102"/>
    <w:p>
      <w:pPr>
        <w:ind w:left="120"/>
        <w:spacing w:after="0"/>
        <w:rPr>
          <w:sz w:val="20"/>
          <w:szCs w:val="20"/>
          <w:color w:val="auto"/>
        </w:rPr>
      </w:pPr>
      <w:r>
        <w:rPr>
          <w:rFonts w:ascii="Arial" w:cs="Arial" w:eastAsia="Arial" w:hAnsi="Arial"/>
          <w:sz w:val="18"/>
          <w:szCs w:val="18"/>
          <w:b w:val="1"/>
          <w:bCs w:val="1"/>
          <w:color w:val="231F20"/>
        </w:rPr>
        <w:t>Results of Operations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80" w:type="dxa"/>
            <w:vAlign w:val="bottom"/>
            <w:gridSpan w:val="5"/>
          </w:tcPr>
          <w:p>
            <w:pPr>
              <w:jc w:val="right"/>
              <w:ind w:right="99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1560" w:type="dxa"/>
            <w:vAlign w:val="bottom"/>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69"/>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w w:val="77"/>
              </w:rPr>
              <w:t>(unaudited)</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2"/>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700" w:type="dxa"/>
            <w:vAlign w:val="bottom"/>
          </w:tcPr>
          <w:p>
            <w:pPr>
              <w:ind w:left="200"/>
              <w:spacing w:after="0" w:line="202" w:lineRule="exact"/>
              <w:rPr>
                <w:sz w:val="20"/>
                <w:szCs w:val="20"/>
                <w:color w:val="auto"/>
              </w:rPr>
            </w:pPr>
            <w:r>
              <w:rPr>
                <w:rFonts w:ascii="Arial" w:cs="Arial" w:eastAsia="Arial" w:hAnsi="Arial"/>
                <w:sz w:val="18"/>
                <w:szCs w:val="18"/>
                <w:color w:val="auto"/>
              </w:rPr>
              <w:t>Surgical Glaucoma</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46,496</w:t>
            </w:r>
          </w:p>
        </w:tc>
        <w:tc>
          <w:tcPr>
            <w:tcW w:w="40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26,000</w:t>
            </w:r>
          </w:p>
        </w:tc>
        <w:tc>
          <w:tcPr>
            <w:tcW w:w="380" w:type="dxa"/>
            <w:vAlign w:val="bottom"/>
          </w:tcPr>
          <w:p>
            <w:pPr>
              <w:spacing w:after="0"/>
              <w:rPr>
                <w:sz w:val="17"/>
                <w:szCs w:val="17"/>
                <w:color w:val="auto"/>
              </w:rPr>
            </w:pP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20,496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78.8 %</w:t>
            </w:r>
          </w:p>
        </w:tc>
      </w:tr>
      <w:tr>
        <w:trPr>
          <w:trHeight w:val="203"/>
        </w:trPr>
        <w:tc>
          <w:tcPr>
            <w:tcW w:w="4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i w:val="1"/>
                <w:iCs w:val="1"/>
                <w:color w:val="auto"/>
              </w:rPr>
              <w:t>Percentage of total revenue</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72"/>
              <w:spacing w:after="0" w:line="202" w:lineRule="exact"/>
              <w:rPr>
                <w:sz w:val="20"/>
                <w:szCs w:val="20"/>
                <w:color w:val="auto"/>
              </w:rPr>
            </w:pPr>
            <w:r>
              <w:rPr>
                <w:rFonts w:ascii="Arial" w:cs="Arial" w:eastAsia="Arial" w:hAnsi="Arial"/>
                <w:sz w:val="18"/>
                <w:szCs w:val="18"/>
                <w:i w:val="1"/>
                <w:iCs w:val="1"/>
                <w:color w:val="auto"/>
              </w:rPr>
              <w:t>95.0 %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i w:val="1"/>
                <w:iCs w:val="1"/>
                <w:color w:val="auto"/>
              </w:rPr>
              <w:t>94.1 %</w:t>
            </w: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700" w:type="dxa"/>
            <w:vAlign w:val="bottom"/>
          </w:tcPr>
          <w:p>
            <w:pPr>
              <w:ind w:left="200"/>
              <w:spacing w:after="0" w:line="202" w:lineRule="exact"/>
              <w:rPr>
                <w:sz w:val="20"/>
                <w:szCs w:val="20"/>
                <w:color w:val="auto"/>
              </w:rPr>
            </w:pPr>
            <w:r>
              <w:rPr>
                <w:rFonts w:ascii="Arial" w:cs="Arial" w:eastAsia="Arial" w:hAnsi="Arial"/>
                <w:sz w:val="18"/>
                <w:szCs w:val="18"/>
                <w:color w:val="auto"/>
              </w:rPr>
              <w:t>Dry Eye</w:t>
            </w: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2,460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1,640</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820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220" w:type="dxa"/>
            <w:vAlign w:val="bottom"/>
          </w:tcPr>
          <w:p>
            <w:pPr>
              <w:spacing w:after="0"/>
              <w:rPr>
                <w:sz w:val="17"/>
                <w:szCs w:val="17"/>
                <w:color w:val="auto"/>
              </w:rPr>
            </w:pPr>
          </w:p>
        </w:tc>
      </w:tr>
      <w:tr>
        <w:trPr>
          <w:trHeight w:val="203"/>
        </w:trPr>
        <w:tc>
          <w:tcPr>
            <w:tcW w:w="4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i w:val="1"/>
                <w:iCs w:val="1"/>
                <w:color w:val="auto"/>
              </w:rPr>
              <w:t>Percentage of total revenue</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72"/>
              <w:spacing w:after="0" w:line="202" w:lineRule="exact"/>
              <w:rPr>
                <w:sz w:val="20"/>
                <w:szCs w:val="20"/>
                <w:color w:val="auto"/>
              </w:rPr>
            </w:pPr>
            <w:r>
              <w:rPr>
                <w:rFonts w:ascii="Arial" w:cs="Arial" w:eastAsia="Arial" w:hAnsi="Arial"/>
                <w:sz w:val="18"/>
                <w:szCs w:val="18"/>
                <w:i w:val="1"/>
                <w:iCs w:val="1"/>
                <w:color w:val="auto"/>
              </w:rPr>
              <w:t>5.0 %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i w:val="1"/>
                <w:iCs w:val="1"/>
                <w:color w:val="auto"/>
              </w:rPr>
              <w:t>5.9 %</w:t>
            </w: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196"/>
        </w:trPr>
        <w:tc>
          <w:tcPr>
            <w:tcW w:w="4700" w:type="dxa"/>
            <w:vAlign w:val="bottom"/>
            <w:tcBorders>
              <w:top w:val="single" w:sz="8" w:color="CFF0FC"/>
            </w:tcBorders>
          </w:tcPr>
          <w:p>
            <w:pPr>
              <w:ind w:left="560"/>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48,956</w:t>
            </w:r>
          </w:p>
        </w:tc>
        <w:tc>
          <w:tcPr>
            <w:tcW w:w="4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27,640</w:t>
            </w:r>
          </w:p>
        </w:tc>
        <w:tc>
          <w:tcPr>
            <w:tcW w:w="3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21,316</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77.1</w:t>
            </w:r>
          </w:p>
        </w:tc>
        <w:tc>
          <w:tcPr>
            <w:tcW w:w="220" w:type="dxa"/>
            <w:vAlign w:val="bottom"/>
            <w:tcBorders>
              <w:top w:val="single" w:sz="8" w:color="CFF0FC"/>
            </w:tcBorders>
          </w:tcPr>
          <w:p>
            <w:pPr>
              <w:spacing w:after="0"/>
              <w:rPr>
                <w:sz w:val="17"/>
                <w:szCs w:val="17"/>
                <w:color w:val="auto"/>
              </w:rPr>
            </w:pP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700" w:type="dxa"/>
            <w:vAlign w:val="bottom"/>
          </w:tcPr>
          <w:p>
            <w:pPr>
              <w:ind w:left="200"/>
              <w:spacing w:after="0" w:line="202" w:lineRule="exact"/>
              <w:rPr>
                <w:sz w:val="20"/>
                <w:szCs w:val="20"/>
                <w:color w:val="auto"/>
              </w:rPr>
            </w:pPr>
            <w:r>
              <w:rPr>
                <w:rFonts w:ascii="Arial" w:cs="Arial" w:eastAsia="Arial" w:hAnsi="Arial"/>
                <w:sz w:val="18"/>
                <w:szCs w:val="18"/>
                <w:color w:val="auto"/>
              </w:rPr>
              <w:t>Surgical Glaucoma</w:t>
            </w: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6,473</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7,069</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(596 )</w:t>
            </w:r>
          </w:p>
        </w:tc>
        <w:tc>
          <w:tcPr>
            <w:tcW w:w="30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(8.4 )</w:t>
            </w:r>
          </w:p>
        </w:tc>
      </w:tr>
      <w:tr>
        <w:trPr>
          <w:trHeight w:val="203"/>
        </w:trPr>
        <w:tc>
          <w:tcPr>
            <w:tcW w:w="4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Dry Eye</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2,137</w:t>
            </w:r>
          </w:p>
        </w:tc>
        <w:tc>
          <w:tcPr>
            <w:tcW w:w="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2,140</w:t>
            </w:r>
          </w:p>
        </w:tc>
        <w:tc>
          <w:tcPr>
            <w:tcW w:w="3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(3 )</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(0.1 )</w:t>
            </w:r>
          </w:p>
        </w:tc>
      </w:tr>
      <w:tr>
        <w:trPr>
          <w:trHeight w:val="20"/>
        </w:trPr>
        <w:tc>
          <w:tcPr>
            <w:tcW w:w="47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4700" w:type="dxa"/>
            <w:vAlign w:val="bottom"/>
          </w:tcPr>
          <w:p>
            <w:pPr>
              <w:ind w:left="560"/>
              <w:spacing w:after="0" w:line="196" w:lineRule="exact"/>
              <w:rPr>
                <w:sz w:val="20"/>
                <w:szCs w:val="20"/>
                <w:color w:val="auto"/>
              </w:rPr>
            </w:pPr>
            <w:r>
              <w:rPr>
                <w:rFonts w:ascii="Arial" w:cs="Arial" w:eastAsia="Arial" w:hAnsi="Arial"/>
                <w:sz w:val="18"/>
                <w:szCs w:val="18"/>
                <w:color w:val="auto"/>
              </w:rPr>
              <w:t>Total</w:t>
            </w:r>
          </w:p>
        </w:tc>
        <w:tc>
          <w:tcPr>
            <w:tcW w:w="3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8,610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9,209</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(599 )</w:t>
            </w:r>
          </w:p>
        </w:tc>
        <w:tc>
          <w:tcPr>
            <w:tcW w:w="300" w:type="dxa"/>
            <w:vAlign w:val="bottom"/>
          </w:tcPr>
          <w:p>
            <w:pPr>
              <w:spacing w:after="0"/>
              <w:rPr>
                <w:sz w:val="17"/>
                <w:szCs w:val="17"/>
                <w:color w:val="auto"/>
              </w:rPr>
            </w:pPr>
          </w:p>
        </w:tc>
        <w:tc>
          <w:tcPr>
            <w:tcW w:w="12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(6.5 )</w:t>
            </w: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700" w:type="dxa"/>
            <w:vAlign w:val="bottom"/>
          </w:tcPr>
          <w:p>
            <w:pPr>
              <w:ind w:left="200"/>
              <w:spacing w:after="0" w:line="202" w:lineRule="exact"/>
              <w:rPr>
                <w:sz w:val="20"/>
                <w:szCs w:val="20"/>
                <w:color w:val="auto"/>
              </w:rPr>
            </w:pPr>
            <w:r>
              <w:rPr>
                <w:rFonts w:ascii="Arial" w:cs="Arial" w:eastAsia="Arial" w:hAnsi="Arial"/>
                <w:sz w:val="18"/>
                <w:szCs w:val="18"/>
                <w:color w:val="auto"/>
              </w:rPr>
              <w:t>Surgical Glaucoma</w:t>
            </w: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40,023</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18,931</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21,092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111.4</w:t>
            </w:r>
          </w:p>
        </w:tc>
        <w:tc>
          <w:tcPr>
            <w:tcW w:w="220" w:type="dxa"/>
            <w:vAlign w:val="bottom"/>
          </w:tcPr>
          <w:p>
            <w:pPr>
              <w:spacing w:after="0"/>
              <w:rPr>
                <w:sz w:val="17"/>
                <w:szCs w:val="17"/>
                <w:color w:val="auto"/>
              </w:rPr>
            </w:pPr>
          </w:p>
        </w:tc>
      </w:tr>
      <w:tr>
        <w:trPr>
          <w:trHeight w:val="203"/>
        </w:trPr>
        <w:tc>
          <w:tcPr>
            <w:tcW w:w="4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Dry Eye</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323</w:t>
            </w:r>
          </w:p>
        </w:tc>
        <w:tc>
          <w:tcPr>
            <w:tcW w:w="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(500 )</w:t>
            </w: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(164.6 )</w:t>
            </w:r>
          </w:p>
        </w:tc>
      </w:tr>
      <w:tr>
        <w:trPr>
          <w:trHeight w:val="196"/>
        </w:trPr>
        <w:tc>
          <w:tcPr>
            <w:tcW w:w="4700" w:type="dxa"/>
            <w:vAlign w:val="bottom"/>
            <w:tcBorders>
              <w:top w:val="single" w:sz="8" w:color="CFF0FC"/>
            </w:tcBorders>
          </w:tcPr>
          <w:p>
            <w:pPr>
              <w:ind w:left="560"/>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40,346</w:t>
            </w:r>
          </w:p>
        </w:tc>
        <w:tc>
          <w:tcPr>
            <w:tcW w:w="4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18,431</w:t>
            </w:r>
          </w:p>
        </w:tc>
        <w:tc>
          <w:tcPr>
            <w:tcW w:w="3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21,915</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118.9</w:t>
            </w:r>
          </w:p>
        </w:tc>
        <w:tc>
          <w:tcPr>
            <w:tcW w:w="220" w:type="dxa"/>
            <w:vAlign w:val="bottom"/>
            <w:tcBorders>
              <w:top w:val="single" w:sz="8" w:color="CFF0FC"/>
            </w:tcBorders>
          </w:tcPr>
          <w:p>
            <w:pPr>
              <w:spacing w:after="0"/>
              <w:rPr>
                <w:sz w:val="17"/>
                <w:szCs w:val="17"/>
                <w:color w:val="auto"/>
              </w:rPr>
            </w:pP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margin</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700" w:type="dxa"/>
            <w:vAlign w:val="bottom"/>
          </w:tcPr>
          <w:p>
            <w:pPr>
              <w:ind w:left="200"/>
              <w:spacing w:after="0" w:line="202" w:lineRule="exact"/>
              <w:rPr>
                <w:sz w:val="20"/>
                <w:szCs w:val="20"/>
                <w:color w:val="auto"/>
              </w:rPr>
            </w:pPr>
            <w:r>
              <w:rPr>
                <w:rFonts w:ascii="Arial" w:cs="Arial" w:eastAsia="Arial" w:hAnsi="Arial"/>
                <w:sz w:val="18"/>
                <w:szCs w:val="18"/>
                <w:color w:val="auto"/>
              </w:rPr>
              <w:t>Surgical Glaucoma</w:t>
            </w:r>
          </w:p>
        </w:tc>
        <w:tc>
          <w:tcPr>
            <w:tcW w:w="320" w:type="dxa"/>
            <w:vAlign w:val="bottom"/>
          </w:tcPr>
          <w:p>
            <w:pPr>
              <w:spacing w:after="0"/>
              <w:rPr>
                <w:sz w:val="17"/>
                <w:szCs w:val="17"/>
                <w:color w:val="auto"/>
              </w:rPr>
            </w:pPr>
          </w:p>
        </w:tc>
        <w:tc>
          <w:tcPr>
            <w:tcW w:w="1400" w:type="dxa"/>
            <w:vAlign w:val="bottom"/>
            <w:gridSpan w:val="2"/>
          </w:tcPr>
          <w:p>
            <w:pPr>
              <w:jc w:val="right"/>
              <w:ind w:right="172"/>
              <w:spacing w:after="0" w:line="202" w:lineRule="exact"/>
              <w:rPr>
                <w:sz w:val="20"/>
                <w:szCs w:val="20"/>
                <w:color w:val="auto"/>
              </w:rPr>
            </w:pPr>
            <w:r>
              <w:rPr>
                <w:rFonts w:ascii="Arial" w:cs="Arial" w:eastAsia="Arial" w:hAnsi="Arial"/>
                <w:sz w:val="18"/>
                <w:szCs w:val="18"/>
                <w:i w:val="1"/>
                <w:iCs w:val="1"/>
                <w:color w:val="auto"/>
              </w:rPr>
              <w:t>86.1 %</w:t>
            </w:r>
          </w:p>
        </w:tc>
        <w:tc>
          <w:tcPr>
            <w:tcW w:w="340" w:type="dxa"/>
            <w:vAlign w:val="bottom"/>
          </w:tcPr>
          <w:p>
            <w:pPr>
              <w:spacing w:after="0"/>
              <w:rPr>
                <w:sz w:val="17"/>
                <w:szCs w:val="17"/>
                <w:color w:val="auto"/>
              </w:rPr>
            </w:pPr>
          </w:p>
        </w:tc>
        <w:tc>
          <w:tcPr>
            <w:tcW w:w="1340" w:type="dxa"/>
            <w:vAlign w:val="bottom"/>
            <w:gridSpan w:val="2"/>
          </w:tcPr>
          <w:p>
            <w:pPr>
              <w:jc w:val="right"/>
              <w:ind w:right="110"/>
              <w:spacing w:after="0" w:line="202" w:lineRule="exact"/>
              <w:rPr>
                <w:sz w:val="20"/>
                <w:szCs w:val="20"/>
                <w:color w:val="auto"/>
              </w:rPr>
            </w:pPr>
            <w:r>
              <w:rPr>
                <w:rFonts w:ascii="Arial" w:cs="Arial" w:eastAsia="Arial" w:hAnsi="Arial"/>
                <w:sz w:val="18"/>
                <w:szCs w:val="18"/>
                <w:i w:val="1"/>
                <w:iCs w:val="1"/>
                <w:color w:val="auto"/>
              </w:rPr>
              <w:t>72.8 %</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Dry Eye</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72"/>
              <w:spacing w:after="0" w:line="202" w:lineRule="exact"/>
              <w:rPr>
                <w:sz w:val="20"/>
                <w:szCs w:val="20"/>
                <w:color w:val="auto"/>
              </w:rPr>
            </w:pPr>
            <w:r>
              <w:rPr>
                <w:rFonts w:ascii="Arial" w:cs="Arial" w:eastAsia="Arial" w:hAnsi="Arial"/>
                <w:sz w:val="18"/>
                <w:szCs w:val="18"/>
                <w:i w:val="1"/>
                <w:iCs w:val="1"/>
                <w:color w:val="auto"/>
              </w:rPr>
              <w:t>13.1 %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i w:val="1"/>
                <w:iCs w:val="1"/>
                <w:color w:val="auto"/>
              </w:rPr>
              <w:t>-30.5 %</w:t>
            </w: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4700" w:type="dxa"/>
            <w:vAlign w:val="bottom"/>
          </w:tcPr>
          <w:p>
            <w:pPr>
              <w:ind w:left="560"/>
              <w:spacing w:after="0" w:line="196" w:lineRule="exact"/>
              <w:rPr>
                <w:sz w:val="20"/>
                <w:szCs w:val="20"/>
                <w:color w:val="auto"/>
              </w:rPr>
            </w:pPr>
            <w:r>
              <w:rPr>
                <w:rFonts w:ascii="Arial" w:cs="Arial" w:eastAsia="Arial" w:hAnsi="Arial"/>
                <w:sz w:val="18"/>
                <w:szCs w:val="18"/>
                <w:color w:val="auto"/>
              </w:rPr>
              <w:t>Total</w:t>
            </w:r>
          </w:p>
        </w:tc>
        <w:tc>
          <w:tcPr>
            <w:tcW w:w="320" w:type="dxa"/>
            <w:vAlign w:val="bottom"/>
          </w:tcPr>
          <w:p>
            <w:pPr>
              <w:spacing w:after="0"/>
              <w:rPr>
                <w:sz w:val="17"/>
                <w:szCs w:val="17"/>
                <w:color w:val="auto"/>
              </w:rPr>
            </w:pPr>
          </w:p>
        </w:tc>
        <w:tc>
          <w:tcPr>
            <w:tcW w:w="1400" w:type="dxa"/>
            <w:vAlign w:val="bottom"/>
            <w:gridSpan w:val="2"/>
          </w:tcPr>
          <w:p>
            <w:pPr>
              <w:jc w:val="right"/>
              <w:ind w:right="172"/>
              <w:spacing w:after="0" w:line="196" w:lineRule="exact"/>
              <w:rPr>
                <w:sz w:val="20"/>
                <w:szCs w:val="20"/>
                <w:color w:val="auto"/>
              </w:rPr>
            </w:pPr>
            <w:r>
              <w:rPr>
                <w:rFonts w:ascii="Arial" w:cs="Arial" w:eastAsia="Arial" w:hAnsi="Arial"/>
                <w:sz w:val="18"/>
                <w:szCs w:val="18"/>
                <w:i w:val="1"/>
                <w:iCs w:val="1"/>
                <w:color w:val="auto"/>
              </w:rPr>
              <w:t>82.4 %</w:t>
            </w:r>
          </w:p>
        </w:tc>
        <w:tc>
          <w:tcPr>
            <w:tcW w:w="340" w:type="dxa"/>
            <w:vAlign w:val="bottom"/>
          </w:tcPr>
          <w:p>
            <w:pPr>
              <w:spacing w:after="0"/>
              <w:rPr>
                <w:sz w:val="17"/>
                <w:szCs w:val="17"/>
                <w:color w:val="auto"/>
              </w:rPr>
            </w:pPr>
          </w:p>
        </w:tc>
        <w:tc>
          <w:tcPr>
            <w:tcW w:w="1340" w:type="dxa"/>
            <w:vAlign w:val="bottom"/>
            <w:gridSpan w:val="2"/>
          </w:tcPr>
          <w:p>
            <w:pPr>
              <w:jc w:val="right"/>
              <w:ind w:right="110"/>
              <w:spacing w:after="0" w:line="196" w:lineRule="exact"/>
              <w:rPr>
                <w:sz w:val="20"/>
                <w:szCs w:val="20"/>
                <w:color w:val="auto"/>
              </w:rPr>
            </w:pPr>
            <w:r>
              <w:rPr>
                <w:rFonts w:ascii="Arial" w:cs="Arial" w:eastAsia="Arial" w:hAnsi="Arial"/>
                <w:sz w:val="18"/>
                <w:szCs w:val="18"/>
                <w:i w:val="1"/>
                <w:iCs w:val="1"/>
                <w:color w:val="auto"/>
              </w:rPr>
              <w:t>66.7 %</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7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15,634</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8,874</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6,760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76.2</w:t>
            </w:r>
          </w:p>
        </w:tc>
        <w:tc>
          <w:tcPr>
            <w:tcW w:w="220" w:type="dxa"/>
            <w:vAlign w:val="bottom"/>
          </w:tcPr>
          <w:p>
            <w:pPr>
              <w:spacing w:after="0"/>
              <w:rPr>
                <w:sz w:val="17"/>
                <w:szCs w:val="17"/>
                <w:color w:val="auto"/>
              </w:rPr>
            </w:pPr>
          </w:p>
        </w:tc>
      </w:tr>
      <w:tr>
        <w:trPr>
          <w:trHeight w:val="203"/>
        </w:trPr>
        <w:tc>
          <w:tcPr>
            <w:tcW w:w="47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76,190</w:t>
            </w:r>
          </w:p>
        </w:tc>
        <w:tc>
          <w:tcPr>
            <w:tcW w:w="4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41,745</w:t>
            </w:r>
          </w:p>
        </w:tc>
        <w:tc>
          <w:tcPr>
            <w:tcW w:w="3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34,445</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82.5</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4700" w:type="dxa"/>
            <w:vAlign w:val="bottom"/>
          </w:tcPr>
          <w:p>
            <w:pPr>
              <w:ind w:left="56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91,824</w:t>
            </w:r>
          </w:p>
        </w:tc>
        <w:tc>
          <w:tcPr>
            <w:tcW w:w="4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50,619</w:t>
            </w:r>
          </w:p>
        </w:tc>
        <w:tc>
          <w:tcPr>
            <w:tcW w:w="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41,205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81.4</w:t>
            </w:r>
          </w:p>
        </w:tc>
        <w:tc>
          <w:tcPr>
            <w:tcW w:w="220" w:type="dxa"/>
            <w:vAlign w:val="bottom"/>
          </w:tcPr>
          <w:p>
            <w:pPr>
              <w:spacing w:after="0"/>
              <w:rPr>
                <w:sz w:val="17"/>
                <w:szCs w:val="17"/>
                <w:color w:val="auto"/>
              </w:rPr>
            </w:pPr>
          </w:p>
        </w:tc>
      </w:tr>
      <w:tr>
        <w:trPr>
          <w:trHeight w:val="196"/>
        </w:trPr>
        <w:tc>
          <w:tcPr>
            <w:tcW w:w="4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(51,478</w:t>
            </w:r>
          </w:p>
        </w:tc>
        <w:tc>
          <w:tcPr>
            <w:tcW w:w="400" w:type="dxa"/>
            <w:vAlign w:val="bottom"/>
            <w:shd w:val="clear" w:color="auto" w:fill="CFF0FC"/>
          </w:tcPr>
          <w:p>
            <w:pPr>
              <w:jc w:val="right"/>
              <w:ind w:right="272"/>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(32,188</w:t>
            </w:r>
          </w:p>
        </w:tc>
        <w:tc>
          <w:tcPr>
            <w:tcW w:w="38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(19,290</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59.9</w:t>
            </w:r>
          </w:p>
        </w:tc>
        <w:tc>
          <w:tcPr>
            <w:tcW w:w="22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7"/>
                <w:szCs w:val="17"/>
                <w:color w:val="auto"/>
              </w:rPr>
            </w:pPr>
          </w:p>
        </w:tc>
        <w:tc>
          <w:tcPr>
            <w:tcW w:w="1400" w:type="dxa"/>
            <w:vAlign w:val="bottom"/>
            <w:gridSpan w:val="2"/>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(30 )</w:t>
            </w:r>
          </w:p>
        </w:tc>
        <w:tc>
          <w:tcPr>
            <w:tcW w:w="30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(100.0 )</w:t>
            </w:r>
          </w:p>
        </w:tc>
      </w:tr>
      <w:tr>
        <w:trPr>
          <w:trHeight w:val="202"/>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72"/>
              <w:spacing w:after="0" w:line="202" w:lineRule="exact"/>
              <w:rPr>
                <w:sz w:val="20"/>
                <w:szCs w:val="20"/>
                <w:color w:val="auto"/>
              </w:rPr>
            </w:pPr>
            <w:r>
              <w:rPr>
                <w:rFonts w:ascii="Arial" w:cs="Arial" w:eastAsia="Arial" w:hAnsi="Arial"/>
                <w:sz w:val="18"/>
                <w:szCs w:val="18"/>
                <w:color w:val="auto"/>
              </w:rPr>
              <w:t>(4,366 )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(2,403 )</w:t>
            </w:r>
          </w:p>
        </w:tc>
        <w:tc>
          <w:tcPr>
            <w:tcW w:w="3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(1,963 )</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81.7</w:t>
            </w:r>
          </w:p>
        </w:tc>
        <w:tc>
          <w:tcPr>
            <w:tcW w:w="22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17"/>
                <w:szCs w:val="17"/>
                <w:color w:val="auto"/>
              </w:rPr>
            </w:pPr>
          </w:p>
        </w:tc>
        <w:tc>
          <w:tcPr>
            <w:tcW w:w="1400" w:type="dxa"/>
            <w:vAlign w:val="bottom"/>
            <w:gridSpan w:val="2"/>
          </w:tcPr>
          <w:p>
            <w:pPr>
              <w:jc w:val="right"/>
              <w:ind w:right="272"/>
              <w:spacing w:after="0" w:line="202" w:lineRule="exact"/>
              <w:rPr>
                <w:sz w:val="20"/>
                <w:szCs w:val="20"/>
                <w:color w:val="auto"/>
              </w:rPr>
            </w:pPr>
            <w:r>
              <w:rPr>
                <w:rFonts w:ascii="Arial" w:cs="Arial" w:eastAsia="Arial" w:hAnsi="Arial"/>
                <w:sz w:val="18"/>
                <w:szCs w:val="18"/>
                <w:color w:val="auto"/>
              </w:rPr>
              <w:t>(6,928 )</w:t>
            </w:r>
          </w:p>
        </w:tc>
        <w:tc>
          <w:tcPr>
            <w:tcW w:w="340" w:type="dxa"/>
            <w:vAlign w:val="bottom"/>
          </w:tcPr>
          <w:p>
            <w:pPr>
              <w:spacing w:after="0"/>
              <w:rPr>
                <w:sz w:val="17"/>
                <w:szCs w:val="17"/>
                <w:color w:val="auto"/>
              </w:rPr>
            </w:pPr>
          </w:p>
        </w:tc>
        <w:tc>
          <w:tcPr>
            <w:tcW w:w="13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(71 )</w:t>
            </w:r>
          </w:p>
        </w:tc>
        <w:tc>
          <w:tcPr>
            <w:tcW w:w="380" w:type="dxa"/>
            <w:vAlign w:val="bottom"/>
          </w:tcPr>
          <w:p>
            <w:pPr>
              <w:spacing w:after="0"/>
              <w:rPr>
                <w:sz w:val="17"/>
                <w:szCs w:val="17"/>
                <w:color w:val="auto"/>
              </w:rPr>
            </w:pPr>
          </w:p>
        </w:tc>
        <w:tc>
          <w:tcPr>
            <w:tcW w:w="12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(6,857 )</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9,657.7</w:t>
            </w:r>
          </w:p>
        </w:tc>
        <w:tc>
          <w:tcPr>
            <w:tcW w:w="220" w:type="dxa"/>
            <w:vAlign w:val="bottom"/>
          </w:tcPr>
          <w:p>
            <w:pPr>
              <w:spacing w:after="0"/>
              <w:rPr>
                <w:sz w:val="17"/>
                <w:szCs w:val="17"/>
                <w:color w:val="auto"/>
              </w:rPr>
            </w:pPr>
          </w:p>
        </w:tc>
      </w:tr>
      <w:tr>
        <w:trPr>
          <w:trHeight w:val="196"/>
        </w:trPr>
        <w:tc>
          <w:tcPr>
            <w:tcW w:w="47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before income tax</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72"/>
              <w:spacing w:after="0" w:line="202" w:lineRule="exact"/>
              <w:rPr>
                <w:sz w:val="20"/>
                <w:szCs w:val="20"/>
                <w:color w:val="auto"/>
              </w:rPr>
            </w:pPr>
            <w:r>
              <w:rPr>
                <w:rFonts w:ascii="Arial" w:cs="Arial" w:eastAsia="Arial" w:hAnsi="Arial"/>
                <w:sz w:val="18"/>
                <w:szCs w:val="18"/>
                <w:color w:val="auto"/>
              </w:rPr>
              <w:t>(62,772 )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(34,632 )</w:t>
            </w:r>
          </w:p>
        </w:tc>
        <w:tc>
          <w:tcPr>
            <w:tcW w:w="3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(28,140 )</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81.3</w:t>
            </w:r>
          </w:p>
        </w:tc>
        <w:tc>
          <w:tcPr>
            <w:tcW w:w="22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Provision (benefit) for income tax</w:t>
            </w:r>
          </w:p>
        </w:tc>
        <w:tc>
          <w:tcPr>
            <w:tcW w:w="3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w:t>
            </w:r>
          </w:p>
        </w:tc>
        <w:tc>
          <w:tcPr>
            <w:tcW w:w="4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w:t>
            </w:r>
          </w:p>
        </w:tc>
        <w:tc>
          <w:tcPr>
            <w:tcW w:w="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208.2</w:t>
            </w:r>
          </w:p>
        </w:tc>
        <w:tc>
          <w:tcPr>
            <w:tcW w:w="220" w:type="dxa"/>
            <w:vAlign w:val="bottom"/>
          </w:tcPr>
          <w:p>
            <w:pPr>
              <w:spacing w:after="0"/>
              <w:rPr>
                <w:sz w:val="17"/>
                <w:szCs w:val="17"/>
                <w:color w:val="auto"/>
              </w:rPr>
            </w:pPr>
          </w:p>
        </w:tc>
      </w:tr>
      <w:tr>
        <w:trPr>
          <w:trHeight w:val="236"/>
        </w:trPr>
        <w:tc>
          <w:tcPr>
            <w:tcW w:w="47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 and comprehensive loss</w:t>
            </w: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(62,960</w:t>
            </w:r>
          </w:p>
        </w:tc>
        <w:tc>
          <w:tcPr>
            <w:tcW w:w="400" w:type="dxa"/>
            <w:vAlign w:val="bottom"/>
            <w:tcBorders>
              <w:bottom w:val="single" w:sz="8" w:color="CFF0FC"/>
            </w:tcBorders>
            <w:shd w:val="clear" w:color="auto" w:fill="CFF0FC"/>
          </w:tcPr>
          <w:p>
            <w:pPr>
              <w:jc w:val="right"/>
              <w:ind w:right="272"/>
              <w:spacing w:after="0" w:line="183" w:lineRule="exact"/>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(34,693</w:t>
            </w:r>
          </w:p>
        </w:tc>
        <w:tc>
          <w:tcPr>
            <w:tcW w:w="380" w:type="dxa"/>
            <w:vAlign w:val="bottom"/>
            <w:tcBorders>
              <w:bottom w:val="single" w:sz="8" w:color="CFF0FC"/>
            </w:tcBorders>
            <w:shd w:val="clear" w:color="auto" w:fill="CFF0FC"/>
          </w:tcPr>
          <w:p>
            <w:pPr>
              <w:jc w:val="right"/>
              <w:ind w:right="210"/>
              <w:spacing w:after="0" w:line="182"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(28,267</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81.5 %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-3305175</wp:posOffset>
            </wp:positionV>
            <wp:extent cx="15430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-3305175</wp:posOffset>
            </wp:positionV>
            <wp:extent cx="14541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-3305175</wp:posOffset>
            </wp:positionV>
            <wp:extent cx="5969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-3305175</wp:posOffset>
            </wp:positionV>
            <wp:extent cx="14541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-2782570</wp:posOffset>
            </wp:positionV>
            <wp:extent cx="15430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-2782570</wp:posOffset>
            </wp:positionV>
            <wp:extent cx="14541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-2782570</wp:posOffset>
            </wp:positionV>
            <wp:extent cx="5969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-2782570</wp:posOffset>
            </wp:positionV>
            <wp:extent cx="14541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-2259330</wp:posOffset>
            </wp:positionV>
            <wp:extent cx="15430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-2259330</wp:posOffset>
            </wp:positionV>
            <wp:extent cx="14541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-2259330</wp:posOffset>
            </wp:positionV>
            <wp:extent cx="5969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-2259330</wp:posOffset>
            </wp:positionV>
            <wp:extent cx="14541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-1736725</wp:posOffset>
            </wp:positionV>
            <wp:extent cx="15430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-1736725</wp:posOffset>
            </wp:positionV>
            <wp:extent cx="14541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-1736725</wp:posOffset>
            </wp:positionV>
            <wp:extent cx="5969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-1736725</wp:posOffset>
            </wp:positionV>
            <wp:extent cx="14541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-1213485</wp:posOffset>
            </wp:positionV>
            <wp:extent cx="15430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-1213485</wp:posOffset>
            </wp:positionV>
            <wp:extent cx="14541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-1213485</wp:posOffset>
            </wp:positionV>
            <wp:extent cx="5969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-1213485</wp:posOffset>
            </wp:positionV>
            <wp:extent cx="14541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1543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1543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1454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1454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5" w:lineRule="exact"/>
        <w:rPr>
          <w:sz w:val="20"/>
          <w:szCs w:val="20"/>
          <w:color w:val="auto"/>
        </w:rPr>
      </w:pPr>
    </w:p>
    <w:p>
      <w:pPr>
        <w:ind w:left="120" w:right="80" w:firstLine="419"/>
        <w:spacing w:after="0" w:line="243" w:lineRule="auto"/>
        <w:rPr>
          <w:sz w:val="20"/>
          <w:szCs w:val="20"/>
          <w:color w:val="auto"/>
        </w:rPr>
      </w:pPr>
      <w:r>
        <w:rPr>
          <w:rFonts w:ascii="Arial" w:cs="Arial" w:eastAsia="Arial" w:hAnsi="Arial"/>
          <w:sz w:val="18"/>
          <w:szCs w:val="18"/>
          <w:i w:val="1"/>
          <w:iCs w:val="1"/>
          <w:color w:val="231F20"/>
        </w:rPr>
        <w:t>Revenue</w:t>
      </w:r>
      <w:r>
        <w:rPr>
          <w:rFonts w:ascii="Arial" w:cs="Arial" w:eastAsia="Arial" w:hAnsi="Arial"/>
          <w:sz w:val="18"/>
          <w:szCs w:val="18"/>
          <w:color w:val="231F20"/>
        </w:rPr>
        <w:t>. Revenue in the year ended December 31, 2021 was $49.0 million, an increase of $21.3 million, or 77.1%, from our revenue in 2020.</w:t>
      </w:r>
      <w:r>
        <w:rPr>
          <w:rFonts w:ascii="Arial" w:cs="Arial" w:eastAsia="Arial" w:hAnsi="Arial"/>
          <w:sz w:val="18"/>
          <w:szCs w:val="18"/>
          <w:i w:val="1"/>
          <w:iCs w:val="1"/>
          <w:color w:val="231F20"/>
        </w:rPr>
        <w:t xml:space="preserve"> </w:t>
      </w:r>
      <w:r>
        <w:rPr>
          <w:rFonts w:ascii="Arial" w:cs="Arial" w:eastAsia="Arial" w:hAnsi="Arial"/>
          <w:sz w:val="18"/>
          <w:szCs w:val="18"/>
          <w:color w:val="231F20"/>
        </w:rPr>
        <w:t>Surgical Glaucoma and Dry Eye sales contributed $46.5 million and $2.5 million, respectively. The overall increase in revenue was primarily attributable to an increase in the number of OMNI units sold as a result of growth in the number of facilities ordering OMNI and an increase in unit utilization per ordering facility, which resulted in a $20.5 million increase in Surgical Glaucoma revenues.</w:t>
      </w:r>
    </w:p>
    <w:p>
      <w:pPr>
        <w:spacing w:after="0" w:line="188" w:lineRule="exact"/>
        <w:rPr>
          <w:sz w:val="20"/>
          <w:szCs w:val="20"/>
          <w:color w:val="auto"/>
        </w:rPr>
      </w:pPr>
    </w:p>
    <w:p>
      <w:pPr>
        <w:ind w:left="120" w:right="100" w:firstLine="419"/>
        <w:spacing w:after="0" w:line="243" w:lineRule="auto"/>
        <w:rPr>
          <w:sz w:val="20"/>
          <w:szCs w:val="20"/>
          <w:color w:val="auto"/>
        </w:rPr>
      </w:pPr>
      <w:r>
        <w:rPr>
          <w:rFonts w:ascii="Arial" w:cs="Arial" w:eastAsia="Arial" w:hAnsi="Arial"/>
          <w:sz w:val="18"/>
          <w:szCs w:val="18"/>
          <w:i w:val="1"/>
          <w:iCs w:val="1"/>
          <w:color w:val="231F20"/>
        </w:rPr>
        <w:t>Cost of Goods Sold and Gross Profit</w:t>
      </w:r>
      <w:r>
        <w:rPr>
          <w:rFonts w:ascii="Arial" w:cs="Arial" w:eastAsia="Arial" w:hAnsi="Arial"/>
          <w:sz w:val="18"/>
          <w:szCs w:val="18"/>
          <w:color w:val="231F20"/>
        </w:rPr>
        <w:t>. The $0.6 million decrease in cost of goods sold from 2020 to 2021 was attributable to a $1.0 million decrease</w:t>
      </w:r>
      <w:r>
        <w:rPr>
          <w:rFonts w:ascii="Arial" w:cs="Arial" w:eastAsia="Arial" w:hAnsi="Arial"/>
          <w:sz w:val="18"/>
          <w:szCs w:val="18"/>
          <w:i w:val="1"/>
          <w:iCs w:val="1"/>
          <w:color w:val="231F20"/>
        </w:rPr>
        <w:t xml:space="preserve"> </w:t>
      </w:r>
      <w:r>
        <w:rPr>
          <w:rFonts w:ascii="Arial" w:cs="Arial" w:eastAsia="Arial" w:hAnsi="Arial"/>
          <w:sz w:val="18"/>
          <w:szCs w:val="18"/>
          <w:color w:val="231F20"/>
        </w:rPr>
        <w:t>in the reserve for obsolete inventory from a 2020 write-down of legacy OMNI inventory, as well as manufacturing efficiencies. As we transitioned primary OMNI manufacturing to Asia in early 2021, we were able to lower our production cost per unit. This lower production cost per unit also assisted in allowing the Company to lower cost of goods sold while driving sales growth.</w:t>
      </w:r>
    </w:p>
    <w:p>
      <w:pPr>
        <w:spacing w:after="0" w:line="188" w:lineRule="exact"/>
        <w:rPr>
          <w:sz w:val="20"/>
          <w:szCs w:val="20"/>
          <w:color w:val="auto"/>
        </w:rPr>
      </w:pPr>
    </w:p>
    <w:p>
      <w:pPr>
        <w:ind w:left="120" w:right="260" w:firstLine="419"/>
        <w:spacing w:after="0" w:line="279" w:lineRule="auto"/>
        <w:rPr>
          <w:sz w:val="20"/>
          <w:szCs w:val="20"/>
          <w:color w:val="auto"/>
        </w:rPr>
      </w:pPr>
      <w:r>
        <w:rPr>
          <w:rFonts w:ascii="Arial" w:cs="Arial" w:eastAsia="Arial" w:hAnsi="Arial"/>
          <w:sz w:val="16"/>
          <w:szCs w:val="16"/>
          <w:color w:val="231F20"/>
        </w:rPr>
        <w:t>Our total gross profit increased $21.9 million from $18.4 million in the year ended December 31, 2020 to $40.3 million in the year ended December 31, 2021. Our total gross margin increased from 66.7% to 82.4% between 2020 and 2021 primarily due to higher sales volume as well as lower production cost associated with shifting production to lower cost contract manufacturers. Gross margin in our Surgical Glaucoma segment increased from 72.8% in 2020 to 86.1% in 2021, and in our Dry Eye segment gross margin increased from (30.5)% in 2020 to 13.1% in 2021. Our Dry Eye segment had a lower gross margin than our Surgical Glaucoma segment because TearCare is earlier in its commercial cycle than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03" w:name="page104"/>
    <w:bookmarkEnd w:id="103"/>
    <w:p>
      <w:pPr>
        <w:ind w:right="360"/>
        <w:spacing w:after="0" w:line="261" w:lineRule="auto"/>
        <w:rPr>
          <w:sz w:val="20"/>
          <w:szCs w:val="20"/>
          <w:color w:val="auto"/>
        </w:rPr>
      </w:pPr>
      <w:r>
        <w:rPr>
          <w:rFonts w:ascii="Arial" w:cs="Arial" w:eastAsia="Arial" w:hAnsi="Arial"/>
          <w:sz w:val="18"/>
          <w:szCs w:val="18"/>
          <w:color w:val="231F20"/>
        </w:rPr>
        <w:t>OMNI and SmartHub equipment is priced to encourage new user adoption rather than to maximize gross profit for its one-time, upfront purchase by ECPs.</w:t>
      </w:r>
    </w:p>
    <w:p>
      <w:pPr>
        <w:spacing w:after="0" w:line="171" w:lineRule="exact"/>
        <w:rPr>
          <w:sz w:val="20"/>
          <w:szCs w:val="20"/>
          <w:color w:val="auto"/>
        </w:rPr>
      </w:pPr>
    </w:p>
    <w:p>
      <w:pPr>
        <w:ind w:firstLine="419"/>
        <w:spacing w:after="0" w:line="259" w:lineRule="auto"/>
        <w:rPr>
          <w:sz w:val="20"/>
          <w:szCs w:val="20"/>
          <w:color w:val="auto"/>
        </w:rPr>
      </w:pPr>
      <w:r>
        <w:rPr>
          <w:rFonts w:ascii="Arial" w:cs="Arial" w:eastAsia="Arial" w:hAnsi="Arial"/>
          <w:sz w:val="17"/>
          <w:szCs w:val="17"/>
          <w:i w:val="1"/>
          <w:iCs w:val="1"/>
          <w:color w:val="231F20"/>
        </w:rPr>
        <w:t>Research and Development Expenses</w:t>
      </w:r>
      <w:r>
        <w:rPr>
          <w:rFonts w:ascii="Arial" w:cs="Arial" w:eastAsia="Arial" w:hAnsi="Arial"/>
          <w:sz w:val="17"/>
          <w:szCs w:val="17"/>
          <w:color w:val="231F20"/>
        </w:rPr>
        <w:t>. The $6.8 million increase in research and development expenses from 2020 to 2021 was primarily</w:t>
      </w:r>
      <w:r>
        <w:rPr>
          <w:rFonts w:ascii="Arial" w:cs="Arial" w:eastAsia="Arial" w:hAnsi="Arial"/>
          <w:sz w:val="17"/>
          <w:szCs w:val="17"/>
          <w:i w:val="1"/>
          <w:iCs w:val="1"/>
          <w:color w:val="231F20"/>
        </w:rPr>
        <w:t xml:space="preserve"> </w:t>
      </w:r>
      <w:r>
        <w:rPr>
          <w:rFonts w:ascii="Arial" w:cs="Arial" w:eastAsia="Arial" w:hAnsi="Arial"/>
          <w:sz w:val="17"/>
          <w:szCs w:val="17"/>
          <w:color w:val="231F20"/>
        </w:rPr>
        <w:t>attributable to costs related to the development of our next generation OMNI Surgical System, an increase of $1.3 million in contract manufacturing for Dry Eye product development, $0.6 million in clinical studies, $0.5 million in patent related legal expenses, and an increase of $2.0 million in personnel expenses primarily as a result of increased headcount. We expect our research and development expenses to increase as we initiate and execute additional clinical trials over the coming years, develop new products and improve our existing products.</w:t>
      </w:r>
    </w:p>
    <w:p>
      <w:pPr>
        <w:spacing w:after="0" w:line="174" w:lineRule="exact"/>
        <w:rPr>
          <w:sz w:val="20"/>
          <w:szCs w:val="20"/>
          <w:color w:val="auto"/>
        </w:rPr>
      </w:pPr>
    </w:p>
    <w:p>
      <w:pPr>
        <w:ind w:firstLine="419"/>
        <w:spacing w:after="0" w:line="241" w:lineRule="auto"/>
        <w:rPr>
          <w:sz w:val="20"/>
          <w:szCs w:val="20"/>
          <w:color w:val="auto"/>
        </w:rPr>
      </w:pPr>
      <w:r>
        <w:rPr>
          <w:rFonts w:ascii="Arial" w:cs="Arial" w:eastAsia="Arial" w:hAnsi="Arial"/>
          <w:sz w:val="18"/>
          <w:szCs w:val="18"/>
          <w:i w:val="1"/>
          <w:iCs w:val="1"/>
          <w:color w:val="231F20"/>
        </w:rPr>
        <w:t>Selling, General, and Administrative Expenses</w:t>
      </w:r>
      <w:r>
        <w:rPr>
          <w:rFonts w:ascii="Arial" w:cs="Arial" w:eastAsia="Arial" w:hAnsi="Arial"/>
          <w:sz w:val="18"/>
          <w:szCs w:val="18"/>
          <w:color w:val="231F20"/>
        </w:rPr>
        <w:t>. The $34.4 million increase in SG&amp;A expenses from 2020 to 2021 was primarily due to our</w:t>
      </w:r>
      <w:r>
        <w:rPr>
          <w:rFonts w:ascii="Arial" w:cs="Arial" w:eastAsia="Arial" w:hAnsi="Arial"/>
          <w:sz w:val="18"/>
          <w:szCs w:val="18"/>
          <w:i w:val="1"/>
          <w:iCs w:val="1"/>
          <w:color w:val="231F20"/>
        </w:rPr>
        <w:t xml:space="preserve"> </w:t>
      </w:r>
      <w:r>
        <w:rPr>
          <w:rFonts w:ascii="Arial" w:cs="Arial" w:eastAsia="Arial" w:hAnsi="Arial"/>
          <w:sz w:val="18"/>
          <w:szCs w:val="18"/>
          <w:color w:val="231F20"/>
        </w:rPr>
        <w:t>continued commercial investment and scaling of operations and corporate headcount to support our growth, which resulted in an increase of $20.0 million in personnel expenses, including higher stock-based compensation ($4.6 million increase from 2020 to 2021) and commissions during the current year. In addition, legal, accounting, and consulting costs increased $5.2 million from 2020 to 2021 due, in part, to incurred fees associated with the IPO in July 2021.</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231F20"/>
        </w:rPr>
        <w:t>Interest Expense</w:t>
      </w:r>
      <w:r>
        <w:rPr>
          <w:rFonts w:ascii="Arial" w:cs="Arial" w:eastAsia="Arial" w:hAnsi="Arial"/>
          <w:sz w:val="16"/>
          <w:szCs w:val="16"/>
          <w:color w:val="231F20"/>
        </w:rPr>
        <w:t>. The $2.0 million increase in interest expense from 2020 to 2021 was attributable to the executed debt financing in November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2020.</w:t>
      </w:r>
    </w:p>
    <w:p>
      <w:pPr>
        <w:spacing w:after="0" w:line="196" w:lineRule="exact"/>
        <w:rPr>
          <w:sz w:val="20"/>
          <w:szCs w:val="20"/>
          <w:color w:val="auto"/>
        </w:rPr>
      </w:pPr>
    </w:p>
    <w:p>
      <w:pPr>
        <w:ind w:right="320" w:firstLine="419"/>
        <w:spacing w:after="0" w:line="261" w:lineRule="auto"/>
        <w:rPr>
          <w:sz w:val="20"/>
          <w:szCs w:val="20"/>
          <w:color w:val="auto"/>
        </w:rPr>
      </w:pPr>
      <w:r>
        <w:rPr>
          <w:rFonts w:ascii="Arial" w:cs="Arial" w:eastAsia="Arial" w:hAnsi="Arial"/>
          <w:sz w:val="18"/>
          <w:szCs w:val="18"/>
          <w:i w:val="1"/>
          <w:iCs w:val="1"/>
          <w:color w:val="231F20"/>
        </w:rPr>
        <w:t xml:space="preserve">Other Expense, Net. </w:t>
      </w:r>
      <w:r>
        <w:rPr>
          <w:rFonts w:ascii="Arial" w:cs="Arial" w:eastAsia="Arial" w:hAnsi="Arial"/>
          <w:sz w:val="18"/>
          <w:szCs w:val="18"/>
          <w:color w:val="231F20"/>
        </w:rPr>
        <w:t>The $6.9 million increase in other expense from 2020 to 2021 was primarily due to fair value adjustments on the preferred</w:t>
      </w:r>
      <w:r>
        <w:rPr>
          <w:rFonts w:ascii="Arial" w:cs="Arial" w:eastAsia="Arial" w:hAnsi="Arial"/>
          <w:sz w:val="18"/>
          <w:szCs w:val="18"/>
          <w:i w:val="1"/>
          <w:iCs w:val="1"/>
          <w:color w:val="231F20"/>
        </w:rPr>
        <w:t xml:space="preserve"> </w:t>
      </w:r>
      <w:r>
        <w:rPr>
          <w:rFonts w:ascii="Arial" w:cs="Arial" w:eastAsia="Arial" w:hAnsi="Arial"/>
          <w:sz w:val="18"/>
          <w:szCs w:val="18"/>
          <w:color w:val="231F20"/>
        </w:rPr>
        <w:t>stock warrants during the current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Cash Flows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table summarizes our cash flows for the periods indicated (in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r>
      <w:tr>
        <w:trPr>
          <w:trHeight w:val="203"/>
        </w:trPr>
        <w:tc>
          <w:tcPr>
            <w:tcW w:w="6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FF0FC"/>
          </w:tcPr>
          <w:p>
            <w:pPr>
              <w:jc w:val="right"/>
              <w:ind w:right="756"/>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w w:val="91"/>
              </w:rPr>
              <w:t>(52,540 )</w:t>
            </w:r>
          </w:p>
        </w:tc>
        <w:tc>
          <w:tcPr>
            <w:tcW w:w="920" w:type="dxa"/>
            <w:vAlign w:val="bottom"/>
            <w:shd w:val="clear" w:color="auto" w:fill="CFF0FC"/>
          </w:tcPr>
          <w:p>
            <w:pPr>
              <w:jc w:val="right"/>
              <w:ind w:right="734"/>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88"/>
              </w:rPr>
              <w:t>(32,174 )</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jc w:val="right"/>
              <w:ind w:right="756"/>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(813 )</w:t>
            </w:r>
          </w:p>
        </w:tc>
        <w:tc>
          <w:tcPr>
            <w:tcW w:w="920" w:type="dxa"/>
            <w:vAlign w:val="bottom"/>
          </w:tcPr>
          <w:p>
            <w:pPr>
              <w:jc w:val="right"/>
              <w:ind w:right="734"/>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(953 )</w:t>
            </w:r>
          </w:p>
        </w:tc>
      </w:tr>
      <w:tr>
        <w:trPr>
          <w:trHeight w:val="203"/>
        </w:trPr>
        <w:tc>
          <w:tcPr>
            <w:tcW w:w="67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shd w:val="clear" w:color="auto" w:fill="CFF0FC"/>
          </w:tcPr>
          <w:p>
            <w:pPr>
              <w:jc w:val="right"/>
              <w:ind w:right="75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252,529</w:t>
            </w:r>
          </w:p>
        </w:tc>
        <w:tc>
          <w:tcPr>
            <w:tcW w:w="2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734"/>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73,401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Net increase in cash</w:t>
            </w:r>
          </w:p>
        </w:tc>
        <w:tc>
          <w:tcPr>
            <w:tcW w:w="940" w:type="dxa"/>
            <w:vAlign w:val="bottom"/>
            <w:tcBorders>
              <w:bottom w:val="single" w:sz="8" w:color="auto"/>
            </w:tcBorders>
          </w:tcPr>
          <w:p>
            <w:pPr>
              <w:jc w:val="right"/>
              <w:ind w:right="75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199,176</w:t>
            </w:r>
          </w:p>
        </w:tc>
        <w:tc>
          <w:tcPr>
            <w:tcW w:w="260" w:type="dxa"/>
            <w:vAlign w:val="bottom"/>
          </w:tcPr>
          <w:p>
            <w:pPr>
              <w:spacing w:after="0"/>
              <w:rPr>
                <w:sz w:val="17"/>
                <w:szCs w:val="17"/>
                <w:color w:val="auto"/>
              </w:rPr>
            </w:pPr>
          </w:p>
        </w:tc>
        <w:tc>
          <w:tcPr>
            <w:tcW w:w="920" w:type="dxa"/>
            <w:vAlign w:val="bottom"/>
            <w:tcBorders>
              <w:bottom w:val="single" w:sz="8" w:color="auto"/>
            </w:tcBorders>
          </w:tcPr>
          <w:p>
            <w:pPr>
              <w:jc w:val="right"/>
              <w:ind w:right="734"/>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40,274</w:t>
            </w:r>
          </w:p>
        </w:tc>
        <w:tc>
          <w:tcPr>
            <w:tcW w:w="100" w:type="dxa"/>
            <w:vAlign w:val="bottom"/>
          </w:tcPr>
          <w:p>
            <w:pPr>
              <w:spacing w:after="0"/>
              <w:rPr>
                <w:sz w:val="17"/>
                <w:szCs w:val="17"/>
                <w:color w:val="auto"/>
              </w:rPr>
            </w:pP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-159385</wp:posOffset>
            </wp:positionV>
            <wp:extent cx="685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-159385</wp:posOffset>
            </wp:positionV>
            <wp:extent cx="6032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Net Cash Used in Operating Activities.</w:t>
      </w:r>
    </w:p>
    <w:p>
      <w:pPr>
        <w:spacing w:after="0" w:line="104" w:lineRule="exact"/>
        <w:rPr>
          <w:sz w:val="20"/>
          <w:szCs w:val="20"/>
          <w:color w:val="auto"/>
        </w:rPr>
      </w:pPr>
    </w:p>
    <w:p>
      <w:pPr>
        <w:ind w:firstLine="419"/>
        <w:spacing w:after="0" w:line="254" w:lineRule="auto"/>
        <w:rPr>
          <w:sz w:val="20"/>
          <w:szCs w:val="20"/>
          <w:color w:val="auto"/>
        </w:rPr>
      </w:pPr>
      <w:r>
        <w:rPr>
          <w:rFonts w:ascii="Arial" w:cs="Arial" w:eastAsia="Arial" w:hAnsi="Arial"/>
          <w:sz w:val="17"/>
          <w:szCs w:val="17"/>
          <w:color w:val="231F20"/>
        </w:rPr>
        <w:t>Net cash used in operating activities for the year ended December 31, 2021 was $52.5 million, consisting primarily of a net loss of $63.0 million. The primary add-backs to net cashed used in operating activities was the $6.9 million change in fair value of redeemable convertible warrants, issued in November 2020 as part of the debt refinancing, and $5.1 million in stock-based compensation expense. The increased stock-based compensation expense coincided with the Company increasing stock awards in advance of and associated with the public offering in July 2021. The $7.6 million increase in our operating assets consisted of a $3.7 million increase in accounts receivable, a $1.3 million increase in our inventory, and a $3.0 million increase in our prepaid expenses, each to support the continued growth of our operations. In addition, the Company's operating liabilities increased by $3.4 million. This was primarily driven by a $1.2 million increase in accounts payable due to increase inventory purchasing activity and a $1.9 million increase in accrued compensation, from an increased employee headcount.</w:t>
      </w:r>
    </w:p>
    <w:p>
      <w:pPr>
        <w:spacing w:after="0" w:line="181" w:lineRule="exact"/>
        <w:rPr>
          <w:sz w:val="20"/>
          <w:szCs w:val="20"/>
          <w:color w:val="auto"/>
        </w:rPr>
      </w:pPr>
    </w:p>
    <w:p>
      <w:pPr>
        <w:ind w:right="60" w:firstLine="419"/>
        <w:spacing w:after="0" w:line="272" w:lineRule="auto"/>
        <w:rPr>
          <w:sz w:val="20"/>
          <w:szCs w:val="20"/>
          <w:color w:val="auto"/>
        </w:rPr>
      </w:pPr>
      <w:r>
        <w:rPr>
          <w:rFonts w:ascii="Arial" w:cs="Arial" w:eastAsia="Arial" w:hAnsi="Arial"/>
          <w:sz w:val="16"/>
          <w:szCs w:val="16"/>
          <w:color w:val="231F20"/>
        </w:rPr>
        <w:t>Net cash used in operating activities for the year ended December 31, 2020 was $32.2 million, consisting primarily of a net loss of $34.7 million, which included a $2.2 million benefit from the proceeds from our Paycheck Protection Program, or PPP, loan under the Coronavirus Aid, Relief, and Economic Security Act, or CARES Act, and an increase in net operating assets of $0.7 million, partially offset by non-cash charges of $4.0 million. The $0.7 million increase in our operating assets was primarily due to a $1.5 million increase in accounts receivable, a $1.7 million increase in our inventory, and a $0.7 million increase in our prepaid expenses, each to support the continued growth of our operations, partially offset by a $1.9 million increase in accrued compensation and $2.0 million in accrued and other liabilities. The non-cash charges primarily consisted of a $1.4 million provision for excess and obsolete inventories, primarily related to the write-down of legacy first generation OMNI inventory due to the launch of our next generation of OMNI Surgical System in 2020, $0.5 million related to stock- based compensation, $0.6 million of right of use asset amortization related to</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color w:val="231F20"/>
        </w:rPr>
        <w:t>office lease, $0.6 million of accretion of debt discount and amortization of debt issuance costs and $0.6 million in depreciation and amortization.</w:t>
      </w:r>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Net Cash Used in Investing Activities.</w:t>
      </w:r>
    </w:p>
    <w:p>
      <w:pPr>
        <w:spacing w:after="0" w:line="104" w:lineRule="exact"/>
        <w:rPr>
          <w:sz w:val="20"/>
          <w:szCs w:val="20"/>
          <w:color w:val="auto"/>
        </w:rPr>
      </w:pPr>
    </w:p>
    <w:p>
      <w:pPr>
        <w:ind w:right="20" w:firstLine="419"/>
        <w:spacing w:after="0" w:line="261" w:lineRule="auto"/>
        <w:rPr>
          <w:sz w:val="20"/>
          <w:szCs w:val="20"/>
          <w:color w:val="auto"/>
        </w:rPr>
      </w:pPr>
      <w:r>
        <w:rPr>
          <w:rFonts w:ascii="Arial" w:cs="Arial" w:eastAsia="Arial" w:hAnsi="Arial"/>
          <w:sz w:val="18"/>
          <w:szCs w:val="18"/>
          <w:color w:val="231F20"/>
        </w:rPr>
        <w:t>Net cash used in investing activities in the years ended December 31, 2021 and 2020 was $0.8 and $1.0 million, consisting of purchases of property and equipment.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Net Cash Provided by (Used in) Financing Activities.</w:t>
      </w:r>
    </w:p>
    <w:p>
      <w:pPr>
        <w:spacing w:after="0" w:line="104" w:lineRule="exact"/>
        <w:rPr>
          <w:sz w:val="20"/>
          <w:szCs w:val="20"/>
          <w:color w:val="auto"/>
        </w:rPr>
      </w:pPr>
    </w:p>
    <w:p>
      <w:pPr>
        <w:ind w:right="60" w:firstLine="419"/>
        <w:spacing w:after="0" w:line="261" w:lineRule="auto"/>
        <w:rPr>
          <w:sz w:val="20"/>
          <w:szCs w:val="20"/>
          <w:color w:val="auto"/>
        </w:rPr>
      </w:pPr>
      <w:r>
        <w:rPr>
          <w:rFonts w:ascii="Arial" w:cs="Arial" w:eastAsia="Arial" w:hAnsi="Arial"/>
          <w:sz w:val="18"/>
          <w:szCs w:val="18"/>
          <w:color w:val="231F20"/>
        </w:rPr>
        <w:t>Net cash provided by financing activities in the year ended December 31, 2021 of $252.5 million primarily relates to proceeds from the issuance of common stock, net of related offering costs, of $252.2 million.</w:t>
      </w:r>
    </w:p>
    <w:p>
      <w:pPr>
        <w:spacing w:after="0" w:line="171" w:lineRule="exact"/>
        <w:rPr>
          <w:sz w:val="20"/>
          <w:szCs w:val="20"/>
          <w:color w:val="auto"/>
        </w:rPr>
      </w:pPr>
    </w:p>
    <w:p>
      <w:pPr>
        <w:ind w:right="60" w:firstLine="419"/>
        <w:spacing w:after="0" w:line="248" w:lineRule="auto"/>
        <w:rPr>
          <w:sz w:val="20"/>
          <w:szCs w:val="20"/>
          <w:color w:val="auto"/>
        </w:rPr>
      </w:pPr>
      <w:r>
        <w:rPr>
          <w:rFonts w:ascii="Arial" w:cs="Arial" w:eastAsia="Arial" w:hAnsi="Arial"/>
          <w:sz w:val="18"/>
          <w:szCs w:val="18"/>
          <w:color w:val="231F20"/>
        </w:rPr>
        <w:t>Net cash provided by financing activities in the year ended December 31, 2020 of $73.4 million primarily relates to proceeds from issuance of debt of $20.3 million and proceeds of $53.4 million from the issuance of our Series E redeemable convertible preferred stock and Series F redeemable convertible preferred stock, partially offset by the related offering costs of $0.3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04" w:lineRule="exact"/>
        <w:rPr>
          <w:sz w:val="20"/>
          <w:szCs w:val="20"/>
          <w:color w:val="auto"/>
        </w:rPr>
      </w:pPr>
    </w:p>
    <w:p>
      <w:pPr>
        <w:ind w:right="20" w:firstLine="419"/>
        <w:spacing w:after="0" w:line="243" w:lineRule="auto"/>
        <w:rPr>
          <w:sz w:val="20"/>
          <w:szCs w:val="20"/>
          <w:color w:val="auto"/>
        </w:rPr>
      </w:pPr>
      <w:r>
        <w:rPr>
          <w:rFonts w:ascii="Arial" w:cs="Arial" w:eastAsia="Arial" w:hAnsi="Arial"/>
          <w:sz w:val="18"/>
          <w:szCs w:val="18"/>
          <w:color w:val="231F20"/>
        </w:rPr>
        <w:t>To date, our primary sources of capital have been private placements of redeemable convertible preferred stock, debt financing agreements, the sale of common stock in our IPO, and revenue from the sale of our products. Since our inception, we have raised an aggregate of approximately $402.4 million in net proceeds from sales of our redeemable convertible preferred stock and common stock and borrowed $32.9 million of net proceeds under our term loans.</w:t>
      </w:r>
    </w:p>
    <w:p>
      <w:pPr>
        <w:spacing w:after="0" w:line="188" w:lineRule="exact"/>
        <w:rPr>
          <w:sz w:val="20"/>
          <w:szCs w:val="20"/>
          <w:color w:val="auto"/>
        </w:rPr>
      </w:pPr>
    </w:p>
    <w:p>
      <w:pPr>
        <w:ind w:right="20" w:firstLine="419"/>
        <w:spacing w:after="0" w:line="243" w:lineRule="auto"/>
        <w:rPr>
          <w:sz w:val="20"/>
          <w:szCs w:val="20"/>
          <w:color w:val="auto"/>
        </w:rPr>
      </w:pPr>
      <w:r>
        <w:rPr>
          <w:rFonts w:ascii="Arial" w:cs="Arial" w:eastAsia="Arial" w:hAnsi="Arial"/>
          <w:sz w:val="18"/>
          <w:szCs w:val="18"/>
          <w:color w:val="231F20"/>
        </w:rPr>
        <w:t>As of December 31, 2021, we had cash and cash equivalents of $260.7 million, an accumulated deficit of $153.0 million and $35.0 million outstanding under our term loan agreement (before debt discount). Based on our current planned operations, we expect our cash and cash equivalents and additional borrowings available under the 2020 Term Loan and the 2020 Revolver will enable us to fund our operations for at least the next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MidCap Loan Agreements</w:t>
      </w:r>
    </w:p>
    <w:p>
      <w:pPr>
        <w:spacing w:after="0" w:line="104" w:lineRule="exact"/>
        <w:rPr>
          <w:sz w:val="20"/>
          <w:szCs w:val="20"/>
          <w:color w:val="auto"/>
        </w:rPr>
      </w:pPr>
    </w:p>
    <w:p>
      <w:pPr>
        <w:ind w:right="20" w:firstLine="419"/>
        <w:spacing w:after="0" w:line="276" w:lineRule="auto"/>
        <w:rPr>
          <w:sz w:val="20"/>
          <w:szCs w:val="20"/>
          <w:color w:val="auto"/>
        </w:rPr>
      </w:pPr>
      <w:r>
        <w:rPr>
          <w:rFonts w:ascii="Arial" w:cs="Arial" w:eastAsia="Arial" w:hAnsi="Arial"/>
          <w:sz w:val="16"/>
          <w:szCs w:val="16"/>
          <w:color w:val="231F20"/>
        </w:rPr>
        <w:t>In January 2019, we entered into loan and security agreements, or the 2019 MidCap Credit Facility, with MidCap Financial Services, or the Lender, which provided for a term loan facility, or the 2019 Term Loan, and a revolving line of credit, or the 2019 Revolver. In November 2020, we entered into an amended and restated loan and security agreement, or the 2020 MidCap Credit Facility, with the Lender, which replaced the 2019 MidCap Credit Facility, and provided for a term loan facility, or the 2020 Term Loan, and a revolving line of credit, or the 2020 Revolver. Together with the 2019 Term Loan and 2019 Revolver, the 2020 Term Loan and 2020 Revolver are referred to as the MidCap Loan Agreements. The 2020 MidCap Credit Facility includes a maximum of $40.0 million credit facility consisting of a senior secured term loan of up to $35.0 million and a $5.0 million revolver.</w:t>
      </w:r>
    </w:p>
    <w:p>
      <w:pPr>
        <w:spacing w:after="0" w:line="161" w:lineRule="exact"/>
        <w:rPr>
          <w:sz w:val="20"/>
          <w:szCs w:val="20"/>
          <w:color w:val="auto"/>
        </w:rPr>
      </w:pPr>
    </w:p>
    <w:p>
      <w:pPr>
        <w:ind w:firstLine="419"/>
        <w:spacing w:after="0" w:line="255" w:lineRule="auto"/>
        <w:rPr>
          <w:sz w:val="20"/>
          <w:szCs w:val="20"/>
          <w:color w:val="auto"/>
        </w:rPr>
      </w:pPr>
      <w:r>
        <w:rPr>
          <w:rFonts w:ascii="Arial" w:cs="Arial" w:eastAsia="Arial" w:hAnsi="Arial"/>
          <w:sz w:val="17"/>
          <w:szCs w:val="17"/>
          <w:color w:val="231F20"/>
        </w:rPr>
        <w:t>Our obligations under the 2020 MidCap Credit Facility are guaranteed by us and our future subsidiaries, subject to exceptions for certain foreign subsidiaries. Our obligations under the agreements are secured by substantially all of our assets, including our material intellectual property. Additionally, we are subject to customary affirmative and negative covenants, including covenants that limit or restrict the ability of us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2020 MidCap Credit Facility agreements also have financial covenants that relate to minimum trailing revenue targets, which began in November 2020, and are tested on a monthly basis. As of December 31, 2021, the Company was in compliance with all financial and non-financial covenants.</w:t>
      </w:r>
    </w:p>
    <w:p>
      <w:pPr>
        <w:spacing w:after="0" w:line="180" w:lineRule="exact"/>
        <w:rPr>
          <w:sz w:val="20"/>
          <w:szCs w:val="20"/>
          <w:color w:val="auto"/>
        </w:rPr>
      </w:pPr>
    </w:p>
    <w:p>
      <w:pPr>
        <w:ind w:right="420" w:firstLine="419"/>
        <w:spacing w:after="0" w:line="261" w:lineRule="auto"/>
        <w:rPr>
          <w:sz w:val="20"/>
          <w:szCs w:val="20"/>
          <w:color w:val="auto"/>
        </w:rPr>
      </w:pPr>
      <w:r>
        <w:rPr>
          <w:rFonts w:ascii="Arial" w:cs="Arial" w:eastAsia="Arial" w:hAnsi="Arial"/>
          <w:sz w:val="18"/>
          <w:szCs w:val="18"/>
          <w:color w:val="231F20"/>
        </w:rPr>
        <w:t>The MidCap Loan Agreements each contain events of default that include, among others, non-payment of principal, interest or fees, breach of covenants, inaccuracy of representations and warranties, cross-defaults and bankruptcy and insolvency events.</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231F20"/>
        </w:rPr>
        <w:t>2020 Term Loan</w:t>
      </w:r>
    </w:p>
    <w:p>
      <w:pPr>
        <w:spacing w:after="0" w:line="104" w:lineRule="exact"/>
        <w:rPr>
          <w:sz w:val="20"/>
          <w:szCs w:val="20"/>
          <w:color w:val="auto"/>
        </w:rPr>
      </w:pPr>
    </w:p>
    <w:p>
      <w:pPr>
        <w:ind w:right="220" w:firstLine="419"/>
        <w:spacing w:after="0" w:line="276" w:lineRule="auto"/>
        <w:rPr>
          <w:sz w:val="20"/>
          <w:szCs w:val="20"/>
          <w:color w:val="auto"/>
        </w:rPr>
      </w:pPr>
      <w:r>
        <w:rPr>
          <w:rFonts w:ascii="Arial" w:cs="Arial" w:eastAsia="Arial" w:hAnsi="Arial"/>
          <w:sz w:val="16"/>
          <w:szCs w:val="16"/>
          <w:color w:val="231F20"/>
        </w:rPr>
        <w:t xml:space="preserve">The 2020 Term Loan agreement amended the maturity date to November 1, 2025 and adjusted the stated floating interest rate to reserve-adjusted LIBOR, </w:t>
      </w:r>
      <w:r>
        <w:rPr>
          <w:rFonts w:ascii="Arial" w:cs="Arial" w:eastAsia="Arial" w:hAnsi="Arial"/>
          <w:sz w:val="16"/>
          <w:szCs w:val="16"/>
          <w:i w:val="1"/>
          <w:iCs w:val="1"/>
          <w:color w:val="231F20"/>
        </w:rPr>
        <w:t>plus</w:t>
      </w:r>
      <w:r>
        <w:rPr>
          <w:rFonts w:ascii="Arial" w:cs="Arial" w:eastAsia="Arial" w:hAnsi="Arial"/>
          <w:sz w:val="16"/>
          <w:szCs w:val="16"/>
          <w:color w:val="231F20"/>
        </w:rPr>
        <w:t xml:space="preserve"> 7.00%. Outstanding principal amounts of Tranche One Loans and Tranche Two Loans borrowed under the 2019 Term Loan were designated as Tranche One Loans and Tranche Two Loans under the 2020 Term Loan. The Tranche Three Loan commitment amount was increased to $21.0 million and the full amount was drawn in November 2020. Principal payments under the 2020 Term Loan are scheduled to begin in December 2022. However, if certain conditions are met, the initiation of principal payments can be delayed to either December 2023 or December 2024. In addition, the final payment fee was amended to 6.0%. We are subject to certain financial and non-financial covenants.</w:t>
      </w:r>
    </w:p>
    <w:p>
      <w:pPr>
        <w:spacing w:after="0" w:line="162" w:lineRule="exact"/>
        <w:rPr>
          <w:sz w:val="20"/>
          <w:szCs w:val="20"/>
          <w:color w:val="auto"/>
        </w:rPr>
      </w:pPr>
    </w:p>
    <w:p>
      <w:pPr>
        <w:ind w:right="240" w:firstLine="419"/>
        <w:spacing w:after="0" w:line="291" w:lineRule="auto"/>
        <w:rPr>
          <w:sz w:val="20"/>
          <w:szCs w:val="20"/>
          <w:color w:val="auto"/>
        </w:rPr>
      </w:pPr>
      <w:r>
        <w:rPr>
          <w:rFonts w:ascii="Arial" w:cs="Arial" w:eastAsia="Arial" w:hAnsi="Arial"/>
          <w:sz w:val="17"/>
          <w:szCs w:val="17"/>
          <w:color w:val="231F20"/>
        </w:rPr>
        <w:t>We incurred $0.7 million of issuance costs in conjunction with the 2020 Term Loan which were netted against the borrowed funds in the balance sheet and are being accreted using the effective interest method as interest expense over the contractual period of five years.</w:t>
      </w:r>
    </w:p>
    <w:p>
      <w:pPr>
        <w:spacing w:after="0" w:line="147" w:lineRule="exact"/>
        <w:rPr>
          <w:sz w:val="20"/>
          <w:szCs w:val="20"/>
          <w:color w:val="auto"/>
        </w:rPr>
      </w:pPr>
    </w:p>
    <w:p>
      <w:pPr>
        <w:ind w:firstLine="419"/>
        <w:spacing w:after="0" w:line="262" w:lineRule="auto"/>
        <w:rPr>
          <w:sz w:val="20"/>
          <w:szCs w:val="20"/>
          <w:color w:val="auto"/>
        </w:rPr>
      </w:pPr>
      <w:r>
        <w:rPr>
          <w:rFonts w:ascii="Arial" w:cs="Arial" w:eastAsia="Arial" w:hAnsi="Arial"/>
          <w:sz w:val="17"/>
          <w:szCs w:val="17"/>
          <w:color w:val="231F20"/>
        </w:rPr>
        <w:t>In conjunction with the funding of the 2020 Term Loan, we issued a 10-year warrant to the Lender to purchase 300,000 shares of our Series F redeemable convertible preferred stock at an exercise price of $21.8779 per share, or the 2020 MidCap Warrant, with the estimated fair value of $1.8 million. The 2020 MidCap Warrants were recorded at the fair value as a debt discount and as a warrant liability. The debt discount is being accreted using the effective interest method as interest expense over the contractual period of four years for the 2020 Term Loan.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231F20"/>
        </w:rPr>
        <w:t>2020 Revolver</w:t>
      </w:r>
    </w:p>
    <w:p>
      <w:pPr>
        <w:spacing w:after="0" w:line="104" w:lineRule="exact"/>
        <w:rPr>
          <w:sz w:val="20"/>
          <w:szCs w:val="20"/>
          <w:color w:val="auto"/>
        </w:rPr>
      </w:pPr>
    </w:p>
    <w:p>
      <w:pPr>
        <w:ind w:right="40" w:firstLine="419"/>
        <w:spacing w:after="0" w:line="248" w:lineRule="auto"/>
        <w:rPr>
          <w:sz w:val="20"/>
          <w:szCs w:val="20"/>
          <w:color w:val="auto"/>
        </w:rPr>
      </w:pPr>
      <w:r>
        <w:rPr>
          <w:rFonts w:ascii="Arial" w:cs="Arial" w:eastAsia="Arial" w:hAnsi="Arial"/>
          <w:sz w:val="18"/>
          <w:szCs w:val="18"/>
          <w:color w:val="231F20"/>
        </w:rPr>
        <w:t>The maturity date of the 2020 Revolver was amended to November 1, 2025 and the stated floating interest rate was adjusted to reserve-adjusted LIBOR plus 4.50%. As of December 31, 2021, $5.0 million was available to be drawn under the 2020 Revolver which remains undrawn upon. Other key terms of the 2020 Revolver remained substantially unchanged compared to those of 2019 Revolver.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231F20"/>
        </w:rPr>
        <w:t>2019 Term Loan</w:t>
      </w:r>
    </w:p>
    <w:p>
      <w:pPr>
        <w:spacing w:after="0" w:line="104" w:lineRule="exact"/>
        <w:rPr>
          <w:sz w:val="20"/>
          <w:szCs w:val="20"/>
          <w:color w:val="auto"/>
        </w:rPr>
      </w:pPr>
    </w:p>
    <w:p>
      <w:pPr>
        <w:ind w:right="20" w:firstLine="419"/>
        <w:spacing w:after="0" w:line="276" w:lineRule="auto"/>
        <w:rPr>
          <w:sz w:val="20"/>
          <w:szCs w:val="20"/>
          <w:color w:val="auto"/>
        </w:rPr>
      </w:pPr>
      <w:r>
        <w:rPr>
          <w:rFonts w:ascii="Arial" w:cs="Arial" w:eastAsia="Arial" w:hAnsi="Arial"/>
          <w:sz w:val="16"/>
          <w:szCs w:val="16"/>
          <w:color w:val="231F20"/>
        </w:rPr>
        <w:t xml:space="preserve">In November 2020, the 2019 Term Loan was amended and restated pursuant to the 2020 Term Loan. The 2019 Term Loan had a four-year term and a stated floating interest rate which equated to reserve- adjusted LIBOR, </w:t>
      </w:r>
      <w:r>
        <w:rPr>
          <w:rFonts w:ascii="Arial" w:cs="Arial" w:eastAsia="Arial" w:hAnsi="Arial"/>
          <w:sz w:val="16"/>
          <w:szCs w:val="16"/>
          <w:i w:val="1"/>
          <w:iCs w:val="1"/>
          <w:color w:val="231F20"/>
        </w:rPr>
        <w:t>plus</w:t>
      </w:r>
      <w:r>
        <w:rPr>
          <w:rFonts w:ascii="Arial" w:cs="Arial" w:eastAsia="Arial" w:hAnsi="Arial"/>
          <w:sz w:val="16"/>
          <w:szCs w:val="16"/>
          <w:color w:val="231F20"/>
        </w:rPr>
        <w:t xml:space="preserve"> 6.75%. Under certain circumstances, the floating interest rate could have been based on the prime rate instead of LIBOR. The 2019 Term Loan was split into three tranches as follows: (i) the Tranche One Loans provided for $12.0 million in term loans, (ii) the Tranche Two Loans provided for up to $2.0 million in term loans, and (iii) the Tranche Three Loans provided for up to $6.0 million in term loans. We borrowed $14.0 million under the Tranche One Loans and Tranche Two Loans. Although the conditions necessary to draw the Tranche Three Loans had been met as of December 31, 2019, we did not draw the Tranche Three Term Loans.</w:t>
      </w:r>
    </w:p>
    <w:p>
      <w:pPr>
        <w:spacing w:after="0" w:line="162" w:lineRule="exact"/>
        <w:rPr>
          <w:sz w:val="20"/>
          <w:szCs w:val="20"/>
          <w:color w:val="auto"/>
        </w:rPr>
      </w:pPr>
    </w:p>
    <w:p>
      <w:pPr>
        <w:ind w:right="240" w:firstLine="419"/>
        <w:spacing w:after="0" w:line="291" w:lineRule="auto"/>
        <w:rPr>
          <w:sz w:val="20"/>
          <w:szCs w:val="20"/>
          <w:color w:val="auto"/>
        </w:rPr>
      </w:pPr>
      <w:r>
        <w:rPr>
          <w:rFonts w:ascii="Arial" w:cs="Arial" w:eastAsia="Arial" w:hAnsi="Arial"/>
          <w:sz w:val="17"/>
          <w:szCs w:val="17"/>
          <w:color w:val="231F20"/>
        </w:rPr>
        <w:t>We incurred $1.5 million of issuance costs in conjunction with the 2019 Term Loan which were netted against the borrowed funds in the balance sheet and were being accreted using the effective interest method as interest expense over the contractual period of four years.</w:t>
      </w:r>
    </w:p>
    <w:p>
      <w:pPr>
        <w:spacing w:after="0" w:line="147" w:lineRule="exact"/>
        <w:rPr>
          <w:sz w:val="20"/>
          <w:szCs w:val="20"/>
          <w:color w:val="auto"/>
        </w:rPr>
      </w:pPr>
    </w:p>
    <w:p>
      <w:pPr>
        <w:ind w:right="120" w:firstLine="419"/>
        <w:spacing w:after="0" w:line="243" w:lineRule="auto"/>
        <w:rPr>
          <w:sz w:val="20"/>
          <w:szCs w:val="20"/>
          <w:color w:val="auto"/>
        </w:rPr>
      </w:pPr>
      <w:r>
        <w:rPr>
          <w:rFonts w:ascii="Arial" w:cs="Arial" w:eastAsia="Arial" w:hAnsi="Arial"/>
          <w:sz w:val="18"/>
          <w:szCs w:val="18"/>
          <w:color w:val="231F20"/>
        </w:rPr>
        <w:t>In conjunction with the funding of Tranche One Loans and Tranche Two Loans under the 2019 Term Loan, we issued a 10-year warrant to the Lender to purchase 29,514 shares of our Series C redeemable convertible preferred stock, or the 2019 MidCap Warrants, at an exercise price of $9.4868 per share. The estimated fair value of the 2019 MidCap Warrants was $0.2 million. The 2019 MidCap Warrants were recorded at the fair value as a debt discount and as a warrant liability.</w:t>
      </w:r>
    </w:p>
    <w:p>
      <w:pPr>
        <w:spacing w:after="0" w:line="188" w:lineRule="exact"/>
        <w:rPr>
          <w:sz w:val="20"/>
          <w:szCs w:val="20"/>
          <w:color w:val="auto"/>
        </w:rPr>
      </w:pPr>
    </w:p>
    <w:p>
      <w:pPr>
        <w:ind w:right="140" w:firstLine="419"/>
        <w:spacing w:after="0" w:line="284" w:lineRule="auto"/>
        <w:rPr>
          <w:sz w:val="20"/>
          <w:szCs w:val="20"/>
          <w:color w:val="auto"/>
        </w:rPr>
      </w:pPr>
      <w:r>
        <w:rPr>
          <w:rFonts w:ascii="Arial" w:cs="Arial" w:eastAsia="Arial" w:hAnsi="Arial"/>
          <w:sz w:val="16"/>
          <w:szCs w:val="16"/>
          <w:color w:val="231F20"/>
        </w:rPr>
        <w:t>The 2019 Term Loan granted us the right to voluntarily prepay the borrowings in full, with a prepayment premium beginning at 3.0% in the first year from tranche funding and declining to 2.0% in the second year from tranche funding, to 1.0% in the third year from tranche funding thereafter. In addition, a final payment fee of 5% of the original Tranche One Loans and Tranche Two Loans amounts borrowed was payable at the end of the term or when the borrowings are repaid in full. The borrowings were collateralized by a security interest in substantially all of our assets.</w:t>
      </w: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231F20"/>
        </w:rPr>
        <w:t>2019 Revolver</w:t>
      </w:r>
    </w:p>
    <w:p>
      <w:pPr>
        <w:spacing w:after="0" w:line="104" w:lineRule="exact"/>
        <w:rPr>
          <w:sz w:val="20"/>
          <w:szCs w:val="20"/>
          <w:color w:val="auto"/>
        </w:rPr>
      </w:pPr>
    </w:p>
    <w:p>
      <w:pPr>
        <w:ind w:right="20" w:firstLine="419"/>
        <w:spacing w:after="0" w:line="259" w:lineRule="auto"/>
        <w:rPr>
          <w:sz w:val="20"/>
          <w:szCs w:val="20"/>
          <w:color w:val="auto"/>
        </w:rPr>
      </w:pPr>
      <w:r>
        <w:rPr>
          <w:rFonts w:ascii="Arial" w:cs="Arial" w:eastAsia="Arial" w:hAnsi="Arial"/>
          <w:sz w:val="17"/>
          <w:szCs w:val="17"/>
          <w:color w:val="231F20"/>
        </w:rPr>
        <w:t xml:space="preserve">In November 2020, the 2019 Revolver was amended and restated pursuant to the 2020 Revolver. The 2019 Revolver had a four-year term and had a stated floating interest rate which equated to reserve- adjusted LIBOR, </w:t>
      </w:r>
      <w:r>
        <w:rPr>
          <w:rFonts w:ascii="Arial" w:cs="Arial" w:eastAsia="Arial" w:hAnsi="Arial"/>
          <w:sz w:val="17"/>
          <w:szCs w:val="17"/>
          <w:i w:val="1"/>
          <w:iCs w:val="1"/>
          <w:color w:val="231F20"/>
        </w:rPr>
        <w:t>plus</w:t>
      </w:r>
      <w:r>
        <w:rPr>
          <w:rFonts w:ascii="Arial" w:cs="Arial" w:eastAsia="Arial" w:hAnsi="Arial"/>
          <w:sz w:val="17"/>
          <w:szCs w:val="17"/>
          <w:color w:val="231F20"/>
        </w:rPr>
        <w:t xml:space="preserve"> 4.25%. Under certain circumstances, the floating interest rate could have been based on the prime rate instead of LIBOR. An unused line fee of 0.5% was payad aable monthly based on the average unused balance and a collateral management fee of 0.5% was payable monthly based on the outstanding balance of the 2019 Revolver. We could have requested to increase the 2019 Revolver commitment amount to $10.0 million under the terms of the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Paycheck Protection Program Loan</w:t>
      </w:r>
    </w:p>
    <w:p>
      <w:pPr>
        <w:spacing w:after="0" w:line="104" w:lineRule="exact"/>
        <w:rPr>
          <w:sz w:val="20"/>
          <w:szCs w:val="20"/>
          <w:color w:val="auto"/>
        </w:rPr>
      </w:pPr>
    </w:p>
    <w:p>
      <w:pPr>
        <w:jc w:val="both"/>
        <w:ind w:firstLine="419"/>
        <w:spacing w:after="0" w:line="284" w:lineRule="auto"/>
        <w:rPr>
          <w:sz w:val="20"/>
          <w:szCs w:val="20"/>
          <w:color w:val="auto"/>
        </w:rPr>
      </w:pPr>
      <w:r>
        <w:rPr>
          <w:rFonts w:ascii="Arial" w:cs="Arial" w:eastAsia="Arial" w:hAnsi="Arial"/>
          <w:sz w:val="16"/>
          <w:szCs w:val="16"/>
          <w:color w:val="231F20"/>
        </w:rPr>
        <w:t>In May 2020, we received a loan of $2.2 million pursuant to the Paycheck Protection Program, or PPP, under the CARES Act. The Small Business Administration required that PPP loans only be used for eligible payroll costs, business mortgage interest payments, rent or utilities. Per SBA guidelines, we would be eligible to apply for loan forgiveness if we used the loan proceeds for acceptable expenses during the 8-week period after disbursement. The PPP loan was forgiven in June 2021. The Company has elected to recognize this government grant income as a reduction of the related expenses.</w:t>
      </w:r>
    </w:p>
    <w:p>
      <w:pPr>
        <w:spacing w:after="0" w:line="155" w:lineRule="exact"/>
        <w:rPr>
          <w:sz w:val="20"/>
          <w:szCs w:val="20"/>
          <w:color w:val="auto"/>
        </w:rPr>
      </w:pPr>
    </w:p>
    <w:p>
      <w:pPr>
        <w:ind w:right="480" w:firstLine="419"/>
        <w:spacing w:after="0" w:line="248" w:lineRule="auto"/>
        <w:rPr>
          <w:sz w:val="20"/>
          <w:szCs w:val="20"/>
          <w:color w:val="auto"/>
        </w:rPr>
      </w:pPr>
      <w:r>
        <w:rPr>
          <w:rFonts w:ascii="Arial" w:cs="Arial" w:eastAsia="Arial" w:hAnsi="Arial"/>
          <w:sz w:val="18"/>
          <w:szCs w:val="18"/>
          <w:color w:val="231F20"/>
        </w:rPr>
        <w:t>In connection with the PPP loan, we executed a promissory note in favor of Bank of America. Because the SBA confirmed full and complete forgiveness of the unpaid balance of the PPP loan and reimbursed Bank of America for the total outstanding balance, principal and interest, our obligations under the PPP loan are deemed fully satisfied and paid in full.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Lease Agreements</w:t>
      </w:r>
    </w:p>
    <w:p>
      <w:pPr>
        <w:spacing w:after="0" w:line="104" w:lineRule="exact"/>
        <w:rPr>
          <w:sz w:val="20"/>
          <w:szCs w:val="20"/>
          <w:color w:val="auto"/>
        </w:rPr>
      </w:pPr>
    </w:p>
    <w:p>
      <w:pPr>
        <w:ind w:right="20" w:firstLine="419"/>
        <w:spacing w:after="0" w:line="259" w:lineRule="auto"/>
        <w:rPr>
          <w:sz w:val="20"/>
          <w:szCs w:val="20"/>
          <w:color w:val="auto"/>
        </w:rPr>
      </w:pPr>
      <w:r>
        <w:rPr>
          <w:rFonts w:ascii="Arial" w:cs="Arial" w:eastAsia="Arial" w:hAnsi="Arial"/>
          <w:sz w:val="17"/>
          <w:szCs w:val="17"/>
          <w:color w:val="231F20"/>
        </w:rPr>
        <w:t>Our corporate headquarters are located in Menlo Park, California, where we lease approximately 10,823 square feet of office, research and development, engineering and laboratory space which was originally pursuant to a sublease agreement which was effective as of September 17, 2019 and expired on July 31, 2021. Effective August 1, 2021, we remain in the same space under a new lease agreement with the direct landlord to that space which will extend through August 31, 2024. We also lease approximately 2,040 square feet of office space, which is primarily used by our commercial leadership team, in Southlake, Texas, pursuant to a lease that commenced on April 30, 2019 and expires on May 15, 2024.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08" w:lineRule="exact"/>
        <w:rPr>
          <w:sz w:val="20"/>
          <w:szCs w:val="20"/>
          <w:color w:val="auto"/>
        </w:rPr>
      </w:pPr>
    </w:p>
    <w:p>
      <w:pPr>
        <w:ind w:right="60" w:firstLine="419"/>
        <w:spacing w:after="0" w:line="279" w:lineRule="auto"/>
        <w:rPr>
          <w:sz w:val="20"/>
          <w:szCs w:val="20"/>
          <w:color w:val="auto"/>
        </w:rPr>
      </w:pPr>
      <w:r>
        <w:rPr>
          <w:rFonts w:ascii="Arial" w:cs="Arial" w:eastAsia="Arial" w:hAnsi="Arial"/>
          <w:sz w:val="16"/>
          <w:szCs w:val="16"/>
          <w:color w:val="231F20"/>
        </w:rPr>
        <w:t>Our financial statements have been prepared in accordance with U.S. generally accepted accounting principles, or GAAP. The preparation of these financial statements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59" w:lineRule="exact"/>
        <w:rPr>
          <w:sz w:val="20"/>
          <w:szCs w:val="20"/>
          <w:color w:val="auto"/>
        </w:rPr>
      </w:pPr>
    </w:p>
    <w:p>
      <w:pPr>
        <w:ind w:right="200" w:firstLine="419"/>
        <w:spacing w:after="0" w:line="248" w:lineRule="auto"/>
        <w:rPr>
          <w:sz w:val="20"/>
          <w:szCs w:val="20"/>
          <w:color w:val="auto"/>
        </w:rPr>
      </w:pPr>
      <w:r>
        <w:rPr>
          <w:rFonts w:ascii="Arial" w:cs="Arial" w:eastAsia="Arial" w:hAnsi="Arial"/>
          <w:sz w:val="18"/>
          <w:szCs w:val="18"/>
          <w:color w:val="231F20"/>
        </w:rPr>
        <w:t>While our significant accounting policies are more fully described in Note 2 to our financial statements included elsewhere in this Annual Report on Form 10-K, we believe the following discussion addresses our most critical accounting policies, which are those that are most important to our financial condition and results of operations and require our most difficult, subjective and complex judgments.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104" w:lineRule="exact"/>
        <w:rPr>
          <w:sz w:val="20"/>
          <w:szCs w:val="20"/>
          <w:color w:val="auto"/>
        </w:rPr>
      </w:pPr>
    </w:p>
    <w:p>
      <w:pPr>
        <w:jc w:val="both"/>
        <w:ind w:right="120" w:firstLine="419"/>
        <w:spacing w:after="0" w:line="248" w:lineRule="auto"/>
        <w:rPr>
          <w:sz w:val="20"/>
          <w:szCs w:val="20"/>
          <w:color w:val="auto"/>
        </w:rPr>
      </w:pPr>
      <w:r>
        <w:rPr>
          <w:rFonts w:ascii="Arial" w:cs="Arial" w:eastAsia="Arial" w:hAnsi="Arial"/>
          <w:sz w:val="18"/>
          <w:szCs w:val="18"/>
          <w:color w:val="231F20"/>
        </w:rPr>
        <w:t>Revenue recognized during the years ended December 31, 2021 and 2020 relates entirely to the sale of our products within the Surgical Glaucoma and Dry Eye segments. These sales are primarily to hospitals, medical centers, and ECPs throughout the United States through sales representatives and distributors.</w:t>
      </w:r>
    </w:p>
    <w:p>
      <w:pPr>
        <w:spacing w:after="0" w:line="182" w:lineRule="exact"/>
        <w:rPr>
          <w:sz w:val="20"/>
          <w:szCs w:val="20"/>
          <w:color w:val="auto"/>
        </w:rPr>
      </w:pPr>
    </w:p>
    <w:p>
      <w:pPr>
        <w:ind w:right="80" w:firstLine="419"/>
        <w:spacing w:after="0" w:line="257" w:lineRule="auto"/>
        <w:rPr>
          <w:sz w:val="20"/>
          <w:szCs w:val="20"/>
          <w:color w:val="auto"/>
        </w:rPr>
      </w:pPr>
      <w:r>
        <w:rPr>
          <w:rFonts w:ascii="Arial" w:cs="Arial" w:eastAsia="Arial" w:hAnsi="Arial"/>
          <w:sz w:val="17"/>
          <w:szCs w:val="17"/>
          <w:color w:val="231F20"/>
        </w:rPr>
        <w:t>Our revenue arrangements consist of a single performance obligation. We recognize revenue at the point in time when control of the promised goods transfers to our customers. Revenue is measured at the amount of consideration expected to be received in exchange for the transfer of goods. The amount of revenue that is recognized is based on the transaction price, which represented the invoiced amounts and includes estimates of variable consideration, such as discounted, where applicable. We do not offer right of return, except in the case where item is defective as manufactured, and the company does not typically provide customers with a right to a refund. The amount of variable consideration included in the transaction price may be constrained and is included only to the extent that it is probable that a significant reversal in the</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107" w:name="page108"/>
    <w:bookmarkEnd w:id="107"/>
    <w:p>
      <w:pPr>
        <w:ind w:right="260"/>
        <w:spacing w:after="0" w:line="248" w:lineRule="auto"/>
        <w:rPr>
          <w:sz w:val="20"/>
          <w:szCs w:val="20"/>
          <w:color w:val="auto"/>
        </w:rPr>
      </w:pPr>
      <w:r>
        <w:rPr>
          <w:rFonts w:ascii="Arial" w:cs="Arial" w:eastAsia="Arial" w:hAnsi="Arial"/>
          <w:sz w:val="18"/>
          <w:szCs w:val="18"/>
          <w:color w:val="231F20"/>
        </w:rPr>
        <w:t>amount of the cumulative revenue recognized under the contract will not occur in a future period. Payment terms, typically 30 days, are offered to our customers and do not include a significant financing component. We extend credit to our customers based upon their financial condition and credit history and generally require no collateral. We do not have any contract balances related to product sales.</w:t>
      </w:r>
    </w:p>
    <w:p>
      <w:pPr>
        <w:spacing w:after="0" w:line="182" w:lineRule="exact"/>
        <w:rPr>
          <w:sz w:val="20"/>
          <w:szCs w:val="20"/>
          <w:color w:val="auto"/>
        </w:rPr>
      </w:pPr>
    </w:p>
    <w:p>
      <w:pPr>
        <w:ind w:firstLine="419"/>
        <w:spacing w:after="0" w:line="284" w:lineRule="auto"/>
        <w:rPr>
          <w:sz w:val="20"/>
          <w:szCs w:val="20"/>
          <w:color w:val="auto"/>
        </w:rPr>
      </w:pPr>
      <w:r>
        <w:rPr>
          <w:rFonts w:ascii="Arial" w:cs="Arial" w:eastAsia="Arial" w:hAnsi="Arial"/>
          <w:sz w:val="16"/>
          <w:szCs w:val="16"/>
          <w:color w:val="231F20"/>
        </w:rPr>
        <w:t>Shipping and handling costs incurred for the delivery of goods to customers are included in cost of goods sold. In cases where we bill shipping and handling cost to customers, we classify those amounts in net revenue. As a practical expedient, we recognize the incremental costs of obtaining contracts, such as sales commissions, as an expense when incurred since the amortization period of the asset we otherwise would have recognized is one year or less. Sales commissions are recorded within selling, general, and administrative expenses in the statements of operations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231F20"/>
        </w:rPr>
        <w:t>Inventory</w:t>
      </w:r>
    </w:p>
    <w:p>
      <w:pPr>
        <w:spacing w:after="0" w:line="104" w:lineRule="exact"/>
        <w:rPr>
          <w:sz w:val="20"/>
          <w:szCs w:val="20"/>
          <w:color w:val="auto"/>
        </w:rPr>
      </w:pPr>
    </w:p>
    <w:p>
      <w:pPr>
        <w:ind w:right="120" w:firstLine="419"/>
        <w:spacing w:after="0" w:line="253" w:lineRule="auto"/>
        <w:rPr>
          <w:sz w:val="20"/>
          <w:szCs w:val="20"/>
          <w:color w:val="auto"/>
        </w:rPr>
      </w:pPr>
      <w:r>
        <w:rPr>
          <w:rFonts w:ascii="Arial" w:cs="Arial" w:eastAsia="Arial" w:hAnsi="Arial"/>
          <w:sz w:val="17"/>
          <w:szCs w:val="17"/>
          <w:color w:val="231F20"/>
        </w:rPr>
        <w:t>Inventory represents finished goods purchased from a third-party manufacturer and is valued at the lower of cost or net realizable value. Cost is determined using actual costs on a first-in, first-out basis for all inventory. Net realizable value is determined as the estimated selling prices in the ordinary course of business, less reasonably predictable costs of completion, disposal, and transportation. We regularly review inventory quantities in consideration of actual loss experiences, projected future demand, and remaining shelf life to record a provision for excess and obsolete inventory when appropriate. The shelf life of our Surgical Glaucoma inventory averages approximately 24 months while the shelf life of our Dry Eye inventory varies depending on the component of TearCare, as SmartHubs have no expiration date while SmartLids have a shelf life of 24 months. Our policy is to write down inventory that has become obsolete, inventory that has a cost basis in excess of its expected lower of cost or net realizable value, and inventory in excess of expected requirements. The estimate of excess quantities is judgmental and primarily dependent on our estimates of future demand for the particular product.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Stock-Based Compensation and Fair Value of Common Stock</w:t>
      </w:r>
    </w:p>
    <w:p>
      <w:pPr>
        <w:spacing w:after="0" w:line="104" w:lineRule="exact"/>
        <w:rPr>
          <w:sz w:val="20"/>
          <w:szCs w:val="20"/>
          <w:color w:val="auto"/>
        </w:rPr>
      </w:pPr>
    </w:p>
    <w:p>
      <w:pPr>
        <w:ind w:right="160" w:firstLine="419"/>
        <w:spacing w:after="0" w:line="243" w:lineRule="auto"/>
        <w:rPr>
          <w:sz w:val="20"/>
          <w:szCs w:val="20"/>
          <w:color w:val="auto"/>
        </w:rPr>
      </w:pPr>
      <w:r>
        <w:rPr>
          <w:rFonts w:ascii="Arial" w:cs="Arial" w:eastAsia="Arial" w:hAnsi="Arial"/>
          <w:sz w:val="18"/>
          <w:szCs w:val="18"/>
          <w:color w:val="231F20"/>
        </w:rPr>
        <w:t>We maintain an equity incentive plan that permits the grant of share-based awards, such as stock options and restricted stock units (RSUs), to employees and directors. We recognize equity-based compensation expense for awards of equity instruments based on the grant date fair value of those awards. We estimate the fair value of our stock option awards made to employees and directors based on the estimated fair values as of the grant date using the Black-Scholes option-pricing model, net of estimated forfeitures.</w:t>
      </w:r>
    </w:p>
    <w:p>
      <w:pPr>
        <w:spacing w:after="0" w:line="80" w:lineRule="exact"/>
        <w:rPr>
          <w:sz w:val="20"/>
          <w:szCs w:val="20"/>
          <w:color w:val="auto"/>
        </w:rPr>
      </w:pPr>
    </w:p>
    <w:p>
      <w:pPr>
        <w:ind w:right="140" w:firstLine="419"/>
        <w:spacing w:after="0" w:line="243" w:lineRule="auto"/>
        <w:rPr>
          <w:sz w:val="20"/>
          <w:szCs w:val="20"/>
          <w:color w:val="auto"/>
        </w:rPr>
      </w:pPr>
      <w:r>
        <w:rPr>
          <w:rFonts w:ascii="Arial" w:cs="Arial" w:eastAsia="Arial" w:hAnsi="Arial"/>
          <w:sz w:val="18"/>
          <w:szCs w:val="18"/>
          <w:color w:val="231F20"/>
        </w:rPr>
        <w:t>The fair value of restricted stock unit ("RSU") awards is determined based on the number of units granted and the closing price of the Company's common stock as of the grant date. The model requires us to make a number of assumptions, including expected volatility, expected term, risk-free interest rate, and expected dividend yield. We expense the fair value of our equity-based compensation awards on a straight-line basis over the requisite service period, which is the period in which the related services are received.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Redeemable Convertible Preferred Stock Warrants</w:t>
      </w:r>
    </w:p>
    <w:p>
      <w:pPr>
        <w:spacing w:after="0" w:line="104" w:lineRule="exact"/>
        <w:rPr>
          <w:sz w:val="20"/>
          <w:szCs w:val="20"/>
          <w:color w:val="auto"/>
        </w:rPr>
      </w:pPr>
    </w:p>
    <w:p>
      <w:pPr>
        <w:ind w:right="60" w:firstLine="419"/>
        <w:spacing w:after="0" w:line="238" w:lineRule="auto"/>
        <w:rPr>
          <w:sz w:val="20"/>
          <w:szCs w:val="20"/>
          <w:color w:val="auto"/>
        </w:rPr>
      </w:pPr>
      <w:r>
        <w:rPr>
          <w:rFonts w:ascii="Arial" w:cs="Arial" w:eastAsia="Arial" w:hAnsi="Arial"/>
          <w:sz w:val="18"/>
          <w:szCs w:val="18"/>
          <w:color w:val="231F20"/>
        </w:rPr>
        <w:t>Our redeemable convertible preferred stock warrants were classified as liabilities as the underlying redeemable convertible preferred stock was considered contingently redeemable and we were obligated to transfer assets to the holders upon occurrence of a deemed liquidation event. The warrants were recorded at fair value upon issuance and subject to remeasurement to fair value at each balance sheet date, with changes in fair value recognized as other expense in the statements of operations. The warrant liability was recorded as other noncurrent liabilities in the balance sheets. We continued to adjust the warrant liability for changes in fair value until the conversion of redeemable convertible preferred stock into common stock. At the time of conversion, the liability associated with the redeemable convertible preferred stock warrants was converted into warrants to purchase common stock and reclassified to additional paid-in capital. As a result, the redeemable convertible preferred stock warrant liability was settled and is no longer subject to remeasurement.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60" w:firstLine="419"/>
        <w:spacing w:after="0" w:line="261" w:lineRule="auto"/>
        <w:rPr>
          <w:sz w:val="20"/>
          <w:szCs w:val="20"/>
          <w:color w:val="auto"/>
        </w:rPr>
      </w:pPr>
      <w:r>
        <w:rPr>
          <w:rFonts w:ascii="Arial" w:cs="Arial" w:eastAsia="Arial" w:hAnsi="Arial"/>
          <w:sz w:val="18"/>
          <w:szCs w:val="18"/>
          <w:color w:val="auto"/>
        </w:rPr>
        <w:t>See Note 2 to our consolidated financial statements appearing under Part II, Item 8 for more information about recent accounting pronouncements, the timing of their adoption, and our assessment.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 to a smaller reporting company.</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004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900" w:type="dxa"/>
            <w:vAlign w:val="bottom"/>
            <w:gridSpan w:val="6"/>
          </w:tcPr>
          <w:p>
            <w:pPr>
              <w:ind w:left="80"/>
              <w:spacing w:after="0"/>
              <w:rPr>
                <w:sz w:val="20"/>
                <w:szCs w:val="20"/>
                <w:color w:val="auto"/>
              </w:rPr>
            </w:pPr>
            <w:r>
              <w:rPr>
                <w:rFonts w:ascii="Arial" w:cs="Arial" w:eastAsia="Arial" w:hAnsi="Arial"/>
                <w:sz w:val="18"/>
                <w:szCs w:val="18"/>
                <w:b w:val="1"/>
                <w:bCs w:val="1"/>
                <w:color w:val="auto"/>
              </w:rPr>
              <w:t>INDEX TO CONSOLIDATED FINANCIAL STATEMENTS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10040" w:type="dxa"/>
            <w:vAlign w:val="bottom"/>
            <w:gridSpan w:val="8"/>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Number 34)</w:t>
              </w:r>
            </w:hyperlink>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60" w:type="dxa"/>
            <w:vAlign w:val="bottom"/>
            <w:vMerge w:val="restart"/>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1080" w:type="dxa"/>
            <w:vAlign w:val="bottom"/>
            <w:vMerge w:val="restart"/>
          </w:tcPr>
          <w:p>
            <w:pPr>
              <w:jc w:val="right"/>
              <w:ind w:right="10"/>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240" w:type="dxa"/>
            <w:vAlign w:val="bottom"/>
            <w:gridSpan w:val="3"/>
          </w:tcPr>
          <w:p>
            <w:pPr>
              <w:spacing w:after="0" w:line="182" w:lineRule="exact"/>
              <w:rPr>
                <w:rFonts w:ascii="Arial" w:cs="Arial" w:eastAsia="Arial" w:hAnsi="Arial"/>
                <w:sz w:val="18"/>
                <w:szCs w:val="18"/>
                <w:color w:val="0000FF"/>
                <w:w w:val="88"/>
              </w:rPr>
            </w:pPr>
            <w:hyperlink w:anchor="page111">
              <w:r>
                <w:rPr>
                  <w:rFonts w:ascii="Arial" w:cs="Arial" w:eastAsia="Arial" w:hAnsi="Arial"/>
                  <w:sz w:val="18"/>
                  <w:szCs w:val="18"/>
                  <w:color w:val="0000FF"/>
                  <w:w w:val="88"/>
                </w:rPr>
                <w:t>Consolidated Balance Sheets as of December 31, 2021 and</w:t>
              </w:r>
            </w:hyperlink>
          </w:p>
        </w:tc>
        <w:tc>
          <w:tcPr>
            <w:tcW w:w="420" w:type="dxa"/>
            <w:vAlign w:val="bottom"/>
          </w:tcPr>
          <w:p>
            <w:pPr>
              <w:jc w:val="right"/>
              <w:spacing w:after="0" w:line="182" w:lineRule="exact"/>
              <w:rPr>
                <w:rFonts w:ascii="Arial" w:cs="Arial" w:eastAsia="Arial" w:hAnsi="Arial"/>
                <w:sz w:val="18"/>
                <w:szCs w:val="18"/>
                <w:color w:val="0000FF"/>
                <w:w w:val="94"/>
              </w:rPr>
            </w:pPr>
            <w:hyperlink w:anchor="page111">
              <w:r>
                <w:rPr>
                  <w:rFonts w:ascii="Arial" w:cs="Arial" w:eastAsia="Arial" w:hAnsi="Arial"/>
                  <w:sz w:val="18"/>
                  <w:szCs w:val="18"/>
                  <w:color w:val="0000FF"/>
                  <w:w w:val="94"/>
                </w:rPr>
                <w:t>2020</w:t>
              </w:r>
            </w:hyperlink>
          </w:p>
        </w:tc>
        <w:tc>
          <w:tcPr>
            <w:tcW w:w="14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5380" w:type="dxa"/>
            <w:vAlign w:val="bottom"/>
            <w:gridSpan w:val="4"/>
            <w:vMerge w:val="restart"/>
          </w:tcPr>
          <w:p>
            <w:pPr>
              <w:ind w:left="40"/>
              <w:spacing w:after="0" w:line="202" w:lineRule="exact"/>
              <w:rPr>
                <w:rFonts w:ascii="Arial" w:cs="Arial" w:eastAsia="Arial" w:hAnsi="Arial"/>
                <w:sz w:val="18"/>
                <w:szCs w:val="18"/>
                <w:color w:val="0000FF"/>
              </w:rPr>
            </w:pPr>
            <w:hyperlink w:anchor="page112">
              <w:r>
                <w:rPr>
                  <w:rFonts w:ascii="Arial" w:cs="Arial" w:eastAsia="Arial" w:hAnsi="Arial"/>
                  <w:sz w:val="18"/>
                  <w:szCs w:val="18"/>
                  <w:color w:val="0000FF"/>
                </w:rPr>
                <w:t>for the Years ended December 31, 2021 and 2020</w:t>
              </w:r>
            </w:hyperlink>
          </w:p>
        </w:tc>
        <w:tc>
          <w:tcPr>
            <w:tcW w:w="1080" w:type="dxa"/>
            <w:vAlign w:val="bottom"/>
            <w:vMerge w:val="restart"/>
          </w:tcPr>
          <w:p>
            <w:pPr>
              <w:jc w:val="right"/>
              <w:ind w:right="1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660" w:type="dxa"/>
            <w:vAlign w:val="bottom"/>
            <w:gridSpan w:val="4"/>
          </w:tcPr>
          <w:p>
            <w:pPr>
              <w:spacing w:after="0" w:line="182" w:lineRule="exact"/>
              <w:rPr>
                <w:rFonts w:ascii="Arial" w:cs="Arial" w:eastAsia="Arial" w:hAnsi="Arial"/>
                <w:sz w:val="18"/>
                <w:szCs w:val="18"/>
                <w:color w:val="0000FF"/>
                <w:w w:val="88"/>
              </w:rPr>
            </w:pPr>
            <w:hyperlink w:anchor="page112">
              <w:r>
                <w:rPr>
                  <w:rFonts w:ascii="Arial" w:cs="Arial" w:eastAsia="Arial" w:hAnsi="Arial"/>
                  <w:sz w:val="18"/>
                  <w:szCs w:val="18"/>
                  <w:color w:val="0000FF"/>
                  <w:w w:val="88"/>
                </w:rPr>
                <w:t>Consolidated Statements of Operations and Comprehensive Loss</w:t>
              </w:r>
            </w:hyperlink>
          </w:p>
        </w:tc>
        <w:tc>
          <w:tcPr>
            <w:tcW w:w="5380" w:type="dxa"/>
            <w:vAlign w:val="bottom"/>
            <w:gridSpan w:val="4"/>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320" w:type="dxa"/>
            <w:vAlign w:val="bottom"/>
            <w:gridSpan w:val="4"/>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040" w:type="dxa"/>
            <w:vAlign w:val="bottom"/>
            <w:gridSpan w:val="8"/>
          </w:tcPr>
          <w:p>
            <w:pPr>
              <w:spacing w:after="0" w:line="182" w:lineRule="exact"/>
              <w:rPr>
                <w:rFonts w:ascii="Arial" w:cs="Arial" w:eastAsia="Arial" w:hAnsi="Arial"/>
                <w:sz w:val="18"/>
                <w:szCs w:val="18"/>
                <w:color w:val="0000FF"/>
                <w:w w:val="90"/>
              </w:rPr>
            </w:pPr>
            <w:hyperlink w:anchor="page113">
              <w:r>
                <w:rPr>
                  <w:rFonts w:ascii="Arial" w:cs="Arial" w:eastAsia="Arial" w:hAnsi="Arial"/>
                  <w:sz w:val="18"/>
                  <w:szCs w:val="18"/>
                  <w:color w:val="0000FF"/>
                  <w:w w:val="90"/>
                </w:rPr>
                <w:t>Consolidated Statements of Redeemable Convertible Preferred Stock and Stockholders’ Equity (Deficit) for the Years ended December 31,</w:t>
              </w:r>
            </w:hyperlink>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0" w:type="dxa"/>
            <w:vAlign w:val="bottom"/>
          </w:tcPr>
          <w:p>
            <w:pPr>
              <w:spacing w:after="0"/>
              <w:rPr>
                <w:sz w:val="8"/>
                <w:szCs w:val="8"/>
                <w:color w:val="auto"/>
              </w:rPr>
            </w:pPr>
          </w:p>
        </w:tc>
        <w:tc>
          <w:tcPr>
            <w:tcW w:w="10040" w:type="dxa"/>
            <w:vAlign w:val="bottom"/>
            <w:gridSpan w:val="8"/>
            <w:vMerge w:val="restart"/>
          </w:tcPr>
          <w:p>
            <w:pPr>
              <w:spacing w:after="0" w:line="156" w:lineRule="exact"/>
              <w:rPr>
                <w:rFonts w:ascii="Arial" w:cs="Arial" w:eastAsia="Arial" w:hAnsi="Arial"/>
                <w:sz w:val="18"/>
                <w:szCs w:val="18"/>
                <w:color w:val="0000FF"/>
              </w:rPr>
            </w:pPr>
            <w:hyperlink w:anchor="page113">
              <w:r>
                <w:rPr>
                  <w:rFonts w:ascii="Arial" w:cs="Arial" w:eastAsia="Arial" w:hAnsi="Arial"/>
                  <w:sz w:val="18"/>
                  <w:szCs w:val="18"/>
                  <w:color w:val="0000FF"/>
                </w:rPr>
                <w:t>2021 and 2020</w:t>
              </w:r>
            </w:hyperlink>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10040" w:type="dxa"/>
            <w:vAlign w:val="bottom"/>
            <w:gridSpan w:val="8"/>
            <w:vMerge w:val="continue"/>
          </w:tcPr>
          <w:p>
            <w:pPr>
              <w:spacing w:after="0"/>
              <w:rPr>
                <w:sz w:val="4"/>
                <w:szCs w:val="4"/>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8940" w:type="dxa"/>
            <w:vAlign w:val="bottom"/>
            <w:gridSpan w:val="7"/>
            <w:vMerge w:val="restart"/>
          </w:tcPr>
          <w:p>
            <w:pPr>
              <w:spacing w:after="0" w:line="202" w:lineRule="exact"/>
              <w:rPr>
                <w:rFonts w:ascii="Arial" w:cs="Arial" w:eastAsia="Arial" w:hAnsi="Arial"/>
                <w:sz w:val="18"/>
                <w:szCs w:val="18"/>
                <w:color w:val="0000FF"/>
              </w:rPr>
            </w:pPr>
            <w:hyperlink w:anchor="page114">
              <w:r>
                <w:rPr>
                  <w:rFonts w:ascii="Arial" w:cs="Arial" w:eastAsia="Arial" w:hAnsi="Arial"/>
                  <w:sz w:val="18"/>
                  <w:szCs w:val="18"/>
                  <w:color w:val="0000FF"/>
                </w:rPr>
                <w:t>Statements of Cash Flows for the Years ended December 31, 2021 and 2020</w:t>
              </w:r>
            </w:hyperlink>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100" w:type="dxa"/>
            <w:vAlign w:val="bottom"/>
          </w:tcPr>
          <w:p>
            <w:pPr>
              <w:spacing w:after="0" w:line="182" w:lineRule="exact"/>
              <w:rPr>
                <w:rFonts w:ascii="Arial" w:cs="Arial" w:eastAsia="Arial" w:hAnsi="Arial"/>
                <w:sz w:val="18"/>
                <w:szCs w:val="18"/>
                <w:color w:val="0000FF"/>
              </w:rPr>
            </w:pPr>
            <w:hyperlink w:anchor="page114">
              <w:r>
                <w:rPr>
                  <w:rFonts w:ascii="Arial" w:cs="Arial" w:eastAsia="Arial" w:hAnsi="Arial"/>
                  <w:sz w:val="18"/>
                  <w:szCs w:val="18"/>
                  <w:color w:val="0000FF"/>
                </w:rPr>
                <w:t>Consolidated</w:t>
              </w:r>
            </w:hyperlink>
          </w:p>
        </w:tc>
        <w:tc>
          <w:tcPr>
            <w:tcW w:w="8940" w:type="dxa"/>
            <w:vAlign w:val="bottom"/>
            <w:gridSpan w:val="7"/>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3580" w:type="dxa"/>
            <w:vAlign w:val="bottom"/>
            <w:gridSpan w:val="2"/>
            <w:vMerge w:val="restart"/>
          </w:tcPr>
          <w:p>
            <w:pPr>
              <w:spacing w:after="0" w:line="20" w:lineRule="exact"/>
              <w:rPr>
                <w:sz w:val="1"/>
                <w:szCs w:val="1"/>
                <w:color w:val="auto"/>
              </w:rPr>
            </w:pPr>
          </w:p>
        </w:tc>
        <w:tc>
          <w:tcPr>
            <w:tcW w:w="1080" w:type="dxa"/>
            <w:vAlign w:val="bottom"/>
            <w:vMerge w:val="restart"/>
          </w:tcPr>
          <w:p>
            <w:pPr>
              <w:jc w:val="right"/>
              <w:ind w:right="10"/>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6460" w:type="dxa"/>
            <w:vAlign w:val="bottom"/>
            <w:gridSpan w:val="6"/>
          </w:tcPr>
          <w:p>
            <w:pPr>
              <w:spacing w:after="0" w:line="182" w:lineRule="exact"/>
              <w:rPr>
                <w:rFonts w:ascii="Arial" w:cs="Arial" w:eastAsia="Arial" w:hAnsi="Arial"/>
                <w:sz w:val="18"/>
                <w:szCs w:val="18"/>
                <w:color w:val="0000FF"/>
              </w:rPr>
            </w:pPr>
            <w:hyperlink w:anchor="page115">
              <w:r>
                <w:rPr>
                  <w:rFonts w:ascii="Arial" w:cs="Arial" w:eastAsia="Arial" w:hAnsi="Arial"/>
                  <w:sz w:val="18"/>
                  <w:szCs w:val="18"/>
                  <w:color w:val="0000FF"/>
                </w:rPr>
                <w:t>Notes to Consolidated Financial Statements</w:t>
              </w:r>
            </w:hyperlink>
          </w:p>
        </w:tc>
        <w:tc>
          <w:tcPr>
            <w:tcW w:w="358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49"/>
        </w:trPr>
        <w:tc>
          <w:tcPr>
            <w:tcW w:w="120" w:type="dxa"/>
            <w:vAlign w:val="bottom"/>
          </w:tcPr>
          <w:p>
            <w:pPr>
              <w:spacing w:after="0"/>
              <w:rPr>
                <w:sz w:val="24"/>
                <w:szCs w:val="24"/>
                <w:color w:val="auto"/>
              </w:rPr>
            </w:pPr>
          </w:p>
        </w:tc>
        <w:tc>
          <w:tcPr>
            <w:tcW w:w="3140" w:type="dxa"/>
            <w:vAlign w:val="bottom"/>
            <w:tcBorders>
              <w:top w:val="single" w:sz="8" w:color="0000FF"/>
            </w:tcBorders>
            <w:gridSpan w:val="2"/>
          </w:tcPr>
          <w:p>
            <w:pPr>
              <w:spacing w:after="0"/>
              <w:rPr>
                <w:sz w:val="24"/>
                <w:szCs w:val="24"/>
                <w:color w:val="auto"/>
              </w:rPr>
            </w:pPr>
          </w:p>
        </w:tc>
        <w:tc>
          <w:tcPr>
            <w:tcW w:w="2920" w:type="dxa"/>
            <w:vAlign w:val="bottom"/>
            <w:gridSpan w:val="3"/>
          </w:tcPr>
          <w:p>
            <w:pPr>
              <w:jc w:val="right"/>
              <w:ind w:right="33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Sight Sciences, Inc.</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2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have audited the accompanying consolidated balance sheets of Sight Sciences, Inc. and subsidiary (the "Company") as of December 31, 2021 and 2020, the related consolidated statements of operations and comprehensive loss, redeemable convertible preferred stock and stockholders' equity (deficit),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2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96" w:lineRule="exact"/>
        <w:rPr>
          <w:sz w:val="20"/>
          <w:szCs w:val="20"/>
          <w:color w:val="auto"/>
        </w:rPr>
      </w:pPr>
    </w:p>
    <w:p>
      <w:pPr>
        <w:ind w:right="460"/>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8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24,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52070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324" w:right="47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260,687</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61,511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8,709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5,363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Inventory, net</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3,475</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4,164</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277,035</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70,633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1,454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1,495</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280,186</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72,806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3,351</w:t>
            </w:r>
          </w:p>
        </w:tc>
        <w:tc>
          <w:tcPr>
            <w:tcW w:w="28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2,158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5,987</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Accrued and other current liabilities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4,166</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13,504</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32,656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31,955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1,919</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3,055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48,079</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6)</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Redeemable convertible preferred stock:</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8"/>
              </w:rPr>
              <w:t>Redeemable convertible preferred stock, $0.001 par value; 14,241,390 shares authorized as of</w:t>
            </w: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6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w w:val="92"/>
              </w:rPr>
              <w:t>December 31, 2020, 12,767,202 shares issued and outstanding as of December 31, 2020; aggregate</w:t>
            </w:r>
          </w:p>
        </w:tc>
        <w:tc>
          <w:tcPr>
            <w:tcW w:w="240" w:type="dxa"/>
            <w:vAlign w:val="bottom"/>
            <w:shd w:val="clear" w:color="auto" w:fill="CFF0FC"/>
          </w:tcPr>
          <w:p>
            <w:pPr>
              <w:spacing w:after="0"/>
              <w:rPr>
                <w:sz w:val="15"/>
                <w:szCs w:val="15"/>
                <w:color w:val="auto"/>
              </w:rPr>
            </w:pPr>
          </w:p>
        </w:tc>
        <w:tc>
          <w:tcPr>
            <w:tcW w:w="166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117,331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liquidation preference of $118.6 million as of December 31, 2020</w:t>
            </w:r>
          </w:p>
        </w:tc>
        <w:tc>
          <w:tcPr>
            <w:tcW w:w="240" w:type="dxa"/>
            <w:vAlign w:val="bottom"/>
            <w:shd w:val="clear" w:color="auto" w:fill="CFF0FC"/>
          </w:tcPr>
          <w:p>
            <w:pPr>
              <w:spacing w:after="0"/>
              <w:rPr>
                <w:sz w:val="18"/>
                <w:szCs w:val="18"/>
                <w:color w:val="auto"/>
              </w:rPr>
            </w:pPr>
          </w:p>
        </w:tc>
        <w:tc>
          <w:tcPr>
            <w:tcW w:w="166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 (deficit):</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Preferred stock par value of $0.001 per share; 10,000,000 authorized; no shares issued and</w:t>
            </w:r>
          </w:p>
        </w:tc>
        <w:tc>
          <w:tcPr>
            <w:tcW w:w="240" w:type="dxa"/>
            <w:vAlign w:val="bottom"/>
            <w:shd w:val="clear" w:color="auto" w:fill="CFF0FC"/>
          </w:tcPr>
          <w:p>
            <w:pPr>
              <w:spacing w:after="0"/>
              <w:rPr>
                <w:sz w:val="14"/>
                <w:szCs w:val="14"/>
                <w:color w:val="auto"/>
              </w:rPr>
            </w:pPr>
          </w:p>
        </w:tc>
        <w:tc>
          <w:tcPr>
            <w:tcW w:w="166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4"/>
                <w:szCs w:val="14"/>
                <w:color w:val="auto"/>
              </w:rPr>
            </w:pPr>
          </w:p>
        </w:tc>
        <w:tc>
          <w:tcPr>
            <w:tcW w:w="144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as of December 31, 2021 and 2020, respectively</w:t>
            </w:r>
          </w:p>
        </w:tc>
        <w:tc>
          <w:tcPr>
            <w:tcW w:w="240" w:type="dxa"/>
            <w:vAlign w:val="bottom"/>
            <w:shd w:val="clear" w:color="auto" w:fill="CFF0FC"/>
          </w:tcPr>
          <w:p>
            <w:pPr>
              <w:spacing w:after="0"/>
              <w:rPr>
                <w:sz w:val="18"/>
                <w:szCs w:val="18"/>
                <w:color w:val="auto"/>
              </w:rPr>
            </w:pPr>
          </w:p>
        </w:tc>
        <w:tc>
          <w:tcPr>
            <w:tcW w:w="166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60" w:type="dxa"/>
            <w:vAlign w:val="bottom"/>
          </w:tcPr>
          <w:p>
            <w:pPr>
              <w:ind w:left="200"/>
              <w:spacing w:after="0" w:line="162" w:lineRule="exact"/>
              <w:rPr>
                <w:sz w:val="20"/>
                <w:szCs w:val="20"/>
                <w:color w:val="auto"/>
              </w:rPr>
            </w:pPr>
            <w:r>
              <w:rPr>
                <w:rFonts w:ascii="Arial" w:cs="Arial" w:eastAsia="Arial" w:hAnsi="Arial"/>
                <w:sz w:val="18"/>
                <w:szCs w:val="18"/>
                <w:color w:val="auto"/>
                <w:w w:val="93"/>
              </w:rPr>
              <w:t>Common stock par value of $0.001 per share; 200,000,000 and 21,831,000 shares authorized as of</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60" w:type="dxa"/>
            <w:vAlign w:val="bottom"/>
          </w:tcPr>
          <w:p>
            <w:pPr>
              <w:ind w:left="200"/>
              <w:spacing w:after="0" w:line="176" w:lineRule="exact"/>
              <w:rPr>
                <w:sz w:val="20"/>
                <w:szCs w:val="20"/>
                <w:color w:val="auto"/>
              </w:rPr>
            </w:pPr>
            <w:r>
              <w:rPr>
                <w:rFonts w:ascii="Arial" w:cs="Arial" w:eastAsia="Arial" w:hAnsi="Arial"/>
                <w:sz w:val="18"/>
                <w:szCs w:val="18"/>
                <w:color w:val="auto"/>
                <w:w w:val="91"/>
              </w:rPr>
              <w:t>December 31, 2021 and 2020, respectively; 47,504,704 and 9,509,182 shares issued and outstanding</w:t>
            </w:r>
          </w:p>
        </w:tc>
        <w:tc>
          <w:tcPr>
            <w:tcW w:w="2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as of December 31, 2021 and 2020, respectively</w:t>
            </w:r>
          </w:p>
        </w:tc>
        <w:tc>
          <w:tcPr>
            <w:tcW w:w="2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paid-in-capital</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385,060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7"/>
                <w:szCs w:val="17"/>
                <w:color w:val="auto"/>
              </w:rPr>
            </w:pPr>
          </w:p>
        </w:tc>
        <w:tc>
          <w:tcPr>
            <w:tcW w:w="1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(153,001 )</w:t>
            </w:r>
          </w:p>
        </w:tc>
        <w:tc>
          <w:tcPr>
            <w:tcW w:w="240" w:type="dxa"/>
            <w:vAlign w:val="bottom"/>
          </w:tcPr>
          <w:p>
            <w:pPr>
              <w:spacing w:after="0"/>
              <w:rPr>
                <w:sz w:val="17"/>
                <w:szCs w:val="17"/>
                <w:color w:val="auto"/>
              </w:rPr>
            </w:pP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(90,041 )</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 (deficit)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232,107</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(88,849</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66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280,186</w:t>
            </w:r>
          </w:p>
        </w:tc>
        <w:tc>
          <w:tcPr>
            <w:tcW w:w="2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72,806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-3093720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-3076575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-3093720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-3076575</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-2028190</wp:posOffset>
            </wp:positionV>
            <wp:extent cx="6032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-2028190</wp:posOffset>
            </wp:positionV>
            <wp:extent cx="5969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032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jc w:val="right"/>
              <w:ind w:right="910"/>
              <w:spacing w:after="0"/>
              <w:rPr>
                <w:sz w:val="20"/>
                <w:szCs w:val="20"/>
                <w:color w:val="auto"/>
              </w:rPr>
            </w:pPr>
            <w:r>
              <w:rPr>
                <w:rFonts w:ascii="Arial" w:cs="Arial" w:eastAsia="Arial" w:hAnsi="Arial"/>
                <w:sz w:val="14"/>
                <w:szCs w:val="14"/>
                <w:b w:val="1"/>
                <w:bCs w:val="1"/>
                <w:color w:val="auto"/>
              </w:rPr>
              <w:t>Years Ended December 31,</w:t>
            </w:r>
          </w:p>
        </w:tc>
      </w:tr>
      <w:tr>
        <w:trPr>
          <w:trHeight w:val="169"/>
        </w:trPr>
        <w:tc>
          <w:tcPr>
            <w:tcW w:w="76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48,956</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27,640</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8,610</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9,209</w:t>
            </w:r>
          </w:p>
        </w:tc>
        <w:tc>
          <w:tcPr>
            <w:tcW w:w="100" w:type="dxa"/>
            <w:vAlign w:val="bottom"/>
          </w:tcPr>
          <w:p>
            <w:pPr>
              <w:spacing w:after="0"/>
              <w:rPr>
                <w:sz w:val="17"/>
                <w:szCs w:val="17"/>
                <w:color w:val="auto"/>
              </w:rPr>
            </w:pPr>
          </w:p>
        </w:tc>
      </w:tr>
      <w:tr>
        <w:trPr>
          <w:trHeight w:val="196"/>
        </w:trPr>
        <w:tc>
          <w:tcPr>
            <w:tcW w:w="76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40,346</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18,431</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15,634</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8,874</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76,190</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41,745</w:t>
            </w:r>
          </w:p>
        </w:tc>
        <w:tc>
          <w:tcPr>
            <w:tcW w:w="100" w:type="dxa"/>
            <w:vAlign w:val="bottom"/>
          </w:tcPr>
          <w:p>
            <w:pPr>
              <w:spacing w:after="0"/>
              <w:rPr>
                <w:sz w:val="17"/>
                <w:szCs w:val="17"/>
                <w:color w:val="auto"/>
              </w:rPr>
            </w:pPr>
          </w:p>
        </w:tc>
      </w:tr>
      <w:tr>
        <w:trPr>
          <w:trHeight w:val="196"/>
        </w:trPr>
        <w:tc>
          <w:tcPr>
            <w:tcW w:w="76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91,824</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50,619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7"/>
                <w:szCs w:val="17"/>
                <w:color w:val="auto"/>
              </w:rPr>
            </w:pPr>
          </w:p>
        </w:tc>
        <w:tc>
          <w:tcPr>
            <w:tcW w:w="15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(51,478 )</w:t>
            </w:r>
          </w:p>
        </w:tc>
        <w:tc>
          <w:tcPr>
            <w:tcW w:w="380" w:type="dxa"/>
            <w:vAlign w:val="bottom"/>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(32,188 )</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7"/>
                <w:szCs w:val="17"/>
                <w:color w:val="auto"/>
              </w:rPr>
            </w:pPr>
          </w:p>
        </w:tc>
        <w:tc>
          <w:tcPr>
            <w:tcW w:w="1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(4,366 )</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(2,403 )</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(6,928 )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(71 )</w:t>
            </w:r>
          </w:p>
        </w:tc>
      </w:tr>
      <w:tr>
        <w:trPr>
          <w:trHeight w:val="20"/>
        </w:trPr>
        <w:tc>
          <w:tcPr>
            <w:tcW w:w="76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17"/>
                <w:szCs w:val="17"/>
                <w:color w:val="auto"/>
              </w:rPr>
            </w:pPr>
          </w:p>
        </w:tc>
        <w:tc>
          <w:tcPr>
            <w:tcW w:w="15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(62,772 )</w:t>
            </w:r>
          </w:p>
        </w:tc>
        <w:tc>
          <w:tcPr>
            <w:tcW w:w="380" w:type="dxa"/>
            <w:vAlign w:val="bottom"/>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(34,632 )</w:t>
            </w: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188</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Net loss and comprehensive loss</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(62,960 )</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(34,693 )</w:t>
            </w:r>
          </w:p>
        </w:tc>
      </w:tr>
      <w:tr>
        <w:trPr>
          <w:trHeight w:val="19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(2.36</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(3.71</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Weighted-average shares outstanding, basic and diluted</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26,734,097</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9,356,218</w:t>
            </w:r>
          </w:p>
        </w:tc>
        <w:tc>
          <w:tcPr>
            <w:tcW w:w="10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-1222375</wp:posOffset>
            </wp:positionV>
            <wp:extent cx="6032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-1222375</wp:posOffset>
            </wp:positionV>
            <wp:extent cx="5969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-699135</wp:posOffset>
            </wp:positionV>
            <wp:extent cx="6032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-699135</wp:posOffset>
            </wp:positionV>
            <wp:extent cx="5969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-433705</wp:posOffset>
            </wp:positionV>
            <wp:extent cx="6032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-433705</wp:posOffset>
            </wp:positionV>
            <wp:extent cx="5969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032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Redeemable Convertible Preferred Stock and Stockholders’ Equity (Deficit)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377" w:lineRule="exact"/>
        <w:rPr>
          <w:sz w:val="20"/>
          <w:szCs w:val="20"/>
          <w:color w:val="auto"/>
        </w:rPr>
      </w:pPr>
    </w:p>
    <w:tbl>
      <w:tblPr>
        <w:tblLayout w:type="fixed"/>
        <w:tblInd w:w="3540" w:type="dxa"/>
        <w:tblCellMar>
          <w:top w:w="0" w:type="dxa"/>
          <w:left w:w="0" w:type="dxa"/>
          <w:bottom w:w="0" w:type="dxa"/>
          <w:right w:w="0" w:type="dxa"/>
        </w:tblCellMar>
      </w:tblPr>
      <w:tr>
        <w:trPr>
          <w:trHeight w:val="161"/>
        </w:trPr>
        <w:tc>
          <w:tcPr>
            <w:tcW w:w="2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Redeemable Convertible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tcPr>
          <w:p>
            <w:pPr>
              <w:spacing w:after="0"/>
              <w:rPr>
                <w:sz w:val="14"/>
                <w:szCs w:val="14"/>
                <w:color w:val="auto"/>
              </w:rPr>
            </w:pP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1120" w:type="dxa"/>
            <w:vAlign w:val="bottom"/>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jc w:val="center"/>
              <w:ind w:left="48"/>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5"/>
        </w:trPr>
        <w:tc>
          <w:tcPr>
            <w:tcW w:w="216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Pr>
          <w:p>
            <w:pPr>
              <w:spacing w:after="0"/>
              <w:rPr>
                <w:sz w:val="15"/>
                <w:szCs w:val="15"/>
                <w:color w:val="auto"/>
              </w:rPr>
            </w:pPr>
          </w:p>
        </w:tc>
        <w:tc>
          <w:tcPr>
            <w:tcW w:w="2040" w:type="dxa"/>
            <w:vAlign w:val="bottom"/>
            <w:tcBorders>
              <w:bottom w:val="single" w:sz="8" w:color="auto"/>
            </w:tcBorders>
            <w:gridSpan w:val="2"/>
            <w:vMerge w:val="continue"/>
          </w:tcPr>
          <w:p>
            <w:pPr>
              <w:spacing w:after="0"/>
              <w:rPr>
                <w:sz w:val="15"/>
                <w:szCs w:val="15"/>
                <w:color w:val="auto"/>
              </w:rPr>
            </w:pPr>
          </w:p>
        </w:tc>
        <w:tc>
          <w:tcPr>
            <w:tcW w:w="1120" w:type="dxa"/>
            <w:vAlign w:val="bottom"/>
          </w:tcPr>
          <w:p>
            <w:pPr>
              <w:jc w:val="center"/>
              <w:ind w:left="68"/>
              <w:spacing w:after="0"/>
              <w:rPr>
                <w:sz w:val="20"/>
                <w:szCs w:val="20"/>
                <w:color w:val="auto"/>
              </w:rPr>
            </w:pPr>
            <w:r>
              <w:rPr>
                <w:rFonts w:ascii="Arial" w:cs="Arial" w:eastAsia="Arial" w:hAnsi="Arial"/>
                <w:sz w:val="14"/>
                <w:szCs w:val="14"/>
                <w:b w:val="1"/>
                <w:bCs w:val="1"/>
                <w:color w:val="auto"/>
                <w:w w:val="98"/>
              </w:rPr>
              <w:t>Paid-In</w:t>
            </w:r>
          </w:p>
        </w:tc>
        <w:tc>
          <w:tcPr>
            <w:tcW w:w="1120" w:type="dxa"/>
            <w:vAlign w:val="bottom"/>
            <w:vMerge w:val="continue"/>
          </w:tcPr>
          <w:p>
            <w:pPr>
              <w:spacing w:after="0"/>
              <w:rPr>
                <w:sz w:val="15"/>
                <w:szCs w:val="15"/>
                <w:color w:val="auto"/>
              </w:rPr>
            </w:pP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11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0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1"/>
                <w:szCs w:val="11"/>
                <w:color w:val="auto"/>
              </w:rPr>
            </w:pPr>
          </w:p>
        </w:tc>
        <w:tc>
          <w:tcPr>
            <w:tcW w:w="10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0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1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920" w:type="dxa"/>
            <w:vAlign w:val="bottom"/>
          </w:tcPr>
          <w:p>
            <w:pPr>
              <w:jc w:val="center"/>
              <w:ind w:left="28"/>
              <w:spacing w:after="0" w:line="133"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5"/>
        </w:trPr>
        <w:tc>
          <w:tcPr>
            <w:tcW w:w="11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920" w:type="dxa"/>
            <w:vAlign w:val="bottom"/>
          </w:tcPr>
          <w:p>
            <w:pPr>
              <w:jc w:val="center"/>
              <w:ind w:left="48"/>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tbl>
      <w:tblPr>
        <w:tblLayout w:type="fixed"/>
        <w:tblInd w:w="0" w:type="dxa"/>
        <w:tblCellMar>
          <w:top w:w="0" w:type="dxa"/>
          <w:left w:w="0" w:type="dxa"/>
          <w:bottom w:w="0" w:type="dxa"/>
          <w:right w:w="0" w:type="dxa"/>
        </w:tblCellMar>
      </w:tblPr>
      <w:tr>
        <w:trPr>
          <w:trHeight w:val="182"/>
        </w:trPr>
        <w:tc>
          <w:tcPr>
            <w:tcW w:w="354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December 31, 2019</w:t>
            </w:r>
          </w:p>
        </w:tc>
        <w:tc>
          <w:tcPr>
            <w:tcW w:w="10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9,804,640</w:t>
            </w:r>
          </w:p>
        </w:tc>
        <w:tc>
          <w:tcPr>
            <w:tcW w:w="220" w:type="dxa"/>
            <w:vAlign w:val="bottom"/>
          </w:tcPr>
          <w:p>
            <w:pPr>
              <w:spacing w:after="0"/>
              <w:rPr>
                <w:sz w:val="15"/>
                <w:szCs w:val="15"/>
                <w:color w:val="auto"/>
              </w:rPr>
            </w:pPr>
          </w:p>
        </w:tc>
        <w:tc>
          <w:tcPr>
            <w:tcW w:w="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64,256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w w:val="98"/>
              </w:rPr>
              <w:t>Issuance of Series E redeemable convertible</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1,899,847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30,044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w w:val="96"/>
              </w:rPr>
              <w:t>preferred stock, net of issuance costs of $106</w:t>
            </w: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w w:val="98"/>
              </w:rPr>
              <w:t>Issuance of Series F redeemable convertible</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1,062,715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23,031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w w:val="96"/>
              </w:rPr>
              <w:t>preferred stock, net of issuance costs of $219</w:t>
            </w: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line="202" w:lineRule="exact"/>
              <w:rPr>
                <w:sz w:val="20"/>
                <w:szCs w:val="20"/>
                <w:color w:val="auto"/>
              </w:rPr>
            </w:pPr>
            <w:r>
              <w:rPr>
                <w:rFonts w:ascii="Arial" w:cs="Arial" w:eastAsia="Arial" w:hAnsi="Arial"/>
                <w:sz w:val="18"/>
                <w:szCs w:val="18"/>
                <w:color w:val="auto"/>
              </w:rPr>
              <w:t>Exercise of common stock warrants</w:t>
            </w: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Exercise of stock options</w:t>
            </w: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354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December 31, 2020</w:t>
            </w:r>
          </w:p>
        </w:tc>
        <w:tc>
          <w:tcPr>
            <w:tcW w:w="10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12,767,202</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117,331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rPr>
              <w:t>Conversion of redeemable convertible</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w w:val="99"/>
              </w:rPr>
              <w:t>preferred stock to common stock upon initial</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(12,767,202 )</w:t>
            </w:r>
          </w:p>
        </w:tc>
        <w:tc>
          <w:tcPr>
            <w:tcW w:w="18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w w:val="95"/>
              </w:rPr>
              <w:t>(117,331 )</w:t>
            </w:r>
          </w:p>
        </w:tc>
        <w:tc>
          <w:tcPr>
            <w:tcW w:w="0" w:type="dxa"/>
            <w:vAlign w:val="bottom"/>
          </w:tcPr>
          <w:p>
            <w:pPr>
              <w:spacing w:after="0"/>
              <w:rPr>
                <w:sz w:val="1"/>
                <w:szCs w:val="1"/>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public offering</w:t>
            </w:r>
          </w:p>
        </w:tc>
        <w:tc>
          <w:tcPr>
            <w:tcW w:w="12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w w:val="97"/>
              </w:rPr>
              <w:t>Issuance of common stock in connection with</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rPr>
              <w:t>initial public offering, net of underwriting</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line="176" w:lineRule="exact"/>
              <w:rPr>
                <w:sz w:val="20"/>
                <w:szCs w:val="20"/>
                <w:color w:val="auto"/>
              </w:rPr>
            </w:pPr>
            <w:r>
              <w:rPr>
                <w:rFonts w:ascii="Arial" w:cs="Arial" w:eastAsia="Arial" w:hAnsi="Arial"/>
                <w:sz w:val="18"/>
                <w:szCs w:val="18"/>
                <w:color w:val="auto"/>
                <w:w w:val="96"/>
              </w:rPr>
              <w:t>discounts and commissions and other offering</w:t>
            </w: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costs of $23.8 million</w:t>
            </w:r>
          </w:p>
        </w:tc>
        <w:tc>
          <w:tcPr>
            <w:tcW w:w="12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rPr>
              <w:t>Conversion of redeemable convertible</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rPr>
              <w:t>preferred stock warrants to common stock</w:t>
            </w: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warrants upon initial public offering</w:t>
            </w:r>
          </w:p>
        </w:tc>
        <w:tc>
          <w:tcPr>
            <w:tcW w:w="12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Exercise of common stock warrants</w:t>
            </w: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Exercise of stock options</w:t>
            </w: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540" w:type="dxa"/>
            <w:vAlign w:val="bottom"/>
          </w:tcPr>
          <w:p>
            <w:pPr>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-2733675</wp:posOffset>
            </wp:positionV>
            <wp:extent cx="7132320" cy="2400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-2365375</wp:posOffset>
            </wp:positionV>
            <wp:extent cx="7132320"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-2108200</wp:posOffset>
            </wp:positionV>
            <wp:extent cx="71323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-1842135</wp:posOffset>
            </wp:positionV>
            <wp:extent cx="7132320" cy="3511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-1028065</wp:posOffset>
            </wp:positionV>
            <wp:extent cx="7132320" cy="3511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-548005</wp:posOffset>
            </wp:positionV>
            <wp:extent cx="7132320"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-290830</wp:posOffset>
            </wp:positionV>
            <wp:extent cx="71323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00" w:type="dxa"/>
            <w:vAlign w:val="bottom"/>
          </w:tcPr>
          <w:p>
            <w:pPr>
              <w:jc w:val="right"/>
              <w:spacing w:after="0"/>
              <w:rPr>
                <w:sz w:val="20"/>
                <w:szCs w:val="20"/>
                <w:color w:val="auto"/>
              </w:rPr>
            </w:pPr>
            <w:r>
              <w:rPr>
                <w:rFonts w:ascii="Arial" w:cs="Arial" w:eastAsia="Arial" w:hAnsi="Arial"/>
                <w:sz w:val="18"/>
                <w:szCs w:val="18"/>
                <w:color w:val="auto"/>
              </w:rPr>
              <w:t>9,319,466</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656</w:t>
            </w:r>
          </w:p>
        </w:tc>
        <w:tc>
          <w:tcPr>
            <w:tcW w:w="20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  (55,348 )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9"/>
              </w:rPr>
              <w:t>(54,683 )</w:t>
            </w:r>
          </w:p>
        </w:tc>
      </w:tr>
      <w:tr>
        <w:trPr>
          <w:trHeight w:val="357"/>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350"/>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02"/>
        </w:trPr>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129,310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12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r>
      <w:tr>
        <w:trPr>
          <w:trHeight w:val="203"/>
        </w:trPr>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60,406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00" w:type="dxa"/>
            <w:vAlign w:val="bottom"/>
          </w:tcPr>
          <w:p>
            <w:pPr>
              <w:spacing w:after="0"/>
              <w:rPr>
                <w:sz w:val="17"/>
                <w:szCs w:val="17"/>
                <w:color w:val="auto"/>
              </w:rPr>
            </w:pPr>
          </w:p>
        </w:tc>
        <w:tc>
          <w:tcPr>
            <w:tcW w:w="12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60" w:type="dxa"/>
            <w:vAlign w:val="bottom"/>
          </w:tcPr>
          <w:p>
            <w:pPr>
              <w:spacing w:after="0"/>
              <w:rPr>
                <w:sz w:val="17"/>
                <w:szCs w:val="17"/>
                <w:color w:val="auto"/>
              </w:rPr>
            </w:pPr>
          </w:p>
        </w:tc>
      </w:tr>
      <w:tr>
        <w:trPr>
          <w:trHeight w:val="203"/>
        </w:trPr>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497</w:t>
            </w:r>
          </w:p>
        </w:tc>
        <w:tc>
          <w:tcPr>
            <w:tcW w:w="200" w:type="dxa"/>
            <w:vAlign w:val="bottom"/>
          </w:tcPr>
          <w:p>
            <w:pPr>
              <w:spacing w:after="0"/>
              <w:rPr>
                <w:sz w:val="17"/>
                <w:szCs w:val="17"/>
                <w:color w:val="auto"/>
              </w:rPr>
            </w:pPr>
          </w:p>
        </w:tc>
        <w:tc>
          <w:tcPr>
            <w:tcW w:w="12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497</w:t>
            </w:r>
          </w:p>
        </w:tc>
        <w:tc>
          <w:tcPr>
            <w:tcW w:w="60" w:type="dxa"/>
            <w:vAlign w:val="bottom"/>
          </w:tcPr>
          <w:p>
            <w:pPr>
              <w:spacing w:after="0"/>
              <w:rPr>
                <w:sz w:val="17"/>
                <w:szCs w:val="17"/>
                <w:color w:val="auto"/>
              </w:rPr>
            </w:pPr>
          </w:p>
        </w:tc>
      </w:tr>
      <w:tr>
        <w:trPr>
          <w:trHeight w:val="217"/>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(34,693 )</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9"/>
              </w:rPr>
              <w:t>(34,693 )</w:t>
            </w:r>
          </w:p>
        </w:tc>
      </w:tr>
      <w:tr>
        <w:trPr>
          <w:trHeight w:val="224"/>
        </w:trPr>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9,509,182</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(90,041</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(88,849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539"/>
        </w:trPr>
        <w:tc>
          <w:tcPr>
            <w:tcW w:w="1000" w:type="dxa"/>
            <w:vAlign w:val="bottom"/>
          </w:tcPr>
          <w:p>
            <w:pPr>
              <w:jc w:val="right"/>
              <w:spacing w:after="0"/>
              <w:rPr>
                <w:sz w:val="20"/>
                <w:szCs w:val="20"/>
                <w:color w:val="auto"/>
              </w:rPr>
            </w:pPr>
            <w:r>
              <w:rPr>
                <w:rFonts w:ascii="Arial" w:cs="Arial" w:eastAsia="Arial" w:hAnsi="Arial"/>
                <w:sz w:val="18"/>
                <w:szCs w:val="18"/>
                <w:color w:val="auto"/>
              </w:rPr>
              <w:t>25,534,404</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117,305</w:t>
            </w:r>
          </w:p>
        </w:tc>
        <w:tc>
          <w:tcPr>
            <w:tcW w:w="200" w:type="dxa"/>
            <w:vAlign w:val="bottom"/>
          </w:tcPr>
          <w:p>
            <w:pPr>
              <w:spacing w:after="0"/>
              <w:rPr>
                <w:sz w:val="24"/>
                <w:szCs w:val="2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117,331</w:t>
            </w:r>
          </w:p>
        </w:tc>
        <w:tc>
          <w:tcPr>
            <w:tcW w:w="60" w:type="dxa"/>
            <w:vAlign w:val="bottom"/>
          </w:tcPr>
          <w:p>
            <w:pPr>
              <w:spacing w:after="0"/>
              <w:rPr>
                <w:sz w:val="24"/>
                <w:szCs w:val="24"/>
                <w:color w:val="auto"/>
              </w:rPr>
            </w:pPr>
          </w:p>
        </w:tc>
      </w:tr>
      <w:tr>
        <w:trPr>
          <w:trHeight w:val="729"/>
        </w:trPr>
        <w:tc>
          <w:tcPr>
            <w:tcW w:w="1000" w:type="dxa"/>
            <w:vAlign w:val="bottom"/>
          </w:tcPr>
          <w:p>
            <w:pPr>
              <w:jc w:val="right"/>
              <w:spacing w:after="0"/>
              <w:rPr>
                <w:sz w:val="20"/>
                <w:szCs w:val="20"/>
                <w:color w:val="auto"/>
              </w:rPr>
            </w:pPr>
            <w:r>
              <w:rPr>
                <w:rFonts w:ascii="Arial" w:cs="Arial" w:eastAsia="Arial" w:hAnsi="Arial"/>
                <w:sz w:val="18"/>
                <w:szCs w:val="18"/>
                <w:color w:val="auto"/>
              </w:rPr>
              <w:t>11,500,000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252,162</w:t>
            </w:r>
          </w:p>
        </w:tc>
        <w:tc>
          <w:tcPr>
            <w:tcW w:w="200" w:type="dxa"/>
            <w:vAlign w:val="bottom"/>
          </w:tcPr>
          <w:p>
            <w:pPr>
              <w:spacing w:after="0"/>
              <w:rPr>
                <w:sz w:val="24"/>
                <w:szCs w:val="2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252,174</w:t>
            </w:r>
          </w:p>
        </w:tc>
        <w:tc>
          <w:tcPr>
            <w:tcW w:w="60" w:type="dxa"/>
            <w:vAlign w:val="bottom"/>
          </w:tcPr>
          <w:p>
            <w:pPr>
              <w:spacing w:after="0"/>
              <w:rPr>
                <w:sz w:val="24"/>
                <w:szCs w:val="24"/>
                <w:color w:val="auto"/>
              </w:rPr>
            </w:pPr>
          </w:p>
        </w:tc>
      </w:tr>
      <w:tr>
        <w:trPr>
          <w:trHeight w:val="526"/>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8,973</w:t>
            </w:r>
          </w:p>
        </w:tc>
        <w:tc>
          <w:tcPr>
            <w:tcW w:w="200" w:type="dxa"/>
            <w:vAlign w:val="bottom"/>
          </w:tcPr>
          <w:p>
            <w:pPr>
              <w:spacing w:after="0"/>
              <w:rPr>
                <w:sz w:val="24"/>
                <w:szCs w:val="2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8,973</w:t>
            </w:r>
          </w:p>
        </w:tc>
        <w:tc>
          <w:tcPr>
            <w:tcW w:w="60" w:type="dxa"/>
            <w:vAlign w:val="bottom"/>
          </w:tcPr>
          <w:p>
            <w:pPr>
              <w:spacing w:after="0"/>
              <w:rPr>
                <w:sz w:val="24"/>
                <w:szCs w:val="24"/>
                <w:color w:val="auto"/>
              </w:rPr>
            </w:pPr>
          </w:p>
        </w:tc>
      </w:tr>
      <w:tr>
        <w:trPr>
          <w:trHeight w:val="203"/>
        </w:trPr>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483,554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(1 )</w:t>
            </w:r>
          </w:p>
        </w:tc>
        <w:tc>
          <w:tcPr>
            <w:tcW w:w="12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w:t>
            </w:r>
          </w:p>
        </w:tc>
      </w:tr>
      <w:tr>
        <w:trPr>
          <w:trHeight w:val="203"/>
        </w:trPr>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477,564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355</w:t>
            </w:r>
          </w:p>
        </w:tc>
        <w:tc>
          <w:tcPr>
            <w:tcW w:w="200" w:type="dxa"/>
            <w:vAlign w:val="bottom"/>
          </w:tcPr>
          <w:p>
            <w:pPr>
              <w:spacing w:after="0"/>
              <w:rPr>
                <w:sz w:val="17"/>
                <w:szCs w:val="17"/>
                <w:color w:val="auto"/>
              </w:rPr>
            </w:pPr>
          </w:p>
        </w:tc>
        <w:tc>
          <w:tcPr>
            <w:tcW w:w="12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355</w:t>
            </w:r>
          </w:p>
        </w:tc>
        <w:tc>
          <w:tcPr>
            <w:tcW w:w="60" w:type="dxa"/>
            <w:vAlign w:val="bottom"/>
          </w:tcPr>
          <w:p>
            <w:pPr>
              <w:spacing w:after="0"/>
              <w:rPr>
                <w:sz w:val="17"/>
                <w:szCs w:val="17"/>
                <w:color w:val="auto"/>
              </w:rPr>
            </w:pPr>
          </w:p>
        </w:tc>
      </w:tr>
      <w:tr>
        <w:trPr>
          <w:trHeight w:val="203"/>
        </w:trPr>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5,083</w:t>
            </w:r>
          </w:p>
        </w:tc>
        <w:tc>
          <w:tcPr>
            <w:tcW w:w="200" w:type="dxa"/>
            <w:vAlign w:val="bottom"/>
          </w:tcPr>
          <w:p>
            <w:pPr>
              <w:spacing w:after="0"/>
              <w:rPr>
                <w:sz w:val="17"/>
                <w:szCs w:val="17"/>
                <w:color w:val="auto"/>
              </w:rPr>
            </w:pPr>
          </w:p>
        </w:tc>
        <w:tc>
          <w:tcPr>
            <w:tcW w:w="12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5,083</w:t>
            </w:r>
          </w:p>
        </w:tc>
        <w:tc>
          <w:tcPr>
            <w:tcW w:w="60" w:type="dxa"/>
            <w:vAlign w:val="bottom"/>
          </w:tcPr>
          <w:p>
            <w:pPr>
              <w:spacing w:after="0"/>
              <w:rPr>
                <w:sz w:val="17"/>
                <w:szCs w:val="17"/>
                <w:color w:val="auto"/>
              </w:rPr>
            </w:pPr>
          </w:p>
        </w:tc>
      </w:tr>
      <w:tr>
        <w:trPr>
          <w:trHeight w:val="217"/>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(62,960 )</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9"/>
              </w:rPr>
              <w:t>(62,960 )</w:t>
            </w:r>
          </w:p>
        </w:tc>
      </w:tr>
      <w:tr>
        <w:trPr>
          <w:trHeight w:val="196"/>
        </w:trPr>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47,504,704</w:t>
            </w:r>
          </w:p>
        </w:tc>
        <w:tc>
          <w:tcPr>
            <w:tcW w:w="2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385,060</w:t>
            </w:r>
          </w:p>
        </w:tc>
        <w:tc>
          <w:tcPr>
            <w:tcW w:w="2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(153,001</w:t>
            </w:r>
          </w:p>
        </w:tc>
        <w:tc>
          <w:tcPr>
            <w:tcW w:w="20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232,107</w:t>
            </w:r>
          </w:p>
        </w:tc>
        <w:tc>
          <w:tcPr>
            <w:tcW w:w="60" w:type="dxa"/>
            <w:vAlign w:val="bottom"/>
          </w:tcPr>
          <w:p>
            <w:pPr>
              <w:spacing w:after="0"/>
              <w:rPr>
                <w:sz w:val="17"/>
                <w:szCs w:val="17"/>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80" w:space="140"/>
            <w:col w:w="5300"/>
          </w:cols>
          <w:pgMar w:left="340" w:top="3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292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19"/>
              <w:spacing w:after="0"/>
              <w:rPr>
                <w:sz w:val="20"/>
                <w:szCs w:val="20"/>
                <w:color w:val="auto"/>
              </w:rPr>
            </w:pPr>
            <w:r>
              <w:rPr>
                <w:rFonts w:ascii="Arial" w:cs="Arial" w:eastAsia="Arial" w:hAnsi="Arial"/>
                <w:sz w:val="16"/>
                <w:szCs w:val="16"/>
                <w:color w:val="auto"/>
              </w:rPr>
              <w:t>(62,960 )</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w w:val="96"/>
              </w:rPr>
              <w:t>(34,693 )</w:t>
            </w: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632</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Accretion of debt discount and amortization of debt issuance costs</w:t>
            </w:r>
          </w:p>
        </w:tc>
        <w:tc>
          <w:tcPr>
            <w:tcW w:w="10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5,083</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Provision for doubtful accounts receivable</w:t>
            </w:r>
          </w:p>
        </w:tc>
        <w:tc>
          <w:tcPr>
            <w:tcW w:w="10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Provision for excess and obsolete inventories</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436</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1,362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operating lease cost</w:t>
            </w:r>
          </w:p>
        </w:tc>
        <w:tc>
          <w:tcPr>
            <w:tcW w:w="10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Change in fair value of redeemable convertible preferred stock warrant</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6,861</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disposal of property and equipment</w:t>
            </w:r>
          </w:p>
        </w:tc>
        <w:tc>
          <w:tcPr>
            <w:tcW w:w="10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Proceeds from Paycheck Protection Program loan</w:t>
            </w:r>
          </w:p>
        </w:tc>
        <w:tc>
          <w:tcPr>
            <w:tcW w:w="1020" w:type="dxa"/>
            <w:vAlign w:val="bottom"/>
          </w:tcPr>
          <w:p>
            <w:pPr>
              <w:spacing w:after="0"/>
              <w:rPr>
                <w:sz w:val="16"/>
                <w:szCs w:val="16"/>
                <w:color w:val="auto"/>
              </w:rPr>
            </w:pPr>
          </w:p>
        </w:tc>
        <w:tc>
          <w:tcPr>
            <w:tcW w:w="8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(2,246 )</w:t>
            </w: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0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1020" w:type="dxa"/>
            <w:vAlign w:val="bottom"/>
          </w:tcPr>
          <w:p>
            <w:pPr>
              <w:spacing w:after="0"/>
              <w:rPr>
                <w:sz w:val="16"/>
                <w:szCs w:val="16"/>
                <w:color w:val="auto"/>
              </w:rPr>
            </w:pPr>
          </w:p>
        </w:tc>
        <w:tc>
          <w:tcPr>
            <w:tcW w:w="880" w:type="dxa"/>
            <w:vAlign w:val="bottom"/>
            <w:gridSpan w:val="2"/>
          </w:tcPr>
          <w:p>
            <w:pPr>
              <w:jc w:val="right"/>
              <w:ind w:right="119"/>
              <w:spacing w:after="0"/>
              <w:rPr>
                <w:sz w:val="20"/>
                <w:szCs w:val="20"/>
                <w:color w:val="auto"/>
              </w:rPr>
            </w:pPr>
            <w:r>
              <w:rPr>
                <w:rFonts w:ascii="Arial" w:cs="Arial" w:eastAsia="Arial" w:hAnsi="Arial"/>
                <w:sz w:val="16"/>
                <w:szCs w:val="16"/>
                <w:color w:val="auto"/>
              </w:rPr>
              <w:t>(3,694 )</w:t>
            </w:r>
          </w:p>
        </w:tc>
        <w:tc>
          <w:tcPr>
            <w:tcW w:w="10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(1,477 )</w:t>
            </w: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Inventory</w:t>
            </w:r>
          </w:p>
        </w:tc>
        <w:tc>
          <w:tcPr>
            <w:tcW w:w="10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(1,313 )</w:t>
            </w:r>
          </w:p>
        </w:tc>
        <w:tc>
          <w:tcPr>
            <w:tcW w:w="10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(1,716 )</w:t>
            </w: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Pr>
          <w:p>
            <w:pPr>
              <w:spacing w:after="0"/>
              <w:rPr>
                <w:sz w:val="16"/>
                <w:szCs w:val="16"/>
                <w:color w:val="auto"/>
              </w:rPr>
            </w:pPr>
          </w:p>
        </w:tc>
        <w:tc>
          <w:tcPr>
            <w:tcW w:w="880" w:type="dxa"/>
            <w:vAlign w:val="bottom"/>
            <w:gridSpan w:val="2"/>
          </w:tcPr>
          <w:p>
            <w:pPr>
              <w:jc w:val="right"/>
              <w:ind w:right="119"/>
              <w:spacing w:after="0"/>
              <w:rPr>
                <w:sz w:val="20"/>
                <w:szCs w:val="20"/>
                <w:color w:val="auto"/>
              </w:rPr>
            </w:pPr>
            <w:r>
              <w:rPr>
                <w:rFonts w:ascii="Arial" w:cs="Arial" w:eastAsia="Arial" w:hAnsi="Arial"/>
                <w:sz w:val="16"/>
                <w:szCs w:val="16"/>
                <w:color w:val="auto"/>
              </w:rPr>
              <w:t>(3,003 )</w:t>
            </w:r>
          </w:p>
        </w:tc>
        <w:tc>
          <w:tcPr>
            <w:tcW w:w="10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(735 )</w:t>
            </w: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noncurrent assets</w:t>
            </w:r>
          </w:p>
        </w:tc>
        <w:tc>
          <w:tcPr>
            <w:tcW w:w="10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(237 )</w:t>
            </w: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1,168</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compensation</w:t>
            </w:r>
          </w:p>
        </w:tc>
        <w:tc>
          <w:tcPr>
            <w:tcW w:w="10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1,918</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0"/>
              <w:spacing w:after="0"/>
              <w:rPr>
                <w:sz w:val="20"/>
                <w:szCs w:val="20"/>
                <w:color w:val="auto"/>
              </w:rPr>
            </w:pPr>
            <w:r>
              <w:rPr>
                <w:rFonts w:ascii="Arial" w:cs="Arial" w:eastAsia="Arial" w:hAnsi="Arial"/>
                <w:sz w:val="16"/>
                <w:szCs w:val="16"/>
                <w:color w:val="auto"/>
              </w:rPr>
              <w:t>Accrued and other current liabilities</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342</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noncurrent liabilities</w:t>
            </w:r>
          </w:p>
        </w:tc>
        <w:tc>
          <w:tcPr>
            <w:tcW w:w="10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26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614</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6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Net cash used in operating activities</w:t>
            </w:r>
          </w:p>
        </w:tc>
        <w:tc>
          <w:tcPr>
            <w:tcW w:w="1020" w:type="dxa"/>
            <w:vAlign w:val="bottom"/>
          </w:tcPr>
          <w:p>
            <w:pPr>
              <w:spacing w:after="0"/>
              <w:rPr>
                <w:sz w:val="15"/>
                <w:szCs w:val="15"/>
                <w:color w:val="auto"/>
              </w:rPr>
            </w:pPr>
          </w:p>
        </w:tc>
        <w:tc>
          <w:tcPr>
            <w:tcW w:w="880" w:type="dxa"/>
            <w:vAlign w:val="bottom"/>
            <w:gridSpan w:val="2"/>
          </w:tcPr>
          <w:p>
            <w:pPr>
              <w:jc w:val="right"/>
              <w:ind w:right="119"/>
              <w:spacing w:after="0" w:line="183" w:lineRule="exact"/>
              <w:rPr>
                <w:sz w:val="20"/>
                <w:szCs w:val="20"/>
                <w:color w:val="auto"/>
              </w:rPr>
            </w:pPr>
            <w:r>
              <w:rPr>
                <w:rFonts w:ascii="Arial" w:cs="Arial" w:eastAsia="Arial" w:hAnsi="Arial"/>
                <w:sz w:val="16"/>
                <w:szCs w:val="16"/>
                <w:color w:val="auto"/>
              </w:rPr>
              <w:t>(52,540 )</w:t>
            </w:r>
          </w:p>
        </w:tc>
        <w:tc>
          <w:tcPr>
            <w:tcW w:w="1020" w:type="dxa"/>
            <w:vAlign w:val="bottom"/>
          </w:tcPr>
          <w:p>
            <w:pPr>
              <w:spacing w:after="0"/>
              <w:rPr>
                <w:sz w:val="15"/>
                <w:szCs w:val="15"/>
                <w:color w:val="auto"/>
              </w:rPr>
            </w:pPr>
          </w:p>
        </w:tc>
        <w:tc>
          <w:tcPr>
            <w:tcW w:w="660" w:type="dxa"/>
            <w:vAlign w:val="bottom"/>
            <w:gridSpan w:val="2"/>
          </w:tcPr>
          <w:p>
            <w:pPr>
              <w:jc w:val="right"/>
              <w:spacing w:after="0" w:line="183" w:lineRule="exact"/>
              <w:rPr>
                <w:sz w:val="20"/>
                <w:szCs w:val="20"/>
                <w:color w:val="auto"/>
              </w:rPr>
            </w:pPr>
            <w:r>
              <w:rPr>
                <w:rFonts w:ascii="Arial" w:cs="Arial" w:eastAsia="Arial" w:hAnsi="Arial"/>
                <w:sz w:val="16"/>
                <w:szCs w:val="16"/>
                <w:color w:val="auto"/>
                <w:w w:val="96"/>
              </w:rPr>
              <w:t>(32,174 )</w:t>
            </w:r>
          </w:p>
        </w:tc>
        <w:tc>
          <w:tcPr>
            <w:tcW w:w="0" w:type="dxa"/>
            <w:vAlign w:val="bottom"/>
          </w:tcPr>
          <w:p>
            <w:pPr>
              <w:spacing w:after="0"/>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1020" w:type="dxa"/>
            <w:vAlign w:val="bottom"/>
          </w:tcPr>
          <w:p>
            <w:pPr>
              <w:spacing w:after="0"/>
              <w:rPr>
                <w:sz w:val="16"/>
                <w:szCs w:val="16"/>
                <w:color w:val="auto"/>
              </w:rPr>
            </w:pPr>
          </w:p>
        </w:tc>
        <w:tc>
          <w:tcPr>
            <w:tcW w:w="880" w:type="dxa"/>
            <w:vAlign w:val="bottom"/>
            <w:gridSpan w:val="2"/>
          </w:tcPr>
          <w:p>
            <w:pPr>
              <w:jc w:val="right"/>
              <w:ind w:right="119"/>
              <w:spacing w:after="0"/>
              <w:rPr>
                <w:sz w:val="20"/>
                <w:szCs w:val="20"/>
                <w:color w:val="auto"/>
              </w:rPr>
            </w:pPr>
            <w:r>
              <w:rPr>
                <w:rFonts w:ascii="Arial" w:cs="Arial" w:eastAsia="Arial" w:hAnsi="Arial"/>
                <w:sz w:val="16"/>
                <w:szCs w:val="16"/>
                <w:color w:val="auto"/>
              </w:rPr>
              <w:t>(813 )</w:t>
            </w:r>
          </w:p>
        </w:tc>
        <w:tc>
          <w:tcPr>
            <w:tcW w:w="10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(953 )</w:t>
            </w:r>
          </w:p>
        </w:tc>
        <w:tc>
          <w:tcPr>
            <w:tcW w:w="0" w:type="dxa"/>
            <w:vAlign w:val="bottom"/>
          </w:tcPr>
          <w:p>
            <w:pPr>
              <w:spacing w:after="0"/>
              <w:rPr>
                <w:sz w:val="1"/>
                <w:szCs w:val="1"/>
                <w:color w:val="auto"/>
              </w:rPr>
            </w:pPr>
          </w:p>
        </w:tc>
      </w:tr>
      <w:tr>
        <w:trPr>
          <w:trHeight w:val="183"/>
        </w:trPr>
        <w:tc>
          <w:tcPr>
            <w:tcW w:w="766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(813</w:t>
            </w:r>
          </w:p>
        </w:tc>
        <w:tc>
          <w:tcPr>
            <w:tcW w:w="260" w:type="dxa"/>
            <w:vAlign w:val="bottom"/>
            <w:tcBorders>
              <w:bottom w:val="single" w:sz="8" w:color="CFF0FC"/>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(953</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766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Proceeds from issuance of common stock upon initial public offering, net of underwriting discounts and</w:t>
            </w:r>
          </w:p>
        </w:tc>
        <w:tc>
          <w:tcPr>
            <w:tcW w:w="102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256,680</w:t>
            </w: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660" w:type="dxa"/>
            <w:vAlign w:val="bottom"/>
            <w:gridSpan w:val="2"/>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commissions</w:t>
            </w:r>
          </w:p>
        </w:tc>
        <w:tc>
          <w:tcPr>
            <w:tcW w:w="1020" w:type="dxa"/>
            <w:vAlign w:val="bottom"/>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Payment of other offering costs related to the initial public offering</w:t>
            </w:r>
          </w:p>
        </w:tc>
        <w:tc>
          <w:tcPr>
            <w:tcW w:w="1020" w:type="dxa"/>
            <w:vAlign w:val="bottom"/>
          </w:tcPr>
          <w:p>
            <w:pPr>
              <w:spacing w:after="0"/>
              <w:rPr>
                <w:sz w:val="16"/>
                <w:szCs w:val="16"/>
                <w:color w:val="auto"/>
              </w:rPr>
            </w:pPr>
          </w:p>
        </w:tc>
        <w:tc>
          <w:tcPr>
            <w:tcW w:w="880" w:type="dxa"/>
            <w:vAlign w:val="bottom"/>
            <w:gridSpan w:val="2"/>
          </w:tcPr>
          <w:p>
            <w:pPr>
              <w:jc w:val="right"/>
              <w:ind w:right="119"/>
              <w:spacing w:after="0"/>
              <w:rPr>
                <w:sz w:val="20"/>
                <w:szCs w:val="20"/>
                <w:color w:val="auto"/>
              </w:rPr>
            </w:pPr>
            <w:r>
              <w:rPr>
                <w:rFonts w:ascii="Arial" w:cs="Arial" w:eastAsia="Arial" w:hAnsi="Arial"/>
                <w:sz w:val="16"/>
                <w:szCs w:val="16"/>
                <w:color w:val="auto"/>
              </w:rPr>
              <w:t>(4,506 )</w:t>
            </w:r>
          </w:p>
        </w:tc>
        <w:tc>
          <w:tcPr>
            <w:tcW w:w="10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redeemable convertible preferred stock, net of issuance costs</w:t>
            </w:r>
          </w:p>
        </w:tc>
        <w:tc>
          <w:tcPr>
            <w:tcW w:w="10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53,075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the issuance of debt</w:t>
            </w:r>
          </w:p>
        </w:tc>
        <w:tc>
          <w:tcPr>
            <w:tcW w:w="1020" w:type="dxa"/>
            <w:vAlign w:val="bottom"/>
          </w:tcPr>
          <w:p>
            <w:pPr>
              <w:spacing w:after="0"/>
              <w:rPr>
                <w:sz w:val="16"/>
                <w:szCs w:val="16"/>
                <w:color w:val="auto"/>
              </w:rPr>
            </w:pPr>
          </w:p>
        </w:tc>
        <w:tc>
          <w:tcPr>
            <w:tcW w:w="8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20,480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Debt issuance costs</w:t>
            </w:r>
          </w:p>
        </w:tc>
        <w:tc>
          <w:tcPr>
            <w:tcW w:w="10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(142 )</w:t>
            </w: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exercise of common stock warrants</w:t>
            </w:r>
          </w:p>
        </w:tc>
        <w:tc>
          <w:tcPr>
            <w:tcW w:w="1020" w:type="dxa"/>
            <w:vAlign w:val="bottom"/>
          </w:tcPr>
          <w:p>
            <w:pPr>
              <w:spacing w:after="0"/>
              <w:rPr>
                <w:sz w:val="16"/>
                <w:szCs w:val="16"/>
                <w:color w:val="auto"/>
              </w:rPr>
            </w:pPr>
          </w:p>
        </w:tc>
        <w:tc>
          <w:tcPr>
            <w:tcW w:w="8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Proceeds from exercise of common stock options</w:t>
            </w:r>
          </w:p>
        </w:tc>
        <w:tc>
          <w:tcPr>
            <w:tcW w:w="10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26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60" w:type="dxa"/>
            <w:vAlign w:val="bottom"/>
          </w:tcPr>
          <w:p>
            <w:pPr>
              <w:ind w:left="200"/>
              <w:spacing w:after="0" w:line="183" w:lineRule="exact"/>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252,529</w:t>
            </w:r>
          </w:p>
        </w:tc>
        <w:tc>
          <w:tcPr>
            <w:tcW w:w="2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73,401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Net change in cash and cash equivalents</w:t>
            </w:r>
          </w:p>
        </w:tc>
        <w:tc>
          <w:tcPr>
            <w:tcW w:w="10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199,176</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40,274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61,511</w:t>
            </w:r>
          </w:p>
        </w:tc>
        <w:tc>
          <w:tcPr>
            <w:tcW w:w="2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21,237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1020" w:type="dxa"/>
            <w:vAlign w:val="bottom"/>
            <w:tcBorders>
              <w:bottom w:val="single" w:sz="8" w:color="auto"/>
            </w:tcBorders>
            <w:shd w:val="clear" w:color="auto" w:fill="CFF0FC"/>
          </w:tcPr>
          <w:p>
            <w:pPr>
              <w:jc w:val="right"/>
              <w:ind w:right="841"/>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260,687</w:t>
            </w:r>
          </w:p>
        </w:tc>
        <w:tc>
          <w:tcPr>
            <w:tcW w:w="2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61,511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interest</w:t>
            </w:r>
          </w:p>
        </w:tc>
        <w:tc>
          <w:tcPr>
            <w:tcW w:w="1020" w:type="dxa"/>
            <w:vAlign w:val="bottom"/>
            <w:shd w:val="clear" w:color="auto" w:fill="CFF0FC"/>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3,105</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information</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of property and equipment included in accounts payable and accrued liabilities</w:t>
            </w:r>
          </w:p>
        </w:tc>
        <w:tc>
          <w:tcPr>
            <w:tcW w:w="1020" w:type="dxa"/>
            <w:vAlign w:val="bottom"/>
            <w:shd w:val="clear" w:color="auto" w:fill="CFF0FC"/>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6"/>
                <w:szCs w:val="16"/>
                <w:color w:val="auto"/>
              </w:rPr>
              <w:t>Unpaid initial public offering costs in accounts payable and accrued liabilities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Stock issued on conversion of convertible preferred stock</w:t>
            </w:r>
          </w:p>
        </w:tc>
        <w:tc>
          <w:tcPr>
            <w:tcW w:w="1020" w:type="dxa"/>
            <w:vAlign w:val="bottom"/>
            <w:shd w:val="clear" w:color="auto" w:fill="CFF0FC"/>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117,331</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7660" w:type="dxa"/>
            <w:vAlign w:val="bottom"/>
          </w:tcPr>
          <w:p>
            <w:pPr>
              <w:ind w:left="20"/>
              <w:spacing w:after="0" w:line="152" w:lineRule="exact"/>
              <w:rPr>
                <w:sz w:val="20"/>
                <w:szCs w:val="20"/>
                <w:color w:val="auto"/>
              </w:rPr>
            </w:pPr>
            <w:r>
              <w:rPr>
                <w:rFonts w:ascii="Arial" w:cs="Arial" w:eastAsia="Arial" w:hAnsi="Arial"/>
                <w:sz w:val="16"/>
                <w:szCs w:val="16"/>
                <w:color w:val="auto"/>
                <w:w w:val="96"/>
              </w:rPr>
              <w:t>Common stock warrants issued on conversion of preferred stock warrants and the reclassification of the warrant</w:t>
            </w:r>
          </w:p>
        </w:tc>
        <w:tc>
          <w:tcPr>
            <w:tcW w:w="1020" w:type="dxa"/>
            <w:vAlign w:val="bottom"/>
            <w:vMerge w:val="restart"/>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8,973</w:t>
            </w:r>
          </w:p>
        </w:tc>
        <w:tc>
          <w:tcPr>
            <w:tcW w:w="260" w:type="dxa"/>
            <w:vAlign w:val="bottom"/>
          </w:tcPr>
          <w:p>
            <w:pPr>
              <w:spacing w:after="0"/>
              <w:rPr>
                <w:sz w:val="13"/>
                <w:szCs w:val="13"/>
                <w:color w:val="auto"/>
              </w:rPr>
            </w:pPr>
          </w:p>
        </w:tc>
        <w:tc>
          <w:tcPr>
            <w:tcW w:w="1020" w:type="dxa"/>
            <w:vAlign w:val="bottom"/>
            <w:vMerge w:val="restart"/>
          </w:tcPr>
          <w:p>
            <w:pPr>
              <w:jc w:val="right"/>
              <w:ind w:right="865"/>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660" w:type="dxa"/>
            <w:vAlign w:val="bottom"/>
          </w:tcPr>
          <w:p>
            <w:pPr>
              <w:ind w:left="20"/>
              <w:spacing w:after="0"/>
              <w:rPr>
                <w:sz w:val="20"/>
                <w:szCs w:val="20"/>
                <w:color w:val="auto"/>
              </w:rPr>
            </w:pPr>
            <w:r>
              <w:rPr>
                <w:rFonts w:ascii="Arial" w:cs="Arial" w:eastAsia="Arial" w:hAnsi="Arial"/>
                <w:sz w:val="16"/>
                <w:szCs w:val="16"/>
                <w:color w:val="auto"/>
              </w:rPr>
              <w:t>liability</w:t>
            </w:r>
          </w:p>
        </w:tc>
        <w:tc>
          <w:tcPr>
            <w:tcW w:w="10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-3173095</wp:posOffset>
            </wp:positionV>
            <wp:extent cx="5143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-3173095</wp:posOffset>
            </wp:positionV>
            <wp:extent cx="5143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-2667000</wp:posOffset>
            </wp:positionV>
            <wp:extent cx="5143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-2667000</wp:posOffset>
            </wp:positionV>
            <wp:extent cx="5143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-1595755</wp:posOffset>
            </wp:positionV>
            <wp:extent cx="5143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-1595755</wp:posOffset>
            </wp:positionV>
            <wp:extent cx="5143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-1092835</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-1075690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-1092835</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-1075690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Nature of Business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04" w:lineRule="exact"/>
        <w:rPr>
          <w:sz w:val="20"/>
          <w:szCs w:val="20"/>
          <w:color w:val="auto"/>
        </w:rPr>
      </w:pPr>
    </w:p>
    <w:p>
      <w:pPr>
        <w:ind w:firstLine="419"/>
        <w:spacing w:after="0" w:line="238" w:lineRule="auto"/>
        <w:rPr>
          <w:sz w:val="20"/>
          <w:szCs w:val="20"/>
          <w:color w:val="auto"/>
        </w:rPr>
      </w:pPr>
      <w:r>
        <w:rPr>
          <w:rFonts w:ascii="Arial" w:cs="Arial" w:eastAsia="Arial" w:hAnsi="Arial"/>
          <w:sz w:val="18"/>
          <w:szCs w:val="18"/>
          <w:color w:val="auto"/>
        </w:rPr>
        <w:t>Sight Sciences, Inc. (the “Company”) was incorporated in the State of Delaware in 2010. The Company is located and headquartered in Menlo Park, California and has principal commercial offices in Southlake, Texas. The Company is an ophthalmic medical device company focused on the development and commercialization of surgical and nonsurgical technologies for the treatment of prevalent eye diseases. The Company’s Surgical Glaucoma segment's product portfolio features the OMNI® Surgical System, a device that facilitates the performance of both canaloplasty and trabeculotomy with a single device and single corneal incision to reduce intraocular pressure in adult patients with primary open-angle glaucoma. The Company’s Dry Eye segment's product portfolio consists of the TearCare® System ("TearCare") for ophthalmologists and optometrists. TearCare is a wearable eyelid technology that delivers highly targeted and adjustable heat to the meibomian glands of the eyelids in adult patients with evaporative dry eye disease due to meibomian gland disfunction.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right="40" w:firstLine="419"/>
        <w:spacing w:after="0" w:line="259" w:lineRule="auto"/>
        <w:rPr>
          <w:sz w:val="20"/>
          <w:szCs w:val="20"/>
          <w:color w:val="auto"/>
        </w:rPr>
      </w:pPr>
      <w:r>
        <w:rPr>
          <w:rFonts w:ascii="Arial" w:cs="Arial" w:eastAsia="Arial" w:hAnsi="Arial"/>
          <w:sz w:val="17"/>
          <w:szCs w:val="17"/>
          <w:color w:val="auto"/>
        </w:rPr>
        <w:t>In July 2021, the Company completed an initial public offering (“IPO”) of its common stock in which the Company issued and sold 10,000,000 shares of its common stock, and sold an additional 1,500,000 shares of common stock upon the full exercise of the underwriters’ option to purchase additional shares of the Company's common stock. These sales occurred at the initial public offering price of $24.00 per share. The Company received net proceeds of approximately $252.2 million from the IPO, after deducting underwriting discounts and commissions of $19.3 million and offering costs of $4.5 million, of which $0.4 million were incurred as of December 31, 2020.</w:t>
      </w:r>
    </w:p>
    <w:p>
      <w:pPr>
        <w:spacing w:after="0" w:line="174" w:lineRule="exact"/>
        <w:rPr>
          <w:sz w:val="20"/>
          <w:szCs w:val="20"/>
          <w:color w:val="auto"/>
        </w:rPr>
      </w:pPr>
    </w:p>
    <w:p>
      <w:pPr>
        <w:ind w:right="100" w:firstLine="419"/>
        <w:spacing w:after="0" w:line="294" w:lineRule="auto"/>
        <w:rPr>
          <w:sz w:val="20"/>
          <w:szCs w:val="20"/>
          <w:color w:val="auto"/>
        </w:rPr>
      </w:pPr>
      <w:r>
        <w:rPr>
          <w:rFonts w:ascii="Arial" w:cs="Arial" w:eastAsia="Arial" w:hAnsi="Arial"/>
          <w:sz w:val="16"/>
          <w:szCs w:val="16"/>
          <w:color w:val="auto"/>
        </w:rPr>
        <w:t>Immediately prior to the closing of the IPO, all then-outstanding shares of redeemable convertible preferred stock were converted into 25,534,404 shares of common stock. Further, all outstanding redeemable convertible preferred stock warrants were converted into warrants to purchase 659,028 shares of common stock, which resulted in the reclassification of the convertible preferred stock warrant liability to additional paid-in capital.</w:t>
      </w:r>
    </w:p>
    <w:p>
      <w:pPr>
        <w:spacing w:after="0" w:line="147" w:lineRule="exact"/>
        <w:rPr>
          <w:sz w:val="20"/>
          <w:szCs w:val="20"/>
          <w:color w:val="auto"/>
        </w:rPr>
      </w:pPr>
    </w:p>
    <w:p>
      <w:pPr>
        <w:ind w:right="140" w:firstLine="419"/>
        <w:spacing w:after="0" w:line="248" w:lineRule="auto"/>
        <w:rPr>
          <w:sz w:val="20"/>
          <w:szCs w:val="20"/>
          <w:color w:val="auto"/>
        </w:rPr>
      </w:pPr>
      <w:r>
        <w:rPr>
          <w:rFonts w:ascii="Arial" w:cs="Arial" w:eastAsia="Arial" w:hAnsi="Arial"/>
          <w:sz w:val="18"/>
          <w:szCs w:val="18"/>
          <w:color w:val="auto"/>
        </w:rPr>
        <w:t>In connection with the Company’s IPO, the Company’s certificate of incorporation was amended and restated to provide for 200,000,000 authorized shares of common stock with a par value of $0.001 per share and 10,000,000 authorized shares of preferred stock with a par value of $0.001 per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04" w:lineRule="exact"/>
        <w:rPr>
          <w:sz w:val="20"/>
          <w:szCs w:val="20"/>
          <w:color w:val="auto"/>
        </w:rPr>
      </w:pPr>
    </w:p>
    <w:p>
      <w:pPr>
        <w:ind w:firstLine="419"/>
        <w:spacing w:after="0" w:line="262" w:lineRule="auto"/>
        <w:rPr>
          <w:sz w:val="20"/>
          <w:szCs w:val="20"/>
          <w:color w:val="auto"/>
        </w:rPr>
      </w:pPr>
      <w:r>
        <w:rPr>
          <w:rFonts w:ascii="Arial" w:cs="Arial" w:eastAsia="Arial" w:hAnsi="Arial"/>
          <w:sz w:val="17"/>
          <w:szCs w:val="17"/>
          <w:color w:val="auto"/>
        </w:rPr>
        <w:t>In July 2021, the Company effected a 2-for-1 stock split of its issued and outstanding shares of common stock and a proportional adjustment to the existing conversion ratios for each series of the Company’s redeemable convertible preferred stock. Accordingly, all share and per share amounts for all periods presented in the accompanying condensed consolidated financial statements and notes thereto have been adjusted retroactively, where applicable, to reflect this stock split and adjustment of the redeemable convertible preferred stock conversion ratios.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Significant Risks and Uncertainties</w:t>
      </w:r>
    </w:p>
    <w:p>
      <w:pPr>
        <w:spacing w:after="0" w:line="104" w:lineRule="exact"/>
        <w:rPr>
          <w:sz w:val="20"/>
          <w:szCs w:val="20"/>
          <w:color w:val="auto"/>
        </w:rPr>
      </w:pPr>
    </w:p>
    <w:p>
      <w:pPr>
        <w:ind w:right="40" w:firstLine="419"/>
        <w:spacing w:after="0" w:line="262" w:lineRule="auto"/>
        <w:rPr>
          <w:sz w:val="20"/>
          <w:szCs w:val="20"/>
          <w:color w:val="auto"/>
        </w:rPr>
      </w:pPr>
      <w:r>
        <w:rPr>
          <w:rFonts w:ascii="Arial" w:cs="Arial" w:eastAsia="Arial" w:hAnsi="Arial"/>
          <w:sz w:val="17"/>
          <w:szCs w:val="17"/>
          <w:color w:val="auto"/>
        </w:rPr>
        <w:t>Since inception, the Company has incurred losses and negative cash flows from operations. As of December 31, 2021, the Company had an accumulated deficit of $153.0 million and recorded a net loss of $63.0 million for the year then ended and expects to incur future additional losses. If the Company’s revenue levels from its products are not sufficient or if the Company is unable to secure additional funding when desired, the Company may need to delay the development of its products and scale back its business and operations.</w:t>
      </w:r>
    </w:p>
    <w:p>
      <w:pPr>
        <w:spacing w:after="0" w:line="172" w:lineRule="exact"/>
        <w:rPr>
          <w:sz w:val="20"/>
          <w:szCs w:val="20"/>
          <w:color w:val="auto"/>
        </w:rPr>
      </w:pPr>
    </w:p>
    <w:p>
      <w:pPr>
        <w:ind w:right="60" w:firstLine="419"/>
        <w:spacing w:after="0" w:line="284" w:lineRule="auto"/>
        <w:rPr>
          <w:sz w:val="20"/>
          <w:szCs w:val="20"/>
          <w:color w:val="auto"/>
        </w:rPr>
      </w:pPr>
      <w:r>
        <w:rPr>
          <w:rFonts w:ascii="Arial" w:cs="Arial" w:eastAsia="Arial" w:hAnsi="Arial"/>
          <w:sz w:val="16"/>
          <w:szCs w:val="16"/>
          <w:color w:val="auto"/>
        </w:rPr>
        <w:t>The Company believes that its existing sources of liquidity will satisfy its working capital and capital requirements for at least 12 months from the issuance of its financial statements. Failure to generate sufficient revenues, achieve planned gross margins, or control operating costs will require the Company to raise additional capital through equity or debt financing. Such additional financing may not be available on acceptable terms, or at all, and could require the Company to modify, delay, or abandon some of its planned future expansion or expenditures or reduce some of its ongoing operating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53340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4" w:right="4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costs, which could harm its business, operating results, financial condition, and ability to achieve its intended business objectives.</w:t>
      </w:r>
    </w:p>
    <w:p>
      <w:pPr>
        <w:spacing w:after="0" w:line="212" w:lineRule="exact"/>
        <w:rPr>
          <w:sz w:val="20"/>
          <w:szCs w:val="20"/>
          <w:color w:val="auto"/>
        </w:rPr>
      </w:pPr>
    </w:p>
    <w:p>
      <w:pPr>
        <w:ind w:firstLine="419"/>
        <w:spacing w:after="0" w:line="254" w:lineRule="auto"/>
        <w:rPr>
          <w:sz w:val="20"/>
          <w:szCs w:val="20"/>
          <w:color w:val="auto"/>
        </w:rPr>
      </w:pPr>
      <w:r>
        <w:rPr>
          <w:rFonts w:ascii="Arial" w:cs="Arial" w:eastAsia="Arial" w:hAnsi="Arial"/>
          <w:sz w:val="17"/>
          <w:szCs w:val="17"/>
          <w:color w:val="auto"/>
        </w:rPr>
        <w:t>The ongoing COVID-19 pandemic has impacted, and is expected to continue to impact, demand for the Company's products, which are used in procedures and therapies that are considered elective. COVID-19 may also, directly or indirectly, have an unfavorable impact on other areas of the Company's business including, but not limited to, supply chain, sales, third party manufacturing, research and development costs and clinical studies. The full effect of the COVID-19 pandemic on the Company's financial condition and results of operations remain highly uncertain and cannot be predicted with confidence, and will depend on certain developments, including the duration and severity of the COVID-19 pandemic and its potential variants. The impact on the Company's customers and suppliers and the range of governmental and community reactions to the pandemic are uncertain. The Company may continue to experience reduced customer demand or constrained supply that could materially adversely impact business, financial condition, results of operations, liquidity and cash flows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04" w:lineRule="exact"/>
        <w:rPr>
          <w:sz w:val="20"/>
          <w:szCs w:val="20"/>
          <w:color w:val="auto"/>
        </w:rPr>
      </w:pPr>
    </w:p>
    <w:p>
      <w:pPr>
        <w:ind w:right="300" w:firstLine="419"/>
        <w:spacing w:after="0" w:line="248" w:lineRule="auto"/>
        <w:rPr>
          <w:sz w:val="20"/>
          <w:szCs w:val="20"/>
          <w:color w:val="auto"/>
        </w:rPr>
      </w:pPr>
      <w:r>
        <w:rPr>
          <w:rFonts w:ascii="Arial" w:cs="Arial" w:eastAsia="Arial" w:hAnsi="Arial"/>
          <w:sz w:val="18"/>
          <w:szCs w:val="18"/>
          <w:color w:val="231F20"/>
        </w:rPr>
        <w:t>The consolidated financial statements have been prepared in accordance with accounting principles generally accepted in the United States of America (US GAAP). The Company’s consolidated financial statements include the accounts of the Company and its wholly owned subsidiary, Sight Sciences UK, Ltd. All intercompany balances and transactions have been eliminated in consolidation.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04" w:lineRule="exact"/>
        <w:rPr>
          <w:sz w:val="20"/>
          <w:szCs w:val="20"/>
          <w:color w:val="auto"/>
        </w:rPr>
      </w:pPr>
    </w:p>
    <w:p>
      <w:pPr>
        <w:ind w:right="60" w:firstLine="419"/>
        <w:spacing w:after="0" w:line="254" w:lineRule="auto"/>
        <w:rPr>
          <w:sz w:val="20"/>
          <w:szCs w:val="20"/>
          <w:color w:val="auto"/>
        </w:rPr>
      </w:pPr>
      <w:r>
        <w:rPr>
          <w:rFonts w:ascii="Arial" w:cs="Arial" w:eastAsia="Arial" w:hAnsi="Arial"/>
          <w:sz w:val="17"/>
          <w:szCs w:val="17"/>
          <w:color w:val="231F20"/>
        </w:rPr>
        <w:t>The preparation of financial statements in conformity with US GAAP requires management to make estimates and assumptions that affect the reported amounts of assets and liabilities, disclosure of contingent liabilities at the date of the financial statements, and the reported amounts of revenues and expense during the reporting period. The most significant estimates related to inventory excess and obsolescence, the selection of useful lives of property and equipment, determination of the fair value of stock option grants, the fair value of the redeemable convertible preferred stock warrants, and provisions for income taxes and contingencies.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Actual results could differ from these estimates and such differences could be material to the Company’s financial position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Fair Value of Financial Instruments</w:t>
      </w:r>
    </w:p>
    <w:p>
      <w:pPr>
        <w:spacing w:after="0" w:line="104" w:lineRule="exact"/>
        <w:rPr>
          <w:sz w:val="20"/>
          <w:szCs w:val="20"/>
          <w:color w:val="auto"/>
        </w:rPr>
      </w:pPr>
    </w:p>
    <w:p>
      <w:pPr>
        <w:ind w:right="140" w:firstLine="419"/>
        <w:spacing w:after="0" w:line="254" w:lineRule="auto"/>
        <w:rPr>
          <w:sz w:val="20"/>
          <w:szCs w:val="20"/>
          <w:color w:val="auto"/>
        </w:rPr>
      </w:pPr>
      <w:r>
        <w:rPr>
          <w:rFonts w:ascii="Arial" w:cs="Arial" w:eastAsia="Arial" w:hAnsi="Arial"/>
          <w:sz w:val="17"/>
          <w:szCs w:val="17"/>
          <w:color w:val="231F20"/>
        </w:rPr>
        <w:t>The Company’s financial instruments consist of cash and cash equivalents, accounts receivable, accounts payable, accrued liabilities, redeemable convertible preferred stock, short-term and long-term debt and redeemable convertible preferred stock warrant liability. The Company states accounts receivable, accounts payable, and accrued and other current liabilities at their carrying value, which approximates fair value due to the short time to the expected receipt or payment. The carrying amount of the Company’s short-term debt approximates its fair value as the effective interest rate approximates market rates currently available to the Company. The redeemable convertible preferred stock warrant liability associated with the Company’s redeemable convertible preferred stock was carried at fair value based on unobservable market inputs. The carrying value of the warrants continued to be adjusted until the completion of the IPO, which occurred in July 2021. At that time, the preferred stock warrant liability was adjusted to fair value and reclassified to additional paid-in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04" w:lineRule="exact"/>
        <w:rPr>
          <w:sz w:val="20"/>
          <w:szCs w:val="20"/>
          <w:color w:val="auto"/>
        </w:rPr>
      </w:pPr>
    </w:p>
    <w:p>
      <w:pPr>
        <w:ind w:right="40" w:firstLine="419"/>
        <w:spacing w:after="0" w:line="243" w:lineRule="auto"/>
        <w:rPr>
          <w:sz w:val="20"/>
          <w:szCs w:val="20"/>
          <w:color w:val="auto"/>
        </w:rPr>
      </w:pPr>
      <w:r>
        <w:rPr>
          <w:rFonts w:ascii="Arial" w:cs="Arial" w:eastAsia="Arial" w:hAnsi="Arial"/>
          <w:sz w:val="18"/>
          <w:szCs w:val="18"/>
          <w:color w:val="231F20"/>
        </w:rPr>
        <w:t>Financial instruments that subject the Company to concentration of credit risk consist of cash and cash equivalents and accounts receivable. The Company’s cash and cash equivalents are deposited with a high-quality financial institution. Deposits at this institution may, at times, exceed federally insured limits. Management believes that this financial institution is financially sound and, accordingly, that minimal credit risk exists. The Company has not experienced any losses on its deposits of cash and cash equivalents.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53340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116" w:name="page117"/>
    <w:bookmarkEnd w:id="116"/>
    <w:p>
      <w:pPr>
        <w:ind w:left="420"/>
        <w:spacing w:after="0"/>
        <w:rPr>
          <w:sz w:val="20"/>
          <w:szCs w:val="20"/>
          <w:color w:val="auto"/>
        </w:rPr>
      </w:pPr>
      <w:r>
        <w:rPr>
          <w:rFonts w:ascii="Arial" w:cs="Arial" w:eastAsia="Arial" w:hAnsi="Arial"/>
          <w:sz w:val="17"/>
          <w:szCs w:val="17"/>
          <w:color w:val="231F20"/>
        </w:rPr>
        <w:t>The Company relies on third-party contract manufacturers for the manufacture of all of our commercial products currently available for 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Disruption in production would have a negative impact on the Company’s financial position, results of operations and cash flows.</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For the years ended December 31, 2021 and 2020, there were no customers that represented 10% or more of the Company's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Deferred Offering Costs</w:t>
      </w:r>
    </w:p>
    <w:p>
      <w:pPr>
        <w:spacing w:after="0" w:line="104" w:lineRule="exact"/>
        <w:rPr>
          <w:sz w:val="20"/>
          <w:szCs w:val="20"/>
          <w:color w:val="auto"/>
        </w:rPr>
      </w:pPr>
    </w:p>
    <w:p>
      <w:pPr>
        <w:jc w:val="both"/>
        <w:ind w:right="140" w:firstLine="419"/>
        <w:spacing w:after="0" w:line="294" w:lineRule="auto"/>
        <w:rPr>
          <w:sz w:val="20"/>
          <w:szCs w:val="20"/>
          <w:color w:val="auto"/>
        </w:rPr>
      </w:pPr>
      <w:r>
        <w:rPr>
          <w:rFonts w:ascii="Arial" w:cs="Arial" w:eastAsia="Arial" w:hAnsi="Arial"/>
          <w:sz w:val="16"/>
          <w:szCs w:val="16"/>
          <w:color w:val="auto"/>
        </w:rPr>
        <w:t>Deferred offering costs, consisting of legal, accounting and other fees and costs relating to the Company’s IPO, were deferred until completion of the IPO. As of December 31, 2020, deferred offering costs of $0.4 million were capitalized and are included in “Other noncurrent assets”. In July 2021, upon closing of the IPO, total deferred costs of $4.5 million were offset against the Company's IPO proceeds in additional paid in capital.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and Cash Equivalents</w:t>
      </w:r>
    </w:p>
    <w:p>
      <w:pPr>
        <w:spacing w:after="0" w:line="104" w:lineRule="exact"/>
        <w:rPr>
          <w:sz w:val="20"/>
          <w:szCs w:val="20"/>
          <w:color w:val="auto"/>
        </w:rPr>
      </w:pPr>
    </w:p>
    <w:p>
      <w:pPr>
        <w:ind w:firstLine="419"/>
        <w:spacing w:after="0" w:line="243" w:lineRule="auto"/>
        <w:rPr>
          <w:sz w:val="20"/>
          <w:szCs w:val="20"/>
          <w:color w:val="auto"/>
        </w:rPr>
      </w:pPr>
      <w:r>
        <w:rPr>
          <w:rFonts w:ascii="Arial" w:cs="Arial" w:eastAsia="Arial" w:hAnsi="Arial"/>
          <w:sz w:val="18"/>
          <w:szCs w:val="18"/>
          <w:color w:val="231F20"/>
        </w:rPr>
        <w:t>The Company considers all highly liquid investments with an original maturity of three months or less when purchased to be cash and cash equivalents. Cash and cash equivalents are recorded at cost, which approximate fair value. As of December 31, 2021 and 2020, cash consists primarily of checking and savings deposits. The Company’s cash balances exceed those that are federally insured. To date, the Company has not recognized any losses caused by uninsured balances.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Accounts Receivable and Provision for Doubtful Accounts</w:t>
      </w:r>
    </w:p>
    <w:p>
      <w:pPr>
        <w:spacing w:after="0" w:line="104" w:lineRule="exact"/>
        <w:rPr>
          <w:sz w:val="20"/>
          <w:szCs w:val="20"/>
          <w:color w:val="auto"/>
        </w:rPr>
      </w:pPr>
    </w:p>
    <w:p>
      <w:pPr>
        <w:ind w:right="60" w:firstLine="419"/>
        <w:spacing w:after="0" w:line="255" w:lineRule="auto"/>
        <w:rPr>
          <w:sz w:val="20"/>
          <w:szCs w:val="20"/>
          <w:color w:val="auto"/>
        </w:rPr>
      </w:pPr>
      <w:r>
        <w:rPr>
          <w:rFonts w:ascii="Arial" w:cs="Arial" w:eastAsia="Arial" w:hAnsi="Arial"/>
          <w:sz w:val="17"/>
          <w:szCs w:val="17"/>
          <w:color w:val="231F20"/>
        </w:rPr>
        <w:t>Accounts receivable are stated at invoiced amounts, net of estimated provisions for doubtful accounts. The majority of customers are not extended credit and, therefore, time to maturity for receivables is short. The Company makes estimates of the collectability of customer accounts and provisions based primarily on analysis of historical trends and experience and changes in customers’ financial condition. The Company uses its judgment, based on the best available facts and circumstances, and records a provision against amounts due to reduce the receivable to the amount that is expected to be collected. These specific provisions are reevaluated and adjusted as additional information is received that impacts the amount reserved. To date, the Company has not experienced material credit-related losses. The provision for doubtful accounts was $0.6 million and $0.3 million as of December 31,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Inventory</w:t>
      </w:r>
    </w:p>
    <w:p>
      <w:pPr>
        <w:spacing w:after="0" w:line="104" w:lineRule="exact"/>
        <w:rPr>
          <w:sz w:val="20"/>
          <w:szCs w:val="20"/>
          <w:color w:val="auto"/>
        </w:rPr>
      </w:pPr>
    </w:p>
    <w:p>
      <w:pPr>
        <w:ind w:right="180" w:firstLine="419"/>
        <w:spacing w:after="0" w:line="255" w:lineRule="auto"/>
        <w:rPr>
          <w:sz w:val="20"/>
          <w:szCs w:val="20"/>
          <w:color w:val="auto"/>
        </w:rPr>
      </w:pPr>
      <w:r>
        <w:rPr>
          <w:rFonts w:ascii="Arial" w:cs="Arial" w:eastAsia="Arial" w:hAnsi="Arial"/>
          <w:sz w:val="17"/>
          <w:szCs w:val="17"/>
          <w:color w:val="231F20"/>
        </w:rPr>
        <w:t>Inventory represents finished goods purchased from a third-party manufacturer and is valued at the lower of cost or net realizable value. Cost is determined using actual costs on a first-in, first-out basis for all inventory. Net realizable value is determined as the estimated selling prices in the ordinary course of business, less reasonably predictable costs of completion, disposal, and transportation. The Company regularly reviews inventory quantities in consideration of actual loss experiences, projected future demand, and remaining shelf life to record a provision for excess and obsolete inventory when appropriate. The Company’s policy is to write down inventory that has become obsolete, inventory that has a cost basis in excess of its expected lower of cost or net realizable value, and inventory in excess of expected requirements. The estimate of excess quantities is judgmental and primarily dependent on the Company’s estimates of future demand for the particular product.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104" w:lineRule="exact"/>
        <w:rPr>
          <w:sz w:val="20"/>
          <w:szCs w:val="20"/>
          <w:color w:val="auto"/>
        </w:rPr>
      </w:pPr>
    </w:p>
    <w:p>
      <w:pPr>
        <w:ind w:right="60" w:firstLine="419"/>
        <w:spacing w:after="0" w:line="243" w:lineRule="auto"/>
        <w:rPr>
          <w:sz w:val="20"/>
          <w:szCs w:val="20"/>
          <w:color w:val="auto"/>
        </w:rPr>
      </w:pPr>
      <w:r>
        <w:rPr>
          <w:rFonts w:ascii="Arial" w:cs="Arial" w:eastAsia="Arial" w:hAnsi="Arial"/>
          <w:sz w:val="18"/>
          <w:szCs w:val="18"/>
          <w:color w:val="231F20"/>
        </w:rPr>
        <w:t>Property and equipment are recorded at cost, less accumulated depreciation. Repairs and maintenance costs are expensed as incurred. Depreciation is calculated using the straight-line method over the estimated useful lives of the assets, typically two to five years. When assets are retired or otherwise disposed of, the cost and accumulated depreciation are removed from the balance sheet and any resulting gain or loss is reflected in operations in the period realized.</w:t>
      </w:r>
    </w:p>
    <w:p>
      <w:pPr>
        <w:spacing w:after="0" w:line="188" w:lineRule="exact"/>
        <w:rPr>
          <w:sz w:val="20"/>
          <w:szCs w:val="20"/>
          <w:color w:val="auto"/>
        </w:rPr>
      </w:pPr>
    </w:p>
    <w:p>
      <w:pPr>
        <w:ind w:right="80" w:firstLine="419"/>
        <w:spacing w:after="0" w:line="248" w:lineRule="auto"/>
        <w:rPr>
          <w:sz w:val="20"/>
          <w:szCs w:val="20"/>
          <w:color w:val="auto"/>
        </w:rPr>
      </w:pPr>
      <w:r>
        <w:rPr>
          <w:rFonts w:ascii="Arial" w:cs="Arial" w:eastAsia="Arial" w:hAnsi="Arial"/>
          <w:sz w:val="18"/>
          <w:szCs w:val="18"/>
          <w:color w:val="231F20"/>
        </w:rPr>
        <w:t>Construction-in-process assets consist primarily of tools and equipment that have not yet been placed in service. These assets are stated at cost and are not depreciated. Once the assets are placed into service, assets are reclassified to the appropriate asset class based on their nature and depreciated in accordance with the useful lives above.</w:t>
      </w: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53340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i w:val="1"/>
          <w:iCs w:val="1"/>
          <w:color w:val="231F20"/>
        </w:rPr>
        <w:t>Impairment of Long-Lived Assets</w:t>
      </w:r>
    </w:p>
    <w:p>
      <w:pPr>
        <w:spacing w:after="0" w:line="104" w:lineRule="exact"/>
        <w:rPr>
          <w:sz w:val="20"/>
          <w:szCs w:val="20"/>
          <w:color w:val="auto"/>
        </w:rPr>
      </w:pPr>
    </w:p>
    <w:p>
      <w:pPr>
        <w:ind w:right="140" w:firstLine="419"/>
        <w:spacing w:after="0" w:line="276" w:lineRule="auto"/>
        <w:rPr>
          <w:sz w:val="20"/>
          <w:szCs w:val="20"/>
          <w:color w:val="auto"/>
        </w:rPr>
      </w:pPr>
      <w:r>
        <w:rPr>
          <w:rFonts w:ascii="Arial" w:cs="Arial" w:eastAsia="Arial" w:hAnsi="Arial"/>
          <w:sz w:val="16"/>
          <w:szCs w:val="16"/>
          <w:color w:val="231F20"/>
        </w:rPr>
        <w:t>The Company assesses long-lived assets, including property and equipment, whenever events or changes in business circumstances indicate that the carrying amount of the assets may not be fully recoverable. If indicators of impairment exist, an impairment loss may be recognized when estimated undiscounted future cash flows expected to result from the use of the assets and their eventual disposition are less than their carrying amount. Impairment, if any, is measured as the amount by which the carrying amount of the long-lived assets exceeds their fair value. Fair value is determined through various valuation techniques, including discounted cash flow models, quoted market values, and third-party independent appraisals, as considered necessary. The Company did not record any impairment of long-lived assets for the years ended December 31, 2021 and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Leases</w:t>
      </w:r>
    </w:p>
    <w:p>
      <w:pPr>
        <w:spacing w:after="0" w:line="104" w:lineRule="exact"/>
        <w:rPr>
          <w:sz w:val="20"/>
          <w:szCs w:val="20"/>
          <w:color w:val="auto"/>
        </w:rPr>
      </w:pPr>
    </w:p>
    <w:p>
      <w:pPr>
        <w:ind w:right="200" w:firstLine="419"/>
        <w:spacing w:after="0" w:line="262" w:lineRule="auto"/>
        <w:rPr>
          <w:sz w:val="20"/>
          <w:szCs w:val="20"/>
          <w:color w:val="auto"/>
        </w:rPr>
      </w:pPr>
      <w:r>
        <w:rPr>
          <w:rFonts w:ascii="Arial" w:cs="Arial" w:eastAsia="Arial" w:hAnsi="Arial"/>
          <w:sz w:val="17"/>
          <w:szCs w:val="17"/>
          <w:color w:val="231F20"/>
        </w:rPr>
        <w:t>Contractual arrangements that meet the definition of a lease are classified as operating or finance leases and are recorded on the balance sheets as both a right-of-use asset (“ROU asset”) and lease liability, calculated by discounting fixed lease payments over the lease term at the Company’s incremental borrowing rate (“IBR”). Lease ROU assets and lease obligations are recognized based on the present value of the future minimum lease payments over the lease term at commencement date. The Company currently does not have any finance leases.</w:t>
      </w:r>
    </w:p>
    <w:p>
      <w:pPr>
        <w:spacing w:after="0" w:line="172" w:lineRule="exact"/>
        <w:rPr>
          <w:sz w:val="20"/>
          <w:szCs w:val="20"/>
          <w:color w:val="auto"/>
        </w:rPr>
      </w:pPr>
    </w:p>
    <w:p>
      <w:pPr>
        <w:ind w:right="120" w:firstLine="419"/>
        <w:spacing w:after="0" w:line="239" w:lineRule="auto"/>
        <w:rPr>
          <w:sz w:val="20"/>
          <w:szCs w:val="20"/>
          <w:color w:val="auto"/>
        </w:rPr>
      </w:pPr>
      <w:r>
        <w:rPr>
          <w:rFonts w:ascii="Arial" w:cs="Arial" w:eastAsia="Arial" w:hAnsi="Arial"/>
          <w:sz w:val="18"/>
          <w:szCs w:val="18"/>
          <w:color w:val="231F20"/>
        </w:rPr>
        <w:t>Operating lease ROU assets are adjusted for (i) payments made at or before the commencement date, (ii) initial direct costs incurred, and (iii) tenant incentives under the lease. As the implicit rates for the operating leases are not determinable, the Company uses an IBR based on the information available at the respective lease commencement dates to determine the present value of future payments. IBR represents the interest rate that the Company would expect to incur at lease commencement to borrow an amount equal to the lease payments on a collateralized basis with similar terms and payments, in an economic environment where the leased asset is located. The Company considers a lease term to be the noncancelable period that it has the right to use the underlying asset, including any periods where it is reasonably certain the Company will exercise any option to extend the contract.</w:t>
      </w:r>
    </w:p>
    <w:p>
      <w:pPr>
        <w:spacing w:after="0" w:line="191" w:lineRule="exact"/>
        <w:rPr>
          <w:sz w:val="20"/>
          <w:szCs w:val="20"/>
          <w:color w:val="auto"/>
        </w:rPr>
      </w:pPr>
    </w:p>
    <w:p>
      <w:pPr>
        <w:ind w:right="240" w:firstLine="419"/>
        <w:spacing w:after="0"/>
        <w:rPr>
          <w:sz w:val="20"/>
          <w:szCs w:val="20"/>
          <w:color w:val="auto"/>
        </w:rPr>
      </w:pPr>
      <w:r>
        <w:rPr>
          <w:rFonts w:ascii="Arial" w:cs="Arial" w:eastAsia="Arial" w:hAnsi="Arial"/>
          <w:sz w:val="18"/>
          <w:szCs w:val="18"/>
          <w:color w:val="231F20"/>
        </w:rPr>
        <w:t>Lease costs for minimum lease payments for operating leases are recognized on a straight-line basis over the lease term. Lease liabilities are increased by interest and reduced by payments each period, and the ROU asset is amortized over the lease term. Variable lease payments that do not depend on an index or rate are recognized as lease costs when incurred. In measuring the ROU assets and lease liabilities, the Company has elected to combine lease and non-lease components. The Company does not recognize ROU assets or lease liabilities for short-term leases, if any, having initial terms of 12 months or less at lease commencement as an accounting policy election, and recognizes rent expense on a straight-line basis over the lease term for these types of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Redeemable Convertible Preferred Stock Warrants</w:t>
      </w:r>
    </w:p>
    <w:p>
      <w:pPr>
        <w:spacing w:after="0" w:line="104" w:lineRule="exact"/>
        <w:rPr>
          <w:sz w:val="20"/>
          <w:szCs w:val="20"/>
          <w:color w:val="auto"/>
        </w:rPr>
      </w:pPr>
    </w:p>
    <w:p>
      <w:pPr>
        <w:ind w:firstLine="419"/>
        <w:spacing w:after="0" w:line="272" w:lineRule="auto"/>
        <w:rPr>
          <w:sz w:val="20"/>
          <w:szCs w:val="20"/>
          <w:color w:val="auto"/>
        </w:rPr>
      </w:pPr>
      <w:r>
        <w:rPr>
          <w:rFonts w:ascii="Arial" w:cs="Arial" w:eastAsia="Arial" w:hAnsi="Arial"/>
          <w:sz w:val="16"/>
          <w:szCs w:val="16"/>
          <w:color w:val="231F20"/>
        </w:rPr>
        <w:t>The Company’s redeemable convertible preferred stock warrants were classified as liabilities as the underlying redeemable convertible preferred stock was considered contingently redeemable and the Company was obligated to transfer assets to the holders upon occurrence of a deemed liquidation event. The warrants were recorded at fair value upon issuance and subject to remeasurement to fair value at each balance sheet date, with changes in fair value recognized as other expense in the statements of operations. The warrants liability was recorded as other noncurrent liabilities in the balance sheets. The Company continued to adjust the warrant liability for changes in fair value until the conversion of redeemable convertible preferred stock into common stock. At the time of conversion, the liability associated with the redeemable convertible preferred stock warrants was converted into warrants to purchase common stock and reclassified to additional paid-in capital. As a result of the conversion in the current year, the redeemable convertible preferred stock warrant liability was settled and will no longer be subject to remeasurement.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Redeemable Convertible Preferred Stock</w:t>
      </w:r>
    </w:p>
    <w:p>
      <w:pPr>
        <w:spacing w:after="0" w:line="104" w:lineRule="exact"/>
        <w:rPr>
          <w:sz w:val="20"/>
          <w:szCs w:val="20"/>
          <w:color w:val="auto"/>
        </w:rPr>
      </w:pPr>
    </w:p>
    <w:p>
      <w:pPr>
        <w:ind w:right="100" w:firstLine="419"/>
        <w:spacing w:after="0" w:line="257" w:lineRule="auto"/>
        <w:rPr>
          <w:sz w:val="20"/>
          <w:szCs w:val="20"/>
          <w:color w:val="auto"/>
        </w:rPr>
      </w:pPr>
      <w:r>
        <w:rPr>
          <w:rFonts w:ascii="Arial" w:cs="Arial" w:eastAsia="Arial" w:hAnsi="Arial"/>
          <w:sz w:val="17"/>
          <w:szCs w:val="17"/>
          <w:color w:val="231F20"/>
        </w:rPr>
        <w:t>The Company recorded its redeemable convertible preferred stock at fair value on the dates of issuance, net of issuance costs. A redemption event will be deemed to have occurred upon the liquidation or winding-up of the Company, a greater than 50% change in control, or sale of substantially all of the assets of the Company. In the event of a change of control of the Company, proceeds received from the sale of such shares will be distributed in accordance with the liquidation preferences set forth in the Company’s amended and restated certificate of incorporation, unless the holders of redeemable convertible preferred stock otherwise agree or have converted their shares into shares of common stock. Therefore, redeemable convertible preferred stock was classified outside of stockholders’ equity in the balance sheets, as</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53340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118" w:name="page119"/>
    <w:bookmarkEnd w:id="118"/>
    <w:p>
      <w:pPr>
        <w:ind w:right="120"/>
        <w:spacing w:after="0" w:line="248" w:lineRule="auto"/>
        <w:rPr>
          <w:sz w:val="20"/>
          <w:szCs w:val="20"/>
          <w:color w:val="auto"/>
        </w:rPr>
      </w:pPr>
      <w:r>
        <w:rPr>
          <w:rFonts w:ascii="Arial" w:cs="Arial" w:eastAsia="Arial" w:hAnsi="Arial"/>
          <w:sz w:val="18"/>
          <w:szCs w:val="18"/>
          <w:color w:val="231F20"/>
        </w:rPr>
        <w:t>events triggering the liquidation preferences are not solely within the Company’s control. During the current year, the holders of the redeemable convertible preferred stock agreed to have their shares converted into shares of common stock. At the time of conversion, the balances were reclassified to common stock and additional paid-in capital.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Common Stock Warrant</w:t>
      </w:r>
    </w:p>
    <w:p>
      <w:pPr>
        <w:spacing w:after="0" w:line="104" w:lineRule="exact"/>
        <w:rPr>
          <w:sz w:val="20"/>
          <w:szCs w:val="20"/>
          <w:color w:val="auto"/>
        </w:rPr>
      </w:pPr>
    </w:p>
    <w:p>
      <w:pPr>
        <w:ind w:right="140" w:firstLine="419"/>
        <w:spacing w:after="0" w:line="248" w:lineRule="auto"/>
        <w:rPr>
          <w:sz w:val="20"/>
          <w:szCs w:val="20"/>
          <w:color w:val="auto"/>
        </w:rPr>
      </w:pPr>
      <w:r>
        <w:rPr>
          <w:rFonts w:ascii="Arial" w:cs="Arial" w:eastAsia="Arial" w:hAnsi="Arial"/>
          <w:sz w:val="18"/>
          <w:szCs w:val="18"/>
          <w:color w:val="231F20"/>
        </w:rPr>
        <w:t>The Company’s common stock warrant is classified in equity as it meets all criteria for equity classification. The fair value of the common stock warrant was calculated using the BackSolve Method and is recorded at fair value upon issuance in additional paid-in capital in the consolidated balance sheets. The common stock warrant is not remeasured after the issuance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104" w:lineRule="exact"/>
        <w:rPr>
          <w:sz w:val="20"/>
          <w:szCs w:val="20"/>
          <w:color w:val="auto"/>
        </w:rPr>
      </w:pPr>
    </w:p>
    <w:p>
      <w:pPr>
        <w:ind w:right="80" w:firstLine="419"/>
        <w:spacing w:after="0" w:line="261" w:lineRule="auto"/>
        <w:rPr>
          <w:sz w:val="20"/>
          <w:szCs w:val="20"/>
          <w:color w:val="auto"/>
        </w:rPr>
      </w:pPr>
      <w:r>
        <w:rPr>
          <w:rFonts w:ascii="Arial" w:cs="Arial" w:eastAsia="Arial" w:hAnsi="Arial"/>
          <w:sz w:val="18"/>
          <w:szCs w:val="18"/>
          <w:color w:val="231F20"/>
        </w:rPr>
        <w:t>The Company applies the following five steps in order to determine the appropriate amount of revenue to be recognized as it fulfills its obligations under each of its arrangements:</w:t>
      </w:r>
    </w:p>
    <w:p>
      <w:pPr>
        <w:spacing w:after="0" w:line="63" w:lineRule="exact"/>
        <w:rPr>
          <w:sz w:val="20"/>
          <w:szCs w:val="20"/>
          <w:color w:val="auto"/>
        </w:rPr>
      </w:pPr>
    </w:p>
    <w:p>
      <w:pPr>
        <w:ind w:left="800" w:hanging="283"/>
        <w:spacing w:after="0"/>
        <w:tabs>
          <w:tab w:leader="none" w:pos="80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Identify the contract with a customer,</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Identify the performance obligations in the contract,</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Determine the transaction price,</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Allocate the transaction price to performance obligations in the contract, and</w:t>
      </w:r>
    </w:p>
    <w:p>
      <w:pPr>
        <w:spacing w:after="0" w:line="103" w:lineRule="exact"/>
        <w:rPr>
          <w:rFonts w:ascii="Arial" w:cs="Arial" w:eastAsia="Arial" w:hAnsi="Arial"/>
          <w:sz w:val="18"/>
          <w:szCs w:val="18"/>
          <w:color w:val="231F20"/>
        </w:rPr>
      </w:pPr>
    </w:p>
    <w:p>
      <w:pPr>
        <w:ind w:left="800" w:hanging="283"/>
        <w:spacing w:after="0"/>
        <w:tabs>
          <w:tab w:leader="none" w:pos="80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Recognize revenue as the performance obligations are satisfied.</w:t>
      </w:r>
    </w:p>
    <w:p>
      <w:pPr>
        <w:spacing w:after="0" w:line="104" w:lineRule="exact"/>
        <w:rPr>
          <w:sz w:val="20"/>
          <w:szCs w:val="20"/>
          <w:color w:val="auto"/>
        </w:rPr>
      </w:pPr>
    </w:p>
    <w:p>
      <w:pPr>
        <w:ind w:right="40" w:firstLine="419"/>
        <w:spacing w:after="0" w:line="248" w:lineRule="auto"/>
        <w:rPr>
          <w:sz w:val="20"/>
          <w:szCs w:val="20"/>
          <w:color w:val="auto"/>
        </w:rPr>
      </w:pPr>
      <w:r>
        <w:rPr>
          <w:rFonts w:ascii="Arial" w:cs="Arial" w:eastAsia="Arial" w:hAnsi="Arial"/>
          <w:sz w:val="18"/>
          <w:szCs w:val="18"/>
          <w:color w:val="231F20"/>
        </w:rPr>
        <w:t>Revenue recognized during the years ended December 31, 2021 and 2020 relates entirely to the sale of the Company’s products within the Surgical Glaucoma and Dry Eye segments. These sales are primarily to hospitals, medical centers, and ECPs throughout the United States through sales representatives and distributors.</w:t>
      </w:r>
    </w:p>
    <w:p>
      <w:pPr>
        <w:spacing w:after="0" w:line="182" w:lineRule="exact"/>
        <w:rPr>
          <w:sz w:val="20"/>
          <w:szCs w:val="20"/>
          <w:color w:val="auto"/>
        </w:rPr>
      </w:pPr>
    </w:p>
    <w:p>
      <w:pPr>
        <w:ind w:firstLine="419"/>
        <w:spacing w:after="0" w:line="271" w:lineRule="auto"/>
        <w:rPr>
          <w:sz w:val="20"/>
          <w:szCs w:val="20"/>
          <w:color w:val="auto"/>
        </w:rPr>
      </w:pPr>
      <w:r>
        <w:rPr>
          <w:rFonts w:ascii="Arial" w:cs="Arial" w:eastAsia="Arial" w:hAnsi="Arial"/>
          <w:sz w:val="16"/>
          <w:szCs w:val="16"/>
          <w:color w:val="231F20"/>
        </w:rPr>
        <w:t>The Company’s revenue arrangements consist of a single performance obligation. Revenue is recognized at the point in time when control of the promised goods transfer to the Company’s customers. Revenue is measured at the amount of consideration expected to be received in exchange for the transfer of goods. The amount of revenue that is recognized is based on the transaction price, which represented the invoiced amounts and includes estimates of variable consideration, such as discounted, where applicable. The Company does not offer right of return, except in the case where items are defective as manufactured, and the company does not typically provide customers with a right to a refund. The amount of variable consideration included in the transaction price may be constrained and is included only to the extent that it is probable that a significant reversal in the amount of the cumulative revenue recognized under the contract will not occur in a future period. Payment terms, typically 30 days, are offered to customers and do not include a significant financing component. The Company extends credit to customers based upon their financial condition and credit history and generally require no collateral. The Company does not have any contract balances related to product sales.</w:t>
      </w:r>
    </w:p>
    <w:p>
      <w:pPr>
        <w:spacing w:after="0" w:line="169" w:lineRule="exact"/>
        <w:rPr>
          <w:sz w:val="20"/>
          <w:szCs w:val="20"/>
          <w:color w:val="auto"/>
        </w:rPr>
      </w:pPr>
    </w:p>
    <w:p>
      <w:pPr>
        <w:ind w:right="40" w:firstLine="419"/>
        <w:spacing w:after="0" w:line="241" w:lineRule="auto"/>
        <w:rPr>
          <w:sz w:val="20"/>
          <w:szCs w:val="20"/>
          <w:color w:val="auto"/>
        </w:rPr>
      </w:pPr>
      <w:r>
        <w:rPr>
          <w:rFonts w:ascii="Arial" w:cs="Arial" w:eastAsia="Arial" w:hAnsi="Arial"/>
          <w:sz w:val="18"/>
          <w:szCs w:val="18"/>
          <w:color w:val="231F20"/>
        </w:rPr>
        <w:t>Shipping and handling costs incurred for the delivery of goods to customers are included in cost of goods sold. In cases where the Company bills shipping and handling cost to customers, the Company classifies those amounts in net revenue. As a practical expedient, the Company recognizes the incremental costs of obtaining contracts, such as sales commissions, as an expense when incurred since the amortization period of the asset we otherwise would have recognized is one year or less. Sales commissions are recorded within selling, general, and administrative expenses in the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Cost of Goods Sold</w:t>
      </w:r>
    </w:p>
    <w:p>
      <w:pPr>
        <w:spacing w:after="0" w:line="104" w:lineRule="exact"/>
        <w:rPr>
          <w:sz w:val="20"/>
          <w:szCs w:val="20"/>
          <w:color w:val="auto"/>
        </w:rPr>
      </w:pPr>
    </w:p>
    <w:p>
      <w:pPr>
        <w:ind w:right="140" w:firstLine="419"/>
        <w:spacing w:after="0" w:line="248" w:lineRule="auto"/>
        <w:rPr>
          <w:sz w:val="20"/>
          <w:szCs w:val="20"/>
          <w:color w:val="auto"/>
        </w:rPr>
      </w:pPr>
      <w:r>
        <w:rPr>
          <w:rFonts w:ascii="Arial" w:cs="Arial" w:eastAsia="Arial" w:hAnsi="Arial"/>
          <w:sz w:val="18"/>
          <w:szCs w:val="18"/>
          <w:color w:val="231F20"/>
        </w:rPr>
        <w:t>The Company purchases its products from third-party manufacturers. Cost of goods sold consists primarily of costs related to materials, manufacturing overhead costs, reserves for excess, and obsolete and non-sellable inventories. Cost of goods sold also includes depreciation expense for production equipment and certain direct costs, such as shipping and handling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104" w:lineRule="exact"/>
        <w:rPr>
          <w:sz w:val="20"/>
          <w:szCs w:val="20"/>
          <w:color w:val="auto"/>
        </w:rPr>
      </w:pPr>
    </w:p>
    <w:p>
      <w:pPr>
        <w:ind w:right="460" w:firstLine="419"/>
        <w:spacing w:after="0" w:line="248" w:lineRule="auto"/>
        <w:rPr>
          <w:sz w:val="20"/>
          <w:szCs w:val="20"/>
          <w:color w:val="auto"/>
        </w:rPr>
      </w:pPr>
      <w:r>
        <w:rPr>
          <w:rFonts w:ascii="Arial" w:cs="Arial" w:eastAsia="Arial" w:hAnsi="Arial"/>
          <w:sz w:val="18"/>
          <w:szCs w:val="18"/>
          <w:color w:val="231F20"/>
        </w:rPr>
        <w:t>The Company expenses research and development costs as incurred. Research and development expenses consist primarily of product development, clinical studies to develop and support the Company’s products, regulatory expenses, medical affairs, and other costs associated with products and technologies that are in development. Research and</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53340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119" w:name="page120"/>
    <w:bookmarkEnd w:id="119"/>
    <w:p>
      <w:pPr>
        <w:ind w:right="100"/>
        <w:spacing w:after="0" w:line="261" w:lineRule="auto"/>
        <w:rPr>
          <w:sz w:val="20"/>
          <w:szCs w:val="20"/>
          <w:color w:val="auto"/>
        </w:rPr>
      </w:pPr>
      <w:r>
        <w:rPr>
          <w:rFonts w:ascii="Arial" w:cs="Arial" w:eastAsia="Arial" w:hAnsi="Arial"/>
          <w:sz w:val="18"/>
          <w:szCs w:val="18"/>
          <w:color w:val="231F20"/>
        </w:rPr>
        <w:t>development expenses include employee compensation, including stock-based compensation, supplies, consulting, prototyping, testing, materials, travel expenses, depreciation, and an allocation of facility overhead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Selling, General and Administrative</w:t>
      </w:r>
    </w:p>
    <w:p>
      <w:pPr>
        <w:spacing w:after="0" w:line="104" w:lineRule="exact"/>
        <w:rPr>
          <w:sz w:val="20"/>
          <w:szCs w:val="20"/>
          <w:color w:val="auto"/>
        </w:rPr>
      </w:pPr>
    </w:p>
    <w:p>
      <w:pPr>
        <w:jc w:val="both"/>
        <w:ind w:right="140" w:firstLine="419"/>
        <w:spacing w:after="0" w:line="248" w:lineRule="auto"/>
        <w:rPr>
          <w:sz w:val="20"/>
          <w:szCs w:val="20"/>
          <w:color w:val="auto"/>
        </w:rPr>
      </w:pPr>
      <w:r>
        <w:rPr>
          <w:rFonts w:ascii="Arial" w:cs="Arial" w:eastAsia="Arial" w:hAnsi="Arial"/>
          <w:sz w:val="18"/>
          <w:szCs w:val="18"/>
          <w:color w:val="231F20"/>
        </w:rPr>
        <w:t>Selling, general and administrative expenses include compensation, employee benefits, and stock-based compensation for executive management, finance administration, and human resources; facility costs (including rent); bad debt costs; professional service fees; and other general overhead costs, including depreciation to support the Company’s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Advertising Expense</w:t>
      </w:r>
    </w:p>
    <w:p>
      <w:pPr>
        <w:spacing w:after="0" w:line="104" w:lineRule="exact"/>
        <w:rPr>
          <w:sz w:val="20"/>
          <w:szCs w:val="20"/>
          <w:color w:val="auto"/>
        </w:rPr>
      </w:pPr>
    </w:p>
    <w:p>
      <w:pPr>
        <w:ind w:right="380" w:firstLine="419"/>
        <w:spacing w:after="0" w:line="291" w:lineRule="auto"/>
        <w:rPr>
          <w:sz w:val="20"/>
          <w:szCs w:val="20"/>
          <w:color w:val="auto"/>
        </w:rPr>
      </w:pPr>
      <w:r>
        <w:rPr>
          <w:rFonts w:ascii="Arial" w:cs="Arial" w:eastAsia="Arial" w:hAnsi="Arial"/>
          <w:sz w:val="17"/>
          <w:szCs w:val="17"/>
          <w:color w:val="231F20"/>
        </w:rPr>
        <w:t>The Company expenses advertising costs as incurred. Advertising expenses for fiscal years 2021 and 2020 were $2.1 million and $0.8 million, respectively, included in selling, general, and administrative expenses in the statements of operations and comprehensive loss.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Accounting for Payroll Protection Program</w:t>
      </w:r>
    </w:p>
    <w:p>
      <w:pPr>
        <w:spacing w:after="0" w:line="104" w:lineRule="exact"/>
        <w:rPr>
          <w:sz w:val="20"/>
          <w:szCs w:val="20"/>
          <w:color w:val="auto"/>
        </w:rPr>
      </w:pPr>
    </w:p>
    <w:p>
      <w:pPr>
        <w:ind w:right="80" w:firstLine="419"/>
        <w:spacing w:after="0" w:line="257" w:lineRule="auto"/>
        <w:rPr>
          <w:sz w:val="20"/>
          <w:szCs w:val="20"/>
          <w:color w:val="auto"/>
        </w:rPr>
      </w:pPr>
      <w:r>
        <w:rPr>
          <w:rFonts w:ascii="Arial" w:cs="Arial" w:eastAsia="Arial" w:hAnsi="Arial"/>
          <w:sz w:val="17"/>
          <w:szCs w:val="17"/>
          <w:color w:val="231F20"/>
        </w:rPr>
        <w:t>In March 2020, Congress established the Paycheck Protection Program (“PPP”) to provide relief to small businesses during COVID-19 as part of the Coronavirus Aid, Relief, and Economic Security (“CARES”) Act. The legislation authorized the U.S. Treasury to use the Small Business Association’s (“SBA’s”) small business lending program to fund forgivable loans that qualifying businesses could spend to cover payroll, mortgage interest, rent, and utilities during the “Covered Period” defined as the 8-week period starting on the date the PPP loan proceeds are received. Upon meeting certain criteria as specified in the PPP program, the loans are eligible for partial or total forgiveness. In May 2020, the Company applied for and received a PPP loan for the amount $2.2 million from SBA. The PPP loan was fully forgiven in June 2021.</w:t>
      </w:r>
    </w:p>
    <w:p>
      <w:pPr>
        <w:spacing w:after="0" w:line="175" w:lineRule="exact"/>
        <w:rPr>
          <w:sz w:val="20"/>
          <w:szCs w:val="20"/>
          <w:color w:val="auto"/>
        </w:rPr>
      </w:pPr>
    </w:p>
    <w:p>
      <w:pPr>
        <w:ind w:firstLine="419"/>
        <w:spacing w:after="0" w:line="270" w:lineRule="auto"/>
        <w:rPr>
          <w:sz w:val="20"/>
          <w:szCs w:val="20"/>
          <w:color w:val="auto"/>
        </w:rPr>
      </w:pPr>
      <w:r>
        <w:rPr>
          <w:rFonts w:ascii="Arial" w:cs="Arial" w:eastAsia="Arial" w:hAnsi="Arial"/>
          <w:sz w:val="16"/>
          <w:szCs w:val="16"/>
          <w:color w:val="231F20"/>
        </w:rPr>
        <w:t xml:space="preserve">U.S. GAAP does not contain authoritative accounting standards for forgivable loans provided by governmental entities to a for-profit entity. Absent authoritative accounting standards, interpretative guidance issued and commonly applied by financial statement preparers allows for the selection of accounting policies amongst acceptable alternatives. The Company determined it most appropriate to account for the PPP loan proceeds as an in-substance government grant by analogy to International Accounting Standards 20 (“IAS 20”) </w:t>
      </w:r>
      <w:r>
        <w:rPr>
          <w:rFonts w:ascii="Arial" w:cs="Arial" w:eastAsia="Arial" w:hAnsi="Arial"/>
          <w:sz w:val="16"/>
          <w:szCs w:val="16"/>
          <w:i w:val="1"/>
          <w:iCs w:val="1"/>
          <w:color w:val="231F20"/>
        </w:rPr>
        <w:t>Accounting for Government Grants and Disclosure of</w:t>
      </w:r>
      <w:r>
        <w:rPr>
          <w:rFonts w:ascii="Arial" w:cs="Arial" w:eastAsia="Arial" w:hAnsi="Arial"/>
          <w:sz w:val="16"/>
          <w:szCs w:val="16"/>
          <w:color w:val="231F20"/>
        </w:rPr>
        <w:t xml:space="preserve"> </w:t>
      </w:r>
      <w:r>
        <w:rPr>
          <w:rFonts w:ascii="Arial" w:cs="Arial" w:eastAsia="Arial" w:hAnsi="Arial"/>
          <w:sz w:val="16"/>
          <w:szCs w:val="16"/>
          <w:i w:val="1"/>
          <w:iCs w:val="1"/>
          <w:color w:val="231F20"/>
        </w:rPr>
        <w:t>Government Assistance</w:t>
      </w:r>
      <w:r>
        <w:rPr>
          <w:rFonts w:ascii="Arial" w:cs="Arial" w:eastAsia="Arial" w:hAnsi="Arial"/>
          <w:sz w:val="16"/>
          <w:szCs w:val="16"/>
          <w:color w:val="231F20"/>
        </w:rPr>
        <w:t>. Under this guidance, a forgivable loan from government is treated as a government grant when there is reasonable assurance that</w:t>
      </w:r>
      <w:r>
        <w:rPr>
          <w:rFonts w:ascii="Arial" w:cs="Arial" w:eastAsia="Arial" w:hAnsi="Arial"/>
          <w:sz w:val="16"/>
          <w:szCs w:val="16"/>
          <w:i w:val="1"/>
          <w:iCs w:val="1"/>
          <w:color w:val="231F20"/>
        </w:rPr>
        <w:t xml:space="preserve"> </w:t>
      </w:r>
      <w:r>
        <w:rPr>
          <w:rFonts w:ascii="Arial" w:cs="Arial" w:eastAsia="Arial" w:hAnsi="Arial"/>
          <w:sz w:val="16"/>
          <w:szCs w:val="16"/>
          <w:color w:val="231F20"/>
        </w:rPr>
        <w:t>the entity will meet the terms for forgiveness of the loan. While IAS 20 does not define “reasonable assurance”, this concept in practice is analogous to “probable” as defined in Financial Accounting Standards Board (“FASB”) ASC 450-20-20 under U.S. GAAP, which is the definition the Company has applied to its expectations of PPP loan forgiveness. Under IAS 20, government grants are recognized in earnings on a systematic basis over the periods in which the Company recognizes costs for which the grant is intended to compensate (i.e. qualified expenses). Further, IAS 20 permits for the recognition in earnings either separately under a general heading such as other income, or as a reduction of the related expenses.</w:t>
      </w:r>
    </w:p>
    <w:p>
      <w:pPr>
        <w:spacing w:after="0" w:line="171" w:lineRule="exact"/>
        <w:rPr>
          <w:sz w:val="20"/>
          <w:szCs w:val="20"/>
          <w:color w:val="auto"/>
        </w:rPr>
      </w:pPr>
    </w:p>
    <w:p>
      <w:pPr>
        <w:ind w:right="240" w:firstLine="419"/>
        <w:spacing w:after="0" w:line="248" w:lineRule="auto"/>
        <w:rPr>
          <w:sz w:val="20"/>
          <w:szCs w:val="20"/>
          <w:color w:val="auto"/>
        </w:rPr>
      </w:pPr>
      <w:r>
        <w:rPr>
          <w:rFonts w:ascii="Arial" w:cs="Arial" w:eastAsia="Arial" w:hAnsi="Arial"/>
          <w:sz w:val="18"/>
          <w:szCs w:val="18"/>
          <w:color w:val="231F20"/>
        </w:rPr>
        <w:t>The Company has elected to recognize this government grant income as a reduction of the related expenses, and recognized $0.1 million, $0.3 million and $1.8 million as a reduction of cost of revenue, research and development and selling, general and administrative expenses, respectively for the year ended December 31,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04" w:lineRule="exact"/>
        <w:rPr>
          <w:sz w:val="20"/>
          <w:szCs w:val="20"/>
          <w:color w:val="auto"/>
        </w:rPr>
      </w:pPr>
    </w:p>
    <w:p>
      <w:pPr>
        <w:ind w:right="20" w:firstLine="419"/>
        <w:spacing w:after="0" w:line="276" w:lineRule="auto"/>
        <w:rPr>
          <w:sz w:val="20"/>
          <w:szCs w:val="20"/>
          <w:color w:val="auto"/>
        </w:rPr>
      </w:pPr>
      <w:r>
        <w:rPr>
          <w:rFonts w:ascii="Arial" w:cs="Arial" w:eastAsia="Arial" w:hAnsi="Arial"/>
          <w:sz w:val="16"/>
          <w:szCs w:val="16"/>
          <w:color w:val="231F20"/>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 line method to recognize stock-based compensation, and accounts for forfeitures as they occur. The Company selected the Black-Scholes-Merton (“Black-Scholes”) option-pricing model as the method for determining the estimated fair value for stock options. The Black-Scholes option-pricing model requires the use of highly subjective and complex assumptions, which determine the fair value of share-based awards, including the option’s expected term, expected volatility of the underlying stock, risk-free interest rate and expected dividend yield.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Currency Remeasurement</w:t>
      </w:r>
    </w:p>
    <w:p>
      <w:pPr>
        <w:spacing w:after="0" w:line="104" w:lineRule="exact"/>
        <w:rPr>
          <w:sz w:val="20"/>
          <w:szCs w:val="20"/>
          <w:color w:val="auto"/>
        </w:rPr>
      </w:pPr>
    </w:p>
    <w:p>
      <w:pPr>
        <w:ind w:right="80" w:firstLine="419"/>
        <w:spacing w:after="0" w:line="261" w:lineRule="auto"/>
        <w:rPr>
          <w:sz w:val="20"/>
          <w:szCs w:val="20"/>
          <w:color w:val="auto"/>
        </w:rPr>
      </w:pPr>
      <w:r>
        <w:rPr>
          <w:rFonts w:ascii="Arial" w:cs="Arial" w:eastAsia="Arial" w:hAnsi="Arial"/>
          <w:sz w:val="18"/>
          <w:szCs w:val="18"/>
          <w:color w:val="231F20"/>
        </w:rPr>
        <w:t>Foreign currency transaction gains and losses are recorded in other expense, net in the Company’s statements of operations and such amounts have not been material for all periods presented.</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53340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40" w:top="328" w:right="3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231F20"/>
        </w:rPr>
        <w:t>Income Taxes</w:t>
      </w:r>
    </w:p>
    <w:p>
      <w:pPr>
        <w:spacing w:after="0" w:line="104" w:lineRule="exact"/>
        <w:rPr>
          <w:sz w:val="20"/>
          <w:szCs w:val="20"/>
          <w:color w:val="auto"/>
        </w:rPr>
      </w:pPr>
    </w:p>
    <w:p>
      <w:pPr>
        <w:ind w:firstLine="419"/>
        <w:spacing w:after="0"/>
        <w:rPr>
          <w:sz w:val="20"/>
          <w:szCs w:val="20"/>
          <w:color w:val="auto"/>
        </w:rPr>
      </w:pPr>
      <w:r>
        <w:rPr>
          <w:rFonts w:ascii="Arial" w:cs="Arial" w:eastAsia="Arial" w:hAnsi="Arial"/>
          <w:sz w:val="18"/>
          <w:szCs w:val="18"/>
          <w:color w:val="231F20"/>
        </w:rPr>
        <w:t>The Company uses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Management makes an assessment of the likelihood that the resulting deferred tax assets will be realized. A valuation allowance is provided when it is more likely than not that some portion or all off a deferred tax asset will not be realized. Due to the Company's historical operating performance and the recorded cumulative net losses in prior fiscal periods, the net deferred tax assets have been fully offset by a valuation allowance.</w:t>
      </w:r>
    </w:p>
    <w:p>
      <w:pPr>
        <w:spacing w:after="0" w:line="189" w:lineRule="exact"/>
        <w:rPr>
          <w:sz w:val="20"/>
          <w:szCs w:val="20"/>
          <w:color w:val="auto"/>
        </w:rPr>
      </w:pPr>
    </w:p>
    <w:p>
      <w:pPr>
        <w:ind w:right="140" w:firstLine="419"/>
        <w:spacing w:after="0" w:line="243" w:lineRule="auto"/>
        <w:rPr>
          <w:sz w:val="20"/>
          <w:szCs w:val="20"/>
          <w:color w:val="auto"/>
        </w:rPr>
      </w:pPr>
      <w:r>
        <w:rPr>
          <w:rFonts w:ascii="Arial" w:cs="Arial" w:eastAsia="Arial" w:hAnsi="Arial"/>
          <w:sz w:val="18"/>
          <w:szCs w:val="18"/>
          <w:color w:val="231F20"/>
        </w:rPr>
        <w:t>The Company recognizes uncertain income tax positions at the largest amount that is more likely than not to be sustained upon audit by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 as a component of provision for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Comprehensive Loss</w:t>
      </w:r>
    </w:p>
    <w:p>
      <w:pPr>
        <w:spacing w:after="0" w:line="104" w:lineRule="exact"/>
        <w:rPr>
          <w:sz w:val="20"/>
          <w:szCs w:val="20"/>
          <w:color w:val="auto"/>
        </w:rPr>
      </w:pPr>
    </w:p>
    <w:p>
      <w:pPr>
        <w:ind w:right="60" w:firstLine="419"/>
        <w:spacing w:after="0" w:line="248" w:lineRule="auto"/>
        <w:rPr>
          <w:sz w:val="20"/>
          <w:szCs w:val="20"/>
          <w:color w:val="auto"/>
        </w:rPr>
      </w:pPr>
      <w:r>
        <w:rPr>
          <w:rFonts w:ascii="Arial" w:cs="Arial" w:eastAsia="Arial" w:hAnsi="Arial"/>
          <w:sz w:val="18"/>
          <w:szCs w:val="18"/>
          <w:color w:val="231F20"/>
        </w:rPr>
        <w:t>Comprehensive loss represents all changes in stockholders’ deficit except those resulting from distributions to stockholders. There have been no items qualifying as other comprehensive income (loss) and, therefore, for all periods presented, there was no difference between comprehensive loss and the Company’s reported net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loss per share attributable to common stockholders</w:t>
      </w:r>
    </w:p>
    <w:p>
      <w:pPr>
        <w:spacing w:after="0" w:line="104" w:lineRule="exact"/>
        <w:rPr>
          <w:sz w:val="20"/>
          <w:szCs w:val="20"/>
          <w:color w:val="auto"/>
        </w:rPr>
      </w:pPr>
    </w:p>
    <w:p>
      <w:pPr>
        <w:ind w:right="100" w:firstLine="419"/>
        <w:spacing w:after="0" w:line="279" w:lineRule="auto"/>
        <w:rPr>
          <w:sz w:val="20"/>
          <w:szCs w:val="20"/>
          <w:color w:val="auto"/>
        </w:rPr>
      </w:pPr>
      <w:r>
        <w:rPr>
          <w:rFonts w:ascii="Arial" w:cs="Arial" w:eastAsia="Arial" w:hAnsi="Arial"/>
          <w:sz w:val="16"/>
          <w:szCs w:val="16"/>
          <w:color w:val="231F20"/>
        </w:rPr>
        <w:t>Basic and diluted net loss per share attributable to common stockholders is presented in conformity with the two-class method required for participating securities. The Company considers all series of its redeemable convertible preferred stock and restricted stock awards to be participating securities as the holders are entitled to receive dividends on a pari passu basis in the event that a dividend is paid on common stock. Under the two-class method, the net loss attributable to common stockholders is not allocated to the redeemable convertible preferred stock or restricted stock awards as the holders of the Company’s redeemable convertible preferred stock and restricted stock awards do not have a contractual obligation to share in losses.</w:t>
      </w:r>
    </w:p>
    <w:p>
      <w:pPr>
        <w:spacing w:after="0" w:line="159" w:lineRule="exact"/>
        <w:rPr>
          <w:sz w:val="20"/>
          <w:szCs w:val="20"/>
          <w:color w:val="auto"/>
        </w:rPr>
      </w:pPr>
    </w:p>
    <w:p>
      <w:pPr>
        <w:ind w:right="40" w:firstLine="419"/>
        <w:spacing w:after="0" w:line="241" w:lineRule="auto"/>
        <w:rPr>
          <w:sz w:val="20"/>
          <w:szCs w:val="20"/>
          <w:color w:val="auto"/>
        </w:rPr>
      </w:pPr>
      <w:r>
        <w:rPr>
          <w:rFonts w:ascii="Arial" w:cs="Arial" w:eastAsia="Arial" w:hAnsi="Arial"/>
          <w:sz w:val="18"/>
          <w:szCs w:val="18"/>
          <w:color w:val="231F20"/>
        </w:rPr>
        <w:t>Basic and diluted net loss per share attributable to common stockholders is computed by dividing the net loss attributable to common stockholders by the weighted-average number of common shares outstanding for the period without consideration of potentially dilutive securities. The Company’s potentially dilutive shares, which consist of outstanding common stock options, restricted stock awards, common stock warrants, redeemable convertible preferred stock and redeemable convertible preferred stock warrants were excluded in the computation of diluted net loss per share for the period as the result would be anti-dilutive.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Emerging growth company and smaller reporting company</w:t>
      </w:r>
    </w:p>
    <w:p>
      <w:pPr>
        <w:spacing w:after="0" w:line="104" w:lineRule="exact"/>
        <w:rPr>
          <w:sz w:val="20"/>
          <w:szCs w:val="20"/>
          <w:color w:val="auto"/>
        </w:rPr>
      </w:pPr>
    </w:p>
    <w:p>
      <w:pPr>
        <w:ind w:right="120" w:firstLine="419"/>
        <w:spacing w:after="0" w:line="276" w:lineRule="auto"/>
        <w:rPr>
          <w:sz w:val="20"/>
          <w:szCs w:val="20"/>
          <w:color w:val="auto"/>
        </w:rPr>
      </w:pPr>
      <w:r>
        <w:rPr>
          <w:rFonts w:ascii="Arial" w:cs="Arial" w:eastAsia="Arial" w:hAnsi="Arial"/>
          <w:sz w:val="16"/>
          <w:szCs w:val="16"/>
          <w:color w:val="231F20"/>
        </w:rPr>
        <w:t>The Company is an “emerging growth company” as defined in the Jumpstart Our Business Startups Act of 2012, as well as a "smaller reporting company, as defined by the Securities and Exchange Commission per Rule 12b-2 of the Exchange Act.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themselves of this exemption and, therefore, will not be subject to the timeline for adopting new or revised accounting standards for public business entities that are not emerging growth companies, and will follow the transition guidance applicable to private companies.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04" w:lineRule="exact"/>
        <w:rPr>
          <w:sz w:val="20"/>
          <w:szCs w:val="20"/>
          <w:color w:val="auto"/>
        </w:rPr>
      </w:pPr>
    </w:p>
    <w:p>
      <w:pPr>
        <w:ind w:right="100" w:firstLine="419"/>
        <w:spacing w:after="0" w:line="241"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amends the impairment model by requiring entities to use a forward-looking approach based on expected losses to estimate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certain types of financial instruments, including trade receivables and available-for-sale debt securities. The guidance is effective for the Company beginning in the first quarter of 2023. The Company is evaluating the impact of adopting this guidance and does not expect to have a material impact on the Company’s financial statements and related disclosures.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53340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121" w:name="page122"/>
    <w:bookmarkEnd w:id="121"/>
    <w:p>
      <w:pPr>
        <w:ind w:left="120" w:right="80" w:firstLine="419"/>
        <w:spacing w:after="0"/>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that simplifies the accounting for income taxes by eliminating certain exceptions related to the approach for intra-period tax allocation and modified the methodology for calculating income taxes in an interim period. It also clarifies and simplifies other aspects of the accounting for income taxes. The guidance is effective for the Company for fiscal years beginning after December 15, 2021, and interim periods within fiscal years beginning after December 15, 2022 with early adoption permitted. The Company is evaluating the effect of this new guidance and does not expect it to have material impact on the Company’s financial statements.</w:t>
      </w:r>
    </w:p>
    <w:p>
      <w:pPr>
        <w:spacing w:after="0" w:line="189" w:lineRule="exact"/>
        <w:rPr>
          <w:sz w:val="20"/>
          <w:szCs w:val="20"/>
          <w:color w:val="auto"/>
        </w:rPr>
      </w:pPr>
    </w:p>
    <w:p>
      <w:pPr>
        <w:ind w:left="120" w:right="180" w:firstLine="419"/>
        <w:spacing w:after="0" w:line="274"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The new guidance provides optional expedients and exceptions for applying generally accepted accounting principles to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modifications and hedging relationships, subject to meeting certain criteria, that reference LIBOR or another reference rate expected to be discontinued. The guidance also establishes (1) a general contract modification principle that entities can apply in other areas that may be affected by reference rate reform and (2) certain elective hedge accounting expedients. The amendment is effective for all entities through December 31, 2022. LIBOR is used to calculate the interest on borrowings under the Company’s term loan and revolving line of credit with MidCap Financial Services. The Company is evaluating the effect of this new guidance and does not expect it to have material impact on the Company’s financial statements.</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Fair Value Measurements</w:t>
      </w:r>
    </w:p>
    <w:p>
      <w:pPr>
        <w:spacing w:after="0" w:line="108" w:lineRule="exact"/>
        <w:rPr>
          <w:sz w:val="20"/>
          <w:szCs w:val="20"/>
          <w:color w:val="auto"/>
        </w:rPr>
      </w:pPr>
    </w:p>
    <w:p>
      <w:pPr>
        <w:ind w:left="120" w:right="200" w:firstLine="419"/>
        <w:spacing w:after="0"/>
        <w:rPr>
          <w:sz w:val="20"/>
          <w:szCs w:val="20"/>
          <w:color w:val="auto"/>
        </w:rPr>
      </w:pPr>
      <w:r>
        <w:rPr>
          <w:rFonts w:ascii="Arial" w:cs="Arial" w:eastAsia="Arial" w:hAnsi="Arial"/>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89" w:lineRule="exact"/>
        <w:rPr>
          <w:sz w:val="20"/>
          <w:szCs w:val="20"/>
          <w:color w:val="auto"/>
        </w:rPr>
      </w:pPr>
    </w:p>
    <w:p>
      <w:pPr>
        <w:ind w:left="120" w:right="240" w:firstLine="419"/>
        <w:spacing w:after="0" w:line="261" w:lineRule="auto"/>
        <w:rPr>
          <w:sz w:val="20"/>
          <w:szCs w:val="20"/>
          <w:color w:val="auto"/>
        </w:rPr>
      </w:pPr>
      <w:r>
        <w:rPr>
          <w:rFonts w:ascii="Arial" w:cs="Arial" w:eastAsia="Arial" w:hAnsi="Arial"/>
          <w:sz w:val="18"/>
          <w:szCs w:val="18"/>
          <w:color w:val="auto"/>
        </w:rPr>
        <w:t>Level 1—Inputs are quoted prices (unadjusted) in active markets for identical assets or liabilities that the Company has the ability to access at the measurement date.</w:t>
      </w:r>
    </w:p>
    <w:p>
      <w:pPr>
        <w:spacing w:after="0" w:line="171" w:lineRule="exact"/>
        <w:rPr>
          <w:sz w:val="20"/>
          <w:szCs w:val="20"/>
          <w:color w:val="auto"/>
        </w:rPr>
      </w:pPr>
    </w:p>
    <w:p>
      <w:pPr>
        <w:ind w:left="120" w:right="120" w:firstLine="419"/>
        <w:spacing w:after="0" w:line="248" w:lineRule="auto"/>
        <w:rPr>
          <w:sz w:val="20"/>
          <w:szCs w:val="20"/>
          <w:color w:val="auto"/>
        </w:rPr>
      </w:pPr>
      <w:r>
        <w:rPr>
          <w:rFonts w:ascii="Arial" w:cs="Arial" w:eastAsia="Arial" w:hAnsi="Arial"/>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82" w:lineRule="exact"/>
        <w:rPr>
          <w:sz w:val="20"/>
          <w:szCs w:val="20"/>
          <w:color w:val="auto"/>
        </w:rPr>
      </w:pPr>
    </w:p>
    <w:p>
      <w:pPr>
        <w:ind w:left="120" w:right="160" w:firstLine="419"/>
        <w:spacing w:after="0" w:line="261" w:lineRule="auto"/>
        <w:rPr>
          <w:sz w:val="20"/>
          <w:szCs w:val="20"/>
          <w:color w:val="auto"/>
        </w:rPr>
      </w:pPr>
      <w:r>
        <w:rPr>
          <w:rFonts w:ascii="Arial" w:cs="Arial" w:eastAsia="Arial" w:hAnsi="Arial"/>
          <w:sz w:val="18"/>
          <w:szCs w:val="18"/>
          <w:color w:val="auto"/>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spacing w:after="0" w:line="171" w:lineRule="exact"/>
        <w:rPr>
          <w:sz w:val="20"/>
          <w:szCs w:val="20"/>
          <w:color w:val="auto"/>
        </w:rPr>
      </w:pPr>
    </w:p>
    <w:p>
      <w:pPr>
        <w:ind w:left="120" w:right="760" w:firstLine="419"/>
        <w:spacing w:after="0" w:line="261" w:lineRule="auto"/>
        <w:rPr>
          <w:sz w:val="20"/>
          <w:szCs w:val="20"/>
          <w:color w:val="auto"/>
        </w:rPr>
      </w:pPr>
      <w:r>
        <w:rPr>
          <w:rFonts w:ascii="Arial" w:cs="Arial" w:eastAsia="Arial" w:hAnsi="Arial"/>
          <w:sz w:val="18"/>
          <w:szCs w:val="18"/>
          <w:color w:val="auto"/>
        </w:rPr>
        <w:t>The financial statements as of December 31, 2021 and 2020, do not include any nonrecurring fair value measurements relating to assets or liabilities.</w:t>
      </w:r>
    </w:p>
    <w:p>
      <w:pPr>
        <w:spacing w:after="0" w:line="171" w:lineRule="exact"/>
        <w:rPr>
          <w:sz w:val="20"/>
          <w:szCs w:val="20"/>
          <w:color w:val="auto"/>
        </w:rPr>
      </w:pPr>
    </w:p>
    <w:p>
      <w:pPr>
        <w:ind w:left="120" w:right="180" w:firstLine="419"/>
        <w:spacing w:after="0" w:line="261" w:lineRule="auto"/>
        <w:rPr>
          <w:sz w:val="20"/>
          <w:szCs w:val="20"/>
          <w:color w:val="auto"/>
        </w:rPr>
      </w:pPr>
      <w:r>
        <w:rPr>
          <w:rFonts w:ascii="Arial" w:cs="Arial" w:eastAsia="Arial" w:hAnsi="Arial"/>
          <w:sz w:val="18"/>
          <w:szCs w:val="18"/>
          <w:color w:val="auto"/>
        </w:rPr>
        <w:t>As of December 31, 2021, there were no liabilities that are measured at fair value on a recurring basis. The following table sets forth the fair value measurements of financial liabilities as of December 31, 2020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As of December 31, 2020</w:t>
            </w: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96"/>
        </w:trPr>
        <w:tc>
          <w:tcPr>
            <w:tcW w:w="4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Liabilities:</w:t>
            </w: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w w:val="95"/>
              </w:rPr>
              <w:t>Redeemable convertible preferred stock warrants liabilities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ind w:left="98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ind w:left="980"/>
              <w:spacing w:after="0" w:line="202" w:lineRule="exact"/>
              <w:rPr>
                <w:sz w:val="20"/>
                <w:szCs w:val="20"/>
                <w:color w:val="auto"/>
              </w:rPr>
            </w:pPr>
            <w:r>
              <w:rPr>
                <w:rFonts w:ascii="Arial" w:cs="Arial" w:eastAsia="Arial" w:hAnsi="Arial"/>
                <w:sz w:val="18"/>
                <w:szCs w:val="18"/>
                <w:color w:val="auto"/>
                <w:w w:val="88"/>
              </w:rPr>
              <w:t>—</w:t>
            </w:r>
          </w:p>
        </w:tc>
        <w:tc>
          <w:tcPr>
            <w:tcW w:w="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2,112</w:t>
            </w:r>
          </w:p>
        </w:tc>
        <w:tc>
          <w:tcPr>
            <w:tcW w:w="5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2,112</w:t>
            </w:r>
          </w:p>
        </w:tc>
        <w:tc>
          <w:tcPr>
            <w:tcW w:w="60" w:type="dxa"/>
            <w:vAlign w:val="bottom"/>
          </w:tcPr>
          <w:p>
            <w:pPr>
              <w:spacing w:after="0"/>
              <w:rPr>
                <w:sz w:val="17"/>
                <w:szCs w:val="17"/>
                <w:color w:val="auto"/>
              </w:rPr>
            </w:pPr>
          </w:p>
        </w:tc>
      </w:tr>
      <w:tr>
        <w:trPr>
          <w:trHeight w:val="236"/>
        </w:trPr>
        <w:tc>
          <w:tcPr>
            <w:tcW w:w="45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liabilities measured at fair value</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ind w:left="98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ind w:left="98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2,112</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431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431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431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43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ind w:left="120" w:right="200" w:firstLine="419"/>
        <w:spacing w:after="0" w:line="243" w:lineRule="auto"/>
        <w:rPr>
          <w:sz w:val="20"/>
          <w:szCs w:val="20"/>
          <w:color w:val="auto"/>
        </w:rPr>
      </w:pPr>
      <w:r>
        <w:rPr>
          <w:rFonts w:ascii="Arial" w:cs="Arial" w:eastAsia="Arial" w:hAnsi="Arial"/>
          <w:sz w:val="18"/>
          <w:szCs w:val="18"/>
          <w:color w:val="auto"/>
        </w:rPr>
        <w:t>The Company measures the redeemable convertible preferred stock warrants using Level 3 unobservable inputs within the Black-Scholes option-pricing model. The key assumptions include the fair value of redeemable convertible preferred stock, volatility, the risk-free interest rate, expected term (remaining contractual term of the warrants) and dividend yield. The Company has limited historical volatility information available, and the expected volatility was based on actual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2" w:name="page123"/>
    <w:bookmarkEnd w:id="122"/>
    <w:p>
      <w:pPr>
        <w:ind w:left="120" w:right="320"/>
        <w:spacing w:after="0" w:line="270" w:lineRule="auto"/>
        <w:rPr>
          <w:sz w:val="20"/>
          <w:szCs w:val="20"/>
          <w:color w:val="auto"/>
        </w:rPr>
      </w:pPr>
      <w:r>
        <w:rPr>
          <w:rFonts w:ascii="Arial" w:cs="Arial" w:eastAsia="Arial" w:hAnsi="Arial"/>
          <w:sz w:val="17"/>
          <w:szCs w:val="17"/>
          <w:color w:val="auto"/>
        </w:rPr>
        <w:t>volatility for comparable public companies projected over the expected terms of the warrants. The Company did not apply a forfeiture rate to the warrants as there is not enough historical information available to estimate such a rate. The risk-free interest rate was based on the U.S. Treasury yield curve at the time of the grant over the expected term of the warrants. Refer to Note 9 for the assumptions used.</w:t>
      </w:r>
    </w:p>
    <w:p>
      <w:pPr>
        <w:spacing w:after="0" w:line="164" w:lineRule="exact"/>
        <w:rPr>
          <w:sz w:val="20"/>
          <w:szCs w:val="20"/>
          <w:color w:val="auto"/>
        </w:rPr>
      </w:pPr>
    </w:p>
    <w:p>
      <w:pPr>
        <w:ind w:left="120" w:right="300" w:firstLine="419"/>
        <w:spacing w:after="0" w:line="248" w:lineRule="auto"/>
        <w:rPr>
          <w:sz w:val="20"/>
          <w:szCs w:val="20"/>
          <w:color w:val="auto"/>
        </w:rPr>
      </w:pPr>
      <w:r>
        <w:rPr>
          <w:rFonts w:ascii="Arial" w:cs="Arial" w:eastAsia="Arial" w:hAnsi="Arial"/>
          <w:sz w:val="18"/>
          <w:szCs w:val="18"/>
          <w:color w:val="auto"/>
        </w:rPr>
        <w:t>The Company measures the fair value of outstanding debt for disclosure purposes on a recurring basis. As of December 31, 2021 and 2020, total debt of $32.7 million and $32.0 million is reported at amortized cost, respectively. This outstanding debt is classified as Level 2 as it is not actively traded. The amortized cost of the outstanding debt approximates the fair value.</w:t>
      </w:r>
    </w:p>
    <w:p>
      <w:pPr>
        <w:spacing w:after="0" w:line="182" w:lineRule="exact"/>
        <w:rPr>
          <w:sz w:val="20"/>
          <w:szCs w:val="20"/>
          <w:color w:val="auto"/>
        </w:rPr>
      </w:pPr>
    </w:p>
    <w:p>
      <w:pPr>
        <w:ind w:left="120" w:right="340" w:firstLine="419"/>
        <w:spacing w:after="0" w:line="324" w:lineRule="auto"/>
        <w:rPr>
          <w:sz w:val="20"/>
          <w:szCs w:val="20"/>
          <w:color w:val="auto"/>
        </w:rPr>
      </w:pPr>
      <w:r>
        <w:rPr>
          <w:rFonts w:ascii="Arial" w:cs="Arial" w:eastAsia="Arial" w:hAnsi="Arial"/>
          <w:sz w:val="16"/>
          <w:szCs w:val="16"/>
          <w:color w:val="auto"/>
        </w:rPr>
        <w:t>The Company determines the fair value of the redeemable convertible preferred stock warrants quarterly, with subsequent gains and losses from remeasurement of Level 3 financial liabilities recorded through other expense, net in condensed statements of operations and comprehensive loss.</w:t>
      </w:r>
    </w:p>
    <w:p>
      <w:pPr>
        <w:spacing w:after="0" w:line="124" w:lineRule="exact"/>
        <w:rPr>
          <w:sz w:val="20"/>
          <w:szCs w:val="20"/>
          <w:color w:val="auto"/>
        </w:rPr>
      </w:pPr>
    </w:p>
    <w:p>
      <w:pPr>
        <w:ind w:left="120" w:right="140" w:firstLine="419"/>
        <w:spacing w:after="0" w:line="261" w:lineRule="auto"/>
        <w:rPr>
          <w:sz w:val="20"/>
          <w:szCs w:val="20"/>
          <w:color w:val="auto"/>
        </w:rPr>
      </w:pPr>
      <w:r>
        <w:rPr>
          <w:rFonts w:ascii="Arial" w:cs="Arial" w:eastAsia="Arial" w:hAnsi="Arial"/>
          <w:sz w:val="18"/>
          <w:szCs w:val="18"/>
          <w:color w:val="auto"/>
        </w:rPr>
        <w:t>A summary of the changes in the fair value of the Company’s Level 3 financial instruments for the years ended December 31, 2021 and 2020,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Redeemable convertible</w:t>
            </w:r>
          </w:p>
        </w:tc>
      </w:tr>
      <w:tr>
        <w:trPr>
          <w:trHeight w:val="148"/>
        </w:trPr>
        <w:tc>
          <w:tcPr>
            <w:tcW w:w="9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preferred stock warrants</w:t>
            </w:r>
          </w:p>
        </w:tc>
      </w:tr>
      <w:tr>
        <w:trPr>
          <w:trHeight w:val="185"/>
        </w:trPr>
        <w:tc>
          <w:tcPr>
            <w:tcW w:w="9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liabilities</w:t>
            </w: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 December 31, 2019</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236</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Issuance of redeemable convertible preferred stock warrants</w:t>
            </w:r>
          </w:p>
        </w:tc>
        <w:tc>
          <w:tcPr>
            <w:tcW w:w="140" w:type="dxa"/>
            <w:vAlign w:val="bottom"/>
          </w:tcPr>
          <w:p>
            <w:pPr>
              <w:spacing w:after="0"/>
              <w:rPr>
                <w:sz w:val="17"/>
                <w:szCs w:val="17"/>
                <w:color w:val="auto"/>
              </w:rPr>
            </w:pP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1,812</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fair value</w:t>
            </w:r>
          </w:p>
        </w:tc>
        <w:tc>
          <w:tcPr>
            <w:tcW w:w="14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Expiration of redeemable convertible preferred stock warrants</w:t>
            </w:r>
          </w:p>
        </w:tc>
        <w:tc>
          <w:tcPr>
            <w:tcW w:w="140" w:type="dxa"/>
            <w:vAlign w:val="bottom"/>
          </w:tcPr>
          <w:p>
            <w:pPr>
              <w:spacing w:after="0"/>
              <w:rPr>
                <w:sz w:val="17"/>
                <w:szCs w:val="17"/>
                <w:color w:val="auto"/>
              </w:rPr>
            </w:pPr>
          </w:p>
        </w:tc>
        <w:tc>
          <w:tcPr>
            <w:tcW w:w="1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(72 )</w:t>
            </w: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 December 31, 2020</w:t>
            </w:r>
          </w:p>
        </w:tc>
        <w:tc>
          <w:tcPr>
            <w:tcW w:w="140" w:type="dxa"/>
            <w:vAlign w:val="bottom"/>
            <w:tcBorders>
              <w:top w:val="single" w:sz="8" w:color="auto"/>
            </w:tcBorders>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2,112</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Change in fair value</w:t>
            </w:r>
          </w:p>
        </w:tc>
        <w:tc>
          <w:tcPr>
            <w:tcW w:w="140" w:type="dxa"/>
            <w:vAlign w:val="bottom"/>
          </w:tcPr>
          <w:p>
            <w:pPr>
              <w:spacing w:after="0"/>
              <w:rPr>
                <w:sz w:val="17"/>
                <w:szCs w:val="17"/>
                <w:color w:val="auto"/>
              </w:rPr>
            </w:pP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6,861</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Conversion of preferred stock warrants to common stock warrants upon the closing of the IPO</w:t>
            </w:r>
          </w:p>
        </w:tc>
        <w:tc>
          <w:tcPr>
            <w:tcW w:w="14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(8,973 )</w:t>
            </w:r>
          </w:p>
        </w:tc>
      </w:tr>
      <w:tr>
        <w:trPr>
          <w:trHeight w:val="196"/>
        </w:trPr>
        <w:tc>
          <w:tcPr>
            <w:tcW w:w="92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Balance – December 31, 2021</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Balance Sheet Components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Tools and equipment</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1,685</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1,523</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in process</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590</w:t>
            </w:r>
          </w:p>
        </w:tc>
        <w:tc>
          <w:tcPr>
            <w:tcW w:w="2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2,658</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2,012</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(1,204 )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(743 )</w:t>
            </w:r>
          </w:p>
        </w:tc>
      </w:tr>
      <w:tr>
        <w:trPr>
          <w:trHeight w:val="196"/>
        </w:trPr>
        <w:tc>
          <w:tcPr>
            <w:tcW w:w="76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Property and equipment, net</w:t>
            </w: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1,454</w:t>
            </w:r>
          </w:p>
        </w:tc>
        <w:tc>
          <w:tcPr>
            <w:tcW w:w="280" w:type="dxa"/>
            <w:vAlign w:val="bottom"/>
            <w:tcBorders>
              <w:top w:val="single" w:sz="8" w:color="CFF0FC"/>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1,269</w:t>
            </w:r>
          </w:p>
        </w:tc>
        <w:tc>
          <w:tcPr>
            <w:tcW w:w="100" w:type="dxa"/>
            <w:vAlign w:val="bottom"/>
            <w:tcBorders>
              <w:top w:val="single" w:sz="8" w:color="CFF0FC"/>
            </w:tcBorders>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-424815</wp:posOffset>
            </wp:positionV>
            <wp:extent cx="685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-424815</wp:posOffset>
            </wp:positionV>
            <wp:extent cx="5969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85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Depreciation expense was $0.6 million and $0.6 million for the years ended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3" w:name="page124"/>
    <w:bookmarkEnd w:id="123"/>
    <w:p>
      <w:pPr>
        <w:ind w:left="120"/>
        <w:spacing w:after="0"/>
        <w:rPr>
          <w:sz w:val="20"/>
          <w:szCs w:val="20"/>
          <w:color w:val="auto"/>
        </w:rPr>
      </w:pPr>
      <w:r>
        <w:rPr>
          <w:rFonts w:ascii="Arial" w:cs="Arial" w:eastAsia="Arial" w:hAnsi="Arial"/>
          <w:sz w:val="18"/>
          <w:szCs w:val="18"/>
          <w:b w:val="1"/>
          <w:bCs w:val="1"/>
          <w:i w:val="1"/>
          <w:iCs w:val="1"/>
          <w:color w:val="231F20"/>
        </w:rPr>
        <w:t>Accrued and Other Current Liabilities</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6"/>
              </w:rPr>
              <w:t>As of December 31,</w:t>
            </w: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expenses</w:t>
            </w:r>
          </w:p>
        </w:tc>
        <w:tc>
          <w:tcPr>
            <w:tcW w:w="1060" w:type="dxa"/>
            <w:vAlign w:val="bottom"/>
            <w:shd w:val="clear" w:color="auto" w:fill="CFF0FC"/>
          </w:tcPr>
          <w:p>
            <w:pPr>
              <w:jc w:val="right"/>
              <w:ind w:right="87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2,726</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1,971</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portion of lease liabilities</w:t>
            </w:r>
          </w:p>
        </w:tc>
        <w:tc>
          <w:tcPr>
            <w:tcW w:w="10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510</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 term interest payable</w:t>
            </w:r>
          </w:p>
        </w:tc>
        <w:tc>
          <w:tcPr>
            <w:tcW w:w="10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275</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accrued liabilities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655</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446</w:t>
            </w:r>
          </w:p>
        </w:tc>
        <w:tc>
          <w:tcPr>
            <w:tcW w:w="6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accrued and other current liabilities</w:t>
            </w:r>
          </w:p>
        </w:tc>
        <w:tc>
          <w:tcPr>
            <w:tcW w:w="1060" w:type="dxa"/>
            <w:vAlign w:val="bottom"/>
            <w:tcBorders>
              <w:bottom w:val="single" w:sz="8" w:color="auto"/>
            </w:tcBorders>
            <w:shd w:val="clear" w:color="auto" w:fill="CFF0FC"/>
          </w:tcPr>
          <w:p>
            <w:pPr>
              <w:jc w:val="right"/>
              <w:ind w:right="87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4,166</w:t>
            </w:r>
          </w:p>
        </w:tc>
        <w:tc>
          <w:tcPr>
            <w:tcW w:w="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3,086</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99"/>
        </w:trPr>
        <w:tc>
          <w:tcPr>
            <w:tcW w:w="7680" w:type="dxa"/>
            <w:vAlign w:val="bottom"/>
          </w:tcPr>
          <w:p>
            <w:pPr>
              <w:ind w:left="120"/>
              <w:spacing w:after="0"/>
              <w:rPr>
                <w:sz w:val="20"/>
                <w:szCs w:val="20"/>
                <w:color w:val="auto"/>
              </w:rPr>
            </w:pPr>
            <w:r>
              <w:rPr>
                <w:rFonts w:ascii="Arial" w:cs="Arial" w:eastAsia="Arial" w:hAnsi="Arial"/>
                <w:sz w:val="18"/>
                <w:szCs w:val="18"/>
                <w:b w:val="1"/>
                <w:bCs w:val="1"/>
                <w:i w:val="1"/>
                <w:iCs w:val="1"/>
                <w:color w:val="231F20"/>
              </w:rPr>
              <w:t>Other Noncurrent Liabilities</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7680" w:type="dxa"/>
            <w:vAlign w:val="bottom"/>
          </w:tcPr>
          <w:p>
            <w:pPr>
              <w:ind w:left="540"/>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76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6"/>
              </w:rPr>
              <w:t>As of December 31,</w:t>
            </w:r>
          </w:p>
        </w:tc>
        <w:tc>
          <w:tcPr>
            <w:tcW w:w="10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7680" w:type="dxa"/>
            <w:vAlign w:val="bottom"/>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Redeemable preferred stock warrants liabilities</w:t>
            </w:r>
          </w:p>
        </w:tc>
        <w:tc>
          <w:tcPr>
            <w:tcW w:w="1060" w:type="dxa"/>
            <w:vAlign w:val="bottom"/>
            <w:shd w:val="clear" w:color="auto" w:fill="CFF0FC"/>
          </w:tcPr>
          <w:p>
            <w:pPr>
              <w:jc w:val="right"/>
              <w:ind w:right="87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2,112</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Long term interest payable</w:t>
            </w:r>
          </w:p>
        </w:tc>
        <w:tc>
          <w:tcPr>
            <w:tcW w:w="10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841</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465</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Noncurrent portion of lease liabilities</w:t>
            </w:r>
          </w:p>
        </w:tc>
        <w:tc>
          <w:tcPr>
            <w:tcW w:w="10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1,040</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344</w:t>
            </w:r>
          </w:p>
        </w:tc>
        <w:tc>
          <w:tcPr>
            <w:tcW w:w="6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other noncurrent liabilities</w:t>
            </w:r>
          </w:p>
        </w:tc>
        <w:tc>
          <w:tcPr>
            <w:tcW w:w="1060" w:type="dxa"/>
            <w:vAlign w:val="bottom"/>
            <w:tcBorders>
              <w:bottom w:val="single" w:sz="8" w:color="auto"/>
            </w:tcBorders>
            <w:shd w:val="clear" w:color="auto" w:fill="CFF0FC"/>
          </w:tcPr>
          <w:p>
            <w:pPr>
              <w:jc w:val="right"/>
              <w:ind w:right="87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1,919</w:t>
            </w:r>
          </w:p>
        </w:tc>
        <w:tc>
          <w:tcPr>
            <w:tcW w:w="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3,055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-1534160</wp:posOffset>
            </wp:positionV>
            <wp:extent cx="431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-1516380</wp:posOffset>
            </wp:positionV>
            <wp:extent cx="431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-1534160</wp:posOffset>
            </wp:positionV>
            <wp:extent cx="431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-1516380</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431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431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Debt</w:t>
      </w:r>
    </w:p>
    <w:p>
      <w:pPr>
        <w:spacing w:after="0" w:line="108" w:lineRule="exact"/>
        <w:rPr>
          <w:sz w:val="20"/>
          <w:szCs w:val="20"/>
          <w:color w:val="auto"/>
        </w:rPr>
      </w:pPr>
    </w:p>
    <w:p>
      <w:pPr>
        <w:ind w:left="120" w:right="80" w:firstLine="419"/>
        <w:spacing w:after="0" w:line="257" w:lineRule="auto"/>
        <w:rPr>
          <w:sz w:val="20"/>
          <w:szCs w:val="20"/>
          <w:color w:val="auto"/>
        </w:rPr>
      </w:pPr>
      <w:r>
        <w:rPr>
          <w:rFonts w:ascii="Arial" w:cs="Arial" w:eastAsia="Arial" w:hAnsi="Arial"/>
          <w:sz w:val="17"/>
          <w:szCs w:val="17"/>
          <w:color w:val="auto"/>
        </w:rPr>
        <w:t>In January 2019, the Company entered into credit and security agreements with MidCap Financial Services, or the Lender, which provided a maximum of $25.0 million credit facility consisting of a $20.0 million senior secured term loan (the "2019 Term Loan") and a $5.0 million 2019 revolving loan (the "2019 Revolver" and collectively with the 2019 Term Loan, the “2019 MidCap Credit Facility”). In November 2020, the Company entered into amended and restated credit and security agreements with the same institution, which replaced the 2019 MidCap Credit Facility, and provided for a maximum of $40.0 million credit facility consisting of a $35.0 million senior secured term loan (the "2020 Term Loan") and a $5.0 million revolving loan (the "2020 Revolver and collectively with the 2020 Term Loan, the “2020 MidCap Credit Facility”).</w:t>
      </w:r>
    </w:p>
    <w:p>
      <w:pPr>
        <w:spacing w:after="0" w:line="175" w:lineRule="exact"/>
        <w:rPr>
          <w:sz w:val="20"/>
          <w:szCs w:val="20"/>
          <w:color w:val="auto"/>
        </w:rPr>
      </w:pPr>
    </w:p>
    <w:p>
      <w:pPr>
        <w:ind w:left="120" w:right="100" w:firstLine="419"/>
        <w:spacing w:after="0" w:line="274" w:lineRule="auto"/>
        <w:rPr>
          <w:sz w:val="20"/>
          <w:szCs w:val="20"/>
          <w:color w:val="auto"/>
        </w:rPr>
      </w:pPr>
      <w:r>
        <w:rPr>
          <w:rFonts w:ascii="Arial" w:cs="Arial" w:eastAsia="Arial" w:hAnsi="Arial"/>
          <w:sz w:val="16"/>
          <w:szCs w:val="16"/>
          <w:color w:val="231F20"/>
        </w:rPr>
        <w:t>The obligations under the MidCap Loan Agreements are guaranteed by the Company's current and future subsidiaries, subject to exceptions for certain foreign subsidiaries. Obligations under the agreements are secured by substantially all assets of the Company, including material intellectual property. Additionally, the Company is subject to customary affirmative and negative covenants as defined in the credit agreement, including covenants that limit or restrict the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agreements also have financial covenants that relate to minimum trailing revenue targets, which began in November 2020, and are tested on a monthly basis. As of December 31, 2021, the Company was in compliance with all financial and non-financial covenants.</w:t>
      </w:r>
    </w:p>
    <w:p>
      <w:pPr>
        <w:spacing w:after="0" w:line="163" w:lineRule="exact"/>
        <w:rPr>
          <w:sz w:val="20"/>
          <w:szCs w:val="20"/>
          <w:color w:val="auto"/>
        </w:rPr>
      </w:pPr>
    </w:p>
    <w:p>
      <w:pPr>
        <w:ind w:left="120" w:right="480" w:firstLine="419"/>
        <w:spacing w:after="0" w:line="261" w:lineRule="auto"/>
        <w:rPr>
          <w:sz w:val="20"/>
          <w:szCs w:val="20"/>
          <w:color w:val="auto"/>
        </w:rPr>
      </w:pPr>
      <w:r>
        <w:rPr>
          <w:rFonts w:ascii="Arial" w:cs="Arial" w:eastAsia="Arial" w:hAnsi="Arial"/>
          <w:sz w:val="18"/>
          <w:szCs w:val="18"/>
          <w:color w:val="231F20"/>
        </w:rPr>
        <w:t>The MidCap Loan Agreements each contain events of default that include, among others, non-payment of principal, interest or fees, breach of covenants, inaccuracy of representations and warranties, cross-defaults and bankruptcy and insolvency events.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Term Loan</w:t>
      </w:r>
    </w:p>
    <w:p>
      <w:pPr>
        <w:spacing w:after="0" w:line="104" w:lineRule="exact"/>
        <w:rPr>
          <w:sz w:val="20"/>
          <w:szCs w:val="20"/>
          <w:color w:val="auto"/>
        </w:rPr>
      </w:pPr>
    </w:p>
    <w:p>
      <w:pPr>
        <w:ind w:left="120" w:right="160" w:firstLine="419"/>
        <w:spacing w:after="0" w:line="279" w:lineRule="auto"/>
        <w:rPr>
          <w:sz w:val="20"/>
          <w:szCs w:val="20"/>
          <w:color w:val="auto"/>
        </w:rPr>
      </w:pPr>
      <w:r>
        <w:rPr>
          <w:rFonts w:ascii="Arial" w:cs="Arial" w:eastAsia="Arial" w:hAnsi="Arial"/>
          <w:sz w:val="16"/>
          <w:szCs w:val="16"/>
          <w:color w:val="auto"/>
        </w:rPr>
        <w:t>The 2020 Term Loan has a five-year term and has a stated floating interest rate which equates to reserve- adjusted LIBOR + 7.00%. The effective interest rate at December 31, 2021 was 12.94%. The 2020 Term Loan is split into three tranches as follows: (i) the Tranche One Loans provide for $12.0 million in term loans which are deemed to have been converted from Tranche One Loans that were drawn and outstanding under the 2019 Term Loan immediately prior to entering into 2020 MidCap Credit Facility, (ii) the Tranche Two Loans provided for up to $2.0 million in term loans which are deemed to have been converted from Tranche Two Loans that were drawn and outstanding under the 2019 Term Loan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4" w:name="page125"/>
    <w:bookmarkEnd w:id="124"/>
    <w:p>
      <w:pPr>
        <w:ind w:left="120"/>
        <w:spacing w:after="0"/>
        <w:rPr>
          <w:sz w:val="20"/>
          <w:szCs w:val="20"/>
          <w:color w:val="auto"/>
        </w:rPr>
      </w:pPr>
      <w:r>
        <w:rPr>
          <w:rFonts w:ascii="Arial" w:cs="Arial" w:eastAsia="Arial" w:hAnsi="Arial"/>
          <w:sz w:val="17"/>
          <w:szCs w:val="17"/>
          <w:color w:val="auto"/>
        </w:rPr>
        <w:t>immediately prior to entering into 2020 MidCap Credit Facility, and (iii) the Tranche Three Loans provided for up to $21.0 million in new term loans.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borrowed $21.0 million under the Tranche Three Loans in November 2020.</w:t>
      </w:r>
    </w:p>
    <w:p>
      <w:pPr>
        <w:spacing w:after="0" w:line="196" w:lineRule="exact"/>
        <w:rPr>
          <w:sz w:val="20"/>
          <w:szCs w:val="20"/>
          <w:color w:val="auto"/>
        </w:rPr>
      </w:pPr>
    </w:p>
    <w:p>
      <w:pPr>
        <w:ind w:left="120" w:right="180" w:firstLine="419"/>
        <w:spacing w:after="0" w:line="243" w:lineRule="auto"/>
        <w:rPr>
          <w:sz w:val="20"/>
          <w:szCs w:val="20"/>
          <w:color w:val="auto"/>
        </w:rPr>
      </w:pPr>
      <w:r>
        <w:rPr>
          <w:rFonts w:ascii="Arial" w:cs="Arial" w:eastAsia="Arial" w:hAnsi="Arial"/>
          <w:sz w:val="18"/>
          <w:szCs w:val="18"/>
          <w:color w:val="auto"/>
        </w:rPr>
        <w:t>The 2020 Term Loan requires monthly interest-only payments, which began in December 2020. Principal payments are scheduled to begin in December 2022, however, the interest-only period can be extended by an additional 24 months provided that the Company is in compliance with certain financial covenants and other terms as defined in the MidCap Loan Agreements. The Company currently has the ability to and intends to extend the interest-only period through December 2023.</w:t>
      </w:r>
    </w:p>
    <w:p>
      <w:pPr>
        <w:spacing w:after="0" w:line="188" w:lineRule="exact"/>
        <w:rPr>
          <w:sz w:val="20"/>
          <w:szCs w:val="20"/>
          <w:color w:val="auto"/>
        </w:rPr>
      </w:pPr>
    </w:p>
    <w:p>
      <w:pPr>
        <w:ind w:left="120" w:right="60" w:firstLine="419"/>
        <w:spacing w:after="0"/>
        <w:rPr>
          <w:sz w:val="20"/>
          <w:szCs w:val="20"/>
          <w:color w:val="auto"/>
        </w:rPr>
      </w:pPr>
      <w:r>
        <w:rPr>
          <w:rFonts w:ascii="Arial" w:cs="Arial" w:eastAsia="Arial" w:hAnsi="Arial"/>
          <w:sz w:val="18"/>
          <w:szCs w:val="18"/>
          <w:color w:val="auto"/>
        </w:rPr>
        <w:t>In conjunction with entry into the 2020 MidCap Credit Facility, the Company issued a 10-year warrant to the Lender to purchase 300,000 shares of the Company’s Series F redeemable convertible preferred stock (the “2020 Warrant”) at an exercise price of $21.88 per share (see Note 9). The estimated fair value at issuance of the 2020 Warrant of $1.8 million. The 2020 Warrant was recorded at the fair value as a debt discount and as a warrant liability. In addition, the Company incurred $0.5 million of issuance costs paid to the Lender in conjunction with the 2020 Term Loan which represents a debt discount. The Company concluded that the 2020 Term Loan represented a modification of the 2019 Term Loan and accounted for the 2020 Term Loan as debt modification.</w:t>
      </w:r>
    </w:p>
    <w:p>
      <w:pPr>
        <w:spacing w:after="0" w:line="189" w:lineRule="exact"/>
        <w:rPr>
          <w:sz w:val="20"/>
          <w:szCs w:val="20"/>
          <w:color w:val="auto"/>
        </w:rPr>
      </w:pPr>
    </w:p>
    <w:p>
      <w:pPr>
        <w:ind w:left="120" w:right="140" w:firstLine="419"/>
        <w:spacing w:after="0" w:line="284" w:lineRule="auto"/>
        <w:rPr>
          <w:sz w:val="20"/>
          <w:szCs w:val="20"/>
          <w:color w:val="auto"/>
        </w:rPr>
      </w:pPr>
      <w:r>
        <w:rPr>
          <w:rFonts w:ascii="Arial" w:cs="Arial" w:eastAsia="Arial" w:hAnsi="Arial"/>
          <w:sz w:val="16"/>
          <w:szCs w:val="16"/>
          <w:color w:val="auto"/>
        </w:rPr>
        <w:t>A final payment fee of 6% of the amounts borrowed is payable at the end of the term or when the borrowings are repaid in full. A long-term liability is being accreted using the effective interest method for the final payment fee over the term of the loan agreement. The borrowings are collateralized by a security interest in substantially all of the Company’s assets. The Company accrued $0.9 million and $0.5 million as of December 31, 2021 and 2020, respectively, related to accretion of final payment due at maturity per the agreement using the effective interest rate method.</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Revolver</w:t>
      </w:r>
    </w:p>
    <w:p>
      <w:pPr>
        <w:spacing w:after="0" w:line="104" w:lineRule="exact"/>
        <w:rPr>
          <w:sz w:val="20"/>
          <w:szCs w:val="20"/>
          <w:color w:val="auto"/>
        </w:rPr>
      </w:pPr>
    </w:p>
    <w:p>
      <w:pPr>
        <w:ind w:left="120" w:right="140" w:firstLine="419"/>
        <w:spacing w:after="0" w:line="262" w:lineRule="auto"/>
        <w:rPr>
          <w:sz w:val="20"/>
          <w:szCs w:val="20"/>
          <w:color w:val="auto"/>
        </w:rPr>
      </w:pPr>
      <w:r>
        <w:rPr>
          <w:rFonts w:ascii="Arial" w:cs="Arial" w:eastAsia="Arial" w:hAnsi="Arial"/>
          <w:sz w:val="17"/>
          <w:szCs w:val="17"/>
          <w:color w:val="auto"/>
        </w:rPr>
        <w:t>The 2020 Revolver has a four-year term and has a stated floating interest rate which equates to reserve- adjusted LIBOR plus 4.50%. An unused line fee of 0.5% is payable monthly based on the average unused balance and a collateral management fee of 0.5% is payable monthly based on the outstanding balance of the 2020 Revolver. The Company can request to increase the 2020 Revolver commitment amount to $15.0 million under the term of the agreement. As of December 31, 2021, $5.0 million was available to be drawn under the 2020 Revolver.</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Long-term and short-term debt as of December 31, 2021 and 2020 was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gridSpan w:val="4"/>
          </w:tcPr>
          <w:p>
            <w:pPr>
              <w:jc w:val="center"/>
              <w:ind w:left="775"/>
              <w:spacing w:after="0"/>
              <w:rPr>
                <w:sz w:val="20"/>
                <w:szCs w:val="20"/>
                <w:color w:val="auto"/>
              </w:rPr>
            </w:pPr>
            <w:r>
              <w:rPr>
                <w:rFonts w:ascii="Arial" w:cs="Arial" w:eastAsia="Arial" w:hAnsi="Arial"/>
                <w:sz w:val="14"/>
                <w:szCs w:val="14"/>
                <w:b w:val="1"/>
                <w:bCs w:val="1"/>
                <w:color w:val="auto"/>
                <w:w w:val="92"/>
              </w:rPr>
              <w:t>As of December 31,</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5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6"/>
        </w:trPr>
        <w:tc>
          <w:tcPr>
            <w:tcW w:w="5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2020 Term Loan</w:t>
            </w:r>
          </w:p>
        </w:tc>
        <w:tc>
          <w:tcPr>
            <w:tcW w:w="23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35,000</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00" w:type="dxa"/>
            <w:vAlign w:val="bottom"/>
          </w:tcPr>
          <w:p>
            <w:pPr>
              <w:ind w:left="20"/>
              <w:spacing w:after="0" w:line="196" w:lineRule="exact"/>
              <w:rPr>
                <w:sz w:val="20"/>
                <w:szCs w:val="20"/>
                <w:color w:val="auto"/>
              </w:rPr>
            </w:pPr>
            <w:r>
              <w:rPr>
                <w:rFonts w:ascii="Arial" w:cs="Arial" w:eastAsia="Arial" w:hAnsi="Arial"/>
                <w:sz w:val="18"/>
                <w:szCs w:val="18"/>
                <w:color w:val="auto"/>
              </w:rPr>
              <w:t>Total principal payments due</w:t>
            </w:r>
          </w:p>
        </w:tc>
        <w:tc>
          <w:tcPr>
            <w:tcW w:w="2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35,000</w:t>
            </w:r>
          </w:p>
        </w:tc>
        <w:tc>
          <w:tcPr>
            <w:tcW w:w="100" w:type="dxa"/>
            <w:vAlign w:val="bottom"/>
          </w:tcPr>
          <w:p>
            <w:pPr>
              <w:spacing w:after="0"/>
              <w:rPr>
                <w:sz w:val="17"/>
                <w:szCs w:val="17"/>
                <w:color w:val="auto"/>
              </w:rPr>
            </w:pPr>
          </w:p>
        </w:tc>
      </w:tr>
      <w:tr>
        <w:trPr>
          <w:trHeight w:val="196"/>
        </w:trPr>
        <w:tc>
          <w:tcPr>
            <w:tcW w:w="5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7"/>
              </w:rPr>
              <w:t>Less: debt discount related to warrant liability and issuance costs</w:t>
            </w:r>
          </w:p>
        </w:tc>
        <w:tc>
          <w:tcPr>
            <w:tcW w:w="2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(2,344</w:t>
            </w:r>
          </w:p>
        </w:tc>
        <w:tc>
          <w:tcPr>
            <w:tcW w:w="1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(3,045</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Total amounts outstanding</w:t>
            </w:r>
          </w:p>
        </w:tc>
        <w:tc>
          <w:tcPr>
            <w:tcW w:w="2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32,656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31,955</w:t>
            </w:r>
          </w:p>
        </w:tc>
        <w:tc>
          <w:tcPr>
            <w:tcW w:w="100" w:type="dxa"/>
            <w:vAlign w:val="bottom"/>
          </w:tcPr>
          <w:p>
            <w:pPr>
              <w:spacing w:after="0"/>
              <w:rPr>
                <w:sz w:val="17"/>
                <w:szCs w:val="17"/>
                <w:color w:val="auto"/>
              </w:rPr>
            </w:pPr>
          </w:p>
        </w:tc>
      </w:tr>
      <w:tr>
        <w:trPr>
          <w:trHeight w:val="196"/>
        </w:trPr>
        <w:tc>
          <w:tcPr>
            <w:tcW w:w="5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Less: Current portion</w:t>
            </w:r>
          </w:p>
        </w:tc>
        <w:tc>
          <w:tcPr>
            <w:tcW w:w="23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00" w:type="dxa"/>
            <w:vAlign w:val="bottom"/>
          </w:tcPr>
          <w:p>
            <w:pPr>
              <w:ind w:left="20"/>
              <w:spacing w:after="0" w:line="196" w:lineRule="exact"/>
              <w:rPr>
                <w:sz w:val="20"/>
                <w:szCs w:val="20"/>
                <w:color w:val="auto"/>
              </w:rPr>
            </w:pPr>
            <w:r>
              <w:rPr>
                <w:rFonts w:ascii="Arial" w:cs="Arial" w:eastAsia="Arial" w:hAnsi="Arial"/>
                <w:sz w:val="18"/>
                <w:szCs w:val="18"/>
                <w:color w:val="auto"/>
              </w:rPr>
              <w:t>Total accrued and other current liabilities</w:t>
            </w:r>
          </w:p>
        </w:tc>
        <w:tc>
          <w:tcPr>
            <w:tcW w:w="23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31,955</w:t>
            </w:r>
          </w:p>
        </w:tc>
        <w:tc>
          <w:tcPr>
            <w:tcW w:w="100" w:type="dxa"/>
            <w:vAlign w:val="bottom"/>
          </w:tcPr>
          <w:p>
            <w:pPr>
              <w:spacing w:after="0"/>
              <w:rPr>
                <w:sz w:val="17"/>
                <w:szCs w:val="17"/>
                <w:color w:val="auto"/>
              </w:rPr>
            </w:pPr>
          </w:p>
        </w:tc>
      </w:tr>
      <w:tr>
        <w:trPr>
          <w:trHeight w:val="20"/>
        </w:trPr>
        <w:tc>
          <w:tcPr>
            <w:tcW w:w="7420" w:type="dxa"/>
            <w:vAlign w:val="bottom"/>
            <w:gridSpan w:val="2"/>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220" w:type="dxa"/>
            <w:vAlign w:val="bottom"/>
            <w:gridSpan w:val="5"/>
          </w:tcPr>
          <w:p>
            <w:pPr>
              <w:ind w:left="540"/>
              <w:spacing w:after="0"/>
              <w:rPr>
                <w:sz w:val="20"/>
                <w:szCs w:val="20"/>
                <w:color w:val="auto"/>
              </w:rPr>
            </w:pPr>
            <w:r>
              <w:rPr>
                <w:rFonts w:ascii="Arial" w:cs="Arial" w:eastAsia="Arial" w:hAnsi="Arial"/>
                <w:sz w:val="18"/>
                <w:szCs w:val="18"/>
                <w:color w:val="auto"/>
                <w:w w:val="90"/>
              </w:rPr>
              <w:t>The repayment schedule relating to the Company’s principal debt as of December 31, 2021, is as follows (in thousands):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5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gridSpan w:val="2"/>
          </w:tcPr>
          <w:p>
            <w:pPr>
              <w:jc w:val="right"/>
              <w:ind w:right="710"/>
              <w:spacing w:after="0"/>
              <w:rPr>
                <w:sz w:val="20"/>
                <w:szCs w:val="20"/>
                <w:color w:val="auto"/>
              </w:rPr>
            </w:pPr>
            <w:r>
              <w:rPr>
                <w:rFonts w:ascii="Arial" w:cs="Arial" w:eastAsia="Arial" w:hAnsi="Arial"/>
                <w:sz w:val="14"/>
                <w:szCs w:val="14"/>
                <w:b w:val="1"/>
                <w:bCs w:val="1"/>
                <w:color w:val="auto"/>
                <w:w w:val="98"/>
              </w:rPr>
              <w:t>Amount</w:t>
            </w:r>
          </w:p>
        </w:tc>
      </w:tr>
      <w:tr>
        <w:trPr>
          <w:trHeight w:val="196"/>
        </w:trPr>
        <w:tc>
          <w:tcPr>
            <w:tcW w:w="5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(1,458 )</w:t>
            </w:r>
          </w:p>
        </w:tc>
      </w:tr>
      <w:tr>
        <w:trPr>
          <w:trHeight w:val="203"/>
        </w:trPr>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(17,500 )</w:t>
            </w: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(16,042 )</w:t>
            </w:r>
          </w:p>
        </w:tc>
      </w:tr>
      <w:tr>
        <w:trPr>
          <w:trHeight w:val="236"/>
        </w:trPr>
        <w:tc>
          <w:tcPr>
            <w:tcW w:w="5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repayments</w:t>
            </w:r>
          </w:p>
        </w:tc>
        <w:tc>
          <w:tcPr>
            <w:tcW w:w="23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(35,000</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615"/>
        </w:trPr>
        <w:tc>
          <w:tcPr>
            <w:tcW w:w="5100" w:type="dxa"/>
            <w:vAlign w:val="bottom"/>
          </w:tcPr>
          <w:p>
            <w:pPr>
              <w:spacing w:after="0"/>
              <w:rPr>
                <w:sz w:val="24"/>
                <w:szCs w:val="24"/>
                <w:color w:val="auto"/>
              </w:rPr>
            </w:pPr>
          </w:p>
        </w:tc>
        <w:tc>
          <w:tcPr>
            <w:tcW w:w="2320" w:type="dxa"/>
            <w:vAlign w:val="bottom"/>
          </w:tcPr>
          <w:p>
            <w:pPr>
              <w:jc w:val="right"/>
              <w:ind w:right="1570"/>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510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-2371090</wp:posOffset>
            </wp:positionV>
            <wp:extent cx="6032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-2371090</wp:posOffset>
            </wp:positionV>
            <wp:extent cx="5969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-1830705</wp:posOffset>
            </wp:positionV>
            <wp:extent cx="6032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-1830705</wp:posOffset>
            </wp:positionV>
            <wp:extent cx="5969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-496570</wp:posOffset>
            </wp:positionV>
            <wp:extent cx="596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5" w:name="page126"/>
    <w:bookmarkEnd w:id="125"/>
    <w:p>
      <w:pPr>
        <w:ind w:left="12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104" w:lineRule="exact"/>
        <w:rPr>
          <w:sz w:val="20"/>
          <w:szCs w:val="20"/>
          <w:color w:val="auto"/>
        </w:rPr>
      </w:pPr>
    </w:p>
    <w:p>
      <w:pPr>
        <w:ind w:left="120" w:right="300" w:firstLine="419"/>
        <w:spacing w:after="0" w:line="243" w:lineRule="auto"/>
        <w:rPr>
          <w:sz w:val="20"/>
          <w:szCs w:val="20"/>
          <w:color w:val="auto"/>
        </w:rPr>
      </w:pPr>
      <w:r>
        <w:rPr>
          <w:rFonts w:ascii="Arial" w:cs="Arial" w:eastAsia="Arial" w:hAnsi="Arial"/>
          <w:sz w:val="18"/>
          <w:szCs w:val="18"/>
          <w:color w:val="auto"/>
        </w:rPr>
        <w:t>The Company’s leases include facility leases and storage leases. In determining the present value of lease payments, the Company uses its incremental borrowing rate based on the information available at the lease commencement date if the rate implicit in the lease is not readily determinable. The Company estimates its incremental borrowing rate based on qualitative factors including company specific credit offers, lease term, general economics, and the interest rate environment.</w:t>
      </w:r>
    </w:p>
    <w:p>
      <w:pPr>
        <w:spacing w:after="0" w:line="188" w:lineRule="exact"/>
        <w:rPr>
          <w:sz w:val="20"/>
          <w:szCs w:val="20"/>
          <w:color w:val="auto"/>
        </w:rPr>
      </w:pPr>
    </w:p>
    <w:p>
      <w:pPr>
        <w:ind w:left="120" w:right="100" w:firstLine="419"/>
        <w:spacing w:after="0" w:line="261" w:lineRule="auto"/>
        <w:rPr>
          <w:sz w:val="20"/>
          <w:szCs w:val="20"/>
          <w:color w:val="auto"/>
        </w:rPr>
      </w:pPr>
      <w:r>
        <w:rPr>
          <w:rFonts w:ascii="Arial" w:cs="Arial" w:eastAsia="Arial" w:hAnsi="Arial"/>
          <w:sz w:val="18"/>
          <w:szCs w:val="18"/>
          <w:color w:val="auto"/>
        </w:rPr>
        <w:t>In September 2019, the Company entered into a noncancelable operating lease for approximately 10,823 square feet of primary office space, which expired on July 31, 2021, without the option to extend.</w:t>
      </w:r>
    </w:p>
    <w:p>
      <w:pPr>
        <w:spacing w:after="0" w:line="171" w:lineRule="exact"/>
        <w:rPr>
          <w:sz w:val="20"/>
          <w:szCs w:val="20"/>
          <w:color w:val="auto"/>
        </w:rPr>
      </w:pPr>
    </w:p>
    <w:p>
      <w:pPr>
        <w:ind w:left="120" w:right="180" w:firstLine="419"/>
        <w:spacing w:after="0" w:line="243" w:lineRule="auto"/>
        <w:rPr>
          <w:sz w:val="20"/>
          <w:szCs w:val="20"/>
          <w:color w:val="auto"/>
        </w:rPr>
      </w:pPr>
      <w:r>
        <w:rPr>
          <w:rFonts w:ascii="Arial" w:cs="Arial" w:eastAsia="Arial" w:hAnsi="Arial"/>
          <w:sz w:val="18"/>
          <w:szCs w:val="18"/>
          <w:color w:val="auto"/>
        </w:rPr>
        <w:t>On February 5, 2021, the Company entered into a lease to renew the corporate headquarters in Menlo Park, California. The lease commenced on August 1, 2021 and is for a term of 37 months from the commencement date. The Company recorded an aggregate right-of-use ("ROU") asset and lease liability of $1.5 million. The ROU asset and corresponding lease liability were estimated using a weighted-average incremental borrowing rate of 13.59%. Total base rent is approximately $1.6 million under the lease agreement.</w:t>
      </w:r>
    </w:p>
    <w:p>
      <w:pPr>
        <w:spacing w:after="0" w:line="188" w:lineRule="exact"/>
        <w:rPr>
          <w:sz w:val="20"/>
          <w:szCs w:val="20"/>
          <w:color w:val="auto"/>
        </w:rPr>
      </w:pPr>
    </w:p>
    <w:p>
      <w:pPr>
        <w:ind w:left="120" w:right="80" w:firstLine="419"/>
        <w:spacing w:after="0" w:line="248" w:lineRule="auto"/>
        <w:rPr>
          <w:sz w:val="20"/>
          <w:szCs w:val="20"/>
          <w:color w:val="auto"/>
        </w:rPr>
      </w:pPr>
      <w:r>
        <w:rPr>
          <w:rFonts w:ascii="Arial" w:cs="Arial" w:eastAsia="Arial" w:hAnsi="Arial"/>
          <w:sz w:val="18"/>
          <w:szCs w:val="18"/>
          <w:color w:val="auto"/>
        </w:rPr>
        <w:t>The Company recognizes rent expense on a straight-line basis over the noncancelable lease term. The Company’s rent expense was $0.7 million and $0.7 million for the years ended December 31, 2021 and 2020, respectively. As of December 31, 2021, the remaining lease term for the lease was 2.6 years.</w:t>
      </w:r>
    </w:p>
    <w:p>
      <w:pPr>
        <w:spacing w:after="0" w:line="182" w:lineRule="exact"/>
        <w:rPr>
          <w:sz w:val="20"/>
          <w:szCs w:val="20"/>
          <w:color w:val="auto"/>
        </w:rPr>
      </w:pPr>
    </w:p>
    <w:p>
      <w:pPr>
        <w:ind w:left="120" w:right="120" w:firstLine="419"/>
        <w:spacing w:after="0" w:line="261" w:lineRule="auto"/>
        <w:rPr>
          <w:sz w:val="20"/>
          <w:szCs w:val="20"/>
          <w:color w:val="auto"/>
        </w:rPr>
      </w:pPr>
      <w:r>
        <w:rPr>
          <w:rFonts w:ascii="Arial" w:cs="Arial" w:eastAsia="Arial" w:hAnsi="Arial"/>
          <w:sz w:val="18"/>
          <w:szCs w:val="18"/>
          <w:color w:val="auto"/>
        </w:rPr>
        <w:t>Operating lease expense and supplemental cash flow information related to operating leases for the years ended December 31, 2021 and 2020 were as follows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 expense</w:t>
            </w:r>
          </w:p>
        </w:tc>
        <w:tc>
          <w:tcPr>
            <w:tcW w:w="900" w:type="dxa"/>
            <w:vAlign w:val="bottom"/>
            <w:tcBorders>
              <w:top w:val="single" w:sz="8" w:color="auto"/>
            </w:tcBorders>
            <w:shd w:val="clear" w:color="auto" w:fill="CFF0FC"/>
          </w:tcPr>
          <w:p>
            <w:pPr>
              <w:jc w:val="right"/>
              <w:ind w:right="722"/>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702</w:t>
            </w:r>
          </w:p>
        </w:tc>
        <w:tc>
          <w:tcPr>
            <w:tcW w:w="2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Cash paid for operating leases</w:t>
            </w:r>
          </w:p>
        </w:tc>
        <w:tc>
          <w:tcPr>
            <w:tcW w:w="9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657</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694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9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New operating lease assets obtained in exchange for</w:t>
            </w:r>
          </w:p>
        </w:tc>
        <w:tc>
          <w:tcPr>
            <w:tcW w:w="900" w:type="dxa"/>
            <w:vAlign w:val="bottom"/>
            <w:shd w:val="clear" w:color="auto" w:fill="CFF0FC"/>
          </w:tcPr>
          <w:p>
            <w:pPr>
              <w:spacing w:after="0"/>
              <w:rPr>
                <w:sz w:val="14"/>
                <w:szCs w:val="14"/>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900" w:type="dxa"/>
            <w:vAlign w:val="bottom"/>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Aggregate future minimum lease payments at December 31, 2021 under these noncancelable operating leases was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 of December 31,</w:t>
            </w:r>
          </w:p>
        </w:tc>
      </w:tr>
      <w:tr>
        <w:trPr>
          <w:trHeight w:val="185"/>
        </w:trPr>
        <w:tc>
          <w:tcPr>
            <w:tcW w:w="9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9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693</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6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706</w:t>
            </w:r>
          </w:p>
        </w:tc>
        <w:tc>
          <w:tcPr>
            <w:tcW w:w="100" w:type="dxa"/>
            <w:vAlign w:val="bottom"/>
          </w:tcPr>
          <w:p>
            <w:pPr>
              <w:spacing w:after="0"/>
              <w:rPr>
                <w:sz w:val="17"/>
                <w:szCs w:val="17"/>
                <w:color w:val="auto"/>
              </w:rPr>
            </w:pPr>
          </w:p>
        </w:tc>
      </w:tr>
      <w:tr>
        <w:trPr>
          <w:trHeight w:val="203"/>
        </w:trPr>
        <w:tc>
          <w:tcPr>
            <w:tcW w:w="91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6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140" w:type="dxa"/>
            <w:vAlign w:val="bottom"/>
          </w:tcPr>
          <w:p>
            <w:pPr>
              <w:ind w:left="20"/>
              <w:spacing w:after="0" w:line="196" w:lineRule="exact"/>
              <w:rPr>
                <w:sz w:val="20"/>
                <w:szCs w:val="20"/>
                <w:color w:val="auto"/>
              </w:rPr>
            </w:pPr>
            <w:r>
              <w:rPr>
                <w:rFonts w:ascii="Arial" w:cs="Arial" w:eastAsia="Arial" w:hAnsi="Arial"/>
                <w:sz w:val="18"/>
                <w:szCs w:val="18"/>
                <w:color w:val="auto"/>
              </w:rPr>
              <w:t>Total future minimum lease payments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1,861</w:t>
            </w:r>
          </w:p>
        </w:tc>
        <w:tc>
          <w:tcPr>
            <w:tcW w:w="10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26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(311 )</w:t>
            </w:r>
          </w:p>
        </w:tc>
      </w:tr>
      <w:tr>
        <w:trPr>
          <w:trHeight w:val="196"/>
        </w:trPr>
        <w:tc>
          <w:tcPr>
            <w:tcW w:w="91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Present value of future minimum lease payments</w:t>
            </w:r>
          </w:p>
        </w:tc>
        <w:tc>
          <w:tcPr>
            <w:tcW w:w="26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1,550</w:t>
            </w:r>
          </w:p>
        </w:tc>
        <w:tc>
          <w:tcPr>
            <w:tcW w:w="100" w:type="dxa"/>
            <w:vAlign w:val="bottom"/>
            <w:tcBorders>
              <w:top w:val="single" w:sz="8" w:color="CFF0FC"/>
            </w:tcBorders>
          </w:tcPr>
          <w:p>
            <w:pPr>
              <w:spacing w:after="0"/>
              <w:rPr>
                <w:sz w:val="17"/>
                <w:szCs w:val="17"/>
                <w:color w:val="auto"/>
              </w:rPr>
            </w:pP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current portion of operating lease liability</w:t>
            </w:r>
          </w:p>
        </w:tc>
        <w:tc>
          <w:tcPr>
            <w:tcW w:w="26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(510 )</w:t>
            </w:r>
          </w:p>
        </w:tc>
      </w:tr>
      <w:tr>
        <w:trPr>
          <w:trHeight w:val="196"/>
        </w:trPr>
        <w:tc>
          <w:tcPr>
            <w:tcW w:w="91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Operating lease liabilities - noncurrent</w:t>
            </w: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1,040</w:t>
            </w:r>
          </w:p>
        </w:tc>
        <w:tc>
          <w:tcPr>
            <w:tcW w:w="100" w:type="dxa"/>
            <w:vAlign w:val="bottom"/>
            <w:tcBorders>
              <w:top w:val="single" w:sz="8" w:color="CFF0FC"/>
            </w:tcBorders>
          </w:tcPr>
          <w:p>
            <w:pPr>
              <w:spacing w:after="0"/>
              <w:rPr>
                <w:sz w:val="17"/>
                <w:szCs w:val="17"/>
                <w:color w:val="auto"/>
              </w:rPr>
            </w:pP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-690880</wp:posOffset>
            </wp:positionV>
            <wp:extent cx="5969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-424815</wp:posOffset>
            </wp:positionV>
            <wp:extent cx="5969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31F20"/>
        </w:rPr>
        <w:t>Indemnification</w:t>
      </w:r>
    </w:p>
    <w:p>
      <w:pPr>
        <w:spacing w:after="0" w:line="104" w:lineRule="exact"/>
        <w:rPr>
          <w:sz w:val="20"/>
          <w:szCs w:val="20"/>
          <w:color w:val="auto"/>
        </w:rPr>
      </w:pPr>
    </w:p>
    <w:p>
      <w:pPr>
        <w:ind w:left="120" w:right="140" w:firstLine="419"/>
        <w:spacing w:after="0" w:line="284"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26" w:name="page127"/>
    <w:bookmarkEnd w:id="126"/>
    <w:p>
      <w:pPr>
        <w:ind w:left="120" w:right="80" w:firstLine="419"/>
        <w:spacing w:after="0" w:line="255" w:lineRule="auto"/>
        <w:rPr>
          <w:sz w:val="20"/>
          <w:szCs w:val="20"/>
          <w:color w:val="auto"/>
        </w:rPr>
      </w:pPr>
      <w:r>
        <w:rPr>
          <w:rFonts w:ascii="Arial" w:cs="Arial" w:eastAsia="Arial" w:hAnsi="Arial"/>
          <w:sz w:val="17"/>
          <w:szCs w:val="17"/>
          <w:color w:val="auto"/>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may be subject to any proceeding arising out of acts or omissions of such director in such capacity. The maximum amount of potential future indemnification is unlimited; however, the Company currently holds director liability insurance. This insurance allows the transfer of risk associated with the Company’s exposure and may enable it to recover a portion of any future amounts paid. The Company believes that the fair value of these indemnification obligations is minimal. Accordingly, the Company has not recognized any liabilities relating to these obligations as of December 31, 2021 and 2020.</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17" w:lineRule="exact"/>
        <w:rPr>
          <w:sz w:val="20"/>
          <w:szCs w:val="20"/>
          <w:color w:val="auto"/>
        </w:rPr>
      </w:pPr>
    </w:p>
    <w:p>
      <w:pPr>
        <w:ind w:left="120" w:right="380" w:firstLine="419"/>
        <w:spacing w:after="0" w:line="261" w:lineRule="auto"/>
        <w:rPr>
          <w:sz w:val="20"/>
          <w:szCs w:val="20"/>
          <w:color w:val="auto"/>
        </w:rPr>
      </w:pPr>
      <w:r>
        <w:rPr>
          <w:rFonts w:ascii="Arial" w:cs="Arial" w:eastAsia="Arial" w:hAnsi="Arial"/>
          <w:sz w:val="18"/>
          <w:szCs w:val="18"/>
          <w:color w:val="auto"/>
        </w:rPr>
        <w:t>From time to time, we may become involved in legal proceedings arising in the ordinary course of business. We are not currently a party to any material legal proceedings.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Redeemable Convertible Preferred Stock</w:t>
      </w:r>
    </w:p>
    <w:p>
      <w:pPr>
        <w:spacing w:after="0" w:line="108" w:lineRule="exact"/>
        <w:rPr>
          <w:sz w:val="20"/>
          <w:szCs w:val="20"/>
          <w:color w:val="auto"/>
        </w:rPr>
      </w:pPr>
    </w:p>
    <w:p>
      <w:pPr>
        <w:ind w:left="120" w:right="400" w:firstLine="419"/>
        <w:spacing w:after="0" w:line="261" w:lineRule="auto"/>
        <w:rPr>
          <w:sz w:val="20"/>
          <w:szCs w:val="20"/>
          <w:color w:val="auto"/>
        </w:rPr>
      </w:pPr>
      <w:r>
        <w:rPr>
          <w:rFonts w:ascii="Arial" w:cs="Arial" w:eastAsia="Arial" w:hAnsi="Arial"/>
          <w:sz w:val="18"/>
          <w:szCs w:val="18"/>
          <w:color w:val="auto"/>
        </w:rPr>
        <w:t>The Company’s redeemable convertible preferred stock issued and outstanding at December 31, 2020 (in thousands, except share and per share data)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40" w:type="dxa"/>
            <w:vAlign w:val="bottom"/>
          </w:tcPr>
          <w:p>
            <w:pPr>
              <w:spacing w:after="0"/>
              <w:rPr>
                <w:sz w:val="16"/>
                <w:szCs w:val="16"/>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Shares Authorized</w:t>
            </w:r>
          </w:p>
        </w:tc>
        <w:tc>
          <w:tcPr>
            <w:tcW w:w="260" w:type="dxa"/>
            <w:vAlign w:val="bottom"/>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Issued and Outstanding</w:t>
            </w:r>
          </w:p>
        </w:tc>
        <w:tc>
          <w:tcPr>
            <w:tcW w:w="260" w:type="dxa"/>
            <w:vAlign w:val="bottom"/>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Original Issuance Price</w:t>
            </w:r>
          </w:p>
        </w:tc>
        <w:tc>
          <w:tcPr>
            <w:tcW w:w="240" w:type="dxa"/>
            <w:vAlign w:val="bottom"/>
          </w:tcPr>
          <w:p>
            <w:pPr>
              <w:spacing w:after="0"/>
              <w:rPr>
                <w:sz w:val="16"/>
                <w:szCs w:val="16"/>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Liquidation Amount</w:t>
            </w:r>
          </w:p>
        </w:tc>
        <w:tc>
          <w:tcPr>
            <w:tcW w:w="24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Issuance Costs</w:t>
            </w:r>
          </w:p>
        </w:tc>
        <w:tc>
          <w:tcPr>
            <w:tcW w:w="240" w:type="dxa"/>
            <w:vAlign w:val="bottom"/>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Carrying Value</w:t>
            </w:r>
          </w:p>
        </w:tc>
        <w:tc>
          <w:tcPr>
            <w:tcW w:w="60" w:type="dxa"/>
            <w:vAlign w:val="bottom"/>
          </w:tcPr>
          <w:p>
            <w:pPr>
              <w:spacing w:after="0"/>
              <w:rPr>
                <w:sz w:val="16"/>
                <w:szCs w:val="16"/>
                <w:color w:val="auto"/>
              </w:rPr>
            </w:pPr>
          </w:p>
        </w:tc>
      </w:tr>
      <w:tr>
        <w:trPr>
          <w:trHeight w:val="196"/>
        </w:trPr>
        <w:tc>
          <w:tcPr>
            <w:tcW w:w="1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Series A</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3,804,344</w:t>
            </w:r>
          </w:p>
        </w:tc>
        <w:tc>
          <w:tcPr>
            <w:tcW w:w="26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3,804,344</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19"/>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1.38</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5,250</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6"/>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5,241</w:t>
            </w:r>
          </w:p>
        </w:tc>
        <w:tc>
          <w:tcPr>
            <w:tcW w:w="60" w:type="dxa"/>
            <w:vAlign w:val="bottom"/>
            <w:shd w:val="clear" w:color="auto" w:fill="CFF0FC"/>
          </w:tcPr>
          <w:p>
            <w:pPr>
              <w:spacing w:after="0"/>
              <w:rPr>
                <w:sz w:val="17"/>
                <w:szCs w:val="17"/>
                <w:color w:val="auto"/>
              </w:rPr>
            </w:pPr>
          </w:p>
        </w:tc>
      </w:tr>
      <w:tr>
        <w:trPr>
          <w:trHeight w:val="203"/>
        </w:trPr>
        <w:tc>
          <w:tcPr>
            <w:tcW w:w="1740" w:type="dxa"/>
            <w:vAlign w:val="bottom"/>
          </w:tcPr>
          <w:p>
            <w:pPr>
              <w:ind w:left="20"/>
              <w:spacing w:after="0" w:line="202" w:lineRule="exact"/>
              <w:rPr>
                <w:sz w:val="20"/>
                <w:szCs w:val="20"/>
                <w:color w:val="auto"/>
              </w:rPr>
            </w:pPr>
            <w:r>
              <w:rPr>
                <w:rFonts w:ascii="Arial" w:cs="Arial" w:eastAsia="Arial" w:hAnsi="Arial"/>
                <w:sz w:val="18"/>
                <w:szCs w:val="18"/>
                <w:color w:val="auto"/>
              </w:rPr>
              <w:t>Series B</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1,209,621</w:t>
            </w:r>
          </w:p>
        </w:tc>
        <w:tc>
          <w:tcPr>
            <w:tcW w:w="2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1,209,621</w:t>
            </w:r>
          </w:p>
        </w:tc>
        <w:tc>
          <w:tcPr>
            <w:tcW w:w="860" w:type="dxa"/>
            <w:vAlign w:val="bottom"/>
            <w:gridSpan w:val="2"/>
          </w:tcPr>
          <w:p>
            <w:pPr>
              <w:jc w:val="right"/>
              <w:ind w:right="419"/>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5.79</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7,000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6,894</w:t>
            </w:r>
          </w:p>
        </w:tc>
        <w:tc>
          <w:tcPr>
            <w:tcW w:w="60" w:type="dxa"/>
            <w:vAlign w:val="bottom"/>
          </w:tcPr>
          <w:p>
            <w:pPr>
              <w:spacing w:after="0"/>
              <w:rPr>
                <w:sz w:val="17"/>
                <w:szCs w:val="17"/>
                <w:color w:val="auto"/>
              </w:rPr>
            </w:pPr>
          </w:p>
        </w:tc>
      </w:tr>
      <w:tr>
        <w:trPr>
          <w:trHeight w:val="203"/>
        </w:trPr>
        <w:tc>
          <w:tcPr>
            <w:tcW w:w="1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C</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2,372,371</w:t>
            </w:r>
          </w:p>
        </w:tc>
        <w:tc>
          <w:tcPr>
            <w:tcW w:w="2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2,342,857</w:t>
            </w:r>
          </w:p>
        </w:tc>
        <w:tc>
          <w:tcPr>
            <w:tcW w:w="860" w:type="dxa"/>
            <w:vAlign w:val="bottom"/>
            <w:gridSpan w:val="2"/>
            <w:shd w:val="clear" w:color="auto" w:fill="CFF0FC"/>
          </w:tcPr>
          <w:p>
            <w:pPr>
              <w:jc w:val="right"/>
              <w:ind w:right="419"/>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9.49</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22,226</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22,018</w:t>
            </w:r>
          </w:p>
        </w:tc>
        <w:tc>
          <w:tcPr>
            <w:tcW w:w="60" w:type="dxa"/>
            <w:vAlign w:val="bottom"/>
            <w:shd w:val="clear" w:color="auto" w:fill="CFF0FC"/>
          </w:tcPr>
          <w:p>
            <w:pPr>
              <w:spacing w:after="0"/>
              <w:rPr>
                <w:sz w:val="17"/>
                <w:szCs w:val="17"/>
                <w:color w:val="auto"/>
              </w:rPr>
            </w:pPr>
          </w:p>
        </w:tc>
      </w:tr>
      <w:tr>
        <w:trPr>
          <w:trHeight w:val="203"/>
        </w:trPr>
        <w:tc>
          <w:tcPr>
            <w:tcW w:w="1740" w:type="dxa"/>
            <w:vAlign w:val="bottom"/>
          </w:tcPr>
          <w:p>
            <w:pPr>
              <w:ind w:left="20"/>
              <w:spacing w:after="0" w:line="202" w:lineRule="exact"/>
              <w:rPr>
                <w:sz w:val="20"/>
                <w:szCs w:val="20"/>
                <w:color w:val="auto"/>
              </w:rPr>
            </w:pPr>
            <w:r>
              <w:rPr>
                <w:rFonts w:ascii="Arial" w:cs="Arial" w:eastAsia="Arial" w:hAnsi="Arial"/>
                <w:sz w:val="18"/>
                <w:szCs w:val="18"/>
                <w:color w:val="auto"/>
              </w:rPr>
              <w:t>Series D</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2,507,720</w:t>
            </w:r>
          </w:p>
        </w:tc>
        <w:tc>
          <w:tcPr>
            <w:tcW w:w="2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2,447,818</w:t>
            </w:r>
          </w:p>
        </w:tc>
        <w:tc>
          <w:tcPr>
            <w:tcW w:w="860" w:type="dxa"/>
            <w:vAlign w:val="bottom"/>
            <w:gridSpan w:val="2"/>
          </w:tcPr>
          <w:p>
            <w:pPr>
              <w:jc w:val="right"/>
              <w:ind w:right="419"/>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12.56</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30,750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647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30,103</w:t>
            </w:r>
          </w:p>
        </w:tc>
        <w:tc>
          <w:tcPr>
            <w:tcW w:w="60" w:type="dxa"/>
            <w:vAlign w:val="bottom"/>
          </w:tcPr>
          <w:p>
            <w:pPr>
              <w:spacing w:after="0"/>
              <w:rPr>
                <w:sz w:val="17"/>
                <w:szCs w:val="17"/>
                <w:color w:val="auto"/>
              </w:rPr>
            </w:pPr>
          </w:p>
        </w:tc>
      </w:tr>
      <w:tr>
        <w:trPr>
          <w:trHeight w:val="203"/>
        </w:trPr>
        <w:tc>
          <w:tcPr>
            <w:tcW w:w="1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E</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1,921,902</w:t>
            </w:r>
          </w:p>
        </w:tc>
        <w:tc>
          <w:tcPr>
            <w:tcW w:w="2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1,899,847</w:t>
            </w:r>
          </w:p>
        </w:tc>
        <w:tc>
          <w:tcPr>
            <w:tcW w:w="860" w:type="dxa"/>
            <w:vAlign w:val="bottom"/>
            <w:gridSpan w:val="2"/>
            <w:shd w:val="clear" w:color="auto" w:fill="CFF0FC"/>
          </w:tcPr>
          <w:p>
            <w:pPr>
              <w:jc w:val="right"/>
              <w:ind w:right="419"/>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15.87</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30,150</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30,044</w:t>
            </w:r>
          </w:p>
        </w:tc>
        <w:tc>
          <w:tcPr>
            <w:tcW w:w="60" w:type="dxa"/>
            <w:vAlign w:val="bottom"/>
            <w:shd w:val="clear" w:color="auto" w:fill="CFF0FC"/>
          </w:tcPr>
          <w:p>
            <w:pPr>
              <w:spacing w:after="0"/>
              <w:rPr>
                <w:sz w:val="17"/>
                <w:szCs w:val="17"/>
                <w:color w:val="auto"/>
              </w:rPr>
            </w:pPr>
          </w:p>
        </w:tc>
      </w:tr>
      <w:tr>
        <w:trPr>
          <w:trHeight w:val="203"/>
        </w:trPr>
        <w:tc>
          <w:tcPr>
            <w:tcW w:w="1740" w:type="dxa"/>
            <w:vAlign w:val="bottom"/>
          </w:tcPr>
          <w:p>
            <w:pPr>
              <w:ind w:left="20"/>
              <w:spacing w:after="0" w:line="202" w:lineRule="exact"/>
              <w:rPr>
                <w:sz w:val="20"/>
                <w:szCs w:val="20"/>
                <w:color w:val="auto"/>
              </w:rPr>
            </w:pPr>
            <w:r>
              <w:rPr>
                <w:rFonts w:ascii="Arial" w:cs="Arial" w:eastAsia="Arial" w:hAnsi="Arial"/>
                <w:sz w:val="18"/>
                <w:szCs w:val="18"/>
                <w:color w:val="auto"/>
              </w:rPr>
              <w:t>Series F</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2,425,432</w:t>
            </w:r>
          </w:p>
        </w:tc>
        <w:tc>
          <w:tcPr>
            <w:tcW w:w="2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1,062,715</w:t>
            </w:r>
          </w:p>
        </w:tc>
        <w:tc>
          <w:tcPr>
            <w:tcW w:w="860" w:type="dxa"/>
            <w:vAlign w:val="bottom"/>
            <w:gridSpan w:val="2"/>
          </w:tcPr>
          <w:p>
            <w:pPr>
              <w:jc w:val="right"/>
              <w:ind w:right="419"/>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21.88</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23,250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23,031</w:t>
            </w:r>
          </w:p>
        </w:tc>
        <w:tc>
          <w:tcPr>
            <w:tcW w:w="60" w:type="dxa"/>
            <w:vAlign w:val="bottom"/>
          </w:tcPr>
          <w:p>
            <w:pPr>
              <w:spacing w:after="0"/>
              <w:rPr>
                <w:sz w:val="17"/>
                <w:szCs w:val="17"/>
                <w:color w:val="auto"/>
              </w:rPr>
            </w:pPr>
          </w:p>
        </w:tc>
      </w:tr>
      <w:tr>
        <w:trPr>
          <w:trHeight w:val="236"/>
        </w:trPr>
        <w:tc>
          <w:tcPr>
            <w:tcW w:w="17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14,241,390</w:t>
            </w:r>
          </w:p>
        </w:tc>
        <w:tc>
          <w:tcPr>
            <w:tcW w:w="260" w:type="dxa"/>
            <w:vAlign w:val="bottom"/>
            <w:tcBorders>
              <w:bottom w:val="single" w:sz="8" w:color="CFF0FC"/>
            </w:tcBorders>
            <w:shd w:val="clear" w:color="auto" w:fill="CFF0FC"/>
          </w:tcPr>
          <w:p>
            <w:pPr>
              <w:spacing w:after="0"/>
              <w:rPr>
                <w:sz w:val="20"/>
                <w:szCs w:val="20"/>
                <w:color w:val="auto"/>
              </w:rPr>
            </w:pPr>
          </w:p>
        </w:tc>
        <w:tc>
          <w:tcPr>
            <w:tcW w:w="2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12,767,202</w:t>
            </w:r>
          </w:p>
        </w:tc>
        <w:tc>
          <w:tcPr>
            <w:tcW w:w="2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118,626</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6"/>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1,295</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117,331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-25400</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-7620</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-25400</wp:posOffset>
            </wp:positionV>
            <wp:extent cx="431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431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431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431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425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425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left="120" w:right="200" w:firstLine="419"/>
        <w:spacing w:after="0" w:line="248" w:lineRule="auto"/>
        <w:rPr>
          <w:sz w:val="20"/>
          <w:szCs w:val="20"/>
          <w:color w:val="auto"/>
        </w:rPr>
      </w:pPr>
      <w:r>
        <w:rPr>
          <w:rFonts w:ascii="Arial" w:cs="Arial" w:eastAsia="Arial" w:hAnsi="Arial"/>
          <w:sz w:val="18"/>
          <w:szCs w:val="18"/>
          <w:color w:val="auto"/>
        </w:rPr>
        <w:t>Immediately prior to the closing of the IPO, all then-outstanding shares of redeemable convertible preferred stock were converted into 25,534,404 shares of common stock, resulting in the reclassification of the related redeemable convertible preferred stock of $117.3 million to common stock and APIC. There was no redeemable convertible preferred stock outstanding as of December 31, 2021.</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F20"/>
        </w:rPr>
        <w:t>Note 8. Common Stock Warrants</w:t>
      </w:r>
    </w:p>
    <w:p>
      <w:pPr>
        <w:spacing w:after="0" w:line="108" w:lineRule="exact"/>
        <w:rPr>
          <w:sz w:val="20"/>
          <w:szCs w:val="20"/>
          <w:color w:val="auto"/>
        </w:rPr>
      </w:pPr>
    </w:p>
    <w:p>
      <w:pPr>
        <w:ind w:left="120" w:right="420" w:firstLine="419"/>
        <w:spacing w:after="0" w:line="294" w:lineRule="auto"/>
        <w:rPr>
          <w:sz w:val="20"/>
          <w:szCs w:val="20"/>
          <w:color w:val="auto"/>
        </w:rPr>
      </w:pPr>
      <w:r>
        <w:rPr>
          <w:rFonts w:ascii="Arial" w:cs="Arial" w:eastAsia="Arial" w:hAnsi="Arial"/>
          <w:sz w:val="16"/>
          <w:szCs w:val="16"/>
          <w:color w:val="auto"/>
        </w:rPr>
        <w:t>In connection with the issuance of the Company’s Series A redeemable convertible preferred stock issuances in September 2011, the Company issued a warrant to purchase 129,310 shares of common stock to an investor who purchased Series A redeemable convertible preferred stock at an exercise price of $0.05 per share. The common stock warrant was exercised in December 2020 and is no longer outstanding.</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color w:val="231F20"/>
        </w:rPr>
        <w:t>Redeemable Convertible Preferred Stock Warrants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Warrants</w:t>
      </w:r>
    </w:p>
    <w:p>
      <w:pPr>
        <w:spacing w:after="0" w:line="104" w:lineRule="exact"/>
        <w:rPr>
          <w:sz w:val="20"/>
          <w:szCs w:val="20"/>
          <w:color w:val="auto"/>
        </w:rPr>
      </w:pPr>
    </w:p>
    <w:p>
      <w:pPr>
        <w:ind w:left="120" w:right="80" w:firstLine="419"/>
        <w:spacing w:after="0" w:line="243" w:lineRule="auto"/>
        <w:rPr>
          <w:sz w:val="20"/>
          <w:szCs w:val="20"/>
          <w:color w:val="auto"/>
        </w:rPr>
      </w:pPr>
      <w:r>
        <w:rPr>
          <w:rFonts w:ascii="Arial" w:cs="Arial" w:eastAsia="Arial" w:hAnsi="Arial"/>
          <w:sz w:val="18"/>
          <w:szCs w:val="18"/>
          <w:color w:val="auto"/>
        </w:rPr>
        <w:t>Under the 2019 Term Loan, the Company issued the 2019 Warrants to purchase shares of its Series C redeemable convertible preferred stock. At initial recognition, the warrants were recorded at fair value and were subject to remeasurement at each balance sheet date. Subsequent to the IPO in 2021, the outstanding warrants were converted to common stock, which resulted in the re-classification of the convertible preferred stock warrant liability to additional paid-in-capital.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7" w:name="page128"/>
    <w:bookmarkEnd w:id="127"/>
    <w:p>
      <w:pPr>
        <w:jc w:val="both"/>
        <w:ind w:left="120" w:right="160" w:firstLine="419"/>
        <w:spacing w:after="0" w:line="261" w:lineRule="auto"/>
        <w:rPr>
          <w:sz w:val="20"/>
          <w:szCs w:val="20"/>
          <w:color w:val="auto"/>
        </w:rPr>
      </w:pPr>
      <w:r>
        <w:rPr>
          <w:rFonts w:ascii="Arial" w:cs="Arial" w:eastAsia="Arial" w:hAnsi="Arial"/>
          <w:sz w:val="18"/>
          <w:szCs w:val="18"/>
          <w:color w:val="auto"/>
        </w:rPr>
        <w:t>As of December 31, 2020, the estimated fair value of the warrants was $0.3 million. The fair value was calculated using the Black-Scholes option-pricing model with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40" w:type="dxa"/>
            <w:vAlign w:val="bottom"/>
          </w:tcPr>
          <w:p>
            <w:pPr>
              <w:spacing w:after="0"/>
              <w:rPr>
                <w:sz w:val="15"/>
                <w:szCs w:val="15"/>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9240" w:type="dxa"/>
            <w:vAlign w:val="bottom"/>
          </w:tcPr>
          <w:p>
            <w:pPr>
              <w:spacing w:after="0"/>
              <w:rPr>
                <w:sz w:val="16"/>
                <w:szCs w:val="16"/>
                <w:color w:val="auto"/>
              </w:rPr>
            </w:pPr>
          </w:p>
        </w:tc>
        <w:tc>
          <w:tcPr>
            <w:tcW w:w="200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4"/>
                <w:szCs w:val="14"/>
                <w:b w:val="1"/>
                <w:bCs w:val="1"/>
                <w:color w:val="auto"/>
              </w:rPr>
              <w:t>2020</w:t>
            </w:r>
          </w:p>
        </w:tc>
      </w:tr>
      <w:tr>
        <w:trPr>
          <w:trHeight w:val="196"/>
        </w:trPr>
        <w:tc>
          <w:tcPr>
            <w:tcW w:w="9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term (in years)</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w:t>
            </w:r>
          </w:p>
        </w:tc>
        <w:tc>
          <w:tcPr>
            <w:tcW w:w="1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 8.5</w:t>
            </w:r>
          </w:p>
        </w:tc>
      </w:tr>
      <w:tr>
        <w:trPr>
          <w:trHeight w:val="203"/>
        </w:trPr>
        <w:tc>
          <w:tcPr>
            <w:tcW w:w="924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42.18%</w:t>
            </w:r>
          </w:p>
        </w:tc>
        <w:tc>
          <w:tcPr>
            <w:tcW w:w="1060" w:type="dxa"/>
            <w:vAlign w:val="bottom"/>
          </w:tcPr>
          <w:p>
            <w:pPr>
              <w:ind w:left="20"/>
              <w:spacing w:after="0" w:line="202" w:lineRule="exact"/>
              <w:rPr>
                <w:sz w:val="20"/>
                <w:szCs w:val="20"/>
                <w:color w:val="auto"/>
              </w:rPr>
            </w:pPr>
            <w:r>
              <w:rPr>
                <w:rFonts w:ascii="Arial" w:cs="Arial" w:eastAsia="Arial" w:hAnsi="Arial"/>
                <w:sz w:val="18"/>
                <w:szCs w:val="18"/>
                <w:color w:val="auto"/>
              </w:rPr>
              <w:t>– 42.63%</w:t>
            </w:r>
          </w:p>
        </w:tc>
      </w:tr>
      <w:tr>
        <w:trPr>
          <w:trHeight w:val="203"/>
        </w:trPr>
        <w:tc>
          <w:tcPr>
            <w:tcW w:w="9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w:t>
            </w:r>
          </w:p>
        </w:tc>
        <w:tc>
          <w:tcPr>
            <w:tcW w:w="1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2.49%</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94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Warrant</w:t>
      </w:r>
    </w:p>
    <w:p>
      <w:pPr>
        <w:spacing w:after="0" w:line="104" w:lineRule="exact"/>
        <w:rPr>
          <w:sz w:val="20"/>
          <w:szCs w:val="20"/>
          <w:color w:val="auto"/>
        </w:rPr>
      </w:pPr>
    </w:p>
    <w:p>
      <w:pPr>
        <w:jc w:val="both"/>
        <w:ind w:left="120" w:right="160" w:firstLine="419"/>
        <w:spacing w:after="0" w:line="248" w:lineRule="auto"/>
        <w:rPr>
          <w:sz w:val="20"/>
          <w:szCs w:val="20"/>
          <w:color w:val="auto"/>
        </w:rPr>
      </w:pPr>
      <w:r>
        <w:rPr>
          <w:rFonts w:ascii="Arial" w:cs="Arial" w:eastAsia="Arial" w:hAnsi="Arial"/>
          <w:sz w:val="18"/>
          <w:szCs w:val="18"/>
          <w:color w:val="auto"/>
        </w:rPr>
        <w:t>In conjunction with entering into the 2020 Term Loan agreement, the Company issued the 2020 Warrant to purchase 300,000 shares of its Series F redeemable convertible preferred stock. The warrant was immediately exercisable at an exercise price per share of $21.88 and expires 10 years from its date of issuance.</w:t>
      </w:r>
    </w:p>
    <w:p>
      <w:pPr>
        <w:spacing w:after="0" w:line="182" w:lineRule="exact"/>
        <w:rPr>
          <w:sz w:val="20"/>
          <w:szCs w:val="20"/>
          <w:color w:val="auto"/>
        </w:rPr>
      </w:pPr>
    </w:p>
    <w:p>
      <w:pPr>
        <w:ind w:left="120" w:right="540" w:firstLine="419"/>
        <w:spacing w:after="0" w:line="261" w:lineRule="auto"/>
        <w:rPr>
          <w:sz w:val="20"/>
          <w:szCs w:val="20"/>
          <w:color w:val="auto"/>
        </w:rPr>
      </w:pPr>
      <w:r>
        <w:rPr>
          <w:rFonts w:ascii="Arial" w:cs="Arial" w:eastAsia="Arial" w:hAnsi="Arial"/>
          <w:sz w:val="18"/>
          <w:szCs w:val="18"/>
          <w:color w:val="auto"/>
        </w:rPr>
        <w:t>The estimated fair value of the warrant on the date of issuance was $1.8 million. As of the issuance date, the fair value was calculated using a Multi-scenario Method with Discounts for Lack of Marketability for each class of security.</w:t>
      </w:r>
    </w:p>
    <w:p>
      <w:pPr>
        <w:spacing w:after="0" w:line="171" w:lineRule="exact"/>
        <w:rPr>
          <w:sz w:val="20"/>
          <w:szCs w:val="20"/>
          <w:color w:val="auto"/>
        </w:rPr>
      </w:pPr>
    </w:p>
    <w:p>
      <w:pPr>
        <w:jc w:val="both"/>
        <w:ind w:left="120" w:right="100" w:firstLine="419"/>
        <w:spacing w:after="0" w:line="243" w:lineRule="auto"/>
        <w:rPr>
          <w:sz w:val="20"/>
          <w:szCs w:val="20"/>
          <w:color w:val="auto"/>
        </w:rPr>
      </w:pPr>
      <w:r>
        <w:rPr>
          <w:rFonts w:ascii="Arial" w:cs="Arial" w:eastAsia="Arial" w:hAnsi="Arial"/>
          <w:sz w:val="18"/>
          <w:szCs w:val="18"/>
          <w:color w:val="auto"/>
        </w:rPr>
        <w:t>At initial recognition, the warrant was recorded at its estimated fair values and was subject to remeasurement at each balance sheet date. Upon the completion of the IPO, the outstanding warrant was converted to purchase 600,000 shares of common stock, which resulted in the re-classification of the convertible preferred stock warrant liability to additional paid-in capital. In August 2021, the warrant was net exercised and the Company issued 431,708 shares of common stock.</w:t>
      </w:r>
    </w:p>
    <w:p>
      <w:pPr>
        <w:spacing w:after="0" w:line="188" w:lineRule="exact"/>
        <w:rPr>
          <w:sz w:val="20"/>
          <w:szCs w:val="20"/>
          <w:color w:val="auto"/>
        </w:rPr>
      </w:pPr>
    </w:p>
    <w:p>
      <w:pPr>
        <w:ind w:left="120" w:right="140" w:firstLine="419"/>
        <w:spacing w:after="0" w:line="261" w:lineRule="auto"/>
        <w:rPr>
          <w:sz w:val="20"/>
          <w:szCs w:val="20"/>
          <w:color w:val="auto"/>
        </w:rPr>
      </w:pPr>
      <w:r>
        <w:rPr>
          <w:rFonts w:ascii="Arial" w:cs="Arial" w:eastAsia="Arial" w:hAnsi="Arial"/>
          <w:sz w:val="18"/>
          <w:szCs w:val="18"/>
          <w:color w:val="auto"/>
        </w:rPr>
        <w:t>At December 31, 2020, the estimated fair value of the 2020 Warrant was $1.8 million. The fair value of the redeemable convertible preferred stock warrants was determined using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40" w:type="dxa"/>
            <w:vAlign w:val="bottom"/>
          </w:tcPr>
          <w:p>
            <w:pPr>
              <w:spacing w:after="0"/>
              <w:rPr>
                <w:sz w:val="15"/>
                <w:szCs w:val="15"/>
                <w:color w:val="auto"/>
              </w:rPr>
            </w:pPr>
          </w:p>
        </w:tc>
        <w:tc>
          <w:tcPr>
            <w:tcW w:w="2000" w:type="dxa"/>
            <w:vAlign w:val="bottom"/>
          </w:tcPr>
          <w:p>
            <w:pPr>
              <w:ind w:left="5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924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9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Term (in years)</w:t>
            </w:r>
          </w:p>
        </w:tc>
        <w:tc>
          <w:tcPr>
            <w:tcW w:w="20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0.58 – 2.58</w:t>
            </w:r>
          </w:p>
        </w:tc>
      </w:tr>
      <w:tr>
        <w:trPr>
          <w:trHeight w:val="203"/>
        </w:trPr>
        <w:tc>
          <w:tcPr>
            <w:tcW w:w="924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1"/>
              </w:rPr>
              <w:t>55.9% - 65.6%</w:t>
            </w:r>
          </w:p>
        </w:tc>
      </w:tr>
      <w:tr>
        <w:trPr>
          <w:trHeight w:val="203"/>
        </w:trPr>
        <w:tc>
          <w:tcPr>
            <w:tcW w:w="9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2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0.08% - 0.18%</w:t>
            </w:r>
          </w:p>
        </w:tc>
      </w:tr>
    </w:tbl>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Common Stock</w:t>
      </w:r>
    </w:p>
    <w:p>
      <w:pPr>
        <w:spacing w:after="0" w:line="108" w:lineRule="exact"/>
        <w:rPr>
          <w:sz w:val="20"/>
          <w:szCs w:val="20"/>
          <w:color w:val="auto"/>
        </w:rPr>
      </w:pPr>
    </w:p>
    <w:p>
      <w:pPr>
        <w:ind w:left="120" w:right="380" w:firstLine="419"/>
        <w:spacing w:after="0" w:line="241" w:lineRule="auto"/>
        <w:rPr>
          <w:sz w:val="20"/>
          <w:szCs w:val="20"/>
          <w:color w:val="auto"/>
        </w:rPr>
      </w:pPr>
      <w:r>
        <w:rPr>
          <w:rFonts w:ascii="Arial" w:cs="Arial" w:eastAsia="Arial" w:hAnsi="Arial"/>
          <w:sz w:val="18"/>
          <w:szCs w:val="18"/>
          <w:color w:val="auto"/>
        </w:rPr>
        <w:t>In connection with the Company’s IPO in July 2021, the Company’s certificate of incorporation was amended and restated to provide for 200,000,000 authorized shares of common stock with a par value of $0.001 per share and 10,000,000 authorized shares of preferred stock with a par value of $0.001 per share. The holders of common stock were also entitled to receive dividends whenever funds are legally available, when and if declared by the board of directors. As of December 31, 2021, no dividends have been declared to date. Each share of common stock is entitled to one vote.</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 December 31, 2021 and December 31, 2020, the Company had reserved common stock for future issuances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36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Redeemable convertible preferred stock and warrants</w:t>
            </w:r>
          </w:p>
        </w:tc>
        <w:tc>
          <w:tcPr>
            <w:tcW w:w="30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26,193,432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Common stock options issued and outstanding</w:t>
            </w:r>
          </w:p>
        </w:tc>
        <w:tc>
          <w:tcPr>
            <w:tcW w:w="4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4,996,945</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3,137,776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Common stock available for future grant</w:t>
            </w:r>
          </w:p>
        </w:tc>
        <w:tc>
          <w:tcPr>
            <w:tcW w:w="4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5,321,687</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451,670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 outstanding</w:t>
            </w:r>
          </w:p>
        </w:tc>
        <w:tc>
          <w:tcPr>
            <w:tcW w:w="4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53,250</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Shares available for future purchase under ESPP</w:t>
            </w:r>
          </w:p>
        </w:tc>
        <w:tc>
          <w:tcPr>
            <w:tcW w:w="300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850,000</w:t>
            </w:r>
          </w:p>
        </w:tc>
        <w:tc>
          <w:tcPr>
            <w:tcW w:w="2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4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11,221,882</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29,782,878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00" w:type="dxa"/>
            <w:vAlign w:val="bottom"/>
            <w:vMerge w:val="restart"/>
          </w:tcPr>
          <w:p>
            <w:pPr>
              <w:jc w:val="right"/>
              <w:ind w:right="1830"/>
              <w:spacing w:after="0"/>
              <w:rPr>
                <w:sz w:val="20"/>
                <w:szCs w:val="20"/>
                <w:color w:val="auto"/>
              </w:rPr>
            </w:pPr>
            <w:r>
              <w:rPr>
                <w:rFonts w:ascii="Arial" w:cs="Arial" w:eastAsia="Arial" w:hAnsi="Arial"/>
                <w:sz w:val="18"/>
                <w:szCs w:val="18"/>
                <w:color w:val="auto"/>
              </w:rPr>
              <w:t>123</w:t>
            </w: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6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8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-639445</wp:posOffset>
            </wp:positionV>
            <wp:extent cx="431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-639445</wp:posOffset>
            </wp:positionV>
            <wp:extent cx="4318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8" w:name="page129"/>
    <w:bookmarkEnd w:id="128"/>
    <w:p>
      <w:pPr>
        <w:ind w:left="120"/>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color w:val="231F20"/>
        </w:rPr>
        <w:t>Equity Incentive Plans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31F20"/>
        </w:rPr>
        <w:t>2011 Stock Option Plan and 2021 Equity Incentive Plan</w:t>
      </w:r>
    </w:p>
    <w:p>
      <w:pPr>
        <w:spacing w:after="0" w:line="104" w:lineRule="exact"/>
        <w:rPr>
          <w:sz w:val="20"/>
          <w:szCs w:val="20"/>
          <w:color w:val="auto"/>
        </w:rPr>
      </w:pPr>
    </w:p>
    <w:p>
      <w:pPr>
        <w:ind w:left="120" w:right="80" w:firstLine="419"/>
        <w:spacing w:after="0" w:line="252" w:lineRule="auto"/>
        <w:rPr>
          <w:sz w:val="20"/>
          <w:szCs w:val="20"/>
          <w:color w:val="auto"/>
        </w:rPr>
      </w:pPr>
      <w:r>
        <w:rPr>
          <w:rFonts w:ascii="Arial" w:cs="Arial" w:eastAsia="Arial" w:hAnsi="Arial"/>
          <w:sz w:val="17"/>
          <w:szCs w:val="17"/>
          <w:color w:val="auto"/>
        </w:rPr>
        <w:t>In 2011, the Company established its 2011 stock option plan (the “2011 Plan”) that provided for the granting of stock options to employees and nonemployees of the Company. In July 2021, the Company’s Board of Directors and stockholders adopted and approved the 2021 Equity Incentive Plan, (the “2021 Plan”). Under the 2021 Plan, the Company had the ability to issue incentive stock options ("ISOs"), nonqualified stock options ("NSOs"), stock appreciation rights, dividend equivalent rights, restricted stock awards, and restricted stock unit awards. Options under the 2021 Plan could be granted for periods of up to 10 years. For incentive stock options granted to a grantee who, at the time the option is granted, owns stock representing more than 10% of the voting power of all classes of stock of the Company or any parent or subsidiary of the Company, the term of the incentive stock option may be granted for periods of up to five years. The ISOs and NSOs will be granted at a price per share not less than the fair value at the date of grant. The exercise price of an ISO granted to a 10% stockholder shall not be less than 110% of the estimated fair value of the shares on the date of grant, as determined by the board of directors. Options granted to new hires generally vest over a four-year period, with 25% vesting at the end of one year and the remaining vesting monthly thereafter; options granted as merit awards generally vest monthly over a four-year period. The Company reserved 5,200,000 shares of common stock for future issuance under the 2021 Plan.</w:t>
      </w:r>
    </w:p>
    <w:p>
      <w:pPr>
        <w:spacing w:after="0" w:line="186" w:lineRule="exact"/>
        <w:rPr>
          <w:sz w:val="20"/>
          <w:szCs w:val="20"/>
          <w:color w:val="auto"/>
        </w:rPr>
      </w:pPr>
    </w:p>
    <w:p>
      <w:pPr>
        <w:jc w:val="both"/>
        <w:ind w:left="120" w:right="220" w:firstLine="419"/>
        <w:spacing w:after="0" w:line="294" w:lineRule="auto"/>
        <w:rPr>
          <w:sz w:val="20"/>
          <w:szCs w:val="20"/>
          <w:color w:val="auto"/>
        </w:rPr>
      </w:pPr>
      <w:r>
        <w:rPr>
          <w:rFonts w:ascii="Arial" w:cs="Arial" w:eastAsia="Arial" w:hAnsi="Arial"/>
          <w:sz w:val="16"/>
          <w:szCs w:val="16"/>
          <w:color w:val="auto"/>
        </w:rPr>
        <w:t>The Company’s 2011 Stock Plan was terminated in connection with the IPO and no further grants will be made under the 2011 Plan from the date that the 2021 Plan became effective. The terms under the 2011 Plan are consistent with those described above for the 2021 Plan. The Company had the ability to issue ISOs, NSOs, stock appreciation rights, dividend equivalent rights, restricted stock awards, and restricted stock unit awards.</w:t>
      </w:r>
    </w:p>
    <w:p>
      <w:pPr>
        <w:spacing w:after="0" w:line="147" w:lineRule="exact"/>
        <w:rPr>
          <w:sz w:val="20"/>
          <w:szCs w:val="20"/>
          <w:color w:val="auto"/>
        </w:rPr>
      </w:pPr>
    </w:p>
    <w:p>
      <w:pPr>
        <w:ind w:left="120" w:right="220" w:firstLine="419"/>
        <w:spacing w:after="0" w:line="261" w:lineRule="auto"/>
        <w:rPr>
          <w:sz w:val="20"/>
          <w:szCs w:val="20"/>
          <w:color w:val="auto"/>
        </w:rPr>
      </w:pPr>
      <w:r>
        <w:rPr>
          <w:rFonts w:ascii="Arial" w:cs="Arial" w:eastAsia="Arial" w:hAnsi="Arial"/>
          <w:sz w:val="18"/>
          <w:szCs w:val="18"/>
          <w:color w:val="auto"/>
        </w:rPr>
        <w:t>At December 31, 2021 and 2020, there were 5,321,687 shares and 451,670 shares, respectively, of common stock available for issuance under the 2021 and 2011 Plans, respectively.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stock option activity under the 2011 and 2021 Plans: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90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4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4"/>
              </w:rPr>
              <w:t>Weighted-Average</w:t>
            </w:r>
          </w:p>
        </w:tc>
        <w:tc>
          <w:tcPr>
            <w:tcW w:w="2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2"/>
              </w:rPr>
              <w:t>Average Intrinsic 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20" w:type="dxa"/>
            <w:vAlign w:val="bottom"/>
          </w:tcPr>
          <w:p>
            <w:pPr>
              <w:spacing w:after="0"/>
              <w:rPr>
                <w:sz w:val="16"/>
                <w:szCs w:val="16"/>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420" w:type="dxa"/>
            <w:vAlign w:val="bottom"/>
          </w:tcPr>
          <w:p>
            <w:pPr>
              <w:jc w:val="right"/>
              <w:ind w:right="274"/>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356"/>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Outstanding, December 31, 2020</w:t>
            </w: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3,137,776</w:t>
            </w: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0.94</w:t>
            </w:r>
          </w:p>
        </w:tc>
        <w:tc>
          <w:tcPr>
            <w:tcW w:w="220" w:type="dxa"/>
            <w:vAlign w:val="bottom"/>
            <w:shd w:val="clear" w:color="auto" w:fill="CFF0FC"/>
          </w:tcPr>
          <w:p>
            <w:pPr>
              <w:spacing w:after="0"/>
              <w:rPr>
                <w:sz w:val="17"/>
                <w:szCs w:val="17"/>
                <w:color w:val="auto"/>
              </w:rPr>
            </w:pPr>
          </w:p>
        </w:tc>
        <w:tc>
          <w:tcPr>
            <w:tcW w:w="1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18,656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Grants</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2,487,253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11.35</w:t>
            </w: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Forfeited/cancelled</w:t>
            </w:r>
          </w:p>
        </w:tc>
        <w:tc>
          <w:tcPr>
            <w:tcW w:w="19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(150,520 )</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w:t>
            </w:r>
          </w:p>
        </w:tc>
        <w:tc>
          <w:tcPr>
            <w:tcW w:w="22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Exercised</w:t>
            </w:r>
          </w:p>
        </w:tc>
        <w:tc>
          <w:tcPr>
            <w:tcW w:w="1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(477,564 )</w:t>
            </w: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0.78</w:t>
            </w: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Outstanding, December 31, 2021</w:t>
            </w:r>
          </w:p>
        </w:tc>
        <w:tc>
          <w:tcPr>
            <w:tcW w:w="1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4,996,945</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6.05</w:t>
            </w:r>
          </w:p>
        </w:tc>
        <w:tc>
          <w:tcPr>
            <w:tcW w:w="210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7.6</w:t>
            </w:r>
          </w:p>
        </w:tc>
        <w:tc>
          <w:tcPr>
            <w:tcW w:w="34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58,420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3620" w:type="dxa"/>
            <w:vAlign w:val="bottom"/>
          </w:tcPr>
          <w:p>
            <w:pPr>
              <w:ind w:left="20"/>
              <w:spacing w:after="0" w:line="142" w:lineRule="exact"/>
              <w:rPr>
                <w:sz w:val="20"/>
                <w:szCs w:val="20"/>
                <w:color w:val="auto"/>
              </w:rPr>
            </w:pPr>
            <w:r>
              <w:rPr>
                <w:rFonts w:ascii="Arial" w:cs="Arial" w:eastAsia="Arial" w:hAnsi="Arial"/>
                <w:sz w:val="16"/>
                <w:szCs w:val="16"/>
                <w:color w:val="auto"/>
              </w:rPr>
              <w:t>Vested and exercisable as of December 31,</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2,098,249</w:t>
            </w:r>
          </w:p>
        </w:tc>
        <w:tc>
          <w:tcPr>
            <w:tcW w:w="2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2.22</w:t>
            </w:r>
          </w:p>
        </w:tc>
        <w:tc>
          <w:tcPr>
            <w:tcW w:w="2100" w:type="dxa"/>
            <w:vAlign w:val="bottom"/>
            <w:gridSpan w:val="2"/>
            <w:vMerge w:val="restart"/>
          </w:tcPr>
          <w:p>
            <w:pPr>
              <w:jc w:val="right"/>
              <w:spacing w:after="0"/>
              <w:rPr>
                <w:sz w:val="20"/>
                <w:szCs w:val="20"/>
                <w:color w:val="auto"/>
              </w:rPr>
            </w:pPr>
            <w:r>
              <w:rPr>
                <w:rFonts w:ascii="Arial" w:cs="Arial" w:eastAsia="Arial" w:hAnsi="Arial"/>
                <w:sz w:val="18"/>
                <w:szCs w:val="18"/>
                <w:color w:val="auto"/>
              </w:rPr>
              <w:t>5.6</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32,268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2021</w:t>
            </w:r>
          </w:p>
        </w:tc>
        <w:tc>
          <w:tcPr>
            <w:tcW w:w="1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210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9"/>
              </w:rPr>
              <w:t>Vested and expected to vest as of December</w:t>
            </w:r>
          </w:p>
        </w:tc>
        <w:tc>
          <w:tcPr>
            <w:tcW w:w="1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4,963,575</w:t>
            </w:r>
          </w:p>
        </w:tc>
        <w:tc>
          <w:tcPr>
            <w:tcW w:w="28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1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57,895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31, 2021</w:t>
            </w:r>
          </w:p>
        </w:tc>
        <w:tc>
          <w:tcPr>
            <w:tcW w:w="16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2100" w:type="dxa"/>
            <w:vAlign w:val="bottom"/>
            <w:gridSpan w:val="2"/>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164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-504825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-488315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120" w:right="80" w:firstLine="419"/>
        <w:spacing w:after="0" w:line="241" w:lineRule="auto"/>
        <w:rPr>
          <w:sz w:val="20"/>
          <w:szCs w:val="20"/>
          <w:color w:val="auto"/>
        </w:rPr>
      </w:pPr>
      <w:r>
        <w:rPr>
          <w:rFonts w:ascii="Arial" w:cs="Arial" w:eastAsia="Arial" w:hAnsi="Arial"/>
          <w:sz w:val="18"/>
          <w:szCs w:val="18"/>
          <w:color w:val="auto"/>
        </w:rPr>
        <w:t>The weighted-average grant-date fair values of options granted during the year ended December 31, 2021 and 2020 was $11.35 and $2.90 per share, respectively. The aggregate intrinsic value of options exercised were $7.3 million during the year ended December 31, 2021. The aggregate intrinsic value was calculated as the difference between the exercise prices of the underlying options and the estimated fair value of the common stock on the date of exercise. As of December 31, 2021, the unrecognized stock-based compensation of unvested options was $23.3 million, which is expected to be recognized over a weighted-average period of 3.29 years.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29" w:name="page130"/>
    <w:bookmarkEnd w:id="129"/>
    <w:p>
      <w:pPr>
        <w:ind w:left="120"/>
        <w:spacing w:after="0"/>
        <w:rPr>
          <w:sz w:val="20"/>
          <w:szCs w:val="20"/>
          <w:color w:val="auto"/>
        </w:rPr>
      </w:pPr>
      <w:r>
        <w:rPr>
          <w:rFonts w:ascii="Arial" w:cs="Arial" w:eastAsia="Arial" w:hAnsi="Arial"/>
          <w:sz w:val="18"/>
          <w:szCs w:val="18"/>
          <w:i w:val="1"/>
          <w:iCs w:val="1"/>
          <w:color w:val="auto"/>
        </w:rPr>
        <w:t>Determination of fair value</w:t>
      </w:r>
    </w:p>
    <w:p>
      <w:pPr>
        <w:spacing w:after="0" w:line="117" w:lineRule="exact"/>
        <w:rPr>
          <w:sz w:val="20"/>
          <w:szCs w:val="20"/>
          <w:color w:val="auto"/>
        </w:rPr>
      </w:pPr>
    </w:p>
    <w:p>
      <w:pPr>
        <w:ind w:left="120" w:right="120" w:firstLine="419"/>
        <w:spacing w:after="0" w:line="248" w:lineRule="auto"/>
        <w:rPr>
          <w:sz w:val="20"/>
          <w:szCs w:val="20"/>
          <w:color w:val="auto"/>
        </w:rPr>
      </w:pPr>
      <w:r>
        <w:rPr>
          <w:rFonts w:ascii="Arial" w:cs="Arial" w:eastAsia="Arial" w:hAnsi="Arial"/>
          <w:sz w:val="18"/>
          <w:szCs w:val="18"/>
          <w:color w:val="auto"/>
        </w:rPr>
        <w:t>The Company estimated the fair value of stock options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Years ended December 31,</w:t>
            </w:r>
          </w:p>
        </w:tc>
      </w:tr>
      <w:tr>
        <w:trPr>
          <w:trHeight w:val="169"/>
        </w:trPr>
        <w:tc>
          <w:tcPr>
            <w:tcW w:w="4520" w:type="dxa"/>
            <w:vAlign w:val="bottom"/>
          </w:tcPr>
          <w:p>
            <w:pPr>
              <w:spacing w:after="0"/>
              <w:rPr>
                <w:sz w:val="14"/>
                <w:szCs w:val="14"/>
                <w:color w:val="auto"/>
              </w:rPr>
            </w:pPr>
          </w:p>
        </w:tc>
        <w:tc>
          <w:tcPr>
            <w:tcW w:w="1900" w:type="dxa"/>
            <w:vAlign w:val="bottom"/>
            <w:gridSpan w:val="2"/>
          </w:tcPr>
          <w:p>
            <w:pPr>
              <w:jc w:val="right"/>
              <w:ind w:right="734"/>
              <w:spacing w:after="0"/>
              <w:rPr>
                <w:sz w:val="20"/>
                <w:szCs w:val="20"/>
                <w:color w:val="auto"/>
              </w:rPr>
            </w:pPr>
            <w:r>
              <w:rPr>
                <w:rFonts w:ascii="Arial" w:cs="Arial" w:eastAsia="Arial" w:hAnsi="Arial"/>
                <w:sz w:val="14"/>
                <w:szCs w:val="14"/>
                <w:b w:val="1"/>
                <w:bCs w:val="1"/>
                <w:color w:val="auto"/>
              </w:rPr>
              <w:t>2021</w:t>
            </w:r>
          </w:p>
        </w:tc>
        <w:tc>
          <w:tcPr>
            <w:tcW w:w="2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term (in years)</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4.99</w:t>
            </w:r>
          </w:p>
        </w:tc>
        <w:tc>
          <w:tcPr>
            <w:tcW w:w="1040" w:type="dxa"/>
            <w:vAlign w:val="bottom"/>
            <w:tcBorders>
              <w:top w:val="single" w:sz="8" w:color="auto"/>
            </w:tcBorders>
            <w:shd w:val="clear" w:color="auto" w:fill="CFF0FC"/>
          </w:tcPr>
          <w:p>
            <w:pPr>
              <w:ind w:left="40"/>
              <w:spacing w:after="0" w:line="196" w:lineRule="exact"/>
              <w:rPr>
                <w:sz w:val="20"/>
                <w:szCs w:val="20"/>
                <w:color w:val="auto"/>
              </w:rPr>
            </w:pPr>
            <w:r>
              <w:rPr>
                <w:rFonts w:ascii="Arial" w:cs="Arial" w:eastAsia="Arial" w:hAnsi="Arial"/>
                <w:sz w:val="18"/>
                <w:szCs w:val="18"/>
                <w:color w:val="auto"/>
              </w:rPr>
              <w:t>– 6.18</w:t>
            </w:r>
          </w:p>
        </w:tc>
        <w:tc>
          <w:tcPr>
            <w:tcW w:w="100" w:type="dxa"/>
            <w:vAlign w:val="bottom"/>
            <w:shd w:val="clear" w:color="auto" w:fill="CFF0FC"/>
          </w:tcPr>
          <w:p>
            <w:pPr>
              <w:spacing w:after="0"/>
              <w:rPr>
                <w:sz w:val="17"/>
                <w:szCs w:val="17"/>
                <w:color w:val="auto"/>
              </w:rPr>
            </w:pPr>
          </w:p>
        </w:tc>
        <w:tc>
          <w:tcPr>
            <w:tcW w:w="246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5.85-6.08</w:t>
            </w: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tcPr>
          <w:p>
            <w:pPr>
              <w:jc w:val="right"/>
              <w:spacing w:after="0"/>
              <w:rPr>
                <w:sz w:val="20"/>
                <w:szCs w:val="20"/>
                <w:color w:val="auto"/>
              </w:rPr>
            </w:pPr>
            <w:r>
              <w:rPr>
                <w:rFonts w:ascii="Arial" w:cs="Arial" w:eastAsia="Arial" w:hAnsi="Arial"/>
                <w:sz w:val="18"/>
                <w:szCs w:val="18"/>
                <w:color w:val="auto"/>
              </w:rPr>
              <w:t>56.74%</w:t>
            </w:r>
          </w:p>
        </w:tc>
        <w:tc>
          <w:tcPr>
            <w:tcW w:w="1040" w:type="dxa"/>
            <w:vAlign w:val="bottom"/>
          </w:tcPr>
          <w:p>
            <w:pPr>
              <w:ind w:left="40"/>
              <w:spacing w:after="0"/>
              <w:rPr>
                <w:sz w:val="20"/>
                <w:szCs w:val="20"/>
                <w:color w:val="auto"/>
              </w:rPr>
            </w:pPr>
            <w:r>
              <w:rPr>
                <w:rFonts w:ascii="Arial" w:cs="Arial" w:eastAsia="Arial" w:hAnsi="Arial"/>
                <w:sz w:val="18"/>
                <w:szCs w:val="18"/>
                <w:color w:val="auto"/>
              </w:rPr>
              <w:t>– 61.08%</w:t>
            </w:r>
          </w:p>
        </w:tc>
        <w:tc>
          <w:tcPr>
            <w:tcW w:w="2560" w:type="dxa"/>
            <w:vAlign w:val="bottom"/>
            <w:gridSpan w:val="2"/>
          </w:tcPr>
          <w:p>
            <w:pPr>
              <w:jc w:val="center"/>
              <w:spacing w:after="0"/>
              <w:rPr>
                <w:sz w:val="20"/>
                <w:szCs w:val="20"/>
                <w:color w:val="auto"/>
              </w:rPr>
            </w:pPr>
            <w:r>
              <w:rPr>
                <w:rFonts w:ascii="Arial" w:cs="Arial" w:eastAsia="Arial" w:hAnsi="Arial"/>
                <w:sz w:val="18"/>
                <w:szCs w:val="18"/>
                <w:color w:val="auto"/>
                <w:w w:val="90"/>
              </w:rPr>
              <w:t>48.27%-55.64%</w:t>
            </w: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0.47%</w:t>
            </w:r>
          </w:p>
        </w:tc>
        <w:tc>
          <w:tcPr>
            <w:tcW w:w="104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 1.33%</w:t>
            </w:r>
          </w:p>
        </w:tc>
        <w:tc>
          <w:tcPr>
            <w:tcW w:w="256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0.33%-1.77%</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Dividend yield</w:t>
            </w:r>
          </w:p>
        </w:tc>
        <w:tc>
          <w:tcPr>
            <w:tcW w:w="860" w:type="dxa"/>
            <w:vAlign w:val="bottom"/>
          </w:tcPr>
          <w:p>
            <w:pPr>
              <w:spacing w:after="0"/>
              <w:rPr>
                <w:sz w:val="21"/>
                <w:szCs w:val="21"/>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79"/>
              </w:rPr>
              <w:t>–</w:t>
            </w:r>
          </w:p>
        </w:tc>
      </w:tr>
    </w:tbl>
    <w:p>
      <w:pPr>
        <w:spacing w:after="0" w:line="3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Expected Term</w:t>
      </w:r>
    </w:p>
    <w:p>
      <w:pPr>
        <w:spacing w:after="0" w:line="104" w:lineRule="exact"/>
        <w:rPr>
          <w:sz w:val="20"/>
          <w:szCs w:val="20"/>
          <w:color w:val="auto"/>
        </w:rPr>
      </w:pPr>
    </w:p>
    <w:p>
      <w:pPr>
        <w:ind w:left="120" w:right="220" w:firstLine="419"/>
        <w:spacing w:after="0" w:line="241" w:lineRule="auto"/>
        <w:rPr>
          <w:sz w:val="20"/>
          <w:szCs w:val="20"/>
          <w:color w:val="auto"/>
        </w:rPr>
      </w:pPr>
      <w:r>
        <w:rPr>
          <w:rFonts w:ascii="Arial" w:cs="Arial" w:eastAsia="Arial" w:hAnsi="Arial"/>
          <w:sz w:val="18"/>
          <w:szCs w:val="18"/>
          <w:color w:val="auto"/>
        </w:rPr>
        <w:t>The expected term is calculated using the simplified method, which is available if there is insufficient historical data about exercise patterns and post 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 from grant until the midpoints for each of the tranches may be averaged to provide an overall expected term.</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Expected Volatility</w:t>
      </w:r>
    </w:p>
    <w:p>
      <w:pPr>
        <w:spacing w:after="0" w:line="104" w:lineRule="exact"/>
        <w:rPr>
          <w:sz w:val="20"/>
          <w:szCs w:val="20"/>
          <w:color w:val="auto"/>
        </w:rPr>
      </w:pPr>
    </w:p>
    <w:p>
      <w:pPr>
        <w:ind w:left="120" w:right="80" w:firstLine="419"/>
        <w:spacing w:after="0" w:line="243" w:lineRule="auto"/>
        <w:rPr>
          <w:sz w:val="20"/>
          <w:szCs w:val="20"/>
          <w:color w:val="auto"/>
        </w:rPr>
      </w:pPr>
      <w:r>
        <w:rPr>
          <w:rFonts w:ascii="Arial" w:cs="Arial" w:eastAsia="Arial" w:hAnsi="Arial"/>
          <w:sz w:val="18"/>
          <w:szCs w:val="18"/>
          <w:color w:val="auto"/>
        </w:rPr>
        <w:t>The Company used an average historical stock price volatility of a peer group of publicly traded companies to be representative of its expected future stock price volatility, as the Company did not have any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Risk-Free Interest Rate</w:t>
      </w:r>
    </w:p>
    <w:p>
      <w:pPr>
        <w:spacing w:after="0" w:line="104" w:lineRule="exact"/>
        <w:rPr>
          <w:sz w:val="20"/>
          <w:szCs w:val="20"/>
          <w:color w:val="auto"/>
        </w:rPr>
      </w:pPr>
    </w:p>
    <w:p>
      <w:pPr>
        <w:ind w:left="120" w:right="220" w:firstLine="419"/>
        <w:spacing w:after="0" w:line="261" w:lineRule="auto"/>
        <w:rPr>
          <w:sz w:val="20"/>
          <w:szCs w:val="20"/>
          <w:color w:val="auto"/>
        </w:rPr>
      </w:pPr>
      <w:r>
        <w:rPr>
          <w:rFonts w:ascii="Arial" w:cs="Arial" w:eastAsia="Arial" w:hAnsi="Arial"/>
          <w:sz w:val="18"/>
          <w:szCs w:val="18"/>
          <w:color w:val="auto"/>
        </w:rPr>
        <w:t>The risk-free interest rate is based on the implied yield currently available on US Treasury zero-coupon issues with remaining terms equivalent to the expected term of a stock award.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Expected Dividend Rate</w:t>
      </w:r>
    </w:p>
    <w:p>
      <w:pPr>
        <w:spacing w:after="0" w:line="104" w:lineRule="exact"/>
        <w:rPr>
          <w:sz w:val="20"/>
          <w:szCs w:val="20"/>
          <w:color w:val="auto"/>
        </w:rPr>
      </w:pPr>
    </w:p>
    <w:p>
      <w:pPr>
        <w:ind w:left="120" w:right="120" w:firstLine="419"/>
        <w:spacing w:after="0" w:line="261" w:lineRule="auto"/>
        <w:rPr>
          <w:sz w:val="20"/>
          <w:szCs w:val="20"/>
          <w:color w:val="auto"/>
        </w:rPr>
      </w:pPr>
      <w:r>
        <w:rPr>
          <w:rFonts w:ascii="Arial" w:cs="Arial" w:eastAsia="Arial" w:hAnsi="Arial"/>
          <w:sz w:val="18"/>
          <w:szCs w:val="18"/>
          <w:color w:val="auto"/>
        </w:rPr>
        <w:t>The Company has not paid, and does not anticipate paying, any dividends in the near future. Accordingly, the Company has estimated the dividend yield to be 0%.</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31F20"/>
        </w:rPr>
        <w:t>Restricted Stock Units</w:t>
      </w:r>
    </w:p>
    <w:p>
      <w:pPr>
        <w:spacing w:after="0" w:line="104" w:lineRule="exact"/>
        <w:rPr>
          <w:sz w:val="20"/>
          <w:szCs w:val="20"/>
          <w:color w:val="auto"/>
        </w:rPr>
      </w:pPr>
    </w:p>
    <w:p>
      <w:pPr>
        <w:ind w:left="120" w:right="160" w:firstLine="419"/>
        <w:spacing w:after="0" w:line="284" w:lineRule="auto"/>
        <w:rPr>
          <w:sz w:val="20"/>
          <w:szCs w:val="20"/>
          <w:color w:val="auto"/>
        </w:rPr>
      </w:pPr>
      <w:r>
        <w:rPr>
          <w:rFonts w:ascii="Arial" w:cs="Arial" w:eastAsia="Arial" w:hAnsi="Arial"/>
          <w:sz w:val="16"/>
          <w:szCs w:val="16"/>
          <w:color w:val="auto"/>
        </w:rPr>
        <w:t>RSUs are share awards that entitle the holder to receive freely tradable shares of the Company’s common stock upon vesting. The RSUs cannot be transferred, and the awards are subject to forfeiture if the holder’s employment terminates prior to the release of the vesting restrictions. The RSUs generally vest over a four-year period with straight-line vesting in equal amounts on an annual basis, provided the employee remains continuously employed with the Company. The fair value of the RSUs is equal to the closing price of the Company’s common stock on the grant date.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restricted share award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80" w:type="dxa"/>
            <w:vAlign w:val="bottom"/>
          </w:tcPr>
          <w:p>
            <w:pPr>
              <w:jc w:val="right"/>
              <w:ind w:right="436"/>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Weighted-Average Grant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5"/>
        </w:trPr>
        <w:tc>
          <w:tcPr>
            <w:tcW w:w="9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Date Fair Value Per Share</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6"/>
        </w:trPr>
        <w:tc>
          <w:tcPr>
            <w:tcW w:w="920" w:type="dxa"/>
            <w:vAlign w:val="bottom"/>
          </w:tcPr>
          <w:p>
            <w:pPr>
              <w:spacing w:after="0"/>
              <w:rPr>
                <w:sz w:val="17"/>
                <w:szCs w:val="17"/>
                <w:color w:val="auto"/>
              </w:rPr>
            </w:pPr>
          </w:p>
        </w:tc>
        <w:tc>
          <w:tcPr>
            <w:tcW w:w="35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December 31, 2020</w:t>
            </w:r>
          </w:p>
        </w:tc>
        <w:tc>
          <w:tcPr>
            <w:tcW w:w="226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3540" w:type="dxa"/>
            <w:vAlign w:val="bottom"/>
          </w:tcPr>
          <w:p>
            <w:pPr>
              <w:ind w:left="180"/>
              <w:spacing w:after="0" w:line="202" w:lineRule="exact"/>
              <w:rPr>
                <w:sz w:val="20"/>
                <w:szCs w:val="20"/>
                <w:color w:val="auto"/>
              </w:rPr>
            </w:pPr>
            <w:r>
              <w:rPr>
                <w:rFonts w:ascii="Arial" w:cs="Arial" w:eastAsia="Arial" w:hAnsi="Arial"/>
                <w:sz w:val="18"/>
                <w:szCs w:val="18"/>
                <w:color w:val="auto"/>
              </w:rPr>
              <w:t>Grants</w:t>
            </w:r>
          </w:p>
        </w:tc>
        <w:tc>
          <w:tcPr>
            <w:tcW w:w="3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53,250</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22.91</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35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Forfeited/cancelled</w:t>
            </w:r>
          </w:p>
        </w:tc>
        <w:tc>
          <w:tcPr>
            <w:tcW w:w="226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354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2260" w:type="dxa"/>
            <w:vAlign w:val="bottom"/>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920" w:type="dxa"/>
            <w:vAlign w:val="bottom"/>
          </w:tcPr>
          <w:p>
            <w:pPr>
              <w:spacing w:after="0"/>
              <w:rPr>
                <w:sz w:val="20"/>
                <w:szCs w:val="20"/>
                <w:color w:val="auto"/>
              </w:rPr>
            </w:pPr>
          </w:p>
        </w:tc>
        <w:tc>
          <w:tcPr>
            <w:tcW w:w="35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Outstanding, December 31, 2021</w:t>
            </w:r>
          </w:p>
        </w:tc>
        <w:tc>
          <w:tcPr>
            <w:tcW w:w="226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53,250</w:t>
            </w:r>
          </w:p>
        </w:tc>
        <w:tc>
          <w:tcPr>
            <w:tcW w:w="860" w:type="dxa"/>
            <w:vAlign w:val="bottom"/>
            <w:tcBorders>
              <w:bottom w:val="single" w:sz="8" w:color="CFF0FC"/>
            </w:tcBorders>
            <w:gridSpan w:val="2"/>
            <w:shd w:val="clear" w:color="auto" w:fill="CFF0FC"/>
          </w:tcPr>
          <w:p>
            <w:pPr>
              <w:ind w:left="200"/>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22.91</w:t>
            </w:r>
          </w:p>
        </w:tc>
        <w:tc>
          <w:tcPr>
            <w:tcW w:w="80" w:type="dxa"/>
            <w:vAlign w:val="bottom"/>
            <w:tcBorders>
              <w:bottom w:val="single" w:sz="8" w:color="CFF0FC"/>
            </w:tcBorders>
            <w:shd w:val="clear" w:color="auto" w:fill="CFF0FC"/>
          </w:tcPr>
          <w:p>
            <w:pPr>
              <w:spacing w:after="0"/>
              <w:rPr>
                <w:sz w:val="20"/>
                <w:szCs w:val="20"/>
                <w:color w:val="auto"/>
              </w:rPr>
            </w:pPr>
          </w:p>
        </w:tc>
        <w:tc>
          <w:tcPr>
            <w:tcW w:w="900" w:type="dxa"/>
            <w:vAlign w:val="bottom"/>
          </w:tcPr>
          <w:p>
            <w:pPr>
              <w:spacing w:after="0"/>
              <w:rPr>
                <w:sz w:val="20"/>
                <w:szCs w:val="20"/>
                <w:color w:val="auto"/>
              </w:rPr>
            </w:pPr>
          </w:p>
        </w:tc>
      </w:tr>
      <w:tr>
        <w:trPr>
          <w:trHeight w:val="615"/>
        </w:trPr>
        <w:tc>
          <w:tcPr>
            <w:tcW w:w="9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60" w:type="dxa"/>
            <w:vAlign w:val="bottom"/>
          </w:tcPr>
          <w:p>
            <w:pPr>
              <w:jc w:val="right"/>
              <w:ind w:right="870"/>
              <w:spacing w:after="0"/>
              <w:rPr>
                <w:sz w:val="20"/>
                <w:szCs w:val="20"/>
                <w:color w:val="auto"/>
              </w:rPr>
            </w:pPr>
            <w:r>
              <w:rPr>
                <w:rFonts w:ascii="Arial" w:cs="Arial" w:eastAsia="Arial" w:hAnsi="Arial"/>
                <w:sz w:val="18"/>
                <w:szCs w:val="18"/>
                <w:color w:val="auto"/>
              </w:rPr>
              <w:t>125</w:t>
            </w: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8"/>
        </w:trPr>
        <w:tc>
          <w:tcPr>
            <w:tcW w:w="92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226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-496570</wp:posOffset>
            </wp:positionV>
            <wp:extent cx="514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-479425</wp:posOffset>
            </wp:positionV>
            <wp:extent cx="514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0" w:name="page131"/>
    <w:bookmarkEnd w:id="130"/>
    <w:p>
      <w:pPr>
        <w:ind w:left="120" w:right="80" w:firstLine="419"/>
        <w:spacing w:after="0" w:line="248" w:lineRule="auto"/>
        <w:rPr>
          <w:sz w:val="20"/>
          <w:szCs w:val="20"/>
          <w:color w:val="auto"/>
        </w:rPr>
      </w:pPr>
      <w:r>
        <w:rPr>
          <w:rFonts w:ascii="Arial" w:cs="Arial" w:eastAsia="Arial" w:hAnsi="Arial"/>
          <w:sz w:val="18"/>
          <w:szCs w:val="18"/>
          <w:color w:val="auto"/>
        </w:rPr>
        <w:t>There were no RSUs granted prior to 2021. During the year ended December 31, 2021, the Company recorded stock-based compensation of less than $0.1 million related to the RSUs. As of December 31, 2020, there was $1.2 million of total unrecognized compensation cost related to the RSUs that is expected to be recognized over a weighted-average period of 3.75 years.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31F20"/>
        </w:rPr>
        <w:t>Stock Based Compensation</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summary of stock-based compensation expense by function (in thousands):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0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6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goods sold</w:t>
            </w:r>
          </w:p>
        </w:tc>
        <w:tc>
          <w:tcPr>
            <w:tcW w:w="880" w:type="dxa"/>
            <w:vAlign w:val="bottom"/>
            <w:tcBorders>
              <w:top w:val="single" w:sz="8" w:color="auto"/>
            </w:tcBorders>
            <w:shd w:val="clear" w:color="auto" w:fill="CFF0FC"/>
          </w:tcPr>
          <w:p>
            <w:pPr>
              <w:jc w:val="right"/>
              <w:ind w:right="69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w:t>
            </w:r>
          </w:p>
        </w:tc>
        <w:tc>
          <w:tcPr>
            <w:tcW w:w="16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495</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60" w:type="dxa"/>
            <w:vAlign w:val="bottom"/>
          </w:tcPr>
          <w:p>
            <w:pPr>
              <w:spacing w:after="0"/>
              <w:rPr>
                <w:sz w:val="17"/>
                <w:szCs w:val="17"/>
                <w:color w:val="auto"/>
              </w:rPr>
            </w:pPr>
          </w:p>
        </w:tc>
      </w:tr>
      <w:tr>
        <w:trPr>
          <w:trHeight w:val="203"/>
        </w:trPr>
        <w:tc>
          <w:tcPr>
            <w:tcW w:w="60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88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4,517</w:t>
            </w: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040" w:type="dxa"/>
            <w:vAlign w:val="bottom"/>
          </w:tcPr>
          <w:p>
            <w:pPr>
              <w:ind w:left="180"/>
              <w:spacing w:after="0" w:line="196" w:lineRule="exact"/>
              <w:rPr>
                <w:sz w:val="20"/>
                <w:szCs w:val="20"/>
                <w:color w:val="auto"/>
              </w:rPr>
            </w:pPr>
            <w:r>
              <w:rPr>
                <w:rFonts w:ascii="Arial" w:cs="Arial" w:eastAsia="Arial" w:hAnsi="Arial"/>
                <w:sz w:val="18"/>
                <w:szCs w:val="18"/>
                <w:color w:val="auto"/>
              </w:rPr>
              <w:t>Total stock-based compensation expense</w:t>
            </w:r>
          </w:p>
        </w:tc>
        <w:tc>
          <w:tcPr>
            <w:tcW w:w="880" w:type="dxa"/>
            <w:vAlign w:val="bottom"/>
          </w:tcPr>
          <w:p>
            <w:pPr>
              <w:jc w:val="right"/>
              <w:ind w:right="69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5,083</w:t>
            </w:r>
          </w:p>
        </w:tc>
        <w:tc>
          <w:tcPr>
            <w:tcW w:w="1080" w:type="dxa"/>
            <w:vAlign w:val="bottom"/>
            <w:gridSpan w:val="2"/>
          </w:tcPr>
          <w:p>
            <w:pPr>
              <w:jc w:val="right"/>
              <w:ind w:right="730"/>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497</w:t>
            </w:r>
          </w:p>
        </w:tc>
        <w:tc>
          <w:tcPr>
            <w:tcW w:w="60" w:type="dxa"/>
            <w:vAlign w:val="bottom"/>
          </w:tcPr>
          <w:p>
            <w:pPr>
              <w:spacing w:after="0"/>
              <w:rPr>
                <w:sz w:val="17"/>
                <w:szCs w:val="17"/>
                <w:color w:val="auto"/>
              </w:rPr>
            </w:pPr>
          </w:p>
        </w:tc>
      </w:tr>
      <w:tr>
        <w:trPr>
          <w:trHeight w:val="20"/>
        </w:trPr>
        <w:tc>
          <w:tcPr>
            <w:tcW w:w="6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-159385</wp:posOffset>
            </wp:positionV>
            <wp:extent cx="4318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31F20"/>
        </w:rPr>
        <w:t>2021 Employee Stock Purchase Plan</w:t>
      </w:r>
    </w:p>
    <w:p>
      <w:pPr>
        <w:spacing w:after="0" w:line="104" w:lineRule="exact"/>
        <w:rPr>
          <w:sz w:val="20"/>
          <w:szCs w:val="20"/>
          <w:color w:val="auto"/>
        </w:rPr>
      </w:pPr>
    </w:p>
    <w:p>
      <w:pPr>
        <w:ind w:left="120" w:right="540" w:firstLine="419"/>
        <w:spacing w:after="0" w:line="261" w:lineRule="auto"/>
        <w:rPr>
          <w:sz w:val="20"/>
          <w:szCs w:val="20"/>
          <w:color w:val="auto"/>
        </w:rPr>
      </w:pPr>
      <w:r>
        <w:rPr>
          <w:rFonts w:ascii="Arial" w:cs="Arial" w:eastAsia="Arial" w:hAnsi="Arial"/>
          <w:sz w:val="18"/>
          <w:szCs w:val="18"/>
          <w:color w:val="auto"/>
        </w:rPr>
        <w:t>In July 2021, the Board of Directors and stockholders also adopted and approved the 2021 Employee Stock Purchase Plan (the “ESPP”). The Company reserved 850,000 shares of common stock for future issuance under the ESPP.</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December 31, 2021, no shares of common stock have been purchased under the ESPP.</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color w:val="231F20"/>
        </w:rPr>
        <w:t>Net Loss per Share Attributable to Common Stockholders</w:t>
      </w:r>
    </w:p>
    <w:p>
      <w:pPr>
        <w:spacing w:after="0" w:line="108" w:lineRule="exact"/>
        <w:rPr>
          <w:sz w:val="20"/>
          <w:szCs w:val="20"/>
          <w:color w:val="auto"/>
        </w:rPr>
      </w:pPr>
    </w:p>
    <w:p>
      <w:pPr>
        <w:ind w:left="120" w:right="140" w:firstLine="419"/>
        <w:spacing w:after="0" w:line="248"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for the period. As the Company reported a net loss for the years ended December 31, 2021 and 2020, basic net loss per share is the same as diluted net loss per share as the inclusion of potentially dilutive shares would have been antidilutive if included in the calculation.</w:t>
      </w:r>
    </w:p>
    <w:p>
      <w:pPr>
        <w:spacing w:after="0" w:line="182" w:lineRule="exact"/>
        <w:rPr>
          <w:sz w:val="20"/>
          <w:szCs w:val="20"/>
          <w:color w:val="auto"/>
        </w:rPr>
      </w:pPr>
    </w:p>
    <w:p>
      <w:pPr>
        <w:ind w:left="120" w:right="380" w:firstLine="419"/>
        <w:spacing w:after="0" w:line="261"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180"/>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(62,960 )</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(34,693 )</w:t>
            </w: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180"/>
              <w:spacing w:after="0" w:line="162" w:lineRule="exact"/>
              <w:rPr>
                <w:sz w:val="20"/>
                <w:szCs w:val="20"/>
                <w:color w:val="auto"/>
              </w:rPr>
            </w:pPr>
            <w:r>
              <w:rPr>
                <w:rFonts w:ascii="Arial" w:cs="Arial" w:eastAsia="Arial" w:hAnsi="Arial"/>
                <w:sz w:val="18"/>
                <w:szCs w:val="18"/>
                <w:color w:val="auto"/>
              </w:rPr>
              <w:t>Weighted-average shares of common stock</w:t>
            </w: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26,734,097</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9,356,218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180"/>
              <w:spacing w:after="0" w:line="202" w:lineRule="exact"/>
              <w:rPr>
                <w:sz w:val="20"/>
                <w:szCs w:val="20"/>
                <w:color w:val="auto"/>
              </w:rPr>
            </w:pPr>
            <w:r>
              <w:rPr>
                <w:rFonts w:ascii="Arial" w:cs="Arial" w:eastAsia="Arial" w:hAnsi="Arial"/>
                <w:sz w:val="18"/>
                <w:szCs w:val="18"/>
                <w:color w:val="auto"/>
              </w:rPr>
              <w:t>outstanding—basic and diluted</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420" w:type="dxa"/>
            <w:vAlign w:val="bottom"/>
            <w:shd w:val="clear" w:color="auto" w:fill="CFF0FC"/>
          </w:tcPr>
          <w:p>
            <w:pPr>
              <w:ind w:left="180"/>
              <w:spacing w:after="0" w:line="156" w:lineRule="exact"/>
              <w:rPr>
                <w:sz w:val="20"/>
                <w:szCs w:val="20"/>
                <w:color w:val="auto"/>
              </w:rPr>
            </w:pPr>
            <w:r>
              <w:rPr>
                <w:rFonts w:ascii="Arial" w:cs="Arial" w:eastAsia="Arial" w:hAnsi="Arial"/>
                <w:sz w:val="18"/>
                <w:szCs w:val="18"/>
                <w:color w:val="auto"/>
              </w:rPr>
              <w:t>Net loss per share attributable to common</w:t>
            </w:r>
          </w:p>
        </w:tc>
        <w:tc>
          <w:tcPr>
            <w:tcW w:w="38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(2.36 )</w:t>
            </w: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195"/>
        </w:trPr>
        <w:tc>
          <w:tcPr>
            <w:tcW w:w="4420" w:type="dxa"/>
            <w:vAlign w:val="bottom"/>
            <w:shd w:val="clear" w:color="auto" w:fill="CFF0FC"/>
          </w:tcPr>
          <w:p>
            <w:pPr>
              <w:ind w:left="180"/>
              <w:spacing w:after="0" w:line="156" w:lineRule="exact"/>
              <w:rPr>
                <w:sz w:val="20"/>
                <w:szCs w:val="20"/>
                <w:color w:val="auto"/>
              </w:rPr>
            </w:pPr>
            <w:r>
              <w:rPr>
                <w:rFonts w:ascii="Arial" w:cs="Arial" w:eastAsia="Arial" w:hAnsi="Arial"/>
                <w:sz w:val="18"/>
                <w:szCs w:val="18"/>
                <w:color w:val="auto"/>
              </w:rPr>
              <w:t>stockholders—basic and diluted</w:t>
            </w:r>
          </w:p>
        </w:tc>
        <w:tc>
          <w:tcPr>
            <w:tcW w:w="380" w:type="dxa"/>
            <w:vAlign w:val="bottom"/>
            <w:vMerge w:val="continue"/>
            <w:shd w:val="clear" w:color="auto" w:fill="CFF0FC"/>
          </w:tcPr>
          <w:p>
            <w:pPr>
              <w:spacing w:after="0"/>
              <w:rPr>
                <w:sz w:val="17"/>
                <w:szCs w:val="17"/>
                <w:color w:val="auto"/>
              </w:rPr>
            </w:pPr>
          </w:p>
        </w:tc>
        <w:tc>
          <w:tcPr>
            <w:tcW w:w="1440" w:type="dxa"/>
            <w:vAlign w:val="bottom"/>
            <w:gridSpan w:val="2"/>
            <w:vMerge w:val="continue"/>
            <w:shd w:val="clear" w:color="auto" w:fill="CFF0FC"/>
          </w:tcPr>
          <w:p>
            <w:pPr>
              <w:spacing w:after="0"/>
              <w:rPr>
                <w:sz w:val="17"/>
                <w:szCs w:val="17"/>
                <w:color w:val="auto"/>
              </w:rPr>
            </w:pPr>
          </w:p>
        </w:tc>
        <w:tc>
          <w:tcPr>
            <w:tcW w:w="360" w:type="dxa"/>
            <w:vAlign w:val="bottom"/>
            <w:vMerge w:val="continue"/>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-25400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left="120" w:right="200" w:firstLine="419"/>
        <w:spacing w:after="0" w:line="261"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 presented because including them would have been antidilutive:</w:t>
      </w:r>
    </w:p>
    <w:p>
      <w:pPr>
        <w:spacing w:after="0" w:line="176"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40" w:type="dxa"/>
            <w:vAlign w:val="bottom"/>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7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Redeemable convertible preferred stock</w:t>
            </w:r>
          </w:p>
        </w:tc>
        <w:tc>
          <w:tcPr>
            <w:tcW w:w="10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12,767,202</w:t>
            </w:r>
          </w:p>
        </w:tc>
        <w:tc>
          <w:tcPr>
            <w:tcW w:w="60" w:type="dxa"/>
            <w:vAlign w:val="bottom"/>
            <w:shd w:val="clear" w:color="auto" w:fill="CFF0FC"/>
          </w:tcPr>
          <w:p>
            <w:pPr>
              <w:spacing w:after="0"/>
              <w:rPr>
                <w:sz w:val="17"/>
                <w:szCs w:val="17"/>
                <w:color w:val="auto"/>
              </w:rPr>
            </w:pPr>
          </w:p>
        </w:tc>
      </w:tr>
      <w:tr>
        <w:trPr>
          <w:trHeight w:val="203"/>
        </w:trPr>
        <w:tc>
          <w:tcPr>
            <w:tcW w:w="8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Redeemable convertible preferred stock warrants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329,514</w:t>
            </w:r>
          </w:p>
        </w:tc>
        <w:tc>
          <w:tcPr>
            <w:tcW w:w="60" w:type="dxa"/>
            <w:vAlign w:val="bottom"/>
          </w:tcPr>
          <w:p>
            <w:pPr>
              <w:spacing w:after="0"/>
              <w:rPr>
                <w:sz w:val="17"/>
                <w:szCs w:val="17"/>
                <w:color w:val="auto"/>
              </w:rPr>
            </w:pPr>
          </w:p>
        </w:tc>
      </w:tr>
      <w:tr>
        <w:trPr>
          <w:trHeight w:val="203"/>
        </w:trPr>
        <w:tc>
          <w:tcPr>
            <w:tcW w:w="84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Options to purchase common stock</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4,996,945</w:t>
            </w:r>
          </w:p>
        </w:tc>
        <w:tc>
          <w:tcPr>
            <w:tcW w:w="2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3,137,776</w:t>
            </w:r>
          </w:p>
        </w:tc>
        <w:tc>
          <w:tcPr>
            <w:tcW w:w="60" w:type="dxa"/>
            <w:vAlign w:val="bottom"/>
            <w:shd w:val="clear" w:color="auto" w:fill="CFF0FC"/>
          </w:tcPr>
          <w:p>
            <w:pPr>
              <w:spacing w:after="0"/>
              <w:rPr>
                <w:sz w:val="17"/>
                <w:szCs w:val="17"/>
                <w:color w:val="auto"/>
              </w:rPr>
            </w:pPr>
          </w:p>
        </w:tc>
      </w:tr>
      <w:tr>
        <w:trPr>
          <w:trHeight w:val="203"/>
        </w:trPr>
        <w:tc>
          <w:tcPr>
            <w:tcW w:w="8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53,250</w:t>
            </w:r>
          </w:p>
        </w:tc>
        <w:tc>
          <w:tcPr>
            <w:tcW w:w="260" w:type="dxa"/>
            <w:vAlign w:val="bottom"/>
          </w:tcPr>
          <w:p>
            <w:pPr>
              <w:spacing w:after="0"/>
              <w:rPr>
                <w:sz w:val="17"/>
                <w:szCs w:val="17"/>
                <w:color w:val="auto"/>
              </w:rPr>
            </w:pP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73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5,050,195</w:t>
            </w:r>
          </w:p>
        </w:tc>
        <w:tc>
          <w:tcPr>
            <w:tcW w:w="26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16,234,492</w:t>
            </w:r>
          </w:p>
        </w:tc>
        <w:tc>
          <w:tcPr>
            <w:tcW w:w="60" w:type="dxa"/>
            <w:vAlign w:val="bottom"/>
            <w:tcBorders>
              <w:bottom w:val="single" w:sz="8" w:color="CFF0FC"/>
            </w:tcBorders>
            <w:shd w:val="clear" w:color="auto" w:fill="CFF0FC"/>
          </w:tcPr>
          <w:p>
            <w:pPr>
              <w:spacing w:after="0"/>
              <w:rPr>
                <w:sz w:val="20"/>
                <w:szCs w:val="20"/>
                <w:color w:val="auto"/>
              </w:rPr>
            </w:pPr>
          </w:p>
        </w:tc>
      </w:tr>
      <w:tr>
        <w:trPr>
          <w:trHeight w:val="615"/>
        </w:trPr>
        <w:tc>
          <w:tcPr>
            <w:tcW w:w="7340" w:type="dxa"/>
            <w:vAlign w:val="bottom"/>
          </w:tcPr>
          <w:p>
            <w:pPr>
              <w:ind w:left="5480"/>
              <w:spacing w:after="0"/>
              <w:rPr>
                <w:sz w:val="20"/>
                <w:szCs w:val="20"/>
                <w:color w:val="auto"/>
              </w:rPr>
            </w:pPr>
            <w:r>
              <w:rPr>
                <w:rFonts w:ascii="Arial" w:cs="Arial" w:eastAsia="Arial" w:hAnsi="Arial"/>
                <w:sz w:val="18"/>
                <w:szCs w:val="18"/>
                <w:color w:val="auto"/>
              </w:rPr>
              <w:t>126</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73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-504825</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-488315</wp:posOffset>
            </wp:positionV>
            <wp:extent cx="514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-504825</wp:posOffset>
            </wp:positionV>
            <wp:extent cx="431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-488315</wp:posOffset>
            </wp:positionV>
            <wp:extent cx="431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b w:val="1"/>
          <w:bCs w:val="1"/>
          <w:color w:val="231F20"/>
        </w:rPr>
        <w:t>Income Taxes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income tax provision for the years ended December 31, 2021 and 2020, consists of the following (in thousands):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Current</w:t>
      </w:r>
    </w:p>
    <w:p>
      <w:pPr>
        <w:spacing w:after="0" w:line="21" w:lineRule="exact"/>
        <w:rPr>
          <w:sz w:val="20"/>
          <w:szCs w:val="20"/>
          <w:color w:val="auto"/>
        </w:rPr>
      </w:pPr>
    </w:p>
    <w:tbl>
      <w:tblPr>
        <w:tblLayout w:type="fixed"/>
        <w:tblInd w:w="102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400" w:type="dxa"/>
            <w:vAlign w:val="bottom"/>
          </w:tcPr>
          <w:p>
            <w:pPr>
              <w:spacing w:after="0"/>
              <w:rPr>
                <w:sz w:val="14"/>
                <w:szCs w:val="14"/>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5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w:t>
            </w:r>
          </w:p>
        </w:tc>
        <w:tc>
          <w:tcPr>
            <w:tcW w:w="1160" w:type="dxa"/>
            <w:vAlign w:val="bottom"/>
            <w:shd w:val="clear" w:color="auto" w:fill="CFF0FC"/>
          </w:tcPr>
          <w:p>
            <w:pPr>
              <w:jc w:val="right"/>
              <w:ind w:right="97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7"/>
                <w:szCs w:val="17"/>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1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State</w:t>
            </w:r>
          </w:p>
        </w:tc>
        <w:tc>
          <w:tcPr>
            <w:tcW w:w="11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172</w:t>
            </w:r>
          </w:p>
        </w:tc>
        <w:tc>
          <w:tcPr>
            <w:tcW w:w="2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400" w:type="dxa"/>
            <w:vAlign w:val="bottom"/>
          </w:tcPr>
          <w:p>
            <w:pPr>
              <w:spacing w:after="0" w:line="196" w:lineRule="exact"/>
              <w:rPr>
                <w:sz w:val="20"/>
                <w:szCs w:val="20"/>
                <w:color w:val="auto"/>
              </w:rPr>
            </w:pPr>
            <w:r>
              <w:rPr>
                <w:rFonts w:ascii="Arial" w:cs="Arial" w:eastAsia="Arial" w:hAnsi="Arial"/>
                <w:sz w:val="18"/>
                <w:szCs w:val="18"/>
                <w:color w:val="auto"/>
              </w:rPr>
              <w:t>Provision (benefit) for income taxes</w:t>
            </w:r>
          </w:p>
        </w:tc>
        <w:tc>
          <w:tcPr>
            <w:tcW w:w="1160" w:type="dxa"/>
            <w:vAlign w:val="bottom"/>
          </w:tcPr>
          <w:p>
            <w:pPr>
              <w:jc w:val="right"/>
              <w:ind w:right="97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c>
          <w:tcPr>
            <w:tcW w:w="680" w:type="dxa"/>
            <w:vAlign w:val="bottom"/>
            <w:gridSpan w:val="2"/>
          </w:tcPr>
          <w:p>
            <w:pPr>
              <w:jc w:val="right"/>
              <w:ind w:right="307"/>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6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5140960</wp:posOffset>
            </wp:positionH>
            <wp:positionV relativeFrom="paragraph">
              <wp:posOffset>-159385</wp:posOffset>
            </wp:positionV>
            <wp:extent cx="4318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-159385</wp:posOffset>
            </wp:positionV>
            <wp:extent cx="4318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jc w:val="both"/>
        <w:ind w:right="260" w:firstLine="419"/>
        <w:spacing w:after="0" w:line="248" w:lineRule="auto"/>
        <w:rPr>
          <w:sz w:val="20"/>
          <w:szCs w:val="20"/>
          <w:color w:val="auto"/>
        </w:rPr>
      </w:pPr>
      <w:r>
        <w:rPr>
          <w:rFonts w:ascii="Arial" w:cs="Arial" w:eastAsia="Arial" w:hAnsi="Arial"/>
          <w:sz w:val="18"/>
          <w:szCs w:val="18"/>
          <w:color w:val="231F20"/>
        </w:rPr>
        <w:t>Deferred tax assets and liabilities reflect the net tax effect of temporary differences between carrying value of assets and liabilities for financial reporting purposes and the tax basis of these assets and liabilities as measured by income tax law. The income tax effect of temporary differences that give rise to deferred tax assets and (liabilities) consist of the following (in thousands):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5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35,186</w:t>
            </w:r>
          </w:p>
        </w:tc>
        <w:tc>
          <w:tcPr>
            <w:tcW w:w="220" w:type="dxa"/>
            <w:vAlign w:val="bottom"/>
          </w:tcPr>
          <w:p>
            <w:pPr>
              <w:spacing w:after="0"/>
              <w:rPr>
                <w:sz w:val="17"/>
                <w:szCs w:val="17"/>
                <w:color w:val="auto"/>
              </w:rPr>
            </w:pP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22,208</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compensation</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1,812</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899</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Research and development credits</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1,497</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1,071</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liability</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405</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Provision for bad debt</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Provision for excess and obsolete inventories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r>
      <w:tr>
        <w:trPr>
          <w:trHeight w:val="196"/>
        </w:trPr>
        <w:tc>
          <w:tcPr>
            <w:tcW w:w="5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deferred tax assets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39,195</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24,692</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Less: Valuation allowance</w:t>
            </w:r>
          </w:p>
        </w:tc>
        <w:tc>
          <w:tcPr>
            <w:tcW w:w="32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(38,804 )</w:t>
            </w:r>
          </w:p>
        </w:tc>
        <w:tc>
          <w:tcPr>
            <w:tcW w:w="42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(24,543 )</w:t>
            </w:r>
          </w:p>
        </w:tc>
      </w:tr>
      <w:tr>
        <w:trPr>
          <w:trHeight w:val="196"/>
        </w:trPr>
        <w:tc>
          <w:tcPr>
            <w:tcW w:w="5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 net of valuation allowance</w:t>
            </w: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391</w:t>
            </w:r>
          </w:p>
        </w:tc>
        <w:tc>
          <w:tcPr>
            <w:tcW w:w="22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(391 )</w:t>
            </w:r>
          </w:p>
        </w:tc>
        <w:tc>
          <w:tcPr>
            <w:tcW w:w="42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(135 )</w:t>
            </w: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Fixed Assets</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(14 )</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(391 )</w:t>
            </w:r>
          </w:p>
        </w:tc>
        <w:tc>
          <w:tcPr>
            <w:tcW w:w="42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(149 )</w:t>
            </w:r>
          </w:p>
        </w:tc>
      </w:tr>
      <w:tr>
        <w:trPr>
          <w:trHeight w:val="236"/>
        </w:trPr>
        <w:tc>
          <w:tcPr>
            <w:tcW w:w="58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deferred tax assets</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-25400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-8255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-25400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-8255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280" w:firstLine="419"/>
        <w:spacing w:after="0" w:line="248" w:lineRule="auto"/>
        <w:rPr>
          <w:sz w:val="20"/>
          <w:szCs w:val="20"/>
          <w:color w:val="auto"/>
        </w:rPr>
      </w:pPr>
      <w:r>
        <w:rPr>
          <w:rFonts w:ascii="Arial" w:cs="Arial" w:eastAsia="Arial" w:hAnsi="Arial"/>
          <w:sz w:val="18"/>
          <w:szCs w:val="18"/>
          <w:color w:val="231F20"/>
        </w:rPr>
        <w:t>Internal Revenue Code (IRC) Section 382 limits the use of federal net operating losses and income tax credit carryforwards in certain situations where changes occur in stock ownership of a company. If the Company should have an ownership change of more than 50% of the value of the Company’s capital stock, utilization of the carryforwards could be restricted.</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reconciliation of the statutory federal income tax rate to the Company’s effective tax rate is as follows (in thousands):</w:t>
      </w:r>
    </w:p>
    <w:p>
      <w:pPr>
        <w:spacing w:after="0" w:line="217"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December 31,</w:t>
      </w:r>
    </w:p>
    <w:p>
      <w:pPr>
        <w:spacing w:after="0" w:line="24" w:lineRule="exact"/>
        <w:rPr>
          <w:sz w:val="20"/>
          <w:szCs w:val="20"/>
          <w:color w:val="auto"/>
        </w:rPr>
      </w:pPr>
    </w:p>
    <w:tbl>
      <w:tblPr>
        <w:tblLayout w:type="fixed"/>
        <w:tblInd w:w="1020" w:type="dxa"/>
        <w:tblCellMar>
          <w:top w:w="0" w:type="dxa"/>
          <w:left w:w="0" w:type="dxa"/>
          <w:bottom w:w="0" w:type="dxa"/>
          <w:right w:w="0" w:type="dxa"/>
        </w:tblCellMar>
      </w:tblPr>
      <w:tr>
        <w:trPr>
          <w:trHeight w:val="169"/>
        </w:trPr>
        <w:tc>
          <w:tcPr>
            <w:tcW w:w="58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r>
      <w:tr>
        <w:trPr>
          <w:trHeight w:val="196"/>
        </w:trPr>
        <w:tc>
          <w:tcPr>
            <w:tcW w:w="5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Tax at statutory federal rate</w:t>
            </w: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50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87"/>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3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State tax, net of federal benefit</w:t>
            </w:r>
          </w:p>
        </w:tc>
        <w:tc>
          <w:tcPr>
            <w:tcW w:w="84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5 %</w:t>
            </w:r>
          </w:p>
        </w:tc>
        <w:tc>
          <w:tcPr>
            <w:tcW w:w="14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5 %</w:t>
            </w:r>
          </w:p>
        </w:tc>
      </w:tr>
      <w:tr>
        <w:trPr>
          <w:trHeight w:val="203"/>
        </w:trPr>
        <w:tc>
          <w:tcPr>
            <w:tcW w:w="66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Research and development credit</w:t>
            </w:r>
          </w:p>
        </w:tc>
        <w:tc>
          <w:tcPr>
            <w:tcW w:w="840" w:type="dxa"/>
            <w:vAlign w:val="bottom"/>
            <w:gridSpan w:val="2"/>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1 %</w:t>
            </w:r>
          </w:p>
        </w:tc>
        <w:tc>
          <w:tcPr>
            <w:tcW w:w="14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1 %</w:t>
            </w: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8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(24 )%</w:t>
            </w:r>
          </w:p>
        </w:tc>
        <w:tc>
          <w:tcPr>
            <w:tcW w:w="1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(27 )%</w:t>
            </w:r>
          </w:p>
        </w:tc>
      </w:tr>
      <w:tr>
        <w:trPr>
          <w:trHeight w:val="202"/>
        </w:trPr>
        <w:tc>
          <w:tcPr>
            <w:tcW w:w="5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7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(3 )%</w:t>
            </w:r>
          </w:p>
        </w:tc>
        <w:tc>
          <w:tcPr>
            <w:tcW w:w="148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r>
      <w:tr>
        <w:trPr>
          <w:trHeight w:val="196"/>
        </w:trPr>
        <w:tc>
          <w:tcPr>
            <w:tcW w:w="58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Effective tax rate</w:t>
            </w:r>
          </w:p>
        </w:tc>
        <w:tc>
          <w:tcPr>
            <w:tcW w:w="7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FF0FC"/>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FF0FC"/>
            </w:tcBorders>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5097780</wp:posOffset>
            </wp:positionH>
            <wp:positionV relativeFrom="paragraph">
              <wp:posOffset>-159385</wp:posOffset>
            </wp:positionV>
            <wp:extent cx="23177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6118225</wp:posOffset>
            </wp:positionH>
            <wp:positionV relativeFrom="paragraph">
              <wp:posOffset>-159385</wp:posOffset>
            </wp:positionV>
            <wp:extent cx="23114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31140" cy="5715"/>
                    </a:xfrm>
                    <a:prstGeom prst="rect">
                      <a:avLst/>
                    </a:prstGeom>
                    <a:noFill/>
                  </pic:spPr>
                </pic:pic>
              </a:graphicData>
            </a:graphic>
          </wp:anchor>
        </w:drawing>
      </w:r>
    </w:p>
    <w:p>
      <w:pPr>
        <w:spacing w:after="0" w:line="182" w:lineRule="exact"/>
        <w:rPr>
          <w:sz w:val="20"/>
          <w:szCs w:val="20"/>
          <w:color w:val="auto"/>
        </w:rPr>
      </w:pPr>
    </w:p>
    <w:p>
      <w:pPr>
        <w:ind w:firstLine="419"/>
        <w:spacing w:after="0" w:line="241" w:lineRule="auto"/>
        <w:rPr>
          <w:sz w:val="20"/>
          <w:szCs w:val="20"/>
          <w:color w:val="auto"/>
        </w:rPr>
      </w:pPr>
      <w:r>
        <w:rPr>
          <w:rFonts w:ascii="Arial" w:cs="Arial" w:eastAsia="Arial" w:hAnsi="Arial"/>
          <w:sz w:val="18"/>
          <w:szCs w:val="18"/>
          <w:color w:val="231F20"/>
        </w:rPr>
        <w:t>A valuation allowance is recorded when it is more likely than not that some portion of the deferred tax assets will not be realized. As of each reporting date, the Company’s management considers all evidence, both positive and negative, that could affect management’s view with regard to future realization of deferred tax assets. As of December 31, 2021 and 2020, a full valuation allowance for deferred tax assets was recorded as management believes it is more likely than not that all of the deferred tax assets will not be realized in the future. At December 31, 2021, and 2020, the Company has a net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648" w:right="439" w:bottom="1440" w:gutter="0" w:footer="0" w:header="0"/>
        </w:sectPr>
      </w:pPr>
    </w:p>
    <w:bookmarkStart w:id="132" w:name="page133"/>
    <w:bookmarkEnd w:id="132"/>
    <w:p>
      <w:pPr>
        <w:jc w:val="both"/>
        <w:ind w:right="40"/>
        <w:spacing w:after="0" w:line="294" w:lineRule="auto"/>
        <w:rPr>
          <w:sz w:val="20"/>
          <w:szCs w:val="20"/>
          <w:color w:val="auto"/>
        </w:rPr>
      </w:pPr>
      <w:r>
        <w:rPr>
          <w:rFonts w:ascii="Arial" w:cs="Arial" w:eastAsia="Arial" w:hAnsi="Arial"/>
          <w:sz w:val="16"/>
          <w:szCs w:val="16"/>
          <w:color w:val="231F20"/>
        </w:rPr>
        <w:t>operating loss carryforward for federal income tax purposes of approximately $136.8 million and $85.3 million, respectively. At December 31, 2021 and 2020, the Company has a net operating loss carryforward for state income tax purposes of approximately $126.6 million and $83.5 million, respectively. Net operating losses prior to 2018 of $14.8 million will expire, if not utilized, beginning in 2032 for federal and state income tax purposes.</w:t>
      </w:r>
    </w:p>
    <w:p>
      <w:pPr>
        <w:spacing w:after="0" w:line="147" w:lineRule="exact"/>
        <w:rPr>
          <w:sz w:val="20"/>
          <w:szCs w:val="20"/>
          <w:color w:val="auto"/>
        </w:rPr>
      </w:pPr>
    </w:p>
    <w:p>
      <w:pPr>
        <w:ind w:right="80" w:firstLine="419"/>
        <w:spacing w:after="0" w:line="276" w:lineRule="auto"/>
        <w:rPr>
          <w:sz w:val="20"/>
          <w:szCs w:val="20"/>
          <w:color w:val="auto"/>
        </w:rPr>
      </w:pPr>
      <w:r>
        <w:rPr>
          <w:rFonts w:ascii="Arial" w:cs="Arial" w:eastAsia="Arial" w:hAnsi="Arial"/>
          <w:sz w:val="16"/>
          <w:szCs w:val="16"/>
          <w:color w:val="231F20"/>
        </w:rPr>
        <w:t>As of December 31, 2021 and 2020, the Company has federal research and development income tax credit carryforwards of approximately $1.2 million and $0.8 million, respectively. As of December 31, 2021 and 2020, the Company has state research and development income tax credit carryforwards of approximately $0.9 million and $0.9 million, respectively. The Federal income tax credits begin to expire in 2032. The Company has a full valuation allowance on research and development tax credits as of December 31, 2021 and 2020. The state research and development credits can be carried forward indefinitely. The total amount of uncertain tax positions (UTP) on research and development tax credits is $0.6 million and $0.4 million as of December 31, 2021 and 2020, respectively. The Company does not expect any significant change to the UTP balances in the next 12 months.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table summarizes the activity related to the unrecognized tax benefits (in thousands):</w:t>
      </w:r>
    </w:p>
    <w:p>
      <w:pPr>
        <w:spacing w:after="0" w:line="217" w:lineRule="exact"/>
        <w:rPr>
          <w:sz w:val="20"/>
          <w:szCs w:val="20"/>
          <w:color w:val="auto"/>
        </w:rPr>
      </w:pPr>
    </w:p>
    <w:tbl>
      <w:tblPr>
        <w:tblLayout w:type="fixed"/>
        <w:tblInd w:w="102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020" w:type="dxa"/>
            <w:vAlign w:val="bottom"/>
          </w:tcPr>
          <w:p>
            <w:pPr>
              <w:spacing w:after="0"/>
              <w:rPr>
                <w:sz w:val="14"/>
                <w:szCs w:val="14"/>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Unrecognized tax benefits at the beginning of the year</w:t>
            </w:r>
          </w:p>
        </w:tc>
        <w:tc>
          <w:tcPr>
            <w:tcW w:w="920" w:type="dxa"/>
            <w:vAlign w:val="bottom"/>
            <w:shd w:val="clear" w:color="auto" w:fill="CFF0FC"/>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417</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304</w:t>
            </w:r>
          </w:p>
        </w:tc>
        <w:tc>
          <w:tcPr>
            <w:tcW w:w="60" w:type="dxa"/>
            <w:vAlign w:val="bottom"/>
            <w:shd w:val="clear" w:color="auto" w:fill="CFF0FC"/>
          </w:tcPr>
          <w:p>
            <w:pPr>
              <w:spacing w:after="0"/>
              <w:rPr>
                <w:sz w:val="17"/>
                <w:szCs w:val="17"/>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20"/>
                <w:szCs w:val="20"/>
                <w:color w:val="auto"/>
              </w:rPr>
            </w:pPr>
          </w:p>
        </w:tc>
      </w:tr>
      <w:tr>
        <w:trPr>
          <w:trHeight w:val="175"/>
        </w:trPr>
        <w:tc>
          <w:tcPr>
            <w:tcW w:w="6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6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Additions for tax positions of prior years</w:t>
            </w:r>
          </w:p>
        </w:tc>
        <w:tc>
          <w:tcPr>
            <w:tcW w:w="9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020" w:type="dxa"/>
            <w:vAlign w:val="bottom"/>
          </w:tcPr>
          <w:p>
            <w:pPr>
              <w:spacing w:after="0" w:line="196" w:lineRule="exact"/>
              <w:rPr>
                <w:sz w:val="20"/>
                <w:szCs w:val="20"/>
                <w:color w:val="auto"/>
              </w:rPr>
            </w:pPr>
            <w:r>
              <w:rPr>
                <w:rFonts w:ascii="Arial" w:cs="Arial" w:eastAsia="Arial" w:hAnsi="Arial"/>
                <w:sz w:val="18"/>
                <w:szCs w:val="18"/>
                <w:color w:val="auto"/>
              </w:rPr>
              <w:t>Unrecognized tax benefits at the end of the year</w:t>
            </w:r>
          </w:p>
        </w:tc>
        <w:tc>
          <w:tcPr>
            <w:tcW w:w="920" w:type="dxa"/>
            <w:vAlign w:val="bottom"/>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580</w:t>
            </w:r>
          </w:p>
        </w:tc>
        <w:tc>
          <w:tcPr>
            <w:tcW w:w="60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417</w:t>
            </w:r>
          </w:p>
        </w:tc>
        <w:tc>
          <w:tcPr>
            <w:tcW w:w="60" w:type="dxa"/>
            <w:vAlign w:val="bottom"/>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-159385</wp:posOffset>
            </wp:positionV>
            <wp:extent cx="4318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-159385</wp:posOffset>
            </wp:positionV>
            <wp:extent cx="431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400" w:firstLine="419"/>
        <w:spacing w:after="0" w:line="261" w:lineRule="auto"/>
        <w:rPr>
          <w:sz w:val="20"/>
          <w:szCs w:val="20"/>
          <w:color w:val="auto"/>
        </w:rPr>
      </w:pPr>
      <w:r>
        <w:rPr>
          <w:rFonts w:ascii="Arial" w:cs="Arial" w:eastAsia="Arial" w:hAnsi="Arial"/>
          <w:sz w:val="18"/>
          <w:szCs w:val="18"/>
          <w:color w:val="231F20"/>
        </w:rPr>
        <w:t>The Company does not have any material uncertain tax positions as of December 31, 2021 and does not expect any significant change to such balances in the next twelve months.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The Company currently has no federal or state tax examinations in progress nor has it had any federal or state tax examinations since its inception.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Due to the history of net operating losses, the Company’s federal and state tax returns remain open to examination by the tax authorities.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b w:val="1"/>
          <w:bCs w:val="1"/>
          <w:color w:val="231F20"/>
        </w:rPr>
        <w:t>Segment Information</w:t>
      </w:r>
    </w:p>
    <w:p>
      <w:pPr>
        <w:spacing w:after="0" w:line="108" w:lineRule="exact"/>
        <w:rPr>
          <w:sz w:val="20"/>
          <w:szCs w:val="20"/>
          <w:color w:val="auto"/>
        </w:rPr>
      </w:pPr>
    </w:p>
    <w:p>
      <w:pPr>
        <w:ind w:firstLine="419"/>
        <w:spacing w:after="0" w:line="243" w:lineRule="auto"/>
        <w:rPr>
          <w:sz w:val="20"/>
          <w:szCs w:val="20"/>
          <w:color w:val="auto"/>
        </w:rPr>
      </w:pPr>
      <w:r>
        <w:rPr>
          <w:rFonts w:ascii="Arial" w:cs="Arial" w:eastAsia="Arial" w:hAnsi="Arial"/>
          <w:sz w:val="18"/>
          <w:szCs w:val="18"/>
          <w:color w:val="auto"/>
        </w:rPr>
        <w:t>The Company has two reportable operating segments which are determined on the basis of product portfolio: Surgical Glaucoma and Dry Eye. The operating and reportable segments were determined based on how the Company’s Chief Executive Officer, its Chief Operating Decision Maker (“CODM”), views and evaluates the Company’s operations. The CODM allocates resources to and evaluates the financial performance of each operating segment primarily based on gross profit and gross profit margin.</w:t>
      </w:r>
    </w:p>
    <w:p>
      <w:pPr>
        <w:spacing w:after="0" w:line="188" w:lineRule="exact"/>
        <w:rPr>
          <w:sz w:val="20"/>
          <w:szCs w:val="20"/>
          <w:color w:val="auto"/>
        </w:rPr>
      </w:pPr>
    </w:p>
    <w:p>
      <w:pPr>
        <w:ind w:right="240" w:firstLine="419"/>
        <w:spacing w:after="0" w:line="261" w:lineRule="auto"/>
        <w:rPr>
          <w:sz w:val="20"/>
          <w:szCs w:val="20"/>
          <w:color w:val="auto"/>
        </w:rPr>
      </w:pPr>
      <w:r>
        <w:rPr>
          <w:rFonts w:ascii="Arial" w:cs="Arial" w:eastAsia="Arial" w:hAnsi="Arial"/>
          <w:sz w:val="18"/>
          <w:szCs w:val="18"/>
          <w:color w:val="auto"/>
        </w:rPr>
        <w:t>Surgical Glaucoma segment includes sales of the Company’s OMNI® Surgical System for use in minimally invasive glaucoma procedures. Dry Eye segment includes sales of the Company’s TearCare® System and related components.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53340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544" w:right="439" w:bottom="1440" w:gutter="0" w:footer="0" w:header="0"/>
        </w:sectPr>
      </w:pPr>
    </w:p>
    <w:bookmarkStart w:id="133" w:name="page134"/>
    <w:bookmarkEnd w:id="133"/>
    <w:p>
      <w:pPr>
        <w:ind w:left="420"/>
        <w:spacing w:after="0"/>
        <w:rPr>
          <w:sz w:val="20"/>
          <w:szCs w:val="20"/>
          <w:color w:val="auto"/>
        </w:rPr>
      </w:pPr>
      <w:r>
        <w:rPr>
          <w:rFonts w:ascii="Arial" w:cs="Arial" w:eastAsia="Arial" w:hAnsi="Arial"/>
          <w:sz w:val="18"/>
          <w:szCs w:val="18"/>
          <w:color w:val="auto"/>
        </w:rPr>
        <w:t>The following table summarizes select operating results information for each reportable segment (dollars in thousands):</w:t>
      </w:r>
    </w:p>
    <w:p>
      <w:pPr>
        <w:spacing w:after="0" w:line="217" w:lineRule="exact"/>
        <w:rPr>
          <w:sz w:val="20"/>
          <w:szCs w:val="20"/>
          <w:color w:val="auto"/>
        </w:rPr>
      </w:pPr>
    </w:p>
    <w:tbl>
      <w:tblPr>
        <w:tblLayout w:type="fixed"/>
        <w:tblInd w:w="158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3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43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Revenue</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Surgical Glaucoma</w:t>
            </w:r>
          </w:p>
        </w:tc>
        <w:tc>
          <w:tcPr>
            <w:tcW w:w="960" w:type="dxa"/>
            <w:vAlign w:val="bottom"/>
          </w:tcPr>
          <w:p>
            <w:pPr>
              <w:jc w:val="right"/>
              <w:ind w:right="779"/>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46,496</w:t>
            </w:r>
          </w:p>
        </w:tc>
        <w:tc>
          <w:tcPr>
            <w:tcW w:w="260" w:type="dxa"/>
            <w:vAlign w:val="bottom"/>
          </w:tcPr>
          <w:p>
            <w:pPr>
              <w:spacing w:after="0"/>
              <w:rPr>
                <w:sz w:val="17"/>
                <w:szCs w:val="17"/>
                <w:color w:val="auto"/>
              </w:rPr>
            </w:pPr>
          </w:p>
        </w:tc>
        <w:tc>
          <w:tcPr>
            <w:tcW w:w="940" w:type="dxa"/>
            <w:vAlign w:val="bottom"/>
          </w:tcPr>
          <w:p>
            <w:pPr>
              <w:jc w:val="right"/>
              <w:ind w:right="75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26,000</w:t>
            </w:r>
          </w:p>
        </w:tc>
        <w:tc>
          <w:tcPr>
            <w:tcW w:w="120" w:type="dxa"/>
            <w:vAlign w:val="bottom"/>
          </w:tcPr>
          <w:p>
            <w:pPr>
              <w:spacing w:after="0"/>
              <w:rPr>
                <w:sz w:val="17"/>
                <w:szCs w:val="17"/>
                <w:color w:val="auto"/>
              </w:rPr>
            </w:pPr>
          </w:p>
        </w:tc>
      </w:tr>
      <w:tr>
        <w:trPr>
          <w:trHeight w:val="203"/>
        </w:trPr>
        <w:tc>
          <w:tcPr>
            <w:tcW w:w="43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Dry Eye</w:t>
            </w: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2,460</w:t>
            </w:r>
          </w:p>
        </w:tc>
        <w:tc>
          <w:tcPr>
            <w:tcW w:w="2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1,640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380" w:type="dxa"/>
            <w:vAlign w:val="bottom"/>
          </w:tcPr>
          <w:p>
            <w:pPr>
              <w:ind w:left="360"/>
              <w:spacing w:after="0" w:line="196" w:lineRule="exact"/>
              <w:rPr>
                <w:sz w:val="20"/>
                <w:szCs w:val="20"/>
                <w:color w:val="auto"/>
              </w:rPr>
            </w:pPr>
            <w:r>
              <w:rPr>
                <w:rFonts w:ascii="Arial" w:cs="Arial" w:eastAsia="Arial" w:hAnsi="Arial"/>
                <w:sz w:val="18"/>
                <w:szCs w:val="18"/>
                <w:color w:val="auto"/>
              </w:rPr>
              <w:t>Total</w:t>
            </w:r>
          </w:p>
        </w:tc>
        <w:tc>
          <w:tcPr>
            <w:tcW w:w="96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48,956</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27,640</w:t>
            </w:r>
          </w:p>
        </w:tc>
        <w:tc>
          <w:tcPr>
            <w:tcW w:w="120" w:type="dxa"/>
            <w:vAlign w:val="bottom"/>
          </w:tcPr>
          <w:p>
            <w:pPr>
              <w:spacing w:after="0"/>
              <w:rPr>
                <w:sz w:val="17"/>
                <w:szCs w:val="17"/>
                <w:color w:val="auto"/>
              </w:rPr>
            </w:pP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Cost of goods sold</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Surgical Glaucoma</w:t>
            </w:r>
          </w:p>
        </w:tc>
        <w:tc>
          <w:tcPr>
            <w:tcW w:w="9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6,473</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7,069</w:t>
            </w:r>
          </w:p>
        </w:tc>
        <w:tc>
          <w:tcPr>
            <w:tcW w:w="120" w:type="dxa"/>
            <w:vAlign w:val="bottom"/>
          </w:tcPr>
          <w:p>
            <w:pPr>
              <w:spacing w:after="0"/>
              <w:rPr>
                <w:sz w:val="17"/>
                <w:szCs w:val="17"/>
                <w:color w:val="auto"/>
              </w:rPr>
            </w:pPr>
          </w:p>
        </w:tc>
      </w:tr>
      <w:tr>
        <w:trPr>
          <w:trHeight w:val="203"/>
        </w:trPr>
        <w:tc>
          <w:tcPr>
            <w:tcW w:w="43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Dry Eye</w:t>
            </w: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2,137</w:t>
            </w:r>
          </w:p>
        </w:tc>
        <w:tc>
          <w:tcPr>
            <w:tcW w:w="2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2,140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380" w:type="dxa"/>
            <w:vAlign w:val="bottom"/>
          </w:tcPr>
          <w:p>
            <w:pPr>
              <w:ind w:left="360"/>
              <w:spacing w:after="0" w:line="196" w:lineRule="exact"/>
              <w:rPr>
                <w:sz w:val="20"/>
                <w:szCs w:val="20"/>
                <w:color w:val="auto"/>
              </w:rPr>
            </w:pPr>
            <w:r>
              <w:rPr>
                <w:rFonts w:ascii="Arial" w:cs="Arial" w:eastAsia="Arial" w:hAnsi="Arial"/>
                <w:sz w:val="18"/>
                <w:szCs w:val="18"/>
                <w:color w:val="auto"/>
              </w:rPr>
              <w:t>Total</w:t>
            </w:r>
          </w:p>
        </w:tc>
        <w:tc>
          <w:tcPr>
            <w:tcW w:w="96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8,610</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9,209</w:t>
            </w:r>
          </w:p>
        </w:tc>
        <w:tc>
          <w:tcPr>
            <w:tcW w:w="120" w:type="dxa"/>
            <w:vAlign w:val="bottom"/>
          </w:tcPr>
          <w:p>
            <w:pPr>
              <w:spacing w:after="0"/>
              <w:rPr>
                <w:sz w:val="17"/>
                <w:szCs w:val="17"/>
                <w:color w:val="auto"/>
              </w:rPr>
            </w:pP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Gross profit</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Surgical Glaucoma</w:t>
            </w:r>
          </w:p>
        </w:tc>
        <w:tc>
          <w:tcPr>
            <w:tcW w:w="9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40,023</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18,931</w:t>
            </w:r>
          </w:p>
        </w:tc>
        <w:tc>
          <w:tcPr>
            <w:tcW w:w="120" w:type="dxa"/>
            <w:vAlign w:val="bottom"/>
          </w:tcPr>
          <w:p>
            <w:pPr>
              <w:spacing w:after="0"/>
              <w:rPr>
                <w:sz w:val="17"/>
                <w:szCs w:val="17"/>
                <w:color w:val="auto"/>
              </w:rPr>
            </w:pPr>
          </w:p>
        </w:tc>
      </w:tr>
      <w:tr>
        <w:trPr>
          <w:trHeight w:val="203"/>
        </w:trPr>
        <w:tc>
          <w:tcPr>
            <w:tcW w:w="4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Dry Eye</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323</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(500 )</w:t>
            </w:r>
          </w:p>
        </w:tc>
      </w:tr>
      <w:tr>
        <w:trPr>
          <w:trHeight w:val="196"/>
        </w:trPr>
        <w:tc>
          <w:tcPr>
            <w:tcW w:w="4380" w:type="dxa"/>
            <w:vAlign w:val="bottom"/>
            <w:tcBorders>
              <w:top w:val="single" w:sz="8" w:color="CFF0FC"/>
            </w:tcBorders>
          </w:tcPr>
          <w:p>
            <w:pPr>
              <w:ind w:left="360"/>
              <w:spacing w:after="0" w:line="196" w:lineRule="exact"/>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40,346</w:t>
            </w:r>
          </w:p>
        </w:tc>
        <w:tc>
          <w:tcPr>
            <w:tcW w:w="260" w:type="dxa"/>
            <w:vAlign w:val="bottom"/>
            <w:tcBorders>
              <w:top w:val="single" w:sz="8" w:color="CFF0FC"/>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18,431</w:t>
            </w:r>
          </w:p>
        </w:tc>
        <w:tc>
          <w:tcPr>
            <w:tcW w:w="120" w:type="dxa"/>
            <w:vAlign w:val="bottom"/>
            <w:tcBorders>
              <w:top w:val="single" w:sz="8" w:color="CFF0FC"/>
            </w:tcBorders>
          </w:tcPr>
          <w:p>
            <w:pPr>
              <w:spacing w:after="0"/>
              <w:rPr>
                <w:sz w:val="17"/>
                <w:szCs w:val="17"/>
                <w:color w:val="auto"/>
              </w:rPr>
            </w:pPr>
          </w:p>
        </w:tc>
      </w:tr>
      <w:tr>
        <w:trPr>
          <w:trHeight w:val="196"/>
        </w:trPr>
        <w:tc>
          <w:tcPr>
            <w:tcW w:w="43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Operating expense</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91,824</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50,619</w:t>
            </w:r>
          </w:p>
        </w:tc>
        <w:tc>
          <w:tcPr>
            <w:tcW w:w="120" w:type="dxa"/>
            <w:vAlign w:val="bottom"/>
            <w:shd w:val="clear" w:color="auto" w:fill="CFF0FC"/>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b w:val="1"/>
                <w:bCs w:val="1"/>
                <w:color w:val="auto"/>
              </w:rPr>
              <w:t>Loss from operations</w:t>
            </w:r>
          </w:p>
        </w:tc>
        <w:tc>
          <w:tcPr>
            <w:tcW w:w="96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1"/>
              </w:rPr>
              <w:t>(51,478 )</w:t>
            </w:r>
          </w:p>
        </w:tc>
        <w:tc>
          <w:tcPr>
            <w:tcW w:w="94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1"/>
              </w:rPr>
              <w:t>(32,188 )</w:t>
            </w:r>
          </w:p>
        </w:tc>
      </w:tr>
      <w:tr>
        <w:trPr>
          <w:trHeight w:val="203"/>
        </w:trPr>
        <w:tc>
          <w:tcPr>
            <w:tcW w:w="4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9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7"/>
                <w:szCs w:val="17"/>
                <w:color w:val="auto"/>
              </w:rPr>
            </w:pPr>
          </w:p>
        </w:tc>
      </w:tr>
      <w:tr>
        <w:trPr>
          <w:trHeight w:val="203"/>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(4,366 )</w:t>
            </w:r>
          </w:p>
        </w:tc>
        <w:tc>
          <w:tcPr>
            <w:tcW w:w="94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(2,403 )</w:t>
            </w:r>
          </w:p>
        </w:tc>
      </w:tr>
      <w:tr>
        <w:trPr>
          <w:trHeight w:val="203"/>
        </w:trPr>
        <w:tc>
          <w:tcPr>
            <w:tcW w:w="4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expense, net</w:t>
            </w:r>
          </w:p>
        </w:tc>
        <w:tc>
          <w:tcPr>
            <w:tcW w:w="9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(6,928 )</w:t>
            </w: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(71 )</w:t>
            </w:r>
          </w:p>
        </w:tc>
      </w:tr>
      <w:tr>
        <w:trPr>
          <w:trHeight w:val="20"/>
        </w:trPr>
        <w:tc>
          <w:tcPr>
            <w:tcW w:w="43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4380" w:type="dxa"/>
            <w:vAlign w:val="bottom"/>
          </w:tcPr>
          <w:p>
            <w:pPr>
              <w:spacing w:after="0" w:line="196" w:lineRule="exact"/>
              <w:rPr>
                <w:sz w:val="20"/>
                <w:szCs w:val="20"/>
                <w:color w:val="auto"/>
              </w:rPr>
            </w:pPr>
            <w:r>
              <w:rPr>
                <w:rFonts w:ascii="Arial" w:cs="Arial" w:eastAsia="Arial" w:hAnsi="Arial"/>
                <w:sz w:val="18"/>
                <w:szCs w:val="18"/>
                <w:b w:val="1"/>
                <w:bCs w:val="1"/>
                <w:color w:val="auto"/>
              </w:rPr>
              <w:t>Loss before income tax</w:t>
            </w:r>
          </w:p>
        </w:tc>
        <w:tc>
          <w:tcPr>
            <w:tcW w:w="960" w:type="dxa"/>
            <w:vAlign w:val="bottom"/>
          </w:tcPr>
          <w:p>
            <w:pPr>
              <w:jc w:val="right"/>
              <w:ind w:right="779"/>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1"/>
              </w:rPr>
              <w:t>(62,772 )</w:t>
            </w:r>
          </w:p>
        </w:tc>
        <w:tc>
          <w:tcPr>
            <w:tcW w:w="940" w:type="dxa"/>
            <w:vAlign w:val="bottom"/>
          </w:tcPr>
          <w:p>
            <w:pPr>
              <w:jc w:val="right"/>
              <w:ind w:right="75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(34,632 )</w:t>
            </w:r>
          </w:p>
        </w:tc>
      </w:tr>
      <w:tr>
        <w:trPr>
          <w:trHeight w:val="20"/>
        </w:trPr>
        <w:tc>
          <w:tcPr>
            <w:tcW w:w="4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4780915</wp:posOffset>
            </wp:positionH>
            <wp:positionV relativeFrom="paragraph">
              <wp:posOffset>-1993900</wp:posOffset>
            </wp:positionV>
            <wp:extent cx="6858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-1993900</wp:posOffset>
            </wp:positionV>
            <wp:extent cx="6858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-1470660</wp:posOffset>
            </wp:positionV>
            <wp:extent cx="685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-1470660</wp:posOffset>
            </wp:positionV>
            <wp:extent cx="6858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-948055</wp:posOffset>
            </wp:positionV>
            <wp:extent cx="6858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-948055</wp:posOffset>
            </wp:positionV>
            <wp:extent cx="6858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-159385</wp:posOffset>
            </wp:positionV>
            <wp:extent cx="6858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-159385</wp:posOffset>
            </wp:positionV>
            <wp:extent cx="6858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ind w:firstLine="419"/>
        <w:spacing w:after="0" w:line="248" w:lineRule="auto"/>
        <w:rPr>
          <w:sz w:val="20"/>
          <w:szCs w:val="20"/>
          <w:color w:val="auto"/>
        </w:rPr>
      </w:pPr>
      <w:r>
        <w:rPr>
          <w:rFonts w:ascii="Arial" w:cs="Arial" w:eastAsia="Arial" w:hAnsi="Arial"/>
          <w:sz w:val="18"/>
          <w:szCs w:val="18"/>
          <w:color w:val="auto"/>
        </w:rPr>
        <w:t>The Company does not allocate any income and expenses beyond revenue and cost of goods sold to the reportable operating segments in its reporting to the CODM. No asset information is provided for reportable operating segments because they are not reviewed by the CODM on segment basis. Substantially all of the Company’s revenue is generated from sales in the United States.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15. Subsequent Events</w:t>
      </w:r>
    </w:p>
    <w:p>
      <w:pPr>
        <w:spacing w:after="0" w:line="108" w:lineRule="exact"/>
        <w:rPr>
          <w:sz w:val="20"/>
          <w:szCs w:val="20"/>
          <w:color w:val="auto"/>
        </w:rPr>
      </w:pPr>
    </w:p>
    <w:p>
      <w:pPr>
        <w:ind w:right="180" w:firstLine="419"/>
        <w:spacing w:after="0" w:line="261" w:lineRule="auto"/>
        <w:rPr>
          <w:sz w:val="20"/>
          <w:szCs w:val="20"/>
          <w:color w:val="auto"/>
        </w:rPr>
      </w:pPr>
      <w:r>
        <w:rPr>
          <w:rFonts w:ascii="Arial" w:cs="Arial" w:eastAsia="Arial" w:hAnsi="Arial"/>
          <w:sz w:val="18"/>
          <w:szCs w:val="18"/>
          <w:color w:val="auto"/>
        </w:rPr>
        <w:t>The Company evaluated subsequent events through March 24, 2022, the date on which the condensed consolidated financial statements were available for issuance.</w:t>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440" w:top="328" w:right="69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20" w:firstLine="419"/>
        <w:spacing w:after="0" w:line="268" w:lineRule="auto"/>
        <w:rPr>
          <w:sz w:val="20"/>
          <w:szCs w:val="20"/>
          <w:color w:val="auto"/>
        </w:rPr>
      </w:pPr>
      <w:r>
        <w:rPr>
          <w:rFonts w:ascii="Arial" w:cs="Arial" w:eastAsia="Arial" w:hAnsi="Arial"/>
          <w:sz w:val="16"/>
          <w:szCs w:val="16"/>
          <w:color w:val="auto"/>
        </w:rPr>
        <w:t>Our management, with the participation and supervision of our principal executive officer and our principal financial officer, evaluated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this evaluation, our principal executive officer and our principal financial officer concluded that as a result of the material weaknesses in our internal control over financial reporting described below, as of the end of the period covered by this Annual Report on Form 10-K, our disclosure controls and procedures were not effective. However, our management, including our principal executive officer and our principal financial officer, has concluded that, notwithstanding the identified material weaknesses in our internal control over financial reporting, the condensed consolidated financial statements in this Annual Report on Form 10-K fairly presented, in all material respects, our financial position, results of operations, and cash flows for the periods presented in conformity with GAAP.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on previously reported material weaknesses</w:t>
      </w:r>
    </w:p>
    <w:p>
      <w:pPr>
        <w:spacing w:after="0" w:line="108" w:lineRule="exact"/>
        <w:rPr>
          <w:sz w:val="20"/>
          <w:szCs w:val="20"/>
          <w:color w:val="auto"/>
        </w:rPr>
      </w:pPr>
    </w:p>
    <w:p>
      <w:pPr>
        <w:jc w:val="both"/>
        <w:ind w:right="20" w:firstLine="419"/>
        <w:spacing w:after="0" w:line="271" w:lineRule="auto"/>
        <w:rPr>
          <w:sz w:val="20"/>
          <w:szCs w:val="20"/>
          <w:color w:val="auto"/>
        </w:rPr>
      </w:pPr>
      <w:r>
        <w:rPr>
          <w:rFonts w:ascii="Arial" w:cs="Arial" w:eastAsia="Arial" w:hAnsi="Arial"/>
          <w:sz w:val="16"/>
          <w:szCs w:val="16"/>
          <w:color w:val="auto"/>
        </w:rPr>
        <w:t>In connection with the preparation of our financial statements in connection with our IPO,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ind w:right="140"/>
        <w:spacing w:after="0" w:line="239" w:lineRule="auto"/>
        <w:rPr>
          <w:sz w:val="20"/>
          <w:szCs w:val="20"/>
          <w:color w:val="auto"/>
        </w:rPr>
      </w:pPr>
      <w:r>
        <w:rPr>
          <w:rFonts w:ascii="Arial" w:cs="Arial" w:eastAsia="Arial" w:hAnsi="Arial"/>
          <w:sz w:val="18"/>
          <w:szCs w:val="18"/>
          <w:color w:val="auto"/>
        </w:rPr>
        <w:t xml:space="preserve">The material weakness related to a lack of </w:t>
      </w:r>
      <w:r>
        <w:rPr>
          <w:rFonts w:ascii="Arial" w:cs="Arial" w:eastAsia="Arial" w:hAnsi="Arial"/>
          <w:sz w:val="18"/>
          <w:szCs w:val="18"/>
          <w:color w:val="231F20"/>
        </w:rPr>
        <w:t>sufficient full-time accounting personnel with requisite experience and deep technical accounting knowledge</w:t>
      </w:r>
      <w:r>
        <w:rPr>
          <w:rFonts w:ascii="Arial" w:cs="Arial" w:eastAsia="Arial" w:hAnsi="Arial"/>
          <w:sz w:val="18"/>
          <w:szCs w:val="18"/>
          <w:color w:val="auto"/>
        </w:rPr>
        <w:t xml:space="preserve"> </w:t>
      </w:r>
      <w:r>
        <w:rPr>
          <w:rFonts w:ascii="Arial" w:cs="Arial" w:eastAsia="Arial" w:hAnsi="Arial"/>
          <w:sz w:val="18"/>
          <w:szCs w:val="18"/>
          <w:color w:val="231F20"/>
        </w:rPr>
        <w:t>to (i) identify and resolve complex accounting issues under GAAP, and (ii) enable appropriate segregation of duties and reviews over the financial reviews over the financial close and reporting process.</w:t>
      </w:r>
    </w:p>
    <w:p>
      <w:pPr>
        <w:spacing w:after="0" w:line="189" w:lineRule="exact"/>
        <w:rPr>
          <w:sz w:val="20"/>
          <w:szCs w:val="20"/>
          <w:color w:val="auto"/>
        </w:rPr>
      </w:pPr>
    </w:p>
    <w:p>
      <w:pPr>
        <w:ind w:firstLine="419"/>
        <w:spacing w:after="0" w:line="259" w:lineRule="auto"/>
        <w:rPr>
          <w:sz w:val="20"/>
          <w:szCs w:val="20"/>
          <w:color w:val="auto"/>
        </w:rPr>
      </w:pPr>
      <w:r>
        <w:rPr>
          <w:rFonts w:ascii="Arial" w:cs="Arial" w:eastAsia="Arial" w:hAnsi="Arial"/>
          <w:sz w:val="17"/>
          <w:szCs w:val="17"/>
          <w:color w:val="231F20"/>
        </w:rPr>
        <w:t xml:space="preserve">We have implemented and are in process of implementing additional measures to improve our internal control over financial reporting to remediate this material weakness, including </w:t>
      </w:r>
      <w:r>
        <w:rPr>
          <w:rFonts w:ascii="Arial" w:cs="Arial" w:eastAsia="Arial" w:hAnsi="Arial"/>
          <w:sz w:val="17"/>
          <w:szCs w:val="17"/>
          <w:color w:val="000000"/>
        </w:rPr>
        <w:t>(i) the hiring of personnel with technical accounting and financial reporting experience and (ii) the implementation of</w:t>
      </w:r>
      <w:r>
        <w:rPr>
          <w:rFonts w:ascii="Arial" w:cs="Arial" w:eastAsia="Arial" w:hAnsi="Arial"/>
          <w:sz w:val="17"/>
          <w:szCs w:val="17"/>
          <w:color w:val="231F20"/>
        </w:rPr>
        <w:t xml:space="preserve"> </w:t>
      </w:r>
      <w:r>
        <w:rPr>
          <w:rFonts w:ascii="Arial" w:cs="Arial" w:eastAsia="Arial" w:hAnsi="Arial"/>
          <w:sz w:val="17"/>
          <w:szCs w:val="17"/>
          <w:color w:val="000000"/>
        </w:rPr>
        <w:t>improved accounting and financial reporting procedures and systems to improve the completeness, timeliness and accuracy of our financial reporting and disclosures including the assessment of more judgmental areas of accounting. We are committed to continuing to improve our internal control processes and we will continue to diligently and vigorously review our financial reporting controls and procedures.</w:t>
      </w:r>
    </w:p>
    <w:p>
      <w:pPr>
        <w:spacing w:after="0" w:line="174" w:lineRule="exact"/>
        <w:rPr>
          <w:sz w:val="20"/>
          <w:szCs w:val="20"/>
          <w:color w:val="auto"/>
        </w:rPr>
      </w:pPr>
    </w:p>
    <w:p>
      <w:pPr>
        <w:ind w:firstLine="419"/>
        <w:spacing w:after="0" w:line="241" w:lineRule="auto"/>
        <w:rPr>
          <w:sz w:val="20"/>
          <w:szCs w:val="20"/>
          <w:color w:val="auto"/>
        </w:rPr>
      </w:pPr>
      <w:r>
        <w:rPr>
          <w:rFonts w:ascii="Arial" w:cs="Arial" w:eastAsia="Arial" w:hAnsi="Arial"/>
          <w:sz w:val="18"/>
          <w:szCs w:val="18"/>
          <w:color w:val="231F20"/>
        </w:rPr>
        <w:t>We cannot assure you that the measures we have taken to date, and are continuing to implement, will be sufficient to remediate the material weakness we have identified or avoid potential future material weaknesses. While we believe that our efforts have improved our internal control over financial reporting, remediation of the material weaknesses will require further validation and testing of the design and operating effectiveness of internal controls over a sustained period of financial reporting cycles, and we cannot assure you that we have identified all, or that we will not in the future have additional material weaknesses.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360" w:firstLine="419"/>
        <w:spacing w:after="0" w:line="248" w:lineRule="auto"/>
        <w:rPr>
          <w:sz w:val="20"/>
          <w:szCs w:val="20"/>
          <w:color w:val="auto"/>
        </w:rPr>
      </w:pPr>
      <w:r>
        <w:rPr>
          <w:rFonts w:ascii="Arial" w:cs="Arial" w:eastAsia="Arial" w:hAnsi="Arial"/>
          <w:sz w:val="18"/>
          <w:szCs w:val="18"/>
          <w:color w:val="auto"/>
        </w:rPr>
        <w:t>Other than the changes intended to remediate the material weakness noted above, there were no changes in our internal control over financial reporting (as defined in Rules 13a-15(f) and 15d-15(f) under the Exchange Act) during the most recently completed fiscal quarter that has materially affected, or is reasonably likely to materially affect, our internal control over financial reporting.</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648" w:right="41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324" w:right="1440"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right="200" w:firstLine="419"/>
        <w:spacing w:after="0" w:line="324" w:lineRule="auto"/>
        <w:rPr>
          <w:sz w:val="20"/>
          <w:szCs w:val="20"/>
          <w:color w:val="auto"/>
        </w:rPr>
      </w:pPr>
      <w:r>
        <w:rPr>
          <w:rFonts w:ascii="Arial" w:cs="Arial" w:eastAsia="Arial" w:hAnsi="Arial"/>
          <w:sz w:val="16"/>
          <w:szCs w:val="16"/>
          <w:i w:val="1"/>
          <w:iCs w:val="1"/>
          <w:color w:val="auto"/>
        </w:rPr>
        <w:t xml:space="preserve">Paul Badawi </w:t>
      </w:r>
      <w:r>
        <w:rPr>
          <w:rFonts w:ascii="Arial" w:cs="Arial" w:eastAsia="Arial" w:hAnsi="Arial"/>
          <w:sz w:val="16"/>
          <w:szCs w:val="16"/>
          <w:color w:val="auto"/>
        </w:rPr>
        <w:t>is a co-founder of our Company and has served as our Chief Executive Officer and a member of our Board since the Company was</w:t>
      </w:r>
      <w:r>
        <w:rPr>
          <w:rFonts w:ascii="Arial" w:cs="Arial" w:eastAsia="Arial" w:hAnsi="Arial"/>
          <w:sz w:val="16"/>
          <w:szCs w:val="16"/>
          <w:i w:val="1"/>
          <w:iCs w:val="1"/>
          <w:color w:val="auto"/>
        </w:rPr>
        <w:t xml:space="preserve"> </w:t>
      </w:r>
      <w:r>
        <w:rPr>
          <w:rFonts w:ascii="Arial" w:cs="Arial" w:eastAsia="Arial" w:hAnsi="Arial"/>
          <w:sz w:val="16"/>
          <w:szCs w:val="16"/>
          <w:color w:val="auto"/>
        </w:rPr>
        <w:t>founded in 2011. Prior to launching Sight Sciences, Paul led the U.S. healthcare venture capital practice for 3i Group, a global private equity firm.</w:t>
      </w:r>
    </w:p>
    <w:p>
      <w:pPr>
        <w:spacing w:after="0" w:line="124" w:lineRule="exact"/>
        <w:rPr>
          <w:sz w:val="20"/>
          <w:szCs w:val="20"/>
          <w:color w:val="auto"/>
        </w:rPr>
      </w:pPr>
    </w:p>
    <w:p>
      <w:pPr>
        <w:ind w:right="260" w:firstLine="419"/>
        <w:spacing w:after="0" w:line="248" w:lineRule="auto"/>
        <w:rPr>
          <w:sz w:val="20"/>
          <w:szCs w:val="20"/>
          <w:color w:val="auto"/>
        </w:rPr>
      </w:pPr>
      <w:r>
        <w:rPr>
          <w:rFonts w:ascii="Arial" w:cs="Arial" w:eastAsia="Arial" w:hAnsi="Arial"/>
          <w:sz w:val="18"/>
          <w:szCs w:val="18"/>
          <w:i w:val="1"/>
          <w:iCs w:val="1"/>
          <w:color w:val="auto"/>
        </w:rPr>
        <w:t xml:space="preserve">David Badawi, M.D. </w:t>
      </w:r>
      <w:r>
        <w:rPr>
          <w:rFonts w:ascii="Arial" w:cs="Arial" w:eastAsia="Arial" w:hAnsi="Arial"/>
          <w:sz w:val="18"/>
          <w:szCs w:val="18"/>
          <w:color w:val="auto"/>
        </w:rPr>
        <w:t>is a co-founder of our Company and has served as our Chief Technology Officer and a member of our Board since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was founded in 2011. Since 2012, Dr. Badawi has also served as the president and a practicing ophthalmologist at Central Eye Care Ltd, an ophthalmology practice.</w:t>
      </w:r>
    </w:p>
    <w:p>
      <w:pPr>
        <w:spacing w:after="0" w:line="182" w:lineRule="exact"/>
        <w:rPr>
          <w:sz w:val="20"/>
          <w:szCs w:val="20"/>
          <w:color w:val="auto"/>
        </w:rPr>
      </w:pPr>
    </w:p>
    <w:p>
      <w:pPr>
        <w:ind w:right="140" w:firstLine="419"/>
        <w:spacing w:after="0" w:line="243" w:lineRule="auto"/>
        <w:rPr>
          <w:sz w:val="20"/>
          <w:szCs w:val="20"/>
          <w:color w:val="auto"/>
        </w:rPr>
      </w:pPr>
      <w:r>
        <w:rPr>
          <w:rFonts w:ascii="Arial" w:cs="Arial" w:eastAsia="Arial" w:hAnsi="Arial"/>
          <w:sz w:val="18"/>
          <w:szCs w:val="18"/>
          <w:i w:val="1"/>
          <w:iCs w:val="1"/>
          <w:color w:val="auto"/>
        </w:rPr>
        <w:t xml:space="preserve">Jesse Selnick </w:t>
      </w:r>
      <w:r>
        <w:rPr>
          <w:rFonts w:ascii="Arial" w:cs="Arial" w:eastAsia="Arial" w:hAnsi="Arial"/>
          <w:sz w:val="18"/>
          <w:szCs w:val="18"/>
          <w:color w:val="auto"/>
        </w:rPr>
        <w:t>has served as our Chief Financial Officer since January 2018. From March 2012 to March 2017, Mr. Selnick served 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and a member of the board of Electric Lightwave (previously known as Integra Telecom), a telecom infrastructure company, until its purchase by Zayo Group Holdings, Inc. in March 2017. Prior to that, Mr. Selnick worked at The Blackstone Group from 2003 to February 2012, where he most recently served as Managing Director.</w:t>
      </w:r>
    </w:p>
    <w:p>
      <w:pPr>
        <w:spacing w:after="0" w:line="188" w:lineRule="exact"/>
        <w:rPr>
          <w:sz w:val="20"/>
          <w:szCs w:val="20"/>
          <w:color w:val="auto"/>
        </w:rPr>
      </w:pPr>
    </w:p>
    <w:p>
      <w:pPr>
        <w:ind w:right="200" w:firstLine="419"/>
        <w:spacing w:after="0" w:line="324" w:lineRule="auto"/>
        <w:rPr>
          <w:sz w:val="20"/>
          <w:szCs w:val="20"/>
          <w:color w:val="auto"/>
        </w:rPr>
      </w:pPr>
      <w:r>
        <w:rPr>
          <w:rFonts w:ascii="Arial" w:cs="Arial" w:eastAsia="Arial" w:hAnsi="Arial"/>
          <w:sz w:val="16"/>
          <w:szCs w:val="16"/>
          <w:i w:val="1"/>
          <w:iCs w:val="1"/>
          <w:color w:val="auto"/>
        </w:rPr>
        <w:t xml:space="preserve">Shawn O’Neil </w:t>
      </w:r>
      <w:r>
        <w:rPr>
          <w:rFonts w:ascii="Arial" w:cs="Arial" w:eastAsia="Arial" w:hAnsi="Arial"/>
          <w:sz w:val="16"/>
          <w:szCs w:val="16"/>
          <w:color w:val="auto"/>
        </w:rPr>
        <w:t>has served as our Chief Commercial Officer since October 2017. From October 2003 to October 2017, Mr. O’Neil held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leadership positions at Alcon, Inc., a global leader in eye care, where he most recently served as the Head of Sales and Marketing, Surgical Glaucoma.</w:t>
      </w:r>
    </w:p>
    <w:p>
      <w:pPr>
        <w:spacing w:after="0" w:line="124" w:lineRule="exact"/>
        <w:rPr>
          <w:sz w:val="20"/>
          <w:szCs w:val="20"/>
          <w:color w:val="auto"/>
        </w:rPr>
      </w:pPr>
    </w:p>
    <w:p>
      <w:pPr>
        <w:ind w:right="100" w:firstLine="419"/>
        <w:spacing w:after="0" w:line="261" w:lineRule="auto"/>
        <w:rPr>
          <w:sz w:val="20"/>
          <w:szCs w:val="20"/>
          <w:color w:val="auto"/>
        </w:rPr>
      </w:pPr>
      <w:r>
        <w:rPr>
          <w:rFonts w:ascii="Arial" w:cs="Arial" w:eastAsia="Arial" w:hAnsi="Arial"/>
          <w:sz w:val="18"/>
          <w:szCs w:val="18"/>
          <w:i w:val="1"/>
          <w:iCs w:val="1"/>
          <w:color w:val="auto"/>
        </w:rPr>
        <w:t xml:space="preserve">Sam Park </w:t>
      </w:r>
      <w:r>
        <w:rPr>
          <w:rFonts w:ascii="Arial" w:cs="Arial" w:eastAsia="Arial" w:hAnsi="Arial"/>
          <w:sz w:val="18"/>
          <w:szCs w:val="18"/>
          <w:color w:val="auto"/>
        </w:rPr>
        <w:t>has served as our Chief Operating Officer since March 2020. From March 2016 to May 2019, Mr. Park served as the founder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Park Medical, a medical device company.</w:t>
      </w:r>
    </w:p>
    <w:p>
      <w:pPr>
        <w:spacing w:after="0" w:line="171" w:lineRule="exact"/>
        <w:rPr>
          <w:sz w:val="20"/>
          <w:szCs w:val="20"/>
          <w:color w:val="auto"/>
        </w:rPr>
      </w:pPr>
    </w:p>
    <w:p>
      <w:pPr>
        <w:ind w:firstLine="419"/>
        <w:spacing w:after="0" w:line="243" w:lineRule="auto"/>
        <w:rPr>
          <w:sz w:val="20"/>
          <w:szCs w:val="20"/>
          <w:color w:val="auto"/>
        </w:rPr>
      </w:pPr>
      <w:r>
        <w:rPr>
          <w:rFonts w:ascii="Arial" w:cs="Arial" w:eastAsia="Arial" w:hAnsi="Arial"/>
          <w:sz w:val="18"/>
          <w:szCs w:val="18"/>
          <w:i w:val="1"/>
          <w:iCs w:val="1"/>
          <w:color w:val="auto"/>
        </w:rPr>
        <w:t xml:space="preserve">Jeremy Hayden </w:t>
      </w:r>
      <w:r>
        <w:rPr>
          <w:rFonts w:ascii="Arial" w:cs="Arial" w:eastAsia="Arial" w:hAnsi="Arial"/>
          <w:sz w:val="18"/>
          <w:szCs w:val="18"/>
          <w:color w:val="auto"/>
        </w:rPr>
        <w:t>has served as our Chief Legal Officer since April 2020. From August 2017 to April 2020, Mr. Hayden served as General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of Endologix, Inc. Prior to that, Mr. Hayden served as General Counsel and Vice President, Business Development at Cytori Therapeutics, Inc. from July 2015 to August 2017 and from May 2012 to July 2015 he served as Assistant General Counsel at Volcano Corporation, a publicly traded medical device company that was acquired by Royal Phillips in 2015.</w:t>
      </w:r>
    </w:p>
    <w:p>
      <w:pPr>
        <w:spacing w:after="0" w:line="188" w:lineRule="exact"/>
        <w:rPr>
          <w:sz w:val="20"/>
          <w:szCs w:val="20"/>
          <w:color w:val="auto"/>
        </w:rPr>
      </w:pPr>
    </w:p>
    <w:p>
      <w:pPr>
        <w:ind w:right="600" w:firstLine="419"/>
        <w:spacing w:after="0" w:line="261" w:lineRule="auto"/>
        <w:rPr>
          <w:sz w:val="20"/>
          <w:szCs w:val="20"/>
          <w:color w:val="auto"/>
        </w:rPr>
      </w:pPr>
      <w:r>
        <w:rPr>
          <w:rFonts w:ascii="Arial" w:cs="Arial" w:eastAsia="Arial" w:hAnsi="Arial"/>
          <w:sz w:val="18"/>
          <w:szCs w:val="18"/>
          <w:i w:val="1"/>
          <w:iCs w:val="1"/>
          <w:color w:val="auto"/>
        </w:rPr>
        <w:t xml:space="preserve">Staffan Encrantz </w:t>
      </w:r>
      <w:r>
        <w:rPr>
          <w:rFonts w:ascii="Arial" w:cs="Arial" w:eastAsia="Arial" w:hAnsi="Arial"/>
          <w:sz w:val="18"/>
          <w:szCs w:val="18"/>
          <w:color w:val="auto"/>
        </w:rPr>
        <w:t>has served as a member of our Board since 2017. Mr. Encrantz is the President of Allegro Investment Inc.,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Allegro Investment Fund, L.P. Mr. Encrantz holds a law degree from Uppsala University, Sweden.</w:t>
      </w:r>
    </w:p>
    <w:p>
      <w:pPr>
        <w:spacing w:after="0" w:line="171" w:lineRule="exact"/>
        <w:rPr>
          <w:sz w:val="20"/>
          <w:szCs w:val="20"/>
          <w:color w:val="auto"/>
        </w:rPr>
      </w:pPr>
    </w:p>
    <w:p>
      <w:pPr>
        <w:ind w:right="240" w:firstLine="419"/>
        <w:spacing w:after="0" w:line="324" w:lineRule="auto"/>
        <w:rPr>
          <w:sz w:val="20"/>
          <w:szCs w:val="20"/>
          <w:color w:val="auto"/>
        </w:rPr>
      </w:pPr>
      <w:r>
        <w:rPr>
          <w:rFonts w:ascii="Arial" w:cs="Arial" w:eastAsia="Arial" w:hAnsi="Arial"/>
          <w:sz w:val="16"/>
          <w:szCs w:val="16"/>
          <w:i w:val="1"/>
          <w:iCs w:val="1"/>
          <w:color w:val="auto"/>
        </w:rPr>
        <w:t xml:space="preserve">Mack Hicks </w:t>
      </w:r>
      <w:r>
        <w:rPr>
          <w:rFonts w:ascii="Arial" w:cs="Arial" w:eastAsia="Arial" w:hAnsi="Arial"/>
          <w:sz w:val="16"/>
          <w:szCs w:val="16"/>
          <w:color w:val="auto"/>
        </w:rPr>
        <w:t>has served as a member of our Board since 2011. Since 2007, Mr. Hicks has been a Partner of Hicks Holdings LLC, an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Prior to that, Mr. Hicks served as a research analyst at Halcyon Asset Management from 2005 to 2006 and worked at Credit Suisse in 2004.</w:t>
      </w:r>
    </w:p>
    <w:p>
      <w:pPr>
        <w:spacing w:after="0" w:line="124" w:lineRule="exact"/>
        <w:rPr>
          <w:sz w:val="20"/>
          <w:szCs w:val="20"/>
          <w:color w:val="auto"/>
        </w:rPr>
      </w:pPr>
    </w:p>
    <w:p>
      <w:pPr>
        <w:ind w:right="200" w:firstLine="419"/>
        <w:spacing w:after="0" w:line="294" w:lineRule="auto"/>
        <w:rPr>
          <w:sz w:val="20"/>
          <w:szCs w:val="20"/>
          <w:color w:val="auto"/>
        </w:rPr>
      </w:pPr>
      <w:r>
        <w:rPr>
          <w:rFonts w:ascii="Arial" w:cs="Arial" w:eastAsia="Arial" w:hAnsi="Arial"/>
          <w:sz w:val="16"/>
          <w:szCs w:val="16"/>
          <w:i w:val="1"/>
          <w:iCs w:val="1"/>
          <w:color w:val="auto"/>
        </w:rPr>
        <w:t xml:space="preserve">Brenda Becker </w:t>
      </w:r>
      <w:r>
        <w:rPr>
          <w:rFonts w:ascii="Arial" w:cs="Arial" w:eastAsia="Arial" w:hAnsi="Arial"/>
          <w:sz w:val="16"/>
          <w:szCs w:val="16"/>
          <w:color w:val="auto"/>
        </w:rPr>
        <w:t>has served as a member of our Board since March 2022. Since 2007, Ms. Becker has served as Senior Vice President of Global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Affairs at Boston Scientific. Prior to joining Boston Scientific, Ms. Becker served in the Bush administration for six years where she held the position as Assistant to the Vice President for Legislative Affairs and held various leadership positions over 20 years at Blue Cross Blue Shield.</w:t>
      </w:r>
    </w:p>
    <w:p>
      <w:pPr>
        <w:spacing w:after="0" w:line="147" w:lineRule="exact"/>
        <w:rPr>
          <w:sz w:val="20"/>
          <w:szCs w:val="20"/>
          <w:color w:val="auto"/>
        </w:rPr>
      </w:pPr>
    </w:p>
    <w:p>
      <w:pPr>
        <w:ind w:right="420" w:firstLine="419"/>
        <w:spacing w:after="0" w:line="248" w:lineRule="auto"/>
        <w:rPr>
          <w:sz w:val="20"/>
          <w:szCs w:val="20"/>
          <w:color w:val="auto"/>
        </w:rPr>
      </w:pPr>
      <w:r>
        <w:rPr>
          <w:rFonts w:ascii="Arial" w:cs="Arial" w:eastAsia="Arial" w:hAnsi="Arial"/>
          <w:sz w:val="18"/>
          <w:szCs w:val="18"/>
          <w:i w:val="1"/>
          <w:iCs w:val="1"/>
          <w:color w:val="auto"/>
        </w:rPr>
        <w:t xml:space="preserve">Erica Rogers </w:t>
      </w:r>
      <w:r>
        <w:rPr>
          <w:rFonts w:ascii="Arial" w:cs="Arial" w:eastAsia="Arial" w:hAnsi="Arial"/>
          <w:sz w:val="18"/>
          <w:szCs w:val="18"/>
          <w:color w:val="auto"/>
        </w:rPr>
        <w:t>has served as a member of our Board since November 2019. Since October 2012, Ms. Rogers has served as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a member of the board of Silk Road Medical, a medical device company. Ms. Rogers is also a director of Lucira Health, a diagnostics company, and currently serves as an advisor to Alydia Health and Venture Investors.</w:t>
      </w:r>
    </w:p>
    <w:p>
      <w:pPr>
        <w:spacing w:after="0" w:line="182" w:lineRule="exact"/>
        <w:rPr>
          <w:sz w:val="20"/>
          <w:szCs w:val="20"/>
          <w:color w:val="auto"/>
        </w:rPr>
      </w:pPr>
    </w:p>
    <w:p>
      <w:pPr>
        <w:ind w:right="120" w:firstLine="419"/>
        <w:spacing w:after="0" w:line="270" w:lineRule="auto"/>
        <w:rPr>
          <w:sz w:val="20"/>
          <w:szCs w:val="20"/>
          <w:color w:val="auto"/>
        </w:rPr>
      </w:pPr>
      <w:r>
        <w:rPr>
          <w:rFonts w:ascii="Arial" w:cs="Arial" w:eastAsia="Arial" w:hAnsi="Arial"/>
          <w:sz w:val="17"/>
          <w:szCs w:val="17"/>
          <w:i w:val="1"/>
          <w:iCs w:val="1"/>
          <w:color w:val="auto"/>
        </w:rPr>
        <w:t xml:space="preserve">Valeska Schroeder, Ph.D. </w:t>
      </w:r>
      <w:r>
        <w:rPr>
          <w:rFonts w:ascii="Arial" w:cs="Arial" w:eastAsia="Arial" w:hAnsi="Arial"/>
          <w:sz w:val="17"/>
          <w:szCs w:val="17"/>
          <w:color w:val="auto"/>
        </w:rPr>
        <w:t>has served as a member of our Board since 2019. Since 2016, Dr. Schroeder has served as a Managing Director of KCK</w:t>
      </w:r>
      <w:r>
        <w:rPr>
          <w:rFonts w:ascii="Arial" w:cs="Arial" w:eastAsia="Arial" w:hAnsi="Arial"/>
          <w:sz w:val="17"/>
          <w:szCs w:val="17"/>
          <w:i w:val="1"/>
          <w:iCs w:val="1"/>
          <w:color w:val="auto"/>
        </w:rPr>
        <w:t xml:space="preserve"> </w:t>
      </w:r>
      <w:r>
        <w:rPr>
          <w:rFonts w:ascii="Arial" w:cs="Arial" w:eastAsia="Arial" w:hAnsi="Arial"/>
          <w:sz w:val="17"/>
          <w:szCs w:val="17"/>
          <w:color w:val="auto"/>
        </w:rPr>
        <w:t>Medical Technologies, a single family evergreen fund that invests in medical technologies. From March 2014 to July 2016, Dr. Schroeder served as Senior Vice President, Product Management of Vital Connect, Inc., a wearable biosensor technology company.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24" w:right="439" w:bottom="1440" w:gutter="0" w:footer="0" w:header="0"/>
        </w:sectPr>
      </w:pPr>
    </w:p>
    <w:bookmarkStart w:id="137" w:name="page138"/>
    <w:bookmarkEnd w:id="137"/>
    <w:p>
      <w:pPr>
        <w:ind w:firstLine="419"/>
        <w:spacing w:after="0" w:line="294" w:lineRule="auto"/>
        <w:rPr>
          <w:sz w:val="20"/>
          <w:szCs w:val="20"/>
          <w:color w:val="auto"/>
        </w:rPr>
      </w:pPr>
      <w:r>
        <w:rPr>
          <w:rFonts w:ascii="Arial" w:cs="Arial" w:eastAsia="Arial" w:hAnsi="Arial"/>
          <w:sz w:val="16"/>
          <w:szCs w:val="16"/>
          <w:i w:val="1"/>
          <w:iCs w:val="1"/>
          <w:color w:val="auto"/>
        </w:rPr>
        <w:t xml:space="preserve">Donald Zurbay </w:t>
      </w:r>
      <w:r>
        <w:rPr>
          <w:rFonts w:ascii="Arial" w:cs="Arial" w:eastAsia="Arial" w:hAnsi="Arial"/>
          <w:sz w:val="16"/>
          <w:szCs w:val="16"/>
          <w:color w:val="auto"/>
        </w:rPr>
        <w:t>has served as a member of our Board since July 2020. Since June 2018, Mr. Zurbay has served as the Chief Financial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Patterson Companies, a global medical device company. Before that, from March 2004 to February 2017, Mr. Zurbay held various leadership positions at St. Jude Medical, Inc., where he most recently served as Vice President and Chief Financial Officer from August 2012 to January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08" w:lineRule="exact"/>
        <w:rPr>
          <w:sz w:val="20"/>
          <w:szCs w:val="20"/>
          <w:color w:val="auto"/>
        </w:rPr>
      </w:pPr>
    </w:p>
    <w:p>
      <w:pPr>
        <w:ind w:firstLine="419"/>
        <w:spacing w:after="0" w:line="259" w:lineRule="auto"/>
        <w:rPr>
          <w:sz w:val="20"/>
          <w:szCs w:val="20"/>
          <w:color w:val="auto"/>
        </w:rPr>
      </w:pPr>
      <w:r>
        <w:rPr>
          <w:rFonts w:ascii="Arial" w:cs="Arial" w:eastAsia="Arial" w:hAnsi="Arial"/>
          <w:sz w:val="17"/>
          <w:szCs w:val="17"/>
          <w:color w:val="auto"/>
        </w:rPr>
        <w:t xml:space="preserve">We have adopted a written code of business conduct and ethics, or the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on our website at </w:t>
      </w:r>
      <w:r>
        <w:rPr>
          <w:rFonts w:ascii="Arial" w:cs="Arial" w:eastAsia="Arial" w:hAnsi="Arial"/>
          <w:sz w:val="17"/>
          <w:szCs w:val="17"/>
          <w:i w:val="1"/>
          <w:iCs w:val="1"/>
          <w:u w:val="single" w:color="auto"/>
          <w:color w:val="auto"/>
        </w:rPr>
        <w:t>www.sightsciences.com</w:t>
      </w:r>
      <w:r>
        <w:rPr>
          <w:rFonts w:ascii="Arial" w:cs="Arial" w:eastAsia="Arial" w:hAnsi="Arial"/>
          <w:sz w:val="17"/>
          <w:szCs w:val="17"/>
          <w:color w:val="auto"/>
        </w:rPr>
        <w:t xml:space="preserve"> in the “Corporate Governance” section of the “Investors” page. In addition, we intend to post on our website all disclosures that are required by law concerning any amendments to, or waivers from, any provision of our Code of Business Conduct and Ethics</w:t>
      </w:r>
    </w:p>
    <w:p>
      <w:pPr>
        <w:spacing w:after="0" w:line="174" w:lineRule="exact"/>
        <w:rPr>
          <w:sz w:val="20"/>
          <w:szCs w:val="20"/>
          <w:color w:val="auto"/>
        </w:rPr>
      </w:pPr>
    </w:p>
    <w:p>
      <w:pPr>
        <w:ind w:right="140" w:firstLine="419"/>
        <w:spacing w:after="0" w:line="324" w:lineRule="auto"/>
        <w:rPr>
          <w:sz w:val="20"/>
          <w:szCs w:val="20"/>
          <w:color w:val="auto"/>
        </w:rPr>
      </w:pPr>
      <w:r>
        <w:rPr>
          <w:rFonts w:ascii="Arial" w:cs="Arial" w:eastAsia="Arial" w:hAnsi="Arial"/>
          <w:sz w:val="16"/>
          <w:szCs w:val="16"/>
          <w:color w:val="auto"/>
        </w:rPr>
        <w:t>The remaining information required by this item will be included in our definitive proxy statement for our 2022 Annual Meeting of Stockholders, or the 2022 Proxy Statement, to be filed with the SEC no later than 120 days after December 31, 2021,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will be included in the 2022 Proxy Statement and is incorporated herein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will be included in the 2022 Proxy Statement and is incorporated herein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will be included in the 2022 Proxy Statement and is incorporated herein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will be included in the 2022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328" w:right="419" w:bottom="1440" w:gutter="0" w:footer="0" w:header="0"/>
        </w:sectPr>
      </w:pPr>
    </w:p>
    <w:bookmarkStart w:id="138" w:name="page139"/>
    <w:bookmarkEnd w:id="138"/>
    <w:p>
      <w:pPr>
        <w:ind w:left="5260"/>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8" w:lineRule="exact"/>
        <w:rPr>
          <w:sz w:val="20"/>
          <w:szCs w:val="20"/>
          <w:color w:val="auto"/>
        </w:rPr>
      </w:pPr>
    </w:p>
    <w:p>
      <w:pPr>
        <w:ind w:left="1040" w:hanging="462"/>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Balance Sheets</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Statements of Operations and Comprehensive Loss</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Statements of Redeemable Convertible Preferred Stock and Stockholders’ Equity (Deficit)</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Statements of Cash Flows</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Notes to Financial Statements</w:t>
      </w:r>
    </w:p>
    <w:p>
      <w:pPr>
        <w:spacing w:after="0" w:line="104" w:lineRule="exact"/>
        <w:rPr>
          <w:sz w:val="20"/>
          <w:szCs w:val="20"/>
          <w:color w:val="auto"/>
        </w:rPr>
      </w:pPr>
    </w:p>
    <w:p>
      <w:pPr>
        <w:ind w:left="1500" w:hanging="462"/>
        <w:spacing w:after="0"/>
        <w:tabs>
          <w:tab w:leader="none" w:pos="1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03" w:lineRule="exact"/>
        <w:rPr>
          <w:rFonts w:ascii="Arial" w:cs="Arial" w:eastAsia="Arial" w:hAnsi="Arial"/>
          <w:sz w:val="18"/>
          <w:szCs w:val="18"/>
          <w:color w:val="auto"/>
        </w:rPr>
      </w:pPr>
    </w:p>
    <w:p>
      <w:pPr>
        <w:ind w:left="1500"/>
        <w:spacing w:after="0" w:line="261" w:lineRule="auto"/>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applicable or the amounts are immaterial or the required information is presented in the financial statements and notes thereto.</w:t>
      </w:r>
    </w:p>
    <w:p>
      <w:pPr>
        <w:spacing w:after="0" w:line="62" w:lineRule="exact"/>
        <w:rPr>
          <w:rFonts w:ascii="Arial" w:cs="Arial" w:eastAsia="Arial" w:hAnsi="Arial"/>
          <w:sz w:val="18"/>
          <w:szCs w:val="18"/>
          <w:color w:val="auto"/>
        </w:rPr>
      </w:pPr>
    </w:p>
    <w:p>
      <w:pPr>
        <w:ind w:left="1500" w:hanging="462"/>
        <w:spacing w:after="0"/>
        <w:tabs>
          <w:tab w:leader="none" w:pos="1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Exhibits: see Exhibit Index submitted as a separate section of this report</w:t>
      </w:r>
    </w:p>
    <w:p>
      <w:pPr>
        <w:spacing w:after="0" w:line="103" w:lineRule="exact"/>
        <w:rPr>
          <w:rFonts w:ascii="Arial" w:cs="Arial" w:eastAsia="Arial" w:hAnsi="Arial"/>
          <w:sz w:val="18"/>
          <w:szCs w:val="18"/>
          <w:color w:val="auto"/>
        </w:rPr>
      </w:pPr>
    </w:p>
    <w:p>
      <w:pPr>
        <w:ind w:left="1040" w:hanging="470"/>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Exhibits</w:t>
      </w:r>
    </w:p>
    <w:p>
      <w:pPr>
        <w:spacing w:after="0" w:line="10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See Exhibit Index submitted as a separate section of this report</w:t>
      </w:r>
    </w:p>
    <w:p>
      <w:pPr>
        <w:spacing w:after="0" w:line="103" w:lineRule="exact"/>
        <w:rPr>
          <w:rFonts w:ascii="Arial" w:cs="Arial" w:eastAsia="Arial" w:hAnsi="Arial"/>
          <w:sz w:val="18"/>
          <w:szCs w:val="18"/>
          <w:color w:val="auto"/>
        </w:rPr>
      </w:pPr>
    </w:p>
    <w:p>
      <w:pPr>
        <w:ind w:left="1040" w:hanging="470"/>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324" w:right="1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25"/>
            <w:vMerge w:val="restart"/>
          </w:tcPr>
          <w:p>
            <w:pPr>
              <w:jc w:val="center"/>
              <w:ind w:right="2040"/>
              <w:spacing w:after="0"/>
              <w:rPr>
                <w:sz w:val="20"/>
                <w:szCs w:val="20"/>
                <w:color w:val="auto"/>
              </w:rPr>
            </w:pPr>
            <w:r>
              <w:rPr>
                <w:rFonts w:ascii="Arial" w:cs="Arial" w:eastAsia="Arial" w:hAnsi="Arial"/>
                <w:sz w:val="14"/>
                <w:szCs w:val="14"/>
                <w:b w:val="1"/>
                <w:bCs w:val="1"/>
                <w:color w:val="auto"/>
                <w:w w:val="98"/>
              </w:rPr>
              <w:t>Exhibit</w:t>
            </w: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144"/>
        </w:trPr>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25"/>
            <w:vMerge w:val="continue"/>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3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File No.</w:t>
            </w:r>
          </w:p>
        </w:tc>
        <w:tc>
          <w:tcPr>
            <w:tcW w:w="9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2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9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6"/>
        </w:trPr>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25"/>
          </w:tcPr>
          <w:p>
            <w:pPr>
              <w:jc w:val="center"/>
              <w:ind w:right="2080"/>
              <w:spacing w:after="0"/>
              <w:rPr>
                <w:sz w:val="20"/>
                <w:szCs w:val="20"/>
                <w:color w:val="auto"/>
              </w:rPr>
            </w:pPr>
            <w:r>
              <w:rPr>
                <w:rFonts w:ascii="Arial" w:cs="Arial" w:eastAsia="Arial" w:hAnsi="Arial"/>
                <w:sz w:val="14"/>
                <w:szCs w:val="14"/>
                <w:b w:val="1"/>
                <w:bCs w:val="1"/>
                <w:color w:val="auto"/>
                <w:w w:val="90"/>
              </w:rPr>
              <w:t>Description</w:t>
            </w:r>
          </w:p>
        </w:tc>
        <w:tc>
          <w:tcPr>
            <w:tcW w:w="8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56"/>
        </w:trPr>
        <w:tc>
          <w:tcPr>
            <w:tcW w:w="260" w:type="dxa"/>
            <w:vAlign w:val="bottom"/>
          </w:tcPr>
          <w:p>
            <w:pPr>
              <w:ind w:left="20"/>
              <w:spacing w:after="0" w:line="156" w:lineRule="exact"/>
              <w:rPr>
                <w:sz w:val="20"/>
                <w:szCs w:val="20"/>
                <w:color w:val="auto"/>
              </w:rPr>
            </w:pPr>
            <w:r>
              <w:rPr>
                <w:rFonts w:ascii="Arial" w:cs="Arial" w:eastAsia="Arial" w:hAnsi="Arial"/>
                <w:sz w:val="18"/>
                <w:szCs w:val="18"/>
                <w:color w:val="auto"/>
                <w:highlight w:val="white"/>
                <w:w w:val="87"/>
              </w:rPr>
              <w:t>3.1</w:t>
            </w:r>
          </w:p>
        </w:tc>
        <w:tc>
          <w:tcPr>
            <w:tcW w:w="660" w:type="dxa"/>
            <w:vAlign w:val="bottom"/>
            <w:tcBorders>
              <w:top w:val="single" w:sz="8" w:color="auto"/>
            </w:tcBorders>
          </w:tcPr>
          <w:p>
            <w:pPr>
              <w:spacing w:after="0"/>
              <w:rPr>
                <w:sz w:val="13"/>
                <w:szCs w:val="13"/>
                <w:color w:val="auto"/>
              </w:rPr>
            </w:pPr>
          </w:p>
        </w:tc>
        <w:tc>
          <w:tcPr>
            <w:tcW w:w="5040" w:type="dxa"/>
            <w:vAlign w:val="bottom"/>
            <w:tcBorders>
              <w:top w:val="single" w:sz="8" w:color="auto"/>
            </w:tcBorders>
            <w:gridSpan w:val="33"/>
          </w:tcPr>
          <w:p>
            <w:pPr>
              <w:spacing w:after="0" w:line="156" w:lineRule="exact"/>
              <w:rPr>
                <w:rFonts w:ascii="Arial" w:cs="Arial" w:eastAsia="Arial" w:hAnsi="Arial"/>
                <w:sz w:val="18"/>
                <w:szCs w:val="18"/>
                <w:color w:val="0000FF"/>
              </w:rPr>
            </w:pPr>
            <w:hyperlink r:id="rId298">
              <w:r>
                <w:rPr>
                  <w:rFonts w:ascii="Arial" w:cs="Arial" w:eastAsia="Arial" w:hAnsi="Arial"/>
                  <w:sz w:val="18"/>
                  <w:szCs w:val="18"/>
                  <w:color w:val="0000FF"/>
                </w:rPr>
                <w:t>Restated Certificate of Incorporation of Sight Sciences, Inc.</w:t>
              </w:r>
            </w:hyperlink>
          </w:p>
        </w:tc>
        <w:tc>
          <w:tcPr>
            <w:tcW w:w="88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8-K</w:t>
            </w:r>
          </w:p>
        </w:tc>
        <w:tc>
          <w:tcPr>
            <w:tcW w:w="132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90"/>
              </w:rPr>
              <w:t>001-40587</w:t>
            </w:r>
          </w:p>
        </w:tc>
        <w:tc>
          <w:tcPr>
            <w:tcW w:w="92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87"/>
              </w:rPr>
              <w:t>3.1</w:t>
            </w:r>
          </w:p>
        </w:tc>
        <w:tc>
          <w:tcPr>
            <w:tcW w:w="122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90"/>
              </w:rPr>
              <w:t>07/19/2021</w:t>
            </w: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highlight w:val="white"/>
                <w:w w:val="87"/>
              </w:rPr>
              <w:t>3.2</w:t>
            </w:r>
          </w:p>
        </w:tc>
        <w:tc>
          <w:tcPr>
            <w:tcW w:w="6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9"/>
              </w:rPr>
              <w:t>8-K</w:t>
            </w:r>
          </w:p>
        </w:tc>
        <w:tc>
          <w:tcPr>
            <w:tcW w:w="13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001-40587</w:t>
            </w:r>
          </w:p>
        </w:tc>
        <w:tc>
          <w:tcPr>
            <w:tcW w:w="9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3.2</w:t>
            </w:r>
          </w:p>
        </w:tc>
        <w:tc>
          <w:tcPr>
            <w:tcW w:w="12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07/19/2021</w:t>
            </w: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4300" w:type="dxa"/>
            <w:vAlign w:val="bottom"/>
            <w:gridSpan w:val="19"/>
          </w:tcPr>
          <w:p>
            <w:pPr>
              <w:spacing w:after="0" w:line="169" w:lineRule="exact"/>
              <w:rPr>
                <w:rFonts w:ascii="Arial" w:cs="Arial" w:eastAsia="Arial" w:hAnsi="Arial"/>
                <w:sz w:val="18"/>
                <w:szCs w:val="18"/>
                <w:color w:val="0000FF"/>
                <w:w w:val="98"/>
              </w:rPr>
            </w:pPr>
            <w:hyperlink r:id="rId299">
              <w:r>
                <w:rPr>
                  <w:rFonts w:ascii="Arial" w:cs="Arial" w:eastAsia="Arial" w:hAnsi="Arial"/>
                  <w:sz w:val="18"/>
                  <w:szCs w:val="18"/>
                  <w:color w:val="0000FF"/>
                  <w:w w:val="98"/>
                </w:rPr>
                <w:t>Amended and Restated Bylaws of Sight Sciences, Inc.</w:t>
              </w:r>
            </w:hyperlink>
          </w:p>
        </w:tc>
        <w:tc>
          <w:tcPr>
            <w:tcW w:w="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highlight w:val="white"/>
                <w:w w:val="87"/>
              </w:rPr>
              <w:t>3.3</w:t>
            </w:r>
          </w:p>
        </w:tc>
        <w:tc>
          <w:tcPr>
            <w:tcW w:w="6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gridSpan w:val="15"/>
            <w:vMerge w:val="restart"/>
          </w:tcPr>
          <w:p>
            <w:pPr>
              <w:spacing w:after="0" w:line="189" w:lineRule="exact"/>
              <w:rPr>
                <w:rFonts w:ascii="Arial" w:cs="Arial" w:eastAsia="Arial" w:hAnsi="Arial"/>
                <w:sz w:val="18"/>
                <w:szCs w:val="18"/>
                <w:color w:val="0000FF"/>
              </w:rPr>
            </w:pPr>
            <w:hyperlink r:id="rId300">
              <w:r>
                <w:rPr>
                  <w:rFonts w:ascii="Arial" w:cs="Arial" w:eastAsia="Arial" w:hAnsi="Arial"/>
                  <w:sz w:val="18"/>
                  <w:szCs w:val="18"/>
                  <w:color w:val="0000FF"/>
                </w:rPr>
                <w:t>Registrant</w:t>
              </w:r>
            </w:hyperlink>
          </w:p>
        </w:tc>
        <w:tc>
          <w:tcPr>
            <w:tcW w:w="8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3"/>
              </w:rPr>
              <w:t>S-1/A</w:t>
            </w:r>
          </w:p>
        </w:tc>
        <w:tc>
          <w:tcPr>
            <w:tcW w:w="13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333-257936</w:t>
            </w:r>
          </w:p>
        </w:tc>
        <w:tc>
          <w:tcPr>
            <w:tcW w:w="9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3.3</w:t>
            </w:r>
          </w:p>
        </w:tc>
        <w:tc>
          <w:tcPr>
            <w:tcW w:w="12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07/08/2021</w:t>
            </w: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3940" w:type="dxa"/>
            <w:vAlign w:val="bottom"/>
            <w:gridSpan w:val="18"/>
          </w:tcPr>
          <w:p>
            <w:pPr>
              <w:spacing w:after="0" w:line="169" w:lineRule="exact"/>
              <w:rPr>
                <w:rFonts w:ascii="Arial" w:cs="Arial" w:eastAsia="Arial" w:hAnsi="Arial"/>
                <w:sz w:val="18"/>
                <w:szCs w:val="18"/>
                <w:color w:val="0000FF"/>
                <w:w w:val="96"/>
              </w:rPr>
            </w:pPr>
            <w:hyperlink r:id="rId300">
              <w:r>
                <w:rPr>
                  <w:rFonts w:ascii="Arial" w:cs="Arial" w:eastAsia="Arial" w:hAnsi="Arial"/>
                  <w:sz w:val="18"/>
                  <w:szCs w:val="18"/>
                  <w:color w:val="0000FF"/>
                  <w:w w:val="96"/>
                </w:rPr>
                <w:t>Form of Restated Certificate of Incorporation of the</w:t>
              </w:r>
            </w:hyperlink>
          </w:p>
        </w:tc>
        <w:tc>
          <w:tcPr>
            <w:tcW w:w="1100" w:type="dxa"/>
            <w:vAlign w:val="bottom"/>
            <w:gridSpan w:val="15"/>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highlight w:val="white"/>
                <w:w w:val="87"/>
              </w:rPr>
              <w:t>4.1</w:t>
            </w:r>
          </w:p>
        </w:tc>
        <w:tc>
          <w:tcPr>
            <w:tcW w:w="6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3"/>
              </w:rPr>
              <w:t>S-1/A</w:t>
            </w:r>
          </w:p>
        </w:tc>
        <w:tc>
          <w:tcPr>
            <w:tcW w:w="13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333-257320</w:t>
            </w:r>
          </w:p>
        </w:tc>
        <w:tc>
          <w:tcPr>
            <w:tcW w:w="9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4.1</w:t>
            </w:r>
          </w:p>
        </w:tc>
        <w:tc>
          <w:tcPr>
            <w:tcW w:w="12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07/08/2021</w:t>
            </w: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5040" w:type="dxa"/>
            <w:vAlign w:val="bottom"/>
            <w:gridSpan w:val="33"/>
          </w:tcPr>
          <w:p>
            <w:pPr>
              <w:spacing w:after="0" w:line="169" w:lineRule="exact"/>
              <w:rPr>
                <w:rFonts w:ascii="Arial" w:cs="Arial" w:eastAsia="Arial" w:hAnsi="Arial"/>
                <w:sz w:val="18"/>
                <w:szCs w:val="18"/>
                <w:color w:val="0000FF"/>
                <w:w w:val="92"/>
              </w:rPr>
            </w:pPr>
            <w:hyperlink r:id="rId301">
              <w:r>
                <w:rPr>
                  <w:rFonts w:ascii="Arial" w:cs="Arial" w:eastAsia="Arial" w:hAnsi="Arial"/>
                  <w:sz w:val="18"/>
                  <w:szCs w:val="18"/>
                  <w:color w:val="0000FF"/>
                  <w:w w:val="92"/>
                </w:rPr>
                <w:t>Third Amended and Restated Investors' Rights Agreement, dated as</w:t>
              </w:r>
            </w:hyperlink>
          </w:p>
        </w:tc>
        <w:tc>
          <w:tcPr>
            <w:tcW w:w="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0" w:type="dxa"/>
            <w:vAlign w:val="bottom"/>
            <w:vMerge w:val="restart"/>
          </w:tcPr>
          <w:p>
            <w:pPr>
              <w:ind w:left="20"/>
              <w:spacing w:after="0"/>
              <w:rPr>
                <w:sz w:val="20"/>
                <w:szCs w:val="20"/>
                <w:color w:val="auto"/>
              </w:rPr>
            </w:pPr>
            <w:r>
              <w:rPr>
                <w:rFonts w:ascii="Arial" w:cs="Arial" w:eastAsia="Arial" w:hAnsi="Arial"/>
                <w:sz w:val="18"/>
                <w:szCs w:val="18"/>
                <w:color w:val="auto"/>
                <w:w w:val="87"/>
              </w:rPr>
              <w:t>4.2</w:t>
            </w: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20" w:type="dxa"/>
            <w:vAlign w:val="bottom"/>
            <w:tcBorders>
              <w:top w:val="single" w:sz="8" w:color="0000FF"/>
              <w:bottom w:val="single" w:sz="8" w:color="0000EE"/>
            </w:tcBorders>
            <w:gridSpan w:val="12"/>
          </w:tcPr>
          <w:p>
            <w:pPr>
              <w:spacing w:after="0" w:line="156" w:lineRule="exact"/>
              <w:rPr>
                <w:rFonts w:ascii="Arial" w:cs="Arial" w:eastAsia="Arial" w:hAnsi="Arial"/>
                <w:sz w:val="18"/>
                <w:szCs w:val="18"/>
                <w:color w:val="0000FF"/>
                <w:w w:val="90"/>
              </w:rPr>
            </w:pPr>
            <w:hyperlink r:id="rId301">
              <w:r>
                <w:rPr>
                  <w:rFonts w:ascii="Arial" w:cs="Arial" w:eastAsia="Arial" w:hAnsi="Arial"/>
                  <w:sz w:val="18"/>
                  <w:szCs w:val="18"/>
                  <w:color w:val="0000FF"/>
                  <w:w w:val="90"/>
                </w:rPr>
                <w:t>of November 23, 2020, as amended</w:t>
              </w:r>
            </w:hyperlink>
          </w:p>
        </w:tc>
        <w:tc>
          <w:tcPr>
            <w:tcW w:w="2280" w:type="dxa"/>
            <w:vAlign w:val="bottom"/>
            <w:tcBorders>
              <w:top w:val="single" w:sz="8" w:color="0000FF"/>
            </w:tcBorders>
            <w:gridSpan w:val="18"/>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3"/>
              </w:rPr>
              <w:t>S-1/A</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89"/>
              </w:rPr>
              <w:t>333-257320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4.2</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0"/>
              </w:rPr>
              <w:t>07/08/2021</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5040" w:type="dxa"/>
            <w:vAlign w:val="bottom"/>
            <w:gridSpan w:val="33"/>
          </w:tcPr>
          <w:p>
            <w:pPr>
              <w:spacing w:after="0" w:line="169" w:lineRule="exact"/>
              <w:rPr>
                <w:rFonts w:ascii="Arial" w:cs="Arial" w:eastAsia="Arial" w:hAnsi="Arial"/>
                <w:sz w:val="18"/>
                <w:szCs w:val="18"/>
                <w:color w:val="0000FF"/>
                <w:w w:val="93"/>
              </w:rPr>
            </w:pPr>
            <w:hyperlink r:id="rId302">
              <w:r>
                <w:rPr>
                  <w:rFonts w:ascii="Arial" w:cs="Arial" w:eastAsia="Arial" w:hAnsi="Arial"/>
                  <w:sz w:val="18"/>
                  <w:szCs w:val="18"/>
                  <w:color w:val="0000FF"/>
                  <w:w w:val="93"/>
                </w:rPr>
                <w:t>Specimen Stock Certificate evidencing the shares of common stock</w:t>
              </w:r>
            </w:hyperlink>
          </w:p>
        </w:tc>
        <w:tc>
          <w:tcPr>
            <w:tcW w:w="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w w:val="87"/>
              </w:rPr>
              <w:t>4.3</w:t>
            </w:r>
          </w:p>
        </w:tc>
        <w:tc>
          <w:tcPr>
            <w:tcW w:w="6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2"/>
              </w:rPr>
              <w:t>S-1</w:t>
            </w:r>
          </w:p>
        </w:tc>
        <w:tc>
          <w:tcPr>
            <w:tcW w:w="13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333-257320</w:t>
            </w:r>
          </w:p>
        </w:tc>
        <w:tc>
          <w:tcPr>
            <w:tcW w:w="9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7"/>
              </w:rPr>
              <w:t>4.3</w:t>
            </w:r>
          </w:p>
        </w:tc>
        <w:tc>
          <w:tcPr>
            <w:tcW w:w="12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06/23/2021</w:t>
            </w: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4840" w:type="dxa"/>
            <w:vAlign w:val="bottom"/>
            <w:gridSpan w:val="29"/>
          </w:tcPr>
          <w:p>
            <w:pPr>
              <w:spacing w:after="0" w:line="169" w:lineRule="exact"/>
              <w:rPr>
                <w:rFonts w:ascii="Arial" w:cs="Arial" w:eastAsia="Arial" w:hAnsi="Arial"/>
                <w:sz w:val="18"/>
                <w:szCs w:val="18"/>
                <w:color w:val="0000FF"/>
              </w:rPr>
            </w:pPr>
            <w:hyperlink r:id="rId303">
              <w:r>
                <w:rPr>
                  <w:rFonts w:ascii="Arial" w:cs="Arial" w:eastAsia="Arial" w:hAnsi="Arial"/>
                  <w:sz w:val="18"/>
                  <w:szCs w:val="18"/>
                  <w:color w:val="0000FF"/>
                </w:rPr>
                <w:t>Form of Warrant to Purchase Stock</w:t>
              </w:r>
            </w:hyperlink>
          </w:p>
        </w:tc>
        <w:tc>
          <w:tcPr>
            <w:tcW w:w="60" w:type="dxa"/>
            <w:vAlign w:val="bottom"/>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ind w:left="20"/>
              <w:spacing w:after="0" w:line="189" w:lineRule="exact"/>
              <w:rPr>
                <w:sz w:val="20"/>
                <w:szCs w:val="20"/>
                <w:color w:val="auto"/>
              </w:rPr>
            </w:pPr>
            <w:r>
              <w:rPr>
                <w:rFonts w:ascii="Arial" w:cs="Arial" w:eastAsia="Arial" w:hAnsi="Arial"/>
                <w:sz w:val="18"/>
                <w:szCs w:val="18"/>
                <w:color w:val="auto"/>
                <w:w w:val="87"/>
              </w:rPr>
              <w:t>4.4</w:t>
            </w:r>
          </w:p>
        </w:tc>
        <w:tc>
          <w:tcPr>
            <w:tcW w:w="6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gridSpan w:val="3"/>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69"/>
        </w:trPr>
        <w:tc>
          <w:tcPr>
            <w:tcW w:w="2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2580" w:type="dxa"/>
            <w:vAlign w:val="bottom"/>
            <w:gridSpan w:val="11"/>
          </w:tcPr>
          <w:p>
            <w:pPr>
              <w:spacing w:after="0" w:line="169" w:lineRule="exact"/>
              <w:rPr>
                <w:rFonts w:ascii="Arial" w:cs="Arial" w:eastAsia="Arial" w:hAnsi="Arial"/>
                <w:sz w:val="18"/>
                <w:szCs w:val="18"/>
                <w:color w:val="0000FF"/>
              </w:rPr>
            </w:pPr>
            <w:hyperlink w:anchor="page143">
              <w:r>
                <w:rPr>
                  <w:rFonts w:ascii="Arial" w:cs="Arial" w:eastAsia="Arial" w:hAnsi="Arial"/>
                  <w:sz w:val="18"/>
                  <w:szCs w:val="18"/>
                  <w:color w:val="0000FF"/>
                </w:rPr>
                <w:t>Description of Capital Stock</w:t>
              </w:r>
            </w:hyperlink>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ind w:left="20"/>
              <w:spacing w:after="0" w:line="189" w:lineRule="exact"/>
              <w:rPr>
                <w:sz w:val="20"/>
                <w:szCs w:val="20"/>
                <w:color w:val="auto"/>
              </w:rPr>
            </w:pPr>
            <w:r>
              <w:rPr>
                <w:rFonts w:ascii="Arial" w:cs="Arial" w:eastAsia="Arial" w:hAnsi="Arial"/>
                <w:sz w:val="18"/>
                <w:szCs w:val="18"/>
                <w:color w:val="auto"/>
              </w:rPr>
              <w:t>10.1</w:t>
            </w: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2"/>
              </w:rPr>
              <w:t>S-1</w:t>
            </w:r>
          </w:p>
        </w:tc>
        <w:tc>
          <w:tcPr>
            <w:tcW w:w="13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333-257320</w:t>
            </w:r>
          </w:p>
        </w:tc>
        <w:tc>
          <w:tcPr>
            <w:tcW w:w="9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5"/>
              </w:rPr>
              <w:t>10.1</w:t>
            </w:r>
          </w:p>
        </w:tc>
        <w:tc>
          <w:tcPr>
            <w:tcW w:w="12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6/23/2021</w:t>
            </w: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5040" w:type="dxa"/>
            <w:vAlign w:val="bottom"/>
            <w:gridSpan w:val="33"/>
          </w:tcPr>
          <w:p>
            <w:pPr>
              <w:spacing w:after="0" w:line="169" w:lineRule="exact"/>
              <w:rPr>
                <w:rFonts w:ascii="Arial" w:cs="Arial" w:eastAsia="Arial" w:hAnsi="Arial"/>
                <w:sz w:val="18"/>
                <w:szCs w:val="18"/>
                <w:color w:val="0000FF"/>
                <w:w w:val="90"/>
              </w:rPr>
            </w:pPr>
            <w:hyperlink r:id="rId304">
              <w:r>
                <w:rPr>
                  <w:rFonts w:ascii="Arial" w:cs="Arial" w:eastAsia="Arial" w:hAnsi="Arial"/>
                  <w:sz w:val="18"/>
                  <w:szCs w:val="18"/>
                  <w:color w:val="0000FF"/>
                  <w:w w:val="90"/>
                </w:rPr>
                <w:t>2011 Stock Incentive Plan, as amended, and U.K. sub-plan and forms</w:t>
              </w:r>
            </w:hyperlink>
          </w:p>
        </w:tc>
        <w:tc>
          <w:tcPr>
            <w:tcW w:w="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gridSpan w:val="2"/>
            <w:vMerge w:val="restart"/>
          </w:tcPr>
          <w:p>
            <w:pPr>
              <w:ind w:left="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3"/>
                <w:szCs w:val="13"/>
                <w:color w:val="auto"/>
              </w:rPr>
            </w:pPr>
          </w:p>
        </w:tc>
        <w:tc>
          <w:tcPr>
            <w:tcW w:w="50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304">
              <w:r>
                <w:rPr>
                  <w:rFonts w:ascii="Arial" w:cs="Arial" w:eastAsia="Arial" w:hAnsi="Arial"/>
                  <w:sz w:val="18"/>
                  <w:szCs w:val="18"/>
                  <w:color w:val="0000FF"/>
                </w:rPr>
                <w:t>of agreements thereunder</w:t>
              </w:r>
            </w:hyperlink>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3"/>
              </w:rPr>
              <w:t>S-1/A</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89"/>
              </w:rPr>
              <w:t>333-257320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5"/>
              </w:rPr>
              <w:t>10.2</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0"/>
              </w:rPr>
              <w:t>07/08/2021</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5040" w:type="dxa"/>
            <w:vAlign w:val="bottom"/>
            <w:gridSpan w:val="33"/>
          </w:tcPr>
          <w:p>
            <w:pPr>
              <w:spacing w:after="0" w:line="169" w:lineRule="exact"/>
              <w:rPr>
                <w:rFonts w:ascii="Arial" w:cs="Arial" w:eastAsia="Arial" w:hAnsi="Arial"/>
                <w:sz w:val="18"/>
                <w:szCs w:val="18"/>
                <w:color w:val="0000FF"/>
                <w:w w:val="90"/>
              </w:rPr>
            </w:pPr>
            <w:hyperlink r:id="rId305">
              <w:r>
                <w:rPr>
                  <w:rFonts w:ascii="Arial" w:cs="Arial" w:eastAsia="Arial" w:hAnsi="Arial"/>
                  <w:sz w:val="18"/>
                  <w:szCs w:val="18"/>
                  <w:color w:val="0000FF"/>
                  <w:w w:val="90"/>
                </w:rPr>
                <w:t>2021 Incentive Award Plan and form of option agreements thereunder</w:t>
              </w:r>
            </w:hyperlink>
          </w:p>
        </w:tc>
        <w:tc>
          <w:tcPr>
            <w:tcW w:w="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ind w:left="20"/>
              <w:spacing w:after="0" w:line="189" w:lineRule="exact"/>
              <w:rPr>
                <w:sz w:val="20"/>
                <w:szCs w:val="20"/>
                <w:color w:val="auto"/>
              </w:rPr>
            </w:pPr>
            <w:r>
              <w:rPr>
                <w:rFonts w:ascii="Arial" w:cs="Arial" w:eastAsia="Arial" w:hAnsi="Arial"/>
                <w:sz w:val="18"/>
                <w:szCs w:val="18"/>
                <w:color w:val="auto"/>
              </w:rPr>
              <w:t>10.3</w:t>
            </w: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3"/>
              </w:rPr>
              <w:t>S-1/A</w:t>
            </w:r>
          </w:p>
        </w:tc>
        <w:tc>
          <w:tcPr>
            <w:tcW w:w="13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333-257320</w:t>
            </w:r>
          </w:p>
        </w:tc>
        <w:tc>
          <w:tcPr>
            <w:tcW w:w="9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5"/>
              </w:rPr>
              <w:t>10.3</w:t>
            </w:r>
          </w:p>
        </w:tc>
        <w:tc>
          <w:tcPr>
            <w:tcW w:w="12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07/08/2021</w:t>
            </w: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5020" w:type="dxa"/>
            <w:vAlign w:val="bottom"/>
            <w:gridSpan w:val="32"/>
          </w:tcPr>
          <w:p>
            <w:pPr>
              <w:spacing w:after="0" w:line="169" w:lineRule="exact"/>
              <w:rPr>
                <w:rFonts w:ascii="Arial" w:cs="Arial" w:eastAsia="Arial" w:hAnsi="Arial"/>
                <w:sz w:val="18"/>
                <w:szCs w:val="18"/>
                <w:color w:val="0000FF"/>
              </w:rPr>
            </w:pPr>
            <w:hyperlink r:id="rId306">
              <w:r>
                <w:rPr>
                  <w:rFonts w:ascii="Arial" w:cs="Arial" w:eastAsia="Arial" w:hAnsi="Arial"/>
                  <w:sz w:val="18"/>
                  <w:szCs w:val="18"/>
                  <w:color w:val="0000FF"/>
                </w:rPr>
                <w:t>Non-Employee Director Compensation Program</w:t>
              </w:r>
            </w:hyperlink>
          </w:p>
        </w:tc>
        <w:tc>
          <w:tcPr>
            <w:tcW w:w="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ind w:left="20"/>
              <w:spacing w:after="0" w:line="189" w:lineRule="exact"/>
              <w:rPr>
                <w:sz w:val="20"/>
                <w:szCs w:val="20"/>
                <w:color w:val="auto"/>
              </w:rPr>
            </w:pPr>
            <w:r>
              <w:rPr>
                <w:rFonts w:ascii="Arial" w:cs="Arial" w:eastAsia="Arial" w:hAnsi="Arial"/>
                <w:sz w:val="18"/>
                <w:szCs w:val="18"/>
                <w:color w:val="auto"/>
              </w:rPr>
              <w:t>10.4</w:t>
            </w: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gridSpan w:val="3"/>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3"/>
              </w:rPr>
              <w:t>S-1/A</w:t>
            </w:r>
          </w:p>
        </w:tc>
        <w:tc>
          <w:tcPr>
            <w:tcW w:w="13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333-257320</w:t>
            </w:r>
          </w:p>
        </w:tc>
        <w:tc>
          <w:tcPr>
            <w:tcW w:w="9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5"/>
              </w:rPr>
              <w:t>10.4</w:t>
            </w:r>
          </w:p>
        </w:tc>
        <w:tc>
          <w:tcPr>
            <w:tcW w:w="12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07/08/2021</w:t>
            </w: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3480" w:type="dxa"/>
            <w:vAlign w:val="bottom"/>
            <w:gridSpan w:val="16"/>
          </w:tcPr>
          <w:p>
            <w:pPr>
              <w:spacing w:after="0" w:line="169" w:lineRule="exact"/>
              <w:rPr>
                <w:rFonts w:ascii="Arial" w:cs="Arial" w:eastAsia="Arial" w:hAnsi="Arial"/>
                <w:sz w:val="18"/>
                <w:szCs w:val="18"/>
                <w:color w:val="0000FF"/>
              </w:rPr>
            </w:pPr>
            <w:hyperlink r:id="rId307">
              <w:r>
                <w:rPr>
                  <w:rFonts w:ascii="Arial" w:cs="Arial" w:eastAsia="Arial" w:hAnsi="Arial"/>
                  <w:sz w:val="18"/>
                  <w:szCs w:val="18"/>
                  <w:color w:val="0000FF"/>
                </w:rPr>
                <w:t>2021 Employee Stock Purchase Plan</w:t>
              </w:r>
            </w:hyperlink>
          </w:p>
        </w:tc>
        <w:tc>
          <w:tcPr>
            <w:tcW w:w="320" w:type="dxa"/>
            <w:vAlign w:val="bottom"/>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ind w:left="20"/>
              <w:spacing w:after="0" w:line="189" w:lineRule="exact"/>
              <w:rPr>
                <w:sz w:val="20"/>
                <w:szCs w:val="20"/>
                <w:color w:val="auto"/>
              </w:rPr>
            </w:pPr>
            <w:r>
              <w:rPr>
                <w:rFonts w:ascii="Arial" w:cs="Arial" w:eastAsia="Arial" w:hAnsi="Arial"/>
                <w:sz w:val="18"/>
                <w:szCs w:val="18"/>
                <w:color w:val="auto"/>
              </w:rPr>
              <w:t>10.5#</w:t>
            </w: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0" w:type="dxa"/>
            <w:vAlign w:val="bottom"/>
            <w:gridSpan w:val="20"/>
            <w:vMerge w:val="restart"/>
          </w:tcPr>
          <w:p>
            <w:pPr>
              <w:ind w:left="20"/>
              <w:spacing w:after="0" w:line="189" w:lineRule="exact"/>
              <w:rPr>
                <w:rFonts w:ascii="Arial" w:cs="Arial" w:eastAsia="Arial" w:hAnsi="Arial"/>
                <w:sz w:val="18"/>
                <w:szCs w:val="18"/>
                <w:color w:val="0000FF"/>
              </w:rPr>
            </w:pPr>
            <w:hyperlink r:id="rId308">
              <w:r>
                <w:rPr>
                  <w:rFonts w:ascii="Arial" w:cs="Arial" w:eastAsia="Arial" w:hAnsi="Arial"/>
                  <w:sz w:val="18"/>
                  <w:szCs w:val="18"/>
                  <w:color w:val="0000FF"/>
                </w:rPr>
                <w:t>for Directors and Officers</w:t>
              </w:r>
            </w:hyperlink>
          </w:p>
        </w:tc>
        <w:tc>
          <w:tcPr>
            <w:tcW w:w="8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3"/>
              </w:rPr>
              <w:t>S-1/A</w:t>
            </w:r>
          </w:p>
        </w:tc>
        <w:tc>
          <w:tcPr>
            <w:tcW w:w="13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333-257320</w:t>
            </w:r>
          </w:p>
        </w:tc>
        <w:tc>
          <w:tcPr>
            <w:tcW w:w="9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5"/>
              </w:rPr>
              <w:t>10.5</w:t>
            </w:r>
          </w:p>
        </w:tc>
        <w:tc>
          <w:tcPr>
            <w:tcW w:w="12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07/08/2021</w:t>
            </w: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2640" w:type="dxa"/>
            <w:vAlign w:val="bottom"/>
            <w:gridSpan w:val="13"/>
          </w:tcPr>
          <w:p>
            <w:pPr>
              <w:spacing w:after="0" w:line="169" w:lineRule="exact"/>
              <w:rPr>
                <w:rFonts w:ascii="Arial" w:cs="Arial" w:eastAsia="Arial" w:hAnsi="Arial"/>
                <w:sz w:val="18"/>
                <w:szCs w:val="18"/>
                <w:color w:val="0000FF"/>
                <w:w w:val="93"/>
              </w:rPr>
            </w:pPr>
            <w:hyperlink r:id="rId308">
              <w:r>
                <w:rPr>
                  <w:rFonts w:ascii="Arial" w:cs="Arial" w:eastAsia="Arial" w:hAnsi="Arial"/>
                  <w:sz w:val="18"/>
                  <w:szCs w:val="18"/>
                  <w:color w:val="0000FF"/>
                  <w:w w:val="93"/>
                </w:rPr>
                <w:t>Form of Indemnification Agreement</w:t>
              </w:r>
            </w:hyperlink>
          </w:p>
        </w:tc>
        <w:tc>
          <w:tcPr>
            <w:tcW w:w="2400" w:type="dxa"/>
            <w:vAlign w:val="bottom"/>
            <w:gridSpan w:val="20"/>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ind w:left="20"/>
              <w:spacing w:after="0" w:line="189" w:lineRule="exact"/>
              <w:rPr>
                <w:sz w:val="20"/>
                <w:szCs w:val="20"/>
                <w:color w:val="auto"/>
              </w:rPr>
            </w:pPr>
            <w:r>
              <w:rPr>
                <w:rFonts w:ascii="Arial" w:cs="Arial" w:eastAsia="Arial" w:hAnsi="Arial"/>
                <w:sz w:val="18"/>
                <w:szCs w:val="18"/>
                <w:color w:val="auto"/>
              </w:rPr>
              <w:t>10.6#</w:t>
            </w: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3"/>
              </w:rPr>
              <w:t>S-1/A</w:t>
            </w:r>
          </w:p>
        </w:tc>
        <w:tc>
          <w:tcPr>
            <w:tcW w:w="13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333-257320</w:t>
            </w:r>
          </w:p>
        </w:tc>
        <w:tc>
          <w:tcPr>
            <w:tcW w:w="9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8"/>
              </w:rPr>
              <w:t>10.11</w:t>
            </w:r>
          </w:p>
        </w:tc>
        <w:tc>
          <w:tcPr>
            <w:tcW w:w="12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07/08/2021</w:t>
            </w: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4520" w:type="dxa"/>
            <w:vAlign w:val="bottom"/>
            <w:gridSpan w:val="23"/>
          </w:tcPr>
          <w:p>
            <w:pPr>
              <w:spacing w:after="0" w:line="169" w:lineRule="exact"/>
              <w:rPr>
                <w:rFonts w:ascii="Arial" w:cs="Arial" w:eastAsia="Arial" w:hAnsi="Arial"/>
                <w:sz w:val="18"/>
                <w:szCs w:val="18"/>
                <w:color w:val="0000FF"/>
                <w:w w:val="89"/>
              </w:rPr>
            </w:pPr>
            <w:hyperlink r:id="rId309">
              <w:r>
                <w:rPr>
                  <w:rFonts w:ascii="Arial" w:cs="Arial" w:eastAsia="Arial" w:hAnsi="Arial"/>
                  <w:sz w:val="18"/>
                  <w:szCs w:val="18"/>
                  <w:color w:val="0000FF"/>
                  <w:w w:val="89"/>
                </w:rPr>
                <w:t>Employment Agreement between Sight Sciences, Inc. and Paul</w:t>
              </w:r>
            </w:hyperlink>
          </w:p>
        </w:tc>
        <w:tc>
          <w:tcPr>
            <w:tcW w:w="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19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8"/>
              </w:rPr>
            </w:pPr>
            <w:hyperlink r:id="rId309">
              <w:r>
                <w:rPr>
                  <w:rFonts w:ascii="Arial" w:cs="Arial" w:eastAsia="Arial" w:hAnsi="Arial"/>
                  <w:sz w:val="18"/>
                  <w:szCs w:val="18"/>
                  <w:color w:val="0000FF"/>
                  <w:w w:val="88"/>
                </w:rPr>
                <w:t>Badawi, dated July 7, 2021</w:t>
              </w:r>
            </w:hyperlink>
          </w:p>
        </w:tc>
        <w:tc>
          <w:tcPr>
            <w:tcW w:w="100" w:type="dxa"/>
            <w:vAlign w:val="bottom"/>
            <w:tcBorders>
              <w:top w:val="single" w:sz="8" w:color="0000FF"/>
              <w:bottom w:val="single" w:sz="8" w:color="0000EE"/>
            </w:tcBorders>
          </w:tcPr>
          <w:p>
            <w:pPr>
              <w:spacing w:after="0"/>
              <w:rPr>
                <w:sz w:val="13"/>
                <w:szCs w:val="13"/>
                <w:color w:val="auto"/>
              </w:rPr>
            </w:pPr>
          </w:p>
        </w:tc>
        <w:tc>
          <w:tcPr>
            <w:tcW w:w="2520" w:type="dxa"/>
            <w:vAlign w:val="bottom"/>
            <w:tcBorders>
              <w:top w:val="single" w:sz="8" w:color="0000FF"/>
            </w:tcBorders>
            <w:gridSpan w:val="16"/>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10.7#</w:t>
            </w:r>
          </w:p>
        </w:tc>
        <w:tc>
          <w:tcPr>
            <w:tcW w:w="2060" w:type="dxa"/>
            <w:vAlign w:val="bottom"/>
            <w:gridSpan w:val="8"/>
          </w:tcPr>
          <w:p>
            <w:pPr>
              <w:spacing w:after="0" w:line="169" w:lineRule="exact"/>
              <w:rPr>
                <w:rFonts w:ascii="Arial" w:cs="Arial" w:eastAsia="Arial" w:hAnsi="Arial"/>
                <w:sz w:val="18"/>
                <w:szCs w:val="18"/>
                <w:color w:val="0000FF"/>
              </w:rPr>
            </w:pPr>
            <w:hyperlink r:id="rId310">
              <w:r>
                <w:rPr>
                  <w:rFonts w:ascii="Arial" w:cs="Arial" w:eastAsia="Arial" w:hAnsi="Arial"/>
                  <w:sz w:val="18"/>
                  <w:szCs w:val="18"/>
                  <w:color w:val="0000FF"/>
                </w:rPr>
                <w:t>Employment Agreement</w:t>
              </w:r>
            </w:hyperlink>
          </w:p>
        </w:tc>
        <w:tc>
          <w:tcPr>
            <w:tcW w:w="2980" w:type="dxa"/>
            <w:vAlign w:val="bottom"/>
            <w:gridSpan w:val="25"/>
          </w:tcPr>
          <w:p>
            <w:pPr>
              <w:jc w:val="right"/>
              <w:ind w:right="320"/>
              <w:spacing w:after="0" w:line="169" w:lineRule="exact"/>
              <w:rPr>
                <w:rFonts w:ascii="Arial" w:cs="Arial" w:eastAsia="Arial" w:hAnsi="Arial"/>
                <w:sz w:val="18"/>
                <w:szCs w:val="18"/>
                <w:color w:val="0000FF"/>
                <w:w w:val="80"/>
              </w:rPr>
            </w:pPr>
            <w:hyperlink r:id="rId310">
              <w:r>
                <w:rPr>
                  <w:rFonts w:ascii="Arial" w:cs="Arial" w:eastAsia="Arial" w:hAnsi="Arial"/>
                  <w:sz w:val="18"/>
                  <w:szCs w:val="18"/>
                  <w:color w:val="0000FF"/>
                  <w:w w:val="80"/>
                </w:rPr>
                <w:t>between Sight Sciences, Inc. and Shawn</w:t>
              </w:r>
            </w:hyperlink>
          </w:p>
        </w:tc>
        <w:tc>
          <w:tcPr>
            <w:tcW w:w="880" w:type="dxa"/>
            <w:vAlign w:val="bottom"/>
          </w:tcPr>
          <w:p>
            <w:pPr>
              <w:jc w:val="center"/>
              <w:spacing w:after="0" w:line="169" w:lineRule="exact"/>
              <w:rPr>
                <w:sz w:val="20"/>
                <w:szCs w:val="20"/>
                <w:color w:val="auto"/>
              </w:rPr>
            </w:pPr>
            <w:r>
              <w:rPr>
                <w:rFonts w:ascii="Arial" w:cs="Arial" w:eastAsia="Arial" w:hAnsi="Arial"/>
                <w:sz w:val="18"/>
                <w:szCs w:val="18"/>
                <w:color w:val="auto"/>
                <w:w w:val="93"/>
              </w:rPr>
              <w:t>S-1/A</w:t>
            </w:r>
          </w:p>
        </w:tc>
        <w:tc>
          <w:tcPr>
            <w:tcW w:w="1320" w:type="dxa"/>
            <w:vAlign w:val="bottom"/>
          </w:tcPr>
          <w:p>
            <w:pPr>
              <w:jc w:val="center"/>
              <w:spacing w:after="0" w:line="169" w:lineRule="exact"/>
              <w:rPr>
                <w:sz w:val="20"/>
                <w:szCs w:val="20"/>
                <w:color w:val="auto"/>
              </w:rPr>
            </w:pPr>
            <w:r>
              <w:rPr>
                <w:rFonts w:ascii="Arial" w:cs="Arial" w:eastAsia="Arial" w:hAnsi="Arial"/>
                <w:sz w:val="18"/>
                <w:szCs w:val="18"/>
                <w:color w:val="auto"/>
                <w:w w:val="89"/>
              </w:rPr>
              <w:t>333-257320</w:t>
            </w:r>
          </w:p>
        </w:tc>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3"/>
              </w:rPr>
              <w:t>10.12</w:t>
            </w:r>
          </w:p>
        </w:tc>
        <w:tc>
          <w:tcPr>
            <w:tcW w:w="1220" w:type="dxa"/>
            <w:vAlign w:val="bottom"/>
          </w:tcPr>
          <w:p>
            <w:pPr>
              <w:jc w:val="center"/>
              <w:spacing w:after="0" w:line="169" w:lineRule="exact"/>
              <w:rPr>
                <w:sz w:val="20"/>
                <w:szCs w:val="20"/>
                <w:color w:val="auto"/>
              </w:rPr>
            </w:pPr>
            <w:r>
              <w:rPr>
                <w:rFonts w:ascii="Arial" w:cs="Arial" w:eastAsia="Arial" w:hAnsi="Arial"/>
                <w:sz w:val="18"/>
                <w:szCs w:val="18"/>
                <w:color w:val="auto"/>
                <w:w w:val="90"/>
              </w:rPr>
              <w:t>07/08/2021</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310">
              <w:r>
                <w:rPr>
                  <w:rFonts w:ascii="Arial" w:cs="Arial" w:eastAsia="Arial" w:hAnsi="Arial"/>
                  <w:sz w:val="18"/>
                  <w:szCs w:val="18"/>
                  <w:color w:val="0000FF"/>
                </w:rPr>
                <w:t>O'Neil, date July 7, 2021</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ind w:left="20"/>
              <w:spacing w:after="0" w:line="189" w:lineRule="exact"/>
              <w:rPr>
                <w:sz w:val="20"/>
                <w:szCs w:val="20"/>
                <w:color w:val="auto"/>
              </w:rPr>
            </w:pPr>
            <w:r>
              <w:rPr>
                <w:rFonts w:ascii="Arial" w:cs="Arial" w:eastAsia="Arial" w:hAnsi="Arial"/>
                <w:sz w:val="18"/>
                <w:szCs w:val="18"/>
                <w:color w:val="auto"/>
              </w:rPr>
              <w:t>10.8#</w:t>
            </w: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60" w:type="dxa"/>
            <w:vAlign w:val="bottom"/>
            <w:gridSpan w:val="27"/>
            <w:vMerge w:val="restart"/>
          </w:tcPr>
          <w:p>
            <w:pPr>
              <w:ind w:left="40"/>
              <w:spacing w:after="0" w:line="189" w:lineRule="exact"/>
              <w:rPr>
                <w:rFonts w:ascii="Arial" w:cs="Arial" w:eastAsia="Arial" w:hAnsi="Arial"/>
                <w:sz w:val="18"/>
                <w:szCs w:val="18"/>
                <w:color w:val="0000FF"/>
                <w:w w:val="90"/>
              </w:rPr>
            </w:pPr>
            <w:hyperlink r:id="rId311">
              <w:r>
                <w:rPr>
                  <w:rFonts w:ascii="Arial" w:cs="Arial" w:eastAsia="Arial" w:hAnsi="Arial"/>
                  <w:sz w:val="18"/>
                  <w:szCs w:val="18"/>
                  <w:color w:val="0000FF"/>
                  <w:w w:val="90"/>
                </w:rPr>
                <w:t>between Sight Sciences, Inc. and Sam Park,</w:t>
              </w:r>
            </w:hyperlink>
          </w:p>
        </w:tc>
        <w:tc>
          <w:tcPr>
            <w:tcW w:w="8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3"/>
              </w:rPr>
              <w:t>S-1/A</w:t>
            </w:r>
          </w:p>
        </w:tc>
        <w:tc>
          <w:tcPr>
            <w:tcW w:w="13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333-257320</w:t>
            </w:r>
          </w:p>
        </w:tc>
        <w:tc>
          <w:tcPr>
            <w:tcW w:w="9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3"/>
              </w:rPr>
              <w:t>10.13</w:t>
            </w:r>
          </w:p>
        </w:tc>
        <w:tc>
          <w:tcPr>
            <w:tcW w:w="12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07/08/2021</w:t>
            </w: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780" w:type="dxa"/>
            <w:vAlign w:val="bottom"/>
            <w:gridSpan w:val="6"/>
          </w:tcPr>
          <w:p>
            <w:pPr>
              <w:spacing w:after="0" w:line="169" w:lineRule="exact"/>
              <w:rPr>
                <w:rFonts w:ascii="Arial" w:cs="Arial" w:eastAsia="Arial" w:hAnsi="Arial"/>
                <w:sz w:val="18"/>
                <w:szCs w:val="18"/>
                <w:color w:val="0000FF"/>
                <w:w w:val="90"/>
              </w:rPr>
            </w:pPr>
            <w:hyperlink r:id="rId311">
              <w:r>
                <w:rPr>
                  <w:rFonts w:ascii="Arial" w:cs="Arial" w:eastAsia="Arial" w:hAnsi="Arial"/>
                  <w:sz w:val="18"/>
                  <w:szCs w:val="18"/>
                  <w:color w:val="0000FF"/>
                  <w:w w:val="90"/>
                </w:rPr>
                <w:t>Employment Agreement</w:t>
              </w:r>
            </w:hyperlink>
          </w:p>
        </w:tc>
        <w:tc>
          <w:tcPr>
            <w:tcW w:w="3260" w:type="dxa"/>
            <w:vAlign w:val="bottom"/>
            <w:gridSpan w:val="27"/>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gridSpan w:val="2"/>
            <w:vMerge w:val="restart"/>
          </w:tcPr>
          <w:p>
            <w:pPr>
              <w:ind w:left="20"/>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0000EE"/>
            </w:tcBorders>
          </w:tcPr>
          <w:p>
            <w:pPr>
              <w:spacing w:after="0"/>
              <w:rPr>
                <w:sz w:val="13"/>
                <w:szCs w:val="13"/>
                <w:color w:val="auto"/>
              </w:rPr>
            </w:pPr>
          </w:p>
        </w:tc>
        <w:tc>
          <w:tcPr>
            <w:tcW w:w="13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6"/>
              </w:rPr>
            </w:pPr>
            <w:hyperlink r:id="rId311">
              <w:r>
                <w:rPr>
                  <w:rFonts w:ascii="Arial" w:cs="Arial" w:eastAsia="Arial" w:hAnsi="Arial"/>
                  <w:sz w:val="18"/>
                  <w:szCs w:val="18"/>
                  <w:color w:val="0000FF"/>
                  <w:w w:val="86"/>
                </w:rPr>
                <w:t>dated July 7,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68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3"/>
              </w:rPr>
              <w:t>S-1/A</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89"/>
              </w:rPr>
              <w:t>333-257320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3"/>
              </w:rPr>
              <w:t>10.14</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0"/>
              </w:rPr>
              <w:t>07/08/2021</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5040" w:type="dxa"/>
            <w:vAlign w:val="bottom"/>
            <w:gridSpan w:val="33"/>
          </w:tcPr>
          <w:p>
            <w:pPr>
              <w:spacing w:after="0" w:line="169" w:lineRule="exact"/>
              <w:rPr>
                <w:rFonts w:ascii="Arial" w:cs="Arial" w:eastAsia="Arial" w:hAnsi="Arial"/>
                <w:sz w:val="18"/>
                <w:szCs w:val="18"/>
                <w:color w:val="0000FF"/>
                <w:w w:val="97"/>
              </w:rPr>
            </w:pPr>
            <w:hyperlink r:id="rId312">
              <w:r>
                <w:rPr>
                  <w:rFonts w:ascii="Arial" w:cs="Arial" w:eastAsia="Arial" w:hAnsi="Arial"/>
                  <w:sz w:val="18"/>
                  <w:szCs w:val="18"/>
                  <w:color w:val="0000FF"/>
                  <w:w w:val="97"/>
                </w:rPr>
                <w:t>Employment Agreement between Sight Sciences, Inc. and David</w:t>
              </w:r>
            </w:hyperlink>
          </w:p>
        </w:tc>
        <w:tc>
          <w:tcPr>
            <w:tcW w:w="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312">
              <w:r>
                <w:rPr>
                  <w:rFonts w:ascii="Arial" w:cs="Arial" w:eastAsia="Arial" w:hAnsi="Arial"/>
                  <w:sz w:val="18"/>
                  <w:szCs w:val="18"/>
                  <w:color w:val="0000FF"/>
                </w:rPr>
                <w:t>Badawi, M.D., dated July 7,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ind w:left="20"/>
              <w:spacing w:after="0" w:line="189" w:lineRule="exact"/>
              <w:rPr>
                <w:sz w:val="20"/>
                <w:szCs w:val="20"/>
                <w:color w:val="auto"/>
              </w:rPr>
            </w:pPr>
            <w:r>
              <w:rPr>
                <w:rFonts w:ascii="Arial" w:cs="Arial" w:eastAsia="Arial" w:hAnsi="Arial"/>
                <w:sz w:val="18"/>
                <w:szCs w:val="18"/>
                <w:color w:val="auto"/>
              </w:rPr>
              <w:t>10.10</w:t>
            </w: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EE"/>
            </w:tcBorders>
            <w:gridSpan w:val="6"/>
            <w:shd w:val="clear" w:color="auto" w:fill="0000FF"/>
          </w:tcPr>
          <w:p>
            <w:pPr>
              <w:spacing w:after="0" w:line="20" w:lineRule="exact"/>
              <w:rPr>
                <w:sz w:val="1"/>
                <w:szCs w:val="1"/>
                <w:color w:val="auto"/>
              </w:rPr>
            </w:pPr>
          </w:p>
        </w:tc>
        <w:tc>
          <w:tcPr>
            <w:tcW w:w="2600" w:type="dxa"/>
            <w:vAlign w:val="bottom"/>
            <w:gridSpan w:val="24"/>
            <w:vMerge w:val="restart"/>
          </w:tcPr>
          <w:p>
            <w:pPr>
              <w:jc w:val="right"/>
              <w:ind w:right="320"/>
              <w:spacing w:after="0" w:line="189" w:lineRule="exact"/>
              <w:rPr>
                <w:rFonts w:ascii="Arial" w:cs="Arial" w:eastAsia="Arial" w:hAnsi="Arial"/>
                <w:sz w:val="18"/>
                <w:szCs w:val="18"/>
                <w:color w:val="0000FF"/>
                <w:w w:val="87"/>
              </w:rPr>
            </w:pPr>
            <w:hyperlink r:id="rId313">
              <w:r>
                <w:rPr>
                  <w:rFonts w:ascii="Arial" w:cs="Arial" w:eastAsia="Arial" w:hAnsi="Arial"/>
                  <w:sz w:val="18"/>
                  <w:szCs w:val="18"/>
                  <w:color w:val="0000FF"/>
                  <w:w w:val="87"/>
                </w:rPr>
                <w:t>as of February 5, 2021, between</w:t>
              </w:r>
            </w:hyperlink>
          </w:p>
        </w:tc>
        <w:tc>
          <w:tcPr>
            <w:tcW w:w="8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2"/>
              </w:rPr>
              <w:t>S-1</w:t>
            </w:r>
          </w:p>
        </w:tc>
        <w:tc>
          <w:tcPr>
            <w:tcW w:w="13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333-257320</w:t>
            </w:r>
          </w:p>
        </w:tc>
        <w:tc>
          <w:tcPr>
            <w:tcW w:w="9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5"/>
              </w:rPr>
              <w:t>10.7</w:t>
            </w:r>
          </w:p>
        </w:tc>
        <w:tc>
          <w:tcPr>
            <w:tcW w:w="12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06/23/2021</w:t>
            </w: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2440" w:type="dxa"/>
            <w:vAlign w:val="bottom"/>
            <w:gridSpan w:val="9"/>
          </w:tcPr>
          <w:p>
            <w:pPr>
              <w:spacing w:after="0" w:line="169" w:lineRule="exact"/>
              <w:rPr>
                <w:rFonts w:ascii="Arial" w:cs="Arial" w:eastAsia="Arial" w:hAnsi="Arial"/>
                <w:sz w:val="18"/>
                <w:szCs w:val="18"/>
                <w:color w:val="0000FF"/>
                <w:w w:val="90"/>
              </w:rPr>
            </w:pPr>
            <w:hyperlink r:id="rId313">
              <w:r>
                <w:rPr>
                  <w:rFonts w:ascii="Arial" w:cs="Arial" w:eastAsia="Arial" w:hAnsi="Arial"/>
                  <w:sz w:val="18"/>
                  <w:szCs w:val="18"/>
                  <w:color w:val="0000FF"/>
                  <w:w w:val="90"/>
                </w:rPr>
                <w:t>Multi-Tenant Space Lease, dated</w:t>
              </w:r>
            </w:hyperlink>
          </w:p>
        </w:tc>
        <w:tc>
          <w:tcPr>
            <w:tcW w:w="2600" w:type="dxa"/>
            <w:vAlign w:val="bottom"/>
            <w:gridSpan w:val="24"/>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320" w:type="dxa"/>
            <w:vAlign w:val="bottom"/>
            <w:tcBorders>
              <w:top w:val="single" w:sz="8" w:color="0000FF"/>
              <w:bottom w:val="single" w:sz="8" w:color="0000EE"/>
            </w:tcBorders>
            <w:gridSpan w:val="13"/>
          </w:tcPr>
          <w:p>
            <w:pPr>
              <w:spacing w:after="0" w:line="156" w:lineRule="exact"/>
              <w:rPr>
                <w:rFonts w:ascii="Arial" w:cs="Arial" w:eastAsia="Arial" w:hAnsi="Arial"/>
                <w:sz w:val="18"/>
                <w:szCs w:val="18"/>
                <w:color w:val="0000FF"/>
                <w:w w:val="91"/>
              </w:rPr>
            </w:pPr>
            <w:hyperlink r:id="rId313">
              <w:r>
                <w:rPr>
                  <w:rFonts w:ascii="Arial" w:cs="Arial" w:eastAsia="Arial" w:hAnsi="Arial"/>
                  <w:sz w:val="18"/>
                  <w:szCs w:val="18"/>
                  <w:color w:val="0000FF"/>
                  <w:w w:val="91"/>
                </w:rPr>
                <w:t>Sight Sciences and Deerfield Campbell, LLC.</w:t>
              </w:r>
            </w:hyperlink>
          </w:p>
        </w:tc>
        <w:tc>
          <w:tcPr>
            <w:tcW w:w="1500" w:type="dxa"/>
            <w:vAlign w:val="bottom"/>
            <w:tcBorders>
              <w:top w:val="single" w:sz="8" w:color="0000FF"/>
            </w:tcBorders>
            <w:gridSpan w:val="15"/>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10.11</w:t>
            </w:r>
          </w:p>
        </w:tc>
        <w:tc>
          <w:tcPr>
            <w:tcW w:w="3340" w:type="dxa"/>
            <w:vAlign w:val="bottom"/>
            <w:gridSpan w:val="14"/>
          </w:tcPr>
          <w:p>
            <w:pPr>
              <w:spacing w:after="0" w:line="169" w:lineRule="exact"/>
              <w:rPr>
                <w:rFonts w:ascii="Arial" w:cs="Arial" w:eastAsia="Arial" w:hAnsi="Arial"/>
                <w:sz w:val="18"/>
                <w:szCs w:val="18"/>
                <w:color w:val="0000FF"/>
                <w:w w:val="87"/>
              </w:rPr>
            </w:pPr>
            <w:hyperlink r:id="rId314">
              <w:r>
                <w:rPr>
                  <w:rFonts w:ascii="Arial" w:cs="Arial" w:eastAsia="Arial" w:hAnsi="Arial"/>
                  <w:sz w:val="18"/>
                  <w:szCs w:val="18"/>
                  <w:color w:val="0000FF"/>
                  <w:w w:val="87"/>
                </w:rPr>
                <w:t>First Amendment to the Amended and Restated</w:t>
              </w:r>
            </w:hyperlink>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17"/>
          </w:tcPr>
          <w:p>
            <w:pPr>
              <w:jc w:val="right"/>
              <w:ind w:right="180"/>
              <w:spacing w:after="0" w:line="169" w:lineRule="exact"/>
              <w:rPr>
                <w:rFonts w:ascii="Arial" w:cs="Arial" w:eastAsia="Arial" w:hAnsi="Arial"/>
                <w:sz w:val="18"/>
                <w:szCs w:val="18"/>
                <w:color w:val="0000FF"/>
                <w:w w:val="88"/>
              </w:rPr>
            </w:pPr>
            <w:hyperlink r:id="rId314">
              <w:r>
                <w:rPr>
                  <w:rFonts w:ascii="Arial" w:cs="Arial" w:eastAsia="Arial" w:hAnsi="Arial"/>
                  <w:sz w:val="18"/>
                  <w:szCs w:val="18"/>
                  <w:color w:val="0000FF"/>
                  <w:w w:val="88"/>
                </w:rPr>
                <w:t>Credit and Security</w:t>
              </w:r>
            </w:hyperlink>
          </w:p>
        </w:tc>
        <w:tc>
          <w:tcPr>
            <w:tcW w:w="880" w:type="dxa"/>
            <w:vAlign w:val="bottom"/>
          </w:tcPr>
          <w:p>
            <w:pPr>
              <w:jc w:val="center"/>
              <w:spacing w:after="0" w:line="169" w:lineRule="exact"/>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line="169" w:lineRule="exact"/>
              <w:rPr>
                <w:sz w:val="20"/>
                <w:szCs w:val="20"/>
                <w:color w:val="auto"/>
              </w:rPr>
            </w:pPr>
            <w:r>
              <w:rPr>
                <w:rFonts w:ascii="Arial" w:cs="Arial" w:eastAsia="Arial" w:hAnsi="Arial"/>
                <w:sz w:val="18"/>
                <w:szCs w:val="18"/>
                <w:color w:val="auto"/>
                <w:w w:val="90"/>
              </w:rPr>
              <w:t>001-40587</w:t>
            </w:r>
          </w:p>
        </w:tc>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85"/>
              </w:rPr>
              <w:t>10.1</w:t>
            </w:r>
          </w:p>
        </w:tc>
        <w:tc>
          <w:tcPr>
            <w:tcW w:w="1220" w:type="dxa"/>
            <w:vAlign w:val="bottom"/>
          </w:tcPr>
          <w:p>
            <w:pPr>
              <w:jc w:val="center"/>
              <w:spacing w:after="0" w:line="169" w:lineRule="exact"/>
              <w:rPr>
                <w:sz w:val="20"/>
                <w:szCs w:val="20"/>
                <w:color w:val="auto"/>
              </w:rPr>
            </w:pPr>
            <w:r>
              <w:rPr>
                <w:rFonts w:ascii="Arial" w:cs="Arial" w:eastAsia="Arial" w:hAnsi="Arial"/>
                <w:sz w:val="18"/>
                <w:szCs w:val="18"/>
                <w:color w:val="auto"/>
                <w:w w:val="88"/>
              </w:rPr>
              <w:t>11/10/2021</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314">
              <w:r>
                <w:rPr>
                  <w:rFonts w:ascii="Arial" w:cs="Arial" w:eastAsia="Arial" w:hAnsi="Arial"/>
                  <w:sz w:val="18"/>
                  <w:szCs w:val="18"/>
                  <w:color w:val="0000FF"/>
                </w:rPr>
                <w:t>Agreement (Revolving Loan), dated October 5, 2021</w:t>
              </w:r>
            </w:hyperlink>
          </w:p>
        </w:tc>
        <w:tc>
          <w:tcPr>
            <w:tcW w:w="14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ind w:left="20"/>
              <w:spacing w:after="0" w:line="189" w:lineRule="exact"/>
              <w:rPr>
                <w:sz w:val="20"/>
                <w:szCs w:val="20"/>
                <w:color w:val="auto"/>
              </w:rPr>
            </w:pPr>
            <w:r>
              <w:rPr>
                <w:rFonts w:ascii="Arial" w:cs="Arial" w:eastAsia="Arial" w:hAnsi="Arial"/>
                <w:sz w:val="18"/>
                <w:szCs w:val="18"/>
                <w:color w:val="auto"/>
              </w:rPr>
              <w:t>10.12</w:t>
            </w: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40" w:type="dxa"/>
            <w:vAlign w:val="bottom"/>
            <w:gridSpan w:val="16"/>
            <w:vMerge w:val="restart"/>
          </w:tcPr>
          <w:p>
            <w:pPr>
              <w:jc w:val="right"/>
              <w:ind w:right="180"/>
              <w:spacing w:after="0" w:line="189" w:lineRule="exact"/>
              <w:rPr>
                <w:rFonts w:ascii="Arial" w:cs="Arial" w:eastAsia="Arial" w:hAnsi="Arial"/>
                <w:sz w:val="18"/>
                <w:szCs w:val="18"/>
                <w:color w:val="0000FF"/>
              </w:rPr>
            </w:pPr>
            <w:hyperlink r:id="rId315">
              <w:r>
                <w:rPr>
                  <w:rFonts w:ascii="Arial" w:cs="Arial" w:eastAsia="Arial" w:hAnsi="Arial"/>
                  <w:sz w:val="18"/>
                  <w:szCs w:val="18"/>
                  <w:color w:val="0000FF"/>
                </w:rPr>
                <w:t>and Security</w:t>
              </w:r>
            </w:hyperlink>
          </w:p>
        </w:tc>
        <w:tc>
          <w:tcPr>
            <w:tcW w:w="8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4"/>
              </w:rPr>
              <w:t>10-Q</w:t>
            </w:r>
          </w:p>
        </w:tc>
        <w:tc>
          <w:tcPr>
            <w:tcW w:w="13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90"/>
              </w:rPr>
              <w:t>001-40587</w:t>
            </w:r>
          </w:p>
        </w:tc>
        <w:tc>
          <w:tcPr>
            <w:tcW w:w="9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5"/>
              </w:rPr>
              <w:t>10.2</w:t>
            </w:r>
          </w:p>
        </w:tc>
        <w:tc>
          <w:tcPr>
            <w:tcW w:w="122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8"/>
              </w:rPr>
              <w:t>11/10/2021</w:t>
            </w: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3800" w:type="dxa"/>
            <w:vAlign w:val="bottom"/>
            <w:gridSpan w:val="17"/>
          </w:tcPr>
          <w:p>
            <w:pPr>
              <w:spacing w:after="0" w:line="169" w:lineRule="exact"/>
              <w:rPr>
                <w:rFonts w:ascii="Arial" w:cs="Arial" w:eastAsia="Arial" w:hAnsi="Arial"/>
                <w:sz w:val="18"/>
                <w:szCs w:val="18"/>
                <w:color w:val="0000FF"/>
                <w:w w:val="87"/>
              </w:rPr>
            </w:pPr>
            <w:hyperlink r:id="rId315">
              <w:r>
                <w:rPr>
                  <w:rFonts w:ascii="Arial" w:cs="Arial" w:eastAsia="Arial" w:hAnsi="Arial"/>
                  <w:sz w:val="18"/>
                  <w:szCs w:val="18"/>
                  <w:color w:val="0000FF"/>
                  <w:w w:val="87"/>
                </w:rPr>
                <w:t>First Amendment to the Amended and Restated Credit</w:t>
              </w:r>
            </w:hyperlink>
          </w:p>
        </w:tc>
        <w:tc>
          <w:tcPr>
            <w:tcW w:w="1240" w:type="dxa"/>
            <w:vAlign w:val="bottom"/>
            <w:gridSpan w:val="16"/>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gridSpan w:val="2"/>
            <w:vMerge w:val="restart"/>
          </w:tcPr>
          <w:p>
            <w:pPr>
              <w:ind w:left="20"/>
              <w:spacing w:after="0"/>
              <w:rPr>
                <w:sz w:val="20"/>
                <w:szCs w:val="20"/>
                <w:color w:val="auto"/>
              </w:rPr>
            </w:pPr>
            <w:r>
              <w:rPr>
                <w:rFonts w:ascii="Arial" w:cs="Arial" w:eastAsia="Arial" w:hAnsi="Arial"/>
                <w:sz w:val="18"/>
                <w:szCs w:val="18"/>
                <w:color w:val="auto"/>
              </w:rPr>
              <w:t>10.13</w:t>
            </w:r>
          </w:p>
        </w:tc>
        <w:tc>
          <w:tcPr>
            <w:tcW w:w="20" w:type="dxa"/>
            <w:vAlign w:val="bottom"/>
            <w:tcBorders>
              <w:bottom w:val="single" w:sz="8" w:color="0000EE"/>
            </w:tcBorders>
          </w:tcPr>
          <w:p>
            <w:pPr>
              <w:spacing w:after="0"/>
              <w:rPr>
                <w:sz w:val="13"/>
                <w:szCs w:val="13"/>
                <w:color w:val="auto"/>
              </w:rPr>
            </w:pPr>
          </w:p>
        </w:tc>
        <w:tc>
          <w:tcPr>
            <w:tcW w:w="34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9"/>
              </w:rPr>
            </w:pPr>
            <w:hyperlink r:id="rId315">
              <w:r>
                <w:rPr>
                  <w:rFonts w:ascii="Arial" w:cs="Arial" w:eastAsia="Arial" w:hAnsi="Arial"/>
                  <w:sz w:val="18"/>
                  <w:szCs w:val="18"/>
                  <w:color w:val="0000FF"/>
                  <w:w w:val="89"/>
                </w:rPr>
                <w:t>Agreement (Term Loan), dated October 5, 2021</w:t>
              </w:r>
            </w:hyperlink>
          </w:p>
        </w:tc>
        <w:tc>
          <w:tcPr>
            <w:tcW w:w="40" w:type="dxa"/>
            <w:vAlign w:val="bottom"/>
            <w:tcBorders>
              <w:top w:val="single" w:sz="8" w:color="0000FF"/>
              <w:bottom w:val="single" w:sz="8" w:color="0000EE"/>
            </w:tcBorders>
          </w:tcPr>
          <w:p>
            <w:pPr>
              <w:spacing w:after="0"/>
              <w:rPr>
                <w:sz w:val="13"/>
                <w:szCs w:val="13"/>
                <w:color w:val="auto"/>
              </w:rPr>
            </w:pPr>
          </w:p>
        </w:tc>
        <w:tc>
          <w:tcPr>
            <w:tcW w:w="1420" w:type="dxa"/>
            <w:vAlign w:val="bottom"/>
            <w:tcBorders>
              <w:top w:val="single" w:sz="8" w:color="0000FF"/>
            </w:tcBorders>
            <w:gridSpan w:val="14"/>
          </w:tcPr>
          <w:p>
            <w:pPr>
              <w:spacing w:after="0"/>
              <w:rPr>
                <w:sz w:val="13"/>
                <w:szCs w:val="13"/>
                <w:color w:val="auto"/>
              </w:rPr>
            </w:pPr>
          </w:p>
        </w:tc>
        <w:tc>
          <w:tcPr>
            <w:tcW w:w="14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5040" w:type="dxa"/>
            <w:vAlign w:val="bottom"/>
            <w:gridSpan w:val="33"/>
          </w:tcPr>
          <w:p>
            <w:pPr>
              <w:spacing w:after="0" w:line="169" w:lineRule="exact"/>
              <w:rPr>
                <w:rFonts w:ascii="Arial" w:cs="Arial" w:eastAsia="Arial" w:hAnsi="Arial"/>
                <w:sz w:val="18"/>
                <w:szCs w:val="18"/>
                <w:color w:val="0000FF"/>
              </w:rPr>
            </w:pPr>
            <w:hyperlink w:anchor="page147">
              <w:r>
                <w:rPr>
                  <w:rFonts w:ascii="Arial" w:cs="Arial" w:eastAsia="Arial" w:hAnsi="Arial"/>
                  <w:sz w:val="18"/>
                  <w:szCs w:val="18"/>
                  <w:color w:val="0000FF"/>
                </w:rPr>
                <w:t>Second Amendment to the Amended and Restated Credit and</w:t>
              </w:r>
            </w:hyperlink>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76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gridSpan w:val="2"/>
            <w:vMerge w:val="restart"/>
          </w:tcPr>
          <w:p>
            <w:pPr>
              <w:ind w:left="20"/>
              <w:spacing w:after="0"/>
              <w:rPr>
                <w:sz w:val="20"/>
                <w:szCs w:val="20"/>
                <w:color w:val="auto"/>
              </w:rPr>
            </w:pPr>
            <w:r>
              <w:rPr>
                <w:rFonts w:ascii="Arial" w:cs="Arial" w:eastAsia="Arial" w:hAnsi="Arial"/>
                <w:sz w:val="18"/>
                <w:szCs w:val="18"/>
                <w:color w:val="auto"/>
              </w:rPr>
              <w:t>10.14</w:t>
            </w:r>
          </w:p>
        </w:tc>
        <w:tc>
          <w:tcPr>
            <w:tcW w:w="5040" w:type="dxa"/>
            <w:vAlign w:val="bottom"/>
            <w:gridSpan w:val="33"/>
          </w:tcPr>
          <w:p>
            <w:pPr>
              <w:spacing w:after="0" w:line="156" w:lineRule="exact"/>
              <w:rPr>
                <w:rFonts w:ascii="Arial" w:cs="Arial" w:eastAsia="Arial" w:hAnsi="Arial"/>
                <w:sz w:val="18"/>
                <w:szCs w:val="18"/>
                <w:color w:val="0000FF"/>
                <w:w w:val="97"/>
              </w:rPr>
            </w:pPr>
            <w:hyperlink w:anchor="page147">
              <w:r>
                <w:rPr>
                  <w:rFonts w:ascii="Arial" w:cs="Arial" w:eastAsia="Arial" w:hAnsi="Arial"/>
                  <w:sz w:val="18"/>
                  <w:szCs w:val="18"/>
                  <w:color w:val="0000FF"/>
                  <w:w w:val="97"/>
                </w:rPr>
                <w:t>Security Agreement (Revolving Loan), dated November 15, 2021</w:t>
              </w:r>
            </w:hyperlink>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76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6"/>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4720" w:type="dxa"/>
            <w:vAlign w:val="bottom"/>
            <w:gridSpan w:val="26"/>
          </w:tcPr>
          <w:p>
            <w:pPr>
              <w:spacing w:after="0" w:line="169" w:lineRule="exact"/>
              <w:rPr>
                <w:rFonts w:ascii="Arial" w:cs="Arial" w:eastAsia="Arial" w:hAnsi="Arial"/>
                <w:sz w:val="18"/>
                <w:szCs w:val="18"/>
                <w:color w:val="0000FF"/>
                <w:w w:val="94"/>
              </w:rPr>
            </w:pPr>
            <w:hyperlink w:anchor="page159">
              <w:r>
                <w:rPr>
                  <w:rFonts w:ascii="Arial" w:cs="Arial" w:eastAsia="Arial" w:hAnsi="Arial"/>
                  <w:sz w:val="18"/>
                  <w:szCs w:val="18"/>
                  <w:color w:val="0000FF"/>
                  <w:w w:val="94"/>
                </w:rPr>
                <w:t>Second Amendment to the Amended and Restated Credit and</w:t>
              </w:r>
            </w:hyperlink>
          </w:p>
        </w:tc>
        <w:tc>
          <w:tcPr>
            <w:tcW w:w="20" w:type="dxa"/>
            <w:vAlign w:val="bottom"/>
            <w:vMerge w:val="continue"/>
          </w:tcPr>
          <w:p>
            <w:pPr>
              <w:spacing w:after="0"/>
              <w:rPr>
                <w:sz w:val="14"/>
                <w:szCs w:val="14"/>
                <w:color w:val="auto"/>
              </w:rPr>
            </w:pPr>
          </w:p>
        </w:tc>
        <w:tc>
          <w:tcPr>
            <w:tcW w:w="300" w:type="dxa"/>
            <w:vAlign w:val="bottom"/>
            <w:gridSpan w:val="6"/>
            <w:vMerge w:val="continue"/>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76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gridSpan w:val="5"/>
            <w:vMerge w:val="restart"/>
          </w:tcPr>
          <w:p>
            <w:pPr>
              <w:spacing w:after="0" w:line="20" w:lineRule="exact"/>
              <w:rPr>
                <w:sz w:val="1"/>
                <w:szCs w:val="1"/>
                <w:color w:val="auto"/>
              </w:rPr>
            </w:pPr>
          </w:p>
        </w:tc>
        <w:tc>
          <w:tcPr>
            <w:tcW w:w="300" w:type="dxa"/>
            <w:vAlign w:val="bottom"/>
            <w:gridSpan w:val="6"/>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20" w:type="dxa"/>
            <w:vAlign w:val="bottom"/>
            <w:gridSpan w:val="2"/>
            <w:vMerge w:val="restart"/>
          </w:tcPr>
          <w:p>
            <w:pPr>
              <w:ind w:left="20"/>
              <w:spacing w:after="0"/>
              <w:rPr>
                <w:sz w:val="20"/>
                <w:szCs w:val="20"/>
                <w:color w:val="auto"/>
              </w:rPr>
            </w:pPr>
            <w:r>
              <w:rPr>
                <w:rFonts w:ascii="Arial" w:cs="Arial" w:eastAsia="Arial" w:hAnsi="Arial"/>
                <w:sz w:val="18"/>
                <w:szCs w:val="18"/>
                <w:color w:val="auto"/>
              </w:rPr>
              <w:t>10.15</w:t>
            </w:r>
          </w:p>
        </w:tc>
        <w:tc>
          <w:tcPr>
            <w:tcW w:w="4460" w:type="dxa"/>
            <w:vAlign w:val="bottom"/>
            <w:gridSpan w:val="21"/>
          </w:tcPr>
          <w:p>
            <w:pPr>
              <w:spacing w:after="0" w:line="156" w:lineRule="exact"/>
              <w:rPr>
                <w:rFonts w:ascii="Arial" w:cs="Arial" w:eastAsia="Arial" w:hAnsi="Arial"/>
                <w:sz w:val="18"/>
                <w:szCs w:val="18"/>
                <w:color w:val="0000FF"/>
                <w:w w:val="92"/>
              </w:rPr>
            </w:pPr>
            <w:hyperlink w:anchor="page159">
              <w:r>
                <w:rPr>
                  <w:rFonts w:ascii="Arial" w:cs="Arial" w:eastAsia="Arial" w:hAnsi="Arial"/>
                  <w:sz w:val="18"/>
                  <w:szCs w:val="18"/>
                  <w:color w:val="0000FF"/>
                  <w:w w:val="92"/>
                </w:rPr>
                <w:t>Security Agreement (Term Loan), dated November 15, 2021</w:t>
              </w:r>
            </w:hyperlink>
          </w:p>
        </w:tc>
        <w:tc>
          <w:tcPr>
            <w:tcW w:w="20" w:type="dxa"/>
            <w:vAlign w:val="bottom"/>
            <w:vMerge w:val="continue"/>
          </w:tcPr>
          <w:p>
            <w:pPr>
              <w:spacing w:after="0"/>
              <w:rPr>
                <w:sz w:val="13"/>
                <w:szCs w:val="13"/>
                <w:color w:val="auto"/>
              </w:rPr>
            </w:pPr>
          </w:p>
        </w:tc>
        <w:tc>
          <w:tcPr>
            <w:tcW w:w="260" w:type="dxa"/>
            <w:vAlign w:val="bottom"/>
            <w:gridSpan w:val="5"/>
            <w:vMerge w:val="continue"/>
          </w:tcPr>
          <w:p>
            <w:pPr>
              <w:spacing w:after="0"/>
              <w:rPr>
                <w:sz w:val="13"/>
                <w:szCs w:val="13"/>
                <w:color w:val="auto"/>
              </w:rPr>
            </w:pPr>
          </w:p>
        </w:tc>
        <w:tc>
          <w:tcPr>
            <w:tcW w:w="300" w:type="dxa"/>
            <w:vAlign w:val="bottom"/>
            <w:gridSpan w:val="6"/>
            <w:vMerge w:val="continue"/>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760" w:type="dxa"/>
            <w:vAlign w:val="bottom"/>
            <w:tcBorders>
              <w:right w:val="single" w:sz="8" w:color="0000EE"/>
            </w:tcBorders>
            <w:gridSpan w:val="8"/>
            <w:shd w:val="clear" w:color="auto" w:fill="0000FF"/>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60" w:type="dxa"/>
            <w:vAlign w:val="bottom"/>
            <w:gridSpan w:val="5"/>
            <w:vMerge w:val="restart"/>
          </w:tcPr>
          <w:p>
            <w:pPr>
              <w:spacing w:after="0" w:line="20" w:lineRule="exact"/>
              <w:rPr>
                <w:sz w:val="1"/>
                <w:szCs w:val="1"/>
                <w:color w:val="auto"/>
              </w:rPr>
            </w:pPr>
          </w:p>
        </w:tc>
        <w:tc>
          <w:tcPr>
            <w:tcW w:w="300" w:type="dxa"/>
            <w:vAlign w:val="bottom"/>
            <w:gridSpan w:val="6"/>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4380" w:type="dxa"/>
            <w:vAlign w:val="bottom"/>
            <w:gridSpan w:val="20"/>
          </w:tcPr>
          <w:p>
            <w:pPr>
              <w:spacing w:after="0" w:line="169" w:lineRule="exact"/>
              <w:rPr>
                <w:rFonts w:ascii="Arial" w:cs="Arial" w:eastAsia="Arial" w:hAnsi="Arial"/>
                <w:sz w:val="18"/>
                <w:szCs w:val="18"/>
                <w:color w:val="0000FF"/>
                <w:w w:val="88"/>
              </w:rPr>
            </w:pPr>
            <w:hyperlink w:anchor="page172">
              <w:r>
                <w:rPr>
                  <w:rFonts w:ascii="Arial" w:cs="Arial" w:eastAsia="Arial" w:hAnsi="Arial"/>
                  <w:sz w:val="18"/>
                  <w:szCs w:val="18"/>
                  <w:color w:val="0000FF"/>
                  <w:w w:val="88"/>
                </w:rPr>
                <w:t>First Amendment to Supply Agreement by and between Sight</w:t>
              </w:r>
            </w:hyperlink>
          </w:p>
        </w:tc>
        <w:tc>
          <w:tcPr>
            <w:tcW w:w="100" w:type="dxa"/>
            <w:vAlign w:val="bottom"/>
            <w:gridSpan w:val="2"/>
            <w:vMerge w:val="continue"/>
          </w:tcPr>
          <w:p>
            <w:pPr>
              <w:spacing w:after="0"/>
              <w:rPr>
                <w:sz w:val="14"/>
                <w:szCs w:val="14"/>
                <w:color w:val="auto"/>
              </w:rPr>
            </w:pPr>
          </w:p>
        </w:tc>
        <w:tc>
          <w:tcPr>
            <w:tcW w:w="260" w:type="dxa"/>
            <w:vAlign w:val="bottom"/>
            <w:gridSpan w:val="5"/>
            <w:vMerge w:val="continue"/>
          </w:tcPr>
          <w:p>
            <w:pPr>
              <w:spacing w:after="0"/>
              <w:rPr>
                <w:sz w:val="14"/>
                <w:szCs w:val="14"/>
                <w:color w:val="auto"/>
              </w:rPr>
            </w:pPr>
          </w:p>
        </w:tc>
        <w:tc>
          <w:tcPr>
            <w:tcW w:w="300" w:type="dxa"/>
            <w:vAlign w:val="bottom"/>
            <w:gridSpan w:val="6"/>
            <w:vMerge w:val="continue"/>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860" w:type="dxa"/>
            <w:vAlign w:val="bottom"/>
            <w:gridSpan w:val="10"/>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020" w:type="dxa"/>
            <w:vAlign w:val="bottom"/>
            <w:tcBorders>
              <w:bottom w:val="single" w:sz="8" w:color="0000FF"/>
            </w:tcBorders>
            <w:gridSpan w:val="32"/>
          </w:tcPr>
          <w:p>
            <w:pPr>
              <w:spacing w:after="0" w:line="156" w:lineRule="exact"/>
              <w:rPr>
                <w:rFonts w:ascii="Arial" w:cs="Arial" w:eastAsia="Arial" w:hAnsi="Arial"/>
                <w:sz w:val="18"/>
                <w:szCs w:val="18"/>
                <w:color w:val="0000FF"/>
                <w:w w:val="89"/>
              </w:rPr>
            </w:pPr>
            <w:hyperlink w:anchor="page172">
              <w:r>
                <w:rPr>
                  <w:rFonts w:ascii="Arial" w:cs="Arial" w:eastAsia="Arial" w:hAnsi="Arial"/>
                  <w:sz w:val="18"/>
                  <w:szCs w:val="18"/>
                  <w:color w:val="0000FF"/>
                  <w:w w:val="89"/>
                </w:rPr>
                <w:t>Sciences, Inc. and Peter's Technology (Suzhou) CO. LTD. dated as of</w:t>
              </w:r>
            </w:hyperlink>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gridSpan w:val="2"/>
            <w:vMerge w:val="restart"/>
          </w:tcPr>
          <w:p>
            <w:pPr>
              <w:ind w:left="2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3"/>
                <w:szCs w:val="13"/>
                <w:color w:val="auto"/>
              </w:rPr>
            </w:pPr>
          </w:p>
        </w:tc>
        <w:tc>
          <w:tcPr>
            <w:tcW w:w="5020" w:type="dxa"/>
            <w:vAlign w:val="bottom"/>
            <w:gridSpan w:val="32"/>
          </w:tcPr>
          <w:p>
            <w:pPr>
              <w:spacing w:after="0" w:line="156" w:lineRule="exact"/>
              <w:rPr>
                <w:rFonts w:ascii="Arial" w:cs="Arial" w:eastAsia="Arial" w:hAnsi="Arial"/>
                <w:sz w:val="18"/>
                <w:szCs w:val="18"/>
                <w:color w:val="0000FF"/>
              </w:rPr>
            </w:pPr>
            <w:hyperlink w:anchor="page172">
              <w:r>
                <w:rPr>
                  <w:rFonts w:ascii="Arial" w:cs="Arial" w:eastAsia="Arial" w:hAnsi="Arial"/>
                  <w:sz w:val="18"/>
                  <w:szCs w:val="18"/>
                  <w:color w:val="0000FF"/>
                </w:rPr>
                <w:t>January 28, 2022</w:t>
              </w:r>
            </w:hyperlink>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120" w:type="dxa"/>
            <w:vAlign w:val="bottom"/>
            <w:gridSpan w:val="15"/>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5040" w:type="dxa"/>
            <w:vAlign w:val="bottom"/>
            <w:gridSpan w:val="33"/>
          </w:tcPr>
          <w:p>
            <w:pPr>
              <w:spacing w:after="0" w:line="169" w:lineRule="exact"/>
              <w:rPr>
                <w:rFonts w:ascii="Arial" w:cs="Arial" w:eastAsia="Arial" w:hAnsi="Arial"/>
                <w:sz w:val="18"/>
                <w:szCs w:val="18"/>
                <w:color w:val="0000FF"/>
              </w:rPr>
            </w:pPr>
            <w:hyperlink w:anchor="page180">
              <w:r>
                <w:rPr>
                  <w:rFonts w:ascii="Arial" w:cs="Arial" w:eastAsia="Arial" w:hAnsi="Arial"/>
                  <w:sz w:val="18"/>
                  <w:szCs w:val="18"/>
                  <w:color w:val="0000FF"/>
                </w:rPr>
                <w:t>Subsidiaries of Sight Sciences, Inc.</w:t>
              </w:r>
            </w:hyperlink>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ind w:left="20"/>
              <w:spacing w:after="0" w:line="189" w:lineRule="exact"/>
              <w:rPr>
                <w:sz w:val="20"/>
                <w:szCs w:val="20"/>
                <w:color w:val="auto"/>
              </w:rPr>
            </w:pPr>
            <w:r>
              <w:rPr>
                <w:rFonts w:ascii="Arial" w:cs="Arial" w:eastAsia="Arial" w:hAnsi="Arial"/>
                <w:sz w:val="18"/>
                <w:szCs w:val="18"/>
                <w:color w:val="auto"/>
              </w:rPr>
              <w:t>23.1</w:t>
            </w: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8"/>
            <w:shd w:val="clear" w:color="auto" w:fill="0000FF"/>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120" w:type="dxa"/>
            <w:vAlign w:val="bottom"/>
            <w:gridSpan w:val="15"/>
            <w:vMerge w:val="restart"/>
          </w:tcPr>
          <w:p>
            <w:pPr>
              <w:spacing w:after="0" w:line="20" w:lineRule="exact"/>
              <w:rPr>
                <w:sz w:val="1"/>
                <w:szCs w:val="1"/>
                <w:color w:val="auto"/>
              </w:rPr>
            </w:pPr>
          </w:p>
        </w:tc>
        <w:tc>
          <w:tcPr>
            <w:tcW w:w="300" w:type="dxa"/>
            <w:vAlign w:val="bottom"/>
            <w:gridSpan w:val="6"/>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2560" w:type="dxa"/>
            <w:vAlign w:val="bottom"/>
            <w:gridSpan w:val="10"/>
          </w:tcPr>
          <w:p>
            <w:pPr>
              <w:spacing w:after="0" w:line="169" w:lineRule="exact"/>
              <w:rPr>
                <w:rFonts w:ascii="Arial" w:cs="Arial" w:eastAsia="Arial" w:hAnsi="Arial"/>
                <w:sz w:val="18"/>
                <w:szCs w:val="18"/>
                <w:color w:val="0000FF"/>
                <w:w w:val="90"/>
              </w:rPr>
            </w:pPr>
            <w:hyperlink w:anchor="page181">
              <w:r>
                <w:rPr>
                  <w:rFonts w:ascii="Arial" w:cs="Arial" w:eastAsia="Arial" w:hAnsi="Arial"/>
                  <w:sz w:val="18"/>
                  <w:szCs w:val="18"/>
                  <w:color w:val="0000FF"/>
                  <w:w w:val="90"/>
                </w:rPr>
                <w:t>Consent of Deloitte &amp; Touche, LLP</w:t>
              </w:r>
            </w:hyperlink>
          </w:p>
        </w:tc>
        <w:tc>
          <w:tcPr>
            <w:tcW w:w="60" w:type="dxa"/>
            <w:vAlign w:val="bottom"/>
            <w:gridSpan w:val="2"/>
            <w:vMerge w:val="continue"/>
          </w:tcPr>
          <w:p>
            <w:pPr>
              <w:spacing w:after="0"/>
              <w:rPr>
                <w:sz w:val="14"/>
                <w:szCs w:val="14"/>
                <w:color w:val="auto"/>
              </w:rPr>
            </w:pPr>
          </w:p>
        </w:tc>
        <w:tc>
          <w:tcPr>
            <w:tcW w:w="2120" w:type="dxa"/>
            <w:vAlign w:val="bottom"/>
            <w:gridSpan w:val="15"/>
            <w:vMerge w:val="continue"/>
          </w:tcPr>
          <w:p>
            <w:pPr>
              <w:spacing w:after="0"/>
              <w:rPr>
                <w:sz w:val="14"/>
                <w:szCs w:val="14"/>
                <w:color w:val="auto"/>
              </w:rPr>
            </w:pPr>
          </w:p>
        </w:tc>
        <w:tc>
          <w:tcPr>
            <w:tcW w:w="300" w:type="dxa"/>
            <w:vAlign w:val="bottom"/>
            <w:gridSpan w:val="6"/>
            <w:vMerge w:val="continue"/>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ind w:left="20"/>
              <w:spacing w:after="0" w:line="189" w:lineRule="exact"/>
              <w:rPr>
                <w:sz w:val="20"/>
                <w:szCs w:val="20"/>
                <w:color w:val="auto"/>
              </w:rPr>
            </w:pPr>
            <w:r>
              <w:rPr>
                <w:rFonts w:ascii="Arial" w:cs="Arial" w:eastAsia="Arial" w:hAnsi="Arial"/>
                <w:sz w:val="18"/>
                <w:szCs w:val="18"/>
                <w:color w:val="auto"/>
              </w:rPr>
              <w:t>31.1</w:t>
            </w: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80" w:type="dxa"/>
            <w:vAlign w:val="bottom"/>
            <w:tcBorders>
              <w:right w:val="single" w:sz="8" w:color="0000EE"/>
            </w:tcBorders>
            <w:gridSpan w:val="10"/>
            <w:shd w:val="clear" w:color="auto" w:fill="0000FF"/>
          </w:tcPr>
          <w:p>
            <w:pPr>
              <w:spacing w:after="0" w:line="20" w:lineRule="exact"/>
              <w:rPr>
                <w:sz w:val="1"/>
                <w:szCs w:val="1"/>
                <w:color w:val="auto"/>
              </w:rPr>
            </w:pPr>
          </w:p>
        </w:tc>
        <w:tc>
          <w:tcPr>
            <w:tcW w:w="2420" w:type="dxa"/>
            <w:vAlign w:val="bottom"/>
            <w:gridSpan w:val="21"/>
            <w:vMerge w:val="restart"/>
          </w:tcPr>
          <w:p>
            <w:pPr>
              <w:jc w:val="right"/>
              <w:ind w:right="300"/>
              <w:spacing w:after="0" w:line="189" w:lineRule="exact"/>
              <w:rPr>
                <w:rFonts w:ascii="Arial" w:cs="Arial" w:eastAsia="Arial" w:hAnsi="Arial"/>
                <w:sz w:val="18"/>
                <w:szCs w:val="18"/>
                <w:color w:val="0000FF"/>
                <w:w w:val="90"/>
              </w:rPr>
            </w:pPr>
            <w:hyperlink w:anchor="page182">
              <w:r>
                <w:rPr>
                  <w:rFonts w:ascii="Arial" w:cs="Arial" w:eastAsia="Arial" w:hAnsi="Arial"/>
                  <w:sz w:val="18"/>
                  <w:szCs w:val="18"/>
                  <w:color w:val="0000FF"/>
                  <w:w w:val="90"/>
                </w:rPr>
                <w:t>Officer pursuant to Rule 13a-</w:t>
              </w:r>
            </w:hyperlink>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2620" w:type="dxa"/>
            <w:vAlign w:val="bottom"/>
            <w:gridSpan w:val="12"/>
          </w:tcPr>
          <w:p>
            <w:pPr>
              <w:spacing w:after="0" w:line="169" w:lineRule="exact"/>
              <w:rPr>
                <w:rFonts w:ascii="Arial" w:cs="Arial" w:eastAsia="Arial" w:hAnsi="Arial"/>
                <w:sz w:val="18"/>
                <w:szCs w:val="18"/>
                <w:color w:val="0000FF"/>
                <w:w w:val="93"/>
              </w:rPr>
            </w:pPr>
            <w:hyperlink w:anchor="page182">
              <w:r>
                <w:rPr>
                  <w:rFonts w:ascii="Arial" w:cs="Arial" w:eastAsia="Arial" w:hAnsi="Arial"/>
                  <w:sz w:val="18"/>
                  <w:szCs w:val="18"/>
                  <w:color w:val="0000FF"/>
                  <w:w w:val="93"/>
                </w:rPr>
                <w:t>Certification of the Chief Executive</w:t>
              </w:r>
            </w:hyperlink>
          </w:p>
        </w:tc>
        <w:tc>
          <w:tcPr>
            <w:tcW w:w="2420" w:type="dxa"/>
            <w:vAlign w:val="bottom"/>
            <w:gridSpan w:val="21"/>
            <w:vMerge w:val="continue"/>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600" w:type="dxa"/>
            <w:vAlign w:val="bottom"/>
            <w:gridSpan w:val="25"/>
            <w:shd w:val="clear" w:color="auto" w:fill="0000FF"/>
          </w:tcPr>
          <w:p>
            <w:pPr>
              <w:spacing w:after="0" w:line="20" w:lineRule="exact"/>
              <w:rPr>
                <w:sz w:val="1"/>
                <w:szCs w:val="1"/>
                <w:color w:val="auto"/>
              </w:rPr>
            </w:pPr>
          </w:p>
        </w:tc>
        <w:tc>
          <w:tcPr>
            <w:tcW w:w="300" w:type="dxa"/>
            <w:vAlign w:val="bottom"/>
            <w:gridSpan w:val="6"/>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740" w:type="dxa"/>
            <w:vAlign w:val="bottom"/>
            <w:gridSpan w:val="27"/>
          </w:tcPr>
          <w:p>
            <w:pPr>
              <w:spacing w:after="0" w:line="156" w:lineRule="exact"/>
              <w:rPr>
                <w:rFonts w:ascii="Arial" w:cs="Arial" w:eastAsia="Arial" w:hAnsi="Arial"/>
                <w:sz w:val="18"/>
                <w:szCs w:val="18"/>
                <w:color w:val="0000FF"/>
              </w:rPr>
            </w:pPr>
            <w:hyperlink w:anchor="page182">
              <w:r>
                <w:rPr>
                  <w:rFonts w:ascii="Arial" w:cs="Arial" w:eastAsia="Arial" w:hAnsi="Arial"/>
                  <w:sz w:val="18"/>
                  <w:szCs w:val="18"/>
                  <w:color w:val="0000FF"/>
                </w:rPr>
                <w:t>14(a)/15d-14(a)</w:t>
              </w:r>
            </w:hyperlink>
          </w:p>
        </w:tc>
        <w:tc>
          <w:tcPr>
            <w:tcW w:w="300" w:type="dxa"/>
            <w:vAlign w:val="bottom"/>
            <w:gridSpan w:val="6"/>
            <w:vMerge w:val="continue"/>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3700" w:type="dxa"/>
            <w:vAlign w:val="bottom"/>
            <w:gridSpan w:val="27"/>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-5048250</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0" w:name="page141"/>
    <w:bookmarkEnd w:id="140"/>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7360" w:type="dxa"/>
            <w:vAlign w:val="bottom"/>
            <w:gridSpan w:val="7"/>
          </w:tcPr>
          <w:p>
            <w:pPr>
              <w:spacing w:after="0"/>
              <w:rPr>
                <w:rFonts w:ascii="Arial" w:cs="Arial" w:eastAsia="Arial" w:hAnsi="Arial"/>
                <w:sz w:val="18"/>
                <w:szCs w:val="18"/>
                <w:color w:val="0000FF"/>
              </w:rPr>
            </w:pPr>
            <w:hyperlink w:anchor="page183">
              <w:r>
                <w:rPr>
                  <w:rFonts w:ascii="Arial" w:cs="Arial" w:eastAsia="Arial" w:hAnsi="Arial"/>
                  <w:sz w:val="18"/>
                  <w:szCs w:val="18"/>
                  <w:color w:val="0000FF"/>
                </w:rPr>
                <w:t>Certification of the Chief Financial Officer pursuant to Rule 13a-</w:t>
              </w:r>
            </w:hyperlink>
          </w:p>
        </w:tc>
        <w:tc>
          <w:tcPr>
            <w:tcW w:w="2600" w:type="dxa"/>
            <w:vAlign w:val="bottom"/>
          </w:tcPr>
          <w:p>
            <w:pPr>
              <w:jc w:val="center"/>
              <w:ind w:left="23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4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580" w:type="dxa"/>
            <w:vAlign w:val="bottom"/>
            <w:vMerge w:val="restart"/>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0" w:type="dxa"/>
            <w:vAlign w:val="bottom"/>
          </w:tcPr>
          <w:p>
            <w:pPr>
              <w:spacing w:after="0"/>
              <w:rPr>
                <w:sz w:val="13"/>
                <w:szCs w:val="13"/>
                <w:color w:val="auto"/>
              </w:rPr>
            </w:pPr>
          </w:p>
        </w:tc>
        <w:tc>
          <w:tcPr>
            <w:tcW w:w="4680" w:type="dxa"/>
            <w:vAlign w:val="bottom"/>
            <w:gridSpan w:val="4"/>
          </w:tcPr>
          <w:p>
            <w:pPr>
              <w:spacing w:after="0" w:line="156" w:lineRule="exact"/>
              <w:rPr>
                <w:rFonts w:ascii="Arial" w:cs="Arial" w:eastAsia="Arial" w:hAnsi="Arial"/>
                <w:sz w:val="18"/>
                <w:szCs w:val="18"/>
                <w:color w:val="0000FF"/>
              </w:rPr>
            </w:pPr>
            <w:hyperlink w:anchor="page183">
              <w:r>
                <w:rPr>
                  <w:rFonts w:ascii="Arial" w:cs="Arial" w:eastAsia="Arial" w:hAnsi="Arial"/>
                  <w:sz w:val="18"/>
                  <w:szCs w:val="18"/>
                  <w:color w:val="0000FF"/>
                </w:rPr>
                <w:t>14(a)/15d-14(a)</w:t>
              </w:r>
            </w:hyperlink>
          </w:p>
        </w:tc>
        <w:tc>
          <w:tcPr>
            <w:tcW w:w="6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2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line="189" w:lineRule="exact"/>
              <w:rPr>
                <w:sz w:val="20"/>
                <w:szCs w:val="20"/>
                <w:color w:val="auto"/>
              </w:rPr>
            </w:pPr>
            <w:r>
              <w:rPr>
                <w:rFonts w:ascii="Arial" w:cs="Arial" w:eastAsia="Arial" w:hAnsi="Arial"/>
                <w:sz w:val="18"/>
                <w:szCs w:val="18"/>
                <w:color w:val="auto"/>
              </w:rPr>
              <w:t>32.1</w:t>
            </w:r>
          </w:p>
        </w:tc>
        <w:tc>
          <w:tcPr>
            <w:tcW w:w="94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20" w:type="dxa"/>
            <w:vAlign w:val="bottom"/>
            <w:gridSpan w:val="4"/>
            <w:vMerge w:val="restart"/>
          </w:tcPr>
          <w:p>
            <w:pPr>
              <w:spacing w:after="0" w:line="189" w:lineRule="exact"/>
              <w:rPr>
                <w:rFonts w:ascii="Arial" w:cs="Arial" w:eastAsia="Arial" w:hAnsi="Arial"/>
                <w:sz w:val="18"/>
                <w:szCs w:val="18"/>
                <w:color w:val="0000FF"/>
              </w:rPr>
            </w:pPr>
            <w:hyperlink w:anchor="page184">
              <w:r>
                <w:rPr>
                  <w:rFonts w:ascii="Arial" w:cs="Arial" w:eastAsia="Arial" w:hAnsi="Arial"/>
                  <w:sz w:val="18"/>
                  <w:szCs w:val="18"/>
                  <w:color w:val="0000FF"/>
                </w:rPr>
                <w:t>the Chief Executive Officer pursuant to 18 U.S.C.</w:t>
              </w:r>
            </w:hyperlink>
          </w:p>
        </w:tc>
        <w:tc>
          <w:tcPr>
            <w:tcW w:w="2600" w:type="dxa"/>
            <w:vAlign w:val="bottom"/>
            <w:vMerge w:val="restart"/>
          </w:tcPr>
          <w:p>
            <w:pPr>
              <w:jc w:val="center"/>
              <w:ind w:left="233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69"/>
        </w:trPr>
        <w:tc>
          <w:tcPr>
            <w:tcW w:w="900" w:type="dxa"/>
            <w:vAlign w:val="bottom"/>
            <w:vMerge w:val="continue"/>
          </w:tcPr>
          <w:p>
            <w:pPr>
              <w:spacing w:after="0"/>
              <w:rPr>
                <w:sz w:val="14"/>
                <w:szCs w:val="14"/>
                <w:color w:val="auto"/>
              </w:rPr>
            </w:pPr>
          </w:p>
        </w:tc>
        <w:tc>
          <w:tcPr>
            <w:tcW w:w="1140" w:type="dxa"/>
            <w:vAlign w:val="bottom"/>
            <w:gridSpan w:val="3"/>
          </w:tcPr>
          <w:p>
            <w:pPr>
              <w:spacing w:after="0" w:line="169" w:lineRule="exact"/>
              <w:rPr>
                <w:rFonts w:ascii="Arial" w:cs="Arial" w:eastAsia="Arial" w:hAnsi="Arial"/>
                <w:sz w:val="18"/>
                <w:szCs w:val="18"/>
                <w:color w:val="0000FF"/>
                <w:w w:val="97"/>
              </w:rPr>
            </w:pPr>
            <w:hyperlink w:anchor="page184">
              <w:r>
                <w:rPr>
                  <w:rFonts w:ascii="Arial" w:cs="Arial" w:eastAsia="Arial" w:hAnsi="Arial"/>
                  <w:sz w:val="18"/>
                  <w:szCs w:val="18"/>
                  <w:color w:val="0000FF"/>
                  <w:w w:val="97"/>
                </w:rPr>
                <w:t>Certification of</w:t>
              </w:r>
            </w:hyperlink>
          </w:p>
        </w:tc>
        <w:tc>
          <w:tcPr>
            <w:tcW w:w="6220" w:type="dxa"/>
            <w:vAlign w:val="bottom"/>
            <w:gridSpan w:val="4"/>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9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184">
              <w:r>
                <w:rPr>
                  <w:rFonts w:ascii="Arial" w:cs="Arial" w:eastAsia="Arial" w:hAnsi="Arial"/>
                  <w:sz w:val="18"/>
                  <w:szCs w:val="18"/>
                  <w:color w:val="0000FF"/>
                  <w:w w:val="87"/>
                </w:rPr>
                <w:t>Section 1350</w:t>
              </w:r>
            </w:hyperlink>
          </w:p>
        </w:tc>
        <w:tc>
          <w:tcPr>
            <w:tcW w:w="3840" w:type="dxa"/>
            <w:vAlign w:val="bottom"/>
            <w:tcBorders>
              <w:top w:val="single" w:sz="8" w:color="0000FF"/>
            </w:tcBorders>
            <w:gridSpan w:val="5"/>
          </w:tcPr>
          <w:p>
            <w:pPr>
              <w:spacing w:after="0"/>
              <w:rPr>
                <w:sz w:val="13"/>
                <w:szCs w:val="13"/>
                <w:color w:val="auto"/>
              </w:rPr>
            </w:pPr>
          </w:p>
        </w:tc>
        <w:tc>
          <w:tcPr>
            <w:tcW w:w="25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line="169" w:lineRule="exact"/>
              <w:rPr>
                <w:sz w:val="20"/>
                <w:szCs w:val="20"/>
                <w:color w:val="auto"/>
              </w:rPr>
            </w:pPr>
            <w:r>
              <w:rPr>
                <w:rFonts w:ascii="Arial" w:cs="Arial" w:eastAsia="Arial" w:hAnsi="Arial"/>
                <w:sz w:val="18"/>
                <w:szCs w:val="18"/>
                <w:color w:val="auto"/>
              </w:rPr>
              <w:t>32.2</w:t>
            </w:r>
          </w:p>
        </w:tc>
        <w:tc>
          <w:tcPr>
            <w:tcW w:w="940" w:type="dxa"/>
            <w:vAlign w:val="bottom"/>
          </w:tcPr>
          <w:p>
            <w:pPr>
              <w:spacing w:after="0" w:line="169" w:lineRule="exact"/>
              <w:rPr>
                <w:rFonts w:ascii="Arial" w:cs="Arial" w:eastAsia="Arial" w:hAnsi="Arial"/>
                <w:sz w:val="18"/>
                <w:szCs w:val="18"/>
                <w:color w:val="0000FF"/>
                <w:w w:val="96"/>
              </w:rPr>
            </w:pPr>
            <w:hyperlink w:anchor="page185">
              <w:r>
                <w:rPr>
                  <w:rFonts w:ascii="Arial" w:cs="Arial" w:eastAsia="Arial" w:hAnsi="Arial"/>
                  <w:sz w:val="18"/>
                  <w:szCs w:val="18"/>
                  <w:color w:val="0000FF"/>
                  <w:w w:val="96"/>
                </w:rPr>
                <w:t>Certification</w:t>
              </w:r>
            </w:hyperlink>
          </w:p>
        </w:tc>
        <w:tc>
          <w:tcPr>
            <w:tcW w:w="20" w:type="dxa"/>
            <w:vAlign w:val="bottom"/>
          </w:tcPr>
          <w:p>
            <w:pPr>
              <w:spacing w:after="0"/>
              <w:rPr>
                <w:sz w:val="14"/>
                <w:szCs w:val="14"/>
                <w:color w:val="auto"/>
              </w:rPr>
            </w:pPr>
          </w:p>
        </w:tc>
        <w:tc>
          <w:tcPr>
            <w:tcW w:w="6400" w:type="dxa"/>
            <w:vAlign w:val="bottom"/>
            <w:gridSpan w:val="5"/>
          </w:tcPr>
          <w:p>
            <w:pPr>
              <w:spacing w:after="0" w:line="169" w:lineRule="exact"/>
              <w:rPr>
                <w:rFonts w:ascii="Arial" w:cs="Arial" w:eastAsia="Arial" w:hAnsi="Arial"/>
                <w:sz w:val="18"/>
                <w:szCs w:val="18"/>
                <w:color w:val="0000FF"/>
              </w:rPr>
            </w:pPr>
            <w:hyperlink w:anchor="page185">
              <w:r>
                <w:rPr>
                  <w:rFonts w:ascii="Arial" w:cs="Arial" w:eastAsia="Arial" w:hAnsi="Arial"/>
                  <w:sz w:val="18"/>
                  <w:szCs w:val="18"/>
                  <w:color w:val="0000FF"/>
                </w:rPr>
                <w:t>of the Chief Financial Officer pursuant to 18 U.S.C.</w:t>
              </w:r>
            </w:hyperlink>
          </w:p>
        </w:tc>
        <w:tc>
          <w:tcPr>
            <w:tcW w:w="2600" w:type="dxa"/>
            <w:vAlign w:val="bottom"/>
          </w:tcPr>
          <w:p>
            <w:pPr>
              <w:jc w:val="center"/>
              <w:ind w:left="2330"/>
              <w:spacing w:after="0" w:line="16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9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185">
              <w:r>
                <w:rPr>
                  <w:rFonts w:ascii="Arial" w:cs="Arial" w:eastAsia="Arial" w:hAnsi="Arial"/>
                  <w:sz w:val="18"/>
                  <w:szCs w:val="18"/>
                  <w:color w:val="0000FF"/>
                  <w:w w:val="87"/>
                </w:rPr>
                <w:t>Section 1350</w:t>
              </w:r>
            </w:hyperlink>
          </w:p>
        </w:tc>
        <w:tc>
          <w:tcPr>
            <w:tcW w:w="20" w:type="dxa"/>
            <w:vAlign w:val="bottom"/>
            <w:tcBorders>
              <w:top w:val="single" w:sz="8" w:color="0000FF"/>
              <w:bottom w:val="single" w:sz="8" w:color="0000EE"/>
            </w:tcBorders>
          </w:tcPr>
          <w:p>
            <w:pPr>
              <w:spacing w:after="0"/>
              <w:rPr>
                <w:sz w:val="13"/>
                <w:szCs w:val="13"/>
                <w:color w:val="auto"/>
              </w:rPr>
            </w:pPr>
          </w:p>
        </w:tc>
        <w:tc>
          <w:tcPr>
            <w:tcW w:w="3780" w:type="dxa"/>
            <w:vAlign w:val="bottom"/>
            <w:tcBorders>
              <w:top w:val="single" w:sz="8" w:color="0000FF"/>
            </w:tcBorders>
            <w:gridSpan w:val="3"/>
          </w:tcPr>
          <w:p>
            <w:pPr>
              <w:spacing w:after="0"/>
              <w:rPr>
                <w:sz w:val="13"/>
                <w:szCs w:val="13"/>
                <w:color w:val="auto"/>
              </w:rPr>
            </w:pPr>
          </w:p>
        </w:tc>
        <w:tc>
          <w:tcPr>
            <w:tcW w:w="2620" w:type="dxa"/>
            <w:vAlign w:val="bottom"/>
            <w:gridSpan w:val="2"/>
          </w:tcPr>
          <w:p>
            <w:pPr>
              <w:spacing w:after="0"/>
              <w:rPr>
                <w:sz w:val="13"/>
                <w:szCs w:val="13"/>
                <w:color w:val="auto"/>
              </w:rPr>
            </w:pPr>
          </w:p>
        </w:tc>
        <w:tc>
          <w:tcPr>
            <w:tcW w:w="2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line="156" w:lineRule="exact"/>
              <w:rPr>
                <w:sz w:val="20"/>
                <w:szCs w:val="20"/>
                <w:color w:val="auto"/>
              </w:rPr>
            </w:pPr>
            <w:r>
              <w:rPr>
                <w:rFonts w:ascii="Arial" w:cs="Arial" w:eastAsia="Arial" w:hAnsi="Arial"/>
                <w:sz w:val="18"/>
                <w:szCs w:val="18"/>
                <w:color w:val="auto"/>
              </w:rPr>
              <w:t>101.INS</w:t>
            </w:r>
          </w:p>
        </w:tc>
        <w:tc>
          <w:tcPr>
            <w:tcW w:w="960" w:type="dxa"/>
            <w:vAlign w:val="bottom"/>
            <w:gridSpan w:val="2"/>
          </w:tcPr>
          <w:p>
            <w:pPr>
              <w:spacing w:after="0" w:line="156" w:lineRule="exact"/>
              <w:rPr>
                <w:sz w:val="20"/>
                <w:szCs w:val="20"/>
                <w:color w:val="auto"/>
              </w:rPr>
            </w:pPr>
            <w:r>
              <w:rPr>
                <w:rFonts w:ascii="Arial" w:cs="Arial" w:eastAsia="Arial" w:hAnsi="Arial"/>
                <w:sz w:val="18"/>
                <w:szCs w:val="18"/>
                <w:color w:val="auto"/>
                <w:w w:val="98"/>
              </w:rPr>
              <w:t>Inline XBRL</w:t>
            </w:r>
          </w:p>
        </w:tc>
        <w:tc>
          <w:tcPr>
            <w:tcW w:w="6400" w:type="dxa"/>
            <w:vAlign w:val="bottom"/>
            <w:gridSpan w:val="5"/>
          </w:tcPr>
          <w:p>
            <w:pPr>
              <w:ind w:left="20"/>
              <w:spacing w:after="0" w:line="156" w:lineRule="exact"/>
              <w:rPr>
                <w:sz w:val="20"/>
                <w:szCs w:val="20"/>
                <w:color w:val="auto"/>
              </w:rPr>
            </w:pPr>
            <w:r>
              <w:rPr>
                <w:rFonts w:ascii="Arial" w:cs="Arial" w:eastAsia="Arial" w:hAnsi="Arial"/>
                <w:sz w:val="18"/>
                <w:szCs w:val="18"/>
                <w:color w:val="auto"/>
              </w:rPr>
              <w:t>Instance Document - the instance document does not</w:t>
            </w:r>
          </w:p>
        </w:tc>
        <w:tc>
          <w:tcPr>
            <w:tcW w:w="2600" w:type="dxa"/>
            <w:vAlign w:val="bottom"/>
          </w:tcPr>
          <w:p>
            <w:pPr>
              <w:jc w:val="center"/>
              <w:ind w:left="2330"/>
              <w:spacing w:after="0" w:line="15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7360" w:type="dxa"/>
            <w:vAlign w:val="bottom"/>
            <w:gridSpan w:val="7"/>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7360" w:type="dxa"/>
            <w:vAlign w:val="bottom"/>
            <w:gridSpan w:val="7"/>
          </w:tcPr>
          <w:p>
            <w:pPr>
              <w:spacing w:after="0" w:line="189" w:lineRule="exact"/>
              <w:rPr>
                <w:sz w:val="20"/>
                <w:szCs w:val="20"/>
                <w:color w:val="auto"/>
              </w:rPr>
            </w:pPr>
            <w:r>
              <w:rPr>
                <w:rFonts w:ascii="Arial" w:cs="Arial" w:eastAsia="Arial" w:hAnsi="Arial"/>
                <w:sz w:val="18"/>
                <w:szCs w:val="18"/>
                <w:color w:val="auto"/>
              </w:rPr>
              <w:t>embedded within the Inline XBRL document</w:t>
            </w: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0" w:type="dxa"/>
            <w:vAlign w:val="bottom"/>
          </w:tcPr>
          <w:p>
            <w:pPr>
              <w:spacing w:after="0" w:line="189" w:lineRule="exact"/>
              <w:rPr>
                <w:sz w:val="20"/>
                <w:szCs w:val="20"/>
                <w:color w:val="auto"/>
              </w:rPr>
            </w:pPr>
            <w:r>
              <w:rPr>
                <w:rFonts w:ascii="Arial" w:cs="Arial" w:eastAsia="Arial" w:hAnsi="Arial"/>
                <w:sz w:val="18"/>
                <w:szCs w:val="18"/>
                <w:color w:val="auto"/>
              </w:rPr>
              <w:t>101.SCH</w:t>
            </w:r>
          </w:p>
        </w:tc>
        <w:tc>
          <w:tcPr>
            <w:tcW w:w="7360" w:type="dxa"/>
            <w:vAlign w:val="bottom"/>
            <w:gridSpan w:val="7"/>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2600" w:type="dxa"/>
            <w:vAlign w:val="bottom"/>
          </w:tcPr>
          <w:p>
            <w:pPr>
              <w:jc w:val="center"/>
              <w:ind w:left="233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900" w:type="dxa"/>
            <w:vAlign w:val="bottom"/>
          </w:tcPr>
          <w:p>
            <w:pPr>
              <w:spacing w:after="0" w:line="189" w:lineRule="exact"/>
              <w:rPr>
                <w:sz w:val="20"/>
                <w:szCs w:val="20"/>
                <w:color w:val="auto"/>
              </w:rPr>
            </w:pPr>
            <w:r>
              <w:rPr>
                <w:rFonts w:ascii="Arial" w:cs="Arial" w:eastAsia="Arial" w:hAnsi="Arial"/>
                <w:sz w:val="18"/>
                <w:szCs w:val="18"/>
                <w:color w:val="auto"/>
              </w:rPr>
              <w:t>101.CAL</w:t>
            </w:r>
          </w:p>
        </w:tc>
        <w:tc>
          <w:tcPr>
            <w:tcW w:w="7360" w:type="dxa"/>
            <w:vAlign w:val="bottom"/>
            <w:gridSpan w:val="7"/>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2600" w:type="dxa"/>
            <w:vAlign w:val="bottom"/>
          </w:tcPr>
          <w:p>
            <w:pPr>
              <w:jc w:val="center"/>
              <w:ind w:left="233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900" w:type="dxa"/>
            <w:vAlign w:val="bottom"/>
          </w:tcPr>
          <w:p>
            <w:pPr>
              <w:spacing w:after="0" w:line="189" w:lineRule="exact"/>
              <w:rPr>
                <w:sz w:val="20"/>
                <w:szCs w:val="20"/>
                <w:color w:val="auto"/>
              </w:rPr>
            </w:pPr>
            <w:r>
              <w:rPr>
                <w:rFonts w:ascii="Arial" w:cs="Arial" w:eastAsia="Arial" w:hAnsi="Arial"/>
                <w:sz w:val="18"/>
                <w:szCs w:val="18"/>
                <w:color w:val="auto"/>
              </w:rPr>
              <w:t>101.DEF</w:t>
            </w:r>
          </w:p>
        </w:tc>
        <w:tc>
          <w:tcPr>
            <w:tcW w:w="7360" w:type="dxa"/>
            <w:vAlign w:val="bottom"/>
            <w:gridSpan w:val="7"/>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2600" w:type="dxa"/>
            <w:vAlign w:val="bottom"/>
          </w:tcPr>
          <w:p>
            <w:pPr>
              <w:jc w:val="center"/>
              <w:ind w:left="233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900" w:type="dxa"/>
            <w:vAlign w:val="bottom"/>
          </w:tcPr>
          <w:p>
            <w:pPr>
              <w:spacing w:after="0" w:line="189" w:lineRule="exact"/>
              <w:rPr>
                <w:sz w:val="20"/>
                <w:szCs w:val="20"/>
                <w:color w:val="auto"/>
              </w:rPr>
            </w:pPr>
            <w:r>
              <w:rPr>
                <w:rFonts w:ascii="Arial" w:cs="Arial" w:eastAsia="Arial" w:hAnsi="Arial"/>
                <w:sz w:val="18"/>
                <w:szCs w:val="18"/>
                <w:color w:val="auto"/>
              </w:rPr>
              <w:t>101.LAB</w:t>
            </w:r>
          </w:p>
        </w:tc>
        <w:tc>
          <w:tcPr>
            <w:tcW w:w="7360" w:type="dxa"/>
            <w:vAlign w:val="bottom"/>
            <w:gridSpan w:val="7"/>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2600" w:type="dxa"/>
            <w:vAlign w:val="bottom"/>
          </w:tcPr>
          <w:p>
            <w:pPr>
              <w:jc w:val="center"/>
              <w:ind w:left="233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900" w:type="dxa"/>
            <w:vAlign w:val="bottom"/>
          </w:tcPr>
          <w:p>
            <w:pPr>
              <w:spacing w:after="0" w:line="189" w:lineRule="exact"/>
              <w:rPr>
                <w:sz w:val="20"/>
                <w:szCs w:val="20"/>
                <w:color w:val="auto"/>
              </w:rPr>
            </w:pPr>
            <w:r>
              <w:rPr>
                <w:rFonts w:ascii="Arial" w:cs="Arial" w:eastAsia="Arial" w:hAnsi="Arial"/>
                <w:sz w:val="18"/>
                <w:szCs w:val="18"/>
                <w:color w:val="auto"/>
              </w:rPr>
              <w:t>101.PRE</w:t>
            </w:r>
          </w:p>
        </w:tc>
        <w:tc>
          <w:tcPr>
            <w:tcW w:w="7360" w:type="dxa"/>
            <w:vAlign w:val="bottom"/>
            <w:gridSpan w:val="7"/>
          </w:tcPr>
          <w:p>
            <w:pPr>
              <w:spacing w:after="0" w:line="189" w:lineRule="exact"/>
              <w:rPr>
                <w:sz w:val="20"/>
                <w:szCs w:val="20"/>
                <w:color w:val="auto"/>
              </w:rPr>
            </w:pPr>
            <w:r>
              <w:rPr>
                <w:rFonts w:ascii="Arial" w:cs="Arial" w:eastAsia="Arial" w:hAnsi="Arial"/>
                <w:sz w:val="18"/>
                <w:szCs w:val="18"/>
                <w:color w:val="auto"/>
              </w:rPr>
              <w:t>Inline XBRL Taxonomy Extension Presentation Linkbase Document</w:t>
            </w:r>
          </w:p>
        </w:tc>
        <w:tc>
          <w:tcPr>
            <w:tcW w:w="2600" w:type="dxa"/>
            <w:vAlign w:val="bottom"/>
          </w:tcPr>
          <w:p>
            <w:pPr>
              <w:jc w:val="center"/>
              <w:ind w:left="233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90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7360" w:type="dxa"/>
            <w:vAlign w:val="bottom"/>
            <w:gridSpan w:val="7"/>
          </w:tcPr>
          <w:p>
            <w:pPr>
              <w:spacing w:after="0" w:line="176" w:lineRule="exact"/>
              <w:rPr>
                <w:sz w:val="20"/>
                <w:szCs w:val="20"/>
                <w:color w:val="auto"/>
              </w:rPr>
            </w:pPr>
            <w:r>
              <w:rPr>
                <w:rFonts w:ascii="Arial" w:cs="Arial" w:eastAsia="Arial" w:hAnsi="Arial"/>
                <w:sz w:val="18"/>
                <w:szCs w:val="18"/>
                <w:color w:val="auto"/>
              </w:rPr>
              <w:t>Cover Page Interactive Data File (formatted as Inline XBRL and</w:t>
            </w:r>
          </w:p>
        </w:tc>
        <w:tc>
          <w:tcPr>
            <w:tcW w:w="2600" w:type="dxa"/>
            <w:vAlign w:val="bottom"/>
          </w:tcPr>
          <w:p>
            <w:pPr>
              <w:jc w:val="center"/>
              <w:ind w:left="233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7360" w:type="dxa"/>
            <w:vAlign w:val="bottom"/>
            <w:gridSpan w:val="7"/>
          </w:tcPr>
          <w:p>
            <w:pPr>
              <w:spacing w:after="0"/>
              <w:rPr>
                <w:sz w:val="20"/>
                <w:szCs w:val="20"/>
                <w:color w:val="auto"/>
              </w:rPr>
            </w:pPr>
            <w:r>
              <w:rPr>
                <w:rFonts w:ascii="Arial" w:cs="Arial" w:eastAsia="Arial" w:hAnsi="Arial"/>
                <w:sz w:val="18"/>
                <w:szCs w:val="18"/>
                <w:color w:val="auto"/>
              </w:rPr>
              <w:t>contained in Exhibit 101)</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4230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or compensatory plan</w:t>
      </w: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297" w:right="69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8320" w:type="dxa"/>
            <w:vAlign w:val="bottom"/>
            <w:gridSpan w:val="2"/>
          </w:tcPr>
          <w:p>
            <w:pPr>
              <w:ind w:left="2520"/>
              <w:spacing w:after="0"/>
              <w:rPr>
                <w:sz w:val="20"/>
                <w:szCs w:val="20"/>
                <w:color w:val="auto"/>
              </w:rPr>
            </w:pPr>
            <w:r>
              <w:rPr>
                <w:rFonts w:ascii="Arial" w:cs="Arial" w:eastAsia="Arial" w:hAnsi="Arial"/>
                <w:sz w:val="18"/>
                <w:szCs w:val="18"/>
                <w:color w:val="auto"/>
              </w:rPr>
              <w:t>SIGHT SCIENCES, INC.</w:t>
            </w:r>
          </w:p>
        </w:tc>
      </w:tr>
      <w:tr>
        <w:trPr>
          <w:trHeight w:val="351"/>
        </w:trPr>
        <w:tc>
          <w:tcPr>
            <w:tcW w:w="290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25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Badawi</w:t>
            </w:r>
          </w:p>
        </w:tc>
      </w:tr>
      <w:tr>
        <w:trPr>
          <w:trHeight w:val="155"/>
        </w:trPr>
        <w:tc>
          <w:tcPr>
            <w:tcW w:w="29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5180" w:type="dxa"/>
            <w:vAlign w:val="bottom"/>
          </w:tcPr>
          <w:p>
            <w:pPr>
              <w:spacing w:after="0" w:line="154" w:lineRule="exact"/>
              <w:rPr>
                <w:sz w:val="20"/>
                <w:szCs w:val="20"/>
                <w:color w:val="auto"/>
              </w:rPr>
            </w:pPr>
            <w:r>
              <w:rPr>
                <w:rFonts w:ascii="Arial" w:cs="Arial" w:eastAsia="Arial" w:hAnsi="Arial"/>
                <w:sz w:val="17"/>
                <w:szCs w:val="17"/>
                <w:color w:val="auto"/>
              </w:rPr>
              <w:t>Paul Badawi</w:t>
            </w:r>
          </w:p>
        </w:tc>
      </w:tr>
      <w:tr>
        <w:trPr>
          <w:trHeight w:val="230"/>
        </w:trPr>
        <w:tc>
          <w:tcPr>
            <w:tcW w:w="29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80"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Name and Signature</w:t>
            </w:r>
          </w:p>
        </w:tc>
        <w:tc>
          <w:tcPr>
            <w:tcW w:w="120" w:type="dxa"/>
            <w:vAlign w:val="bottom"/>
          </w:tcPr>
          <w:p>
            <w:pPr>
              <w:spacing w:after="0"/>
              <w:rPr>
                <w:sz w:val="14"/>
                <w:szCs w:val="14"/>
                <w:color w:val="auto"/>
              </w:rPr>
            </w:pPr>
          </w:p>
        </w:tc>
        <w:tc>
          <w:tcPr>
            <w:tcW w:w="486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Paul Badawi</w:t>
            </w: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24, 2022</w:t>
            </w:r>
          </w:p>
        </w:tc>
      </w:tr>
      <w:tr>
        <w:trPr>
          <w:trHeight w:val="21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Paul Badawi</w:t>
            </w:r>
          </w:p>
        </w:tc>
        <w:tc>
          <w:tcPr>
            <w:tcW w:w="12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40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Jesse Selnick</w:t>
            </w: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24, 2022</w:t>
            </w:r>
          </w:p>
        </w:tc>
      </w:tr>
      <w:tr>
        <w:trPr>
          <w:trHeight w:val="21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87"/>
              </w:rPr>
              <w:t>Jesse Selnick</w:t>
            </w:r>
          </w:p>
        </w:tc>
        <w:tc>
          <w:tcPr>
            <w:tcW w:w="12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and principal accounting officer)</w:t>
            </w: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40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Staffan Encrantz</w:t>
            </w: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Chairman of the Board of Directors</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24,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Staffan Encrantz</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Badawi</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24,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David Badawi, M.D.</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Mack Hicks</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24,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Mack Hicks</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Brenda Becker</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24,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Brenda Becker</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Erica Rogers</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24,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Erica Rogers</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Valeska Schroeder</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24,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1"/>
              </w:rPr>
              <w:t>Valeska Schroeder, Ph.D.</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Donald Zurbay</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March 24,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Donald Zurbay</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610"/>
        </w:trPr>
        <w:tc>
          <w:tcPr>
            <w:tcW w:w="3720" w:type="dxa"/>
            <w:vAlign w:val="bottom"/>
          </w:tcPr>
          <w:p>
            <w:pPr>
              <w:spacing w:after="0"/>
              <w:rPr>
                <w:sz w:val="24"/>
                <w:szCs w:val="24"/>
                <w:color w:val="auto"/>
              </w:rPr>
            </w:pPr>
          </w:p>
        </w:tc>
        <w:tc>
          <w:tcPr>
            <w:tcW w:w="4980" w:type="dxa"/>
            <w:vAlign w:val="bottom"/>
            <w:gridSpan w:val="2"/>
          </w:tcPr>
          <w:p>
            <w:pPr>
              <w:jc w:val="right"/>
              <w:ind w:right="285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2" w:name="page143"/>
    <w:bookmarkEnd w:id="142"/>
    <w:p>
      <w:pPr>
        <w:ind w:left="10400"/>
        <w:spacing w:after="0"/>
        <w:rPr>
          <w:sz w:val="20"/>
          <w:szCs w:val="20"/>
          <w:color w:val="auto"/>
        </w:rPr>
      </w:pPr>
      <w:r>
        <w:rPr>
          <w:rFonts w:ascii="Arial" w:cs="Arial" w:eastAsia="Arial" w:hAnsi="Arial"/>
          <w:sz w:val="16"/>
          <w:szCs w:val="16"/>
          <w:b w:val="1"/>
          <w:bCs w:val="1"/>
          <w:color w:val="auto"/>
        </w:rPr>
        <w:t>Exhibit 4.4</w:t>
      </w:r>
    </w:p>
    <w:p>
      <w:pPr>
        <w:spacing w:after="0" w:line="22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 AS AMENDED</w:t>
      </w:r>
    </w:p>
    <w:p>
      <w:pPr>
        <w:spacing w:after="0" w:line="26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The following description of the capital stock of Sight Sciences, Inc. (the “Company”, “we”, “us”, and “our”) and certain provisions of our restated certificate of incorporation (the “Charter”) and restated bylaws (the “Bylaws”) is not intended to be a complete summary of the rights and preferences of such securities and is qualified in its entirety by reference to the full text of the Amended Charter and Bylaws, copies of which have been filed with the Securities and Exchange Commission (“SEC”). You are encouraged to read the applicable provisions of Delaware law, the Charter and the Bylaws in their entirety for a complete description of the rights and preferences of our securities.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6"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Under our Charter and Bylaws, our authorized capital stock consists of 200,000,000 shares of common stock, par value $0.001 per share, and 10,000,000 shares of preferred stock, par value $0.001 per share.</w:t>
      </w:r>
    </w:p>
    <w:p>
      <w:pPr>
        <w:spacing w:after="0" w:line="15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As of March 18, 2022, there were 47,586,682 shares of our common stock outstanding, held of record by 22 stockholders. No shares of our preferred stock are designated, issued or outstanding.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Charter. See below under “—Anti-Takeover Effects of Delaware Law and Our Certificate of Incorporation and Bylaws—Amendment of Charter Provisions.”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80" w:lineRule="exact"/>
        <w:rPr>
          <w:sz w:val="20"/>
          <w:szCs w:val="20"/>
          <w:color w:val="auto"/>
        </w:rPr>
      </w:pPr>
    </w:p>
    <w:p>
      <w:pPr>
        <w:jc w:val="both"/>
        <w:ind w:right="100"/>
        <w:spacing w:after="0" w:line="279"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sinking fund provisions applicable to our common stock. Our outstanding shares of common stock are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color w:val="auto"/>
        </w:rPr>
        <w:t>Under the terms of our Charter,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312"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|US-DOCS\130708854.2||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3" w:name="page144"/>
    <w:bookmarkEnd w:id="143"/>
    <w:p>
      <w:pPr>
        <w:jc w:val="both"/>
        <w:ind w:right="440"/>
        <w:spacing w:after="0" w:line="279" w:lineRule="auto"/>
        <w:rPr>
          <w:sz w:val="20"/>
          <w:szCs w:val="20"/>
          <w:color w:val="auto"/>
        </w:rPr>
      </w:pPr>
      <w:r>
        <w:rPr>
          <w:rFonts w:ascii="Arial" w:cs="Arial" w:eastAsia="Arial" w:hAnsi="Arial"/>
          <w:sz w:val="18"/>
          <w:szCs w:val="18"/>
          <w:color w:val="auto"/>
        </w:rPr>
        <w:t>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We have no present plans to issue any shares of preferred stock.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0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of March 18, 2022, there were no warrants outstanding to purchase shares of our common stock. On January 25, 2019, June 28, 2019 and November 23, 2020, we issued warrants to MidCap Funding XXVIII Trust, in connection with a loan and security agreement between us and Midcap Financial Services. Pursuant to the terms of the warrants, the number of shares for which the warrant was exercisable was determined by the total principal amount of loans made under the loan and security agreement. If unexercised, these warrants will expire on the tenth anniversary of their issuance dates.</w:t>
      </w:r>
    </w:p>
    <w:p>
      <w:pPr>
        <w:spacing w:after="0" w:line="15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warrants provided that the holder thereof may elect to exercise the warrant on a net “cashless” basis at any time prior to the expiration thereof. The fair market value of one share of our common stock in connection with any cashless exercise shall be the closing price or last sale price per share of our common stock on The Nasdaq Global Select Market or other public trading market on which our common stock is traded on the business day immediately prior to the date the holder elects to exercise the warrants on a cashless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08"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Some provisions of Delaware law, our Charter and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72"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04"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0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04" w:lineRule="exact"/>
        <w:rPr>
          <w:sz w:val="20"/>
          <w:szCs w:val="20"/>
          <w:color w:val="auto"/>
        </w:rPr>
      </w:pPr>
    </w:p>
    <w:p>
      <w:pPr>
        <w:jc w:val="both"/>
        <w:ind w:right="220"/>
        <w:spacing w:after="0" w:line="324" w:lineRule="auto"/>
        <w:rPr>
          <w:sz w:val="20"/>
          <w:szCs w:val="20"/>
          <w:color w:val="auto"/>
        </w:rPr>
      </w:pPr>
      <w:r>
        <w:rPr>
          <w:rFonts w:ascii="Arial" w:cs="Arial" w:eastAsia="Arial" w:hAnsi="Arial"/>
          <w:sz w:val="16"/>
          <w:szCs w:val="16"/>
          <w:color w:val="auto"/>
        </w:rPr>
        <w:t>Our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Our Charter eliminates the right of stockholders to act by written consent without a meeting.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w:t>
      </w:r>
    </w:p>
    <w:p>
      <w:pPr>
        <w:spacing w:after="0" w:line="104" w:lineRule="exact"/>
        <w:rPr>
          <w:sz w:val="20"/>
          <w:szCs w:val="20"/>
          <w:color w:val="auto"/>
        </w:rPr>
      </w:pPr>
    </w:p>
    <w:p>
      <w:pPr>
        <w:jc w:val="both"/>
        <w:ind w:right="260"/>
        <w:spacing w:after="0" w:line="270" w:lineRule="auto"/>
        <w:rPr>
          <w:sz w:val="20"/>
          <w:szCs w:val="20"/>
          <w:color w:val="auto"/>
        </w:rPr>
      </w:pPr>
      <w:r>
        <w:rPr>
          <w:rFonts w:ascii="Arial" w:cs="Arial" w:eastAsia="Arial" w:hAnsi="Arial"/>
          <w:sz w:val="17"/>
          <w:szCs w:val="17"/>
          <w:color w:val="auto"/>
        </w:rPr>
        <w:t>Our board of directors is divided into three classes. The directors in each class will serve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04"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Our Charter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04"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Our Charter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04"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We are subject to Section 203 of the General Corporation Law of the State of Delaware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Charter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DGCL or our Charter or Bylaws; (4) any action to interpret, apply, enforce or determine the validity of our Charter or Bylaws; or (5) any action asserting a claim governed by the internal affairs doctrine; provided that the exclusive forum provision will not apply to suits brought to enforce any liability or duty created by the Securities Act or the Exchange Act, or to any claim for which there is exclusive or concurrent federal and state jurisdiction. For instance, the provision would not apply to actions arising under federal securities laws, including suits brought to enforce any liability or duty created by the Securities Act, Exchange Act, or the rules and regulations thereunder. Our Charter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Our Charter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Charter is inapplicable or unenforceable if it is challenged in a proceeding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82"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color w:val="auto"/>
        </w:rPr>
        <w:t>The provisions of Delaware law, our Charter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“SGHT.”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46" w:name="page147"/>
    <w:bookmarkEnd w:id="146"/>
    <w:p>
      <w:pPr>
        <w:ind w:left="10220"/>
        <w:spacing w:after="0"/>
        <w:rPr>
          <w:sz w:val="20"/>
          <w:szCs w:val="20"/>
          <w:color w:val="auto"/>
        </w:rPr>
      </w:pPr>
      <w:r>
        <w:rPr>
          <w:rFonts w:ascii="Arial" w:cs="Arial" w:eastAsia="Arial" w:hAnsi="Arial"/>
          <w:sz w:val="16"/>
          <w:szCs w:val="16"/>
          <w:b w:val="1"/>
          <w:bCs w:val="1"/>
          <w:color w:val="auto"/>
        </w:rPr>
        <w:t>Exhibit 10.13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SECOND AMENDMENT TO AMENDED AND RESTATED CREDIT AND SECURITY AGREEMENT (REVOLVING LOAN)</w:t>
      </w:r>
    </w:p>
    <w:p>
      <w:pPr>
        <w:spacing w:after="0" w:line="262" w:lineRule="exact"/>
        <w:rPr>
          <w:sz w:val="20"/>
          <w:szCs w:val="20"/>
          <w:color w:val="auto"/>
        </w:rPr>
      </w:pPr>
    </w:p>
    <w:p>
      <w:pPr>
        <w:jc w:val="both"/>
        <w:ind w:firstLine="396"/>
        <w:spacing w:after="0" w:line="232" w:lineRule="auto"/>
        <w:rPr>
          <w:sz w:val="20"/>
          <w:szCs w:val="20"/>
          <w:color w:val="auto"/>
        </w:rPr>
      </w:pPr>
      <w:r>
        <w:rPr>
          <w:rFonts w:ascii="Arial" w:cs="Arial" w:eastAsia="Arial" w:hAnsi="Arial"/>
          <w:sz w:val="20"/>
          <w:szCs w:val="20"/>
          <w:color w:val="auto"/>
        </w:rPr>
        <w:t>This SECOND AMENDMENT TO AMENDED AND RESTATED CREDIT AND SECURITY AGREEMENT (REVOLVING LOAN) (this “</w:t>
      </w:r>
      <w:r>
        <w:rPr>
          <w:rFonts w:ascii="Arial" w:cs="Arial" w:eastAsia="Arial" w:hAnsi="Arial"/>
          <w:sz w:val="20"/>
          <w:szCs w:val="20"/>
          <w:b w:val="1"/>
          <w:bCs w:val="1"/>
          <w:color w:val="auto"/>
        </w:rPr>
        <w:t>Agreement</w:t>
      </w:r>
      <w:r>
        <w:rPr>
          <w:rFonts w:ascii="Arial" w:cs="Arial" w:eastAsia="Arial" w:hAnsi="Arial"/>
          <w:sz w:val="20"/>
          <w:szCs w:val="20"/>
          <w:color w:val="auto"/>
        </w:rPr>
        <w:t>”) is made as of this 15th day of November, 2021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by and among </w:t>
      </w:r>
      <w:r>
        <w:rPr>
          <w:rFonts w:ascii="Arial" w:cs="Arial" w:eastAsia="Arial" w:hAnsi="Arial"/>
          <w:sz w:val="20"/>
          <w:szCs w:val="20"/>
          <w:b w:val="1"/>
          <w:bCs w:val="1"/>
          <w:color w:val="auto"/>
        </w:rPr>
        <w:t>SIGHT SCIENCES,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Borrower</w:t>
      </w:r>
      <w:r>
        <w:rPr>
          <w:rFonts w:ascii="Arial" w:cs="Arial" w:eastAsia="Arial" w:hAnsi="Arial"/>
          <w:sz w:val="20"/>
          <w:szCs w:val="20"/>
          <w:color w:val="auto"/>
        </w:rPr>
        <w:t xml:space="preserve">”), </w:t>
      </w:r>
      <w:r>
        <w:rPr>
          <w:rFonts w:ascii="Arial" w:cs="Arial" w:eastAsia="Arial" w:hAnsi="Arial"/>
          <w:sz w:val="20"/>
          <w:szCs w:val="20"/>
          <w:b w:val="1"/>
          <w:bCs w:val="1"/>
          <w:color w:val="auto"/>
        </w:rPr>
        <w:t>MIDCAP FUNDING IV TRUST</w:t>
      </w:r>
      <w:r>
        <w:rPr>
          <w:rFonts w:ascii="Arial" w:cs="Arial" w:eastAsia="Arial" w:hAnsi="Arial"/>
          <w:sz w:val="20"/>
          <w:szCs w:val="20"/>
          <w:color w:val="auto"/>
        </w:rPr>
        <w:t>, as Agent for Lenders (in such capacity and together with its permitted successors and assigns, the “</w:t>
      </w:r>
      <w:r>
        <w:rPr>
          <w:rFonts w:ascii="Arial" w:cs="Arial" w:eastAsia="Arial" w:hAnsi="Arial"/>
          <w:sz w:val="20"/>
          <w:szCs w:val="20"/>
          <w:b w:val="1"/>
          <w:bCs w:val="1"/>
          <w:color w:val="auto"/>
        </w:rPr>
        <w:t>Agent</w:t>
      </w:r>
      <w:r>
        <w:rPr>
          <w:rFonts w:ascii="Arial" w:cs="Arial" w:eastAsia="Arial" w:hAnsi="Arial"/>
          <w:sz w:val="20"/>
          <w:szCs w:val="20"/>
          <w:color w:val="auto"/>
        </w:rPr>
        <w:t>”) and the other financial institutions or other entities from time to time parties to the Credit Agreement referenced below, each as a Lender.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08" w:lineRule="exact"/>
        <w:rPr>
          <w:sz w:val="20"/>
          <w:szCs w:val="20"/>
          <w:color w:val="auto"/>
        </w:rPr>
      </w:pPr>
    </w:p>
    <w:p>
      <w:pPr>
        <w:jc w:val="both"/>
        <w:ind w:firstLine="757"/>
        <w:spacing w:after="0" w:line="243" w:lineRule="auto"/>
        <w:tabs>
          <w:tab w:leader="none" w:pos="1498" w:val="left"/>
        </w:tabs>
        <w:numPr>
          <w:ilvl w:val="0"/>
          <w:numId w:val="58"/>
        </w:numPr>
        <w:rPr>
          <w:rFonts w:ascii="Arial" w:cs="Arial" w:eastAsia="Arial" w:hAnsi="Arial"/>
          <w:sz w:val="19"/>
          <w:szCs w:val="19"/>
          <w:color w:val="auto"/>
        </w:rPr>
      </w:pPr>
      <w:r>
        <w:rPr>
          <w:rFonts w:ascii="Arial" w:cs="Arial" w:eastAsia="Arial" w:hAnsi="Arial"/>
          <w:sz w:val="19"/>
          <w:szCs w:val="19"/>
          <w:color w:val="auto"/>
        </w:rPr>
        <w:t>Agent, Lenders and Borrower have entered into that certain Amended and Restated Credit and Security Agreement (Revolving Loan), dated as of November 23, 2020 (as amended by that certain First Amendment to Amended and Restated Credit and Security Agreement (Revolving Loan), dated as of October 5, 2021, and as further amended, restated, amended and restated, supplemented and/or otherwise modified prior to the date hereof, the “</w:t>
      </w:r>
      <w:r>
        <w:rPr>
          <w:rFonts w:ascii="Arial" w:cs="Arial" w:eastAsia="Arial" w:hAnsi="Arial"/>
          <w:sz w:val="19"/>
          <w:szCs w:val="19"/>
          <w:b w:val="1"/>
          <w:bCs w:val="1"/>
          <w:color w:val="auto"/>
        </w:rPr>
        <w:t>Existing Credit Agreement</w:t>
      </w:r>
      <w:r>
        <w:rPr>
          <w:rFonts w:ascii="Arial" w:cs="Arial" w:eastAsia="Arial" w:hAnsi="Arial"/>
          <w:sz w:val="19"/>
          <w:szCs w:val="19"/>
          <w:color w:val="auto"/>
        </w:rPr>
        <w:t>” and as the same is amended hereby and as it may be further amended, restated, amended and restated, supplemented and/or otherwise modified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pursuant to which the Lenders have agreed to make certain advances of money and to extend certain financial accommodations to Borrower in the amounts and manner set forth in the Credit Agreement.</w:t>
      </w:r>
    </w:p>
    <w:p>
      <w:pPr>
        <w:spacing w:after="0" w:line="395" w:lineRule="exact"/>
        <w:rPr>
          <w:rFonts w:ascii="Arial" w:cs="Arial" w:eastAsia="Arial" w:hAnsi="Arial"/>
          <w:sz w:val="19"/>
          <w:szCs w:val="19"/>
          <w:color w:val="auto"/>
        </w:rPr>
      </w:pPr>
    </w:p>
    <w:p>
      <w:pPr>
        <w:jc w:val="both"/>
        <w:ind w:firstLine="757"/>
        <w:spacing w:after="0" w:line="254" w:lineRule="auto"/>
        <w:tabs>
          <w:tab w:leader="none" w:pos="1498" w:val="left"/>
        </w:tabs>
        <w:numPr>
          <w:ilvl w:val="0"/>
          <w:numId w:val="58"/>
        </w:numPr>
        <w:rPr>
          <w:rFonts w:ascii="Arial" w:cs="Arial" w:eastAsia="Arial" w:hAnsi="Arial"/>
          <w:sz w:val="19"/>
          <w:szCs w:val="19"/>
          <w:color w:val="auto"/>
        </w:rPr>
      </w:pPr>
      <w:r>
        <w:rPr>
          <w:rFonts w:ascii="Arial" w:cs="Arial" w:eastAsia="Arial" w:hAnsi="Arial"/>
          <w:sz w:val="19"/>
          <w:szCs w:val="19"/>
          <w:color w:val="auto"/>
        </w:rPr>
        <w:t>Borrower has requested, and Agent and the Lenders constituting at least the Required Lenders have agreed, on and subject to the terms and conditions set forth in this Agreement to, among other things, amend the Compliance Certificate attached as Exhibit B to the Existing Credit Agreement, as more fully set forth in and subject to the terms and conditions herein.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0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NOW, THEREFORE, in consideration of the foregoing, the terms and conditions set forth in this Agreement, and other good and valuable consideration, the receipt and sufficiency of which are hereby acknowledged, Agent, Required Lenders, and Borrower hereby agree as follows:</w:t>
      </w:r>
    </w:p>
    <w:p>
      <w:pPr>
        <w:spacing w:after="0" w:line="177" w:lineRule="exact"/>
        <w:rPr>
          <w:sz w:val="20"/>
          <w:szCs w:val="20"/>
          <w:color w:val="auto"/>
        </w:rPr>
      </w:pPr>
    </w:p>
    <w:p>
      <w:pPr>
        <w:jc w:val="both"/>
        <w:ind w:firstLine="757"/>
        <w:spacing w:after="0" w:line="233" w:lineRule="auto"/>
        <w:tabs>
          <w:tab w:leader="none" w:pos="1498" w:val="left"/>
        </w:tabs>
        <w:numPr>
          <w:ilvl w:val="0"/>
          <w:numId w:val="59"/>
        </w:numPr>
        <w:rPr>
          <w:rFonts w:ascii="Arial" w:cs="Arial" w:eastAsia="Arial" w:hAnsi="Arial"/>
          <w:sz w:val="20"/>
          <w:szCs w:val="20"/>
          <w:color w:val="010000"/>
        </w:rPr>
      </w:pPr>
      <w:r>
        <w:rPr>
          <w:rFonts w:ascii="Arial" w:cs="Arial" w:eastAsia="Arial" w:hAnsi="Arial"/>
          <w:sz w:val="20"/>
          <w:szCs w:val="20"/>
          <w:b w:val="1"/>
          <w:bCs w:val="1"/>
          <w:u w:val="single" w:color="auto"/>
          <w:color w:val="auto"/>
        </w:rPr>
        <w:t>Recitals; Construction</w:t>
      </w:r>
      <w:r>
        <w:rPr>
          <w:rFonts w:ascii="Arial" w:cs="Arial" w:eastAsia="Arial" w:hAnsi="Arial"/>
          <w:sz w:val="20"/>
          <w:szCs w:val="20"/>
          <w:color w:val="auto"/>
        </w:rPr>
        <w:t>. This Agreement shall constitute a Financing Document and the Recitals and each reference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Credit Agreement, unless otherwise expressly noted, will be deemed to reference the Credit Agreement as modified hereby. The Recitals set forth above shall be construed as part of this Agreement as if set forth fully in the body of this Agreement. Capitalized terms used but not otherwise defined herein shall have the meanings ascribed to them in the Credit Agreement (including those capitalized terms used in the Recitals hereto).</w:t>
      </w:r>
    </w:p>
    <w:p>
      <w:pPr>
        <w:spacing w:after="0" w:line="179" w:lineRule="exact"/>
        <w:rPr>
          <w:rFonts w:ascii="Arial" w:cs="Arial" w:eastAsia="Arial" w:hAnsi="Arial"/>
          <w:sz w:val="20"/>
          <w:szCs w:val="20"/>
          <w:color w:val="010000"/>
        </w:rPr>
      </w:pPr>
    </w:p>
    <w:p>
      <w:pPr>
        <w:jc w:val="both"/>
        <w:ind w:firstLine="757"/>
        <w:spacing w:after="0" w:line="239" w:lineRule="auto"/>
        <w:tabs>
          <w:tab w:leader="none" w:pos="1498" w:val="left"/>
        </w:tabs>
        <w:numPr>
          <w:ilvl w:val="0"/>
          <w:numId w:val="59"/>
        </w:numPr>
        <w:rPr>
          <w:rFonts w:ascii="Arial" w:cs="Arial" w:eastAsia="Arial" w:hAnsi="Arial"/>
          <w:sz w:val="20"/>
          <w:szCs w:val="20"/>
          <w:color w:val="010000"/>
        </w:rPr>
      </w:pPr>
      <w:r>
        <w:rPr>
          <w:rFonts w:ascii="Arial" w:cs="Arial" w:eastAsia="Arial" w:hAnsi="Arial"/>
          <w:sz w:val="20"/>
          <w:szCs w:val="20"/>
          <w:b w:val="1"/>
          <w:bCs w:val="1"/>
          <w:u w:val="single" w:color="auto"/>
          <w:color w:val="auto"/>
        </w:rPr>
        <w:t>Amendments to Credit Agreement</w:t>
      </w:r>
      <w:r>
        <w:rPr>
          <w:rFonts w:ascii="Arial" w:cs="Arial" w:eastAsia="Arial" w:hAnsi="Arial"/>
          <w:sz w:val="20"/>
          <w:szCs w:val="20"/>
          <w:color w:val="auto"/>
        </w:rPr>
        <w:t>. Subject to the terms and conditions in this Agreement, including, without limitation,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conditions to effectiveness set forth in Section 4 below, effective as of the Effective Date, the Existing Credit Agreement is hereby amended as follows:</w:t>
      </w:r>
    </w:p>
    <w:p>
      <w:pPr>
        <w:spacing w:after="0" w:line="183" w:lineRule="exact"/>
        <w:rPr>
          <w:sz w:val="20"/>
          <w:szCs w:val="20"/>
          <w:color w:val="auto"/>
        </w:rPr>
      </w:pPr>
    </w:p>
    <w:p>
      <w:pPr>
        <w:ind w:firstLine="1497"/>
        <w:spacing w:after="0" w:line="246"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color w:val="000000"/>
        </w:rPr>
        <w:t>The Compliance Certificate attached as Exhibit B to the Existing Credit Agreement is amended and</w:t>
      </w:r>
      <w:r>
        <w:rPr>
          <w:rFonts w:ascii="Arial" w:cs="Arial" w:eastAsia="Arial" w:hAnsi="Arial"/>
          <w:sz w:val="20"/>
          <w:szCs w:val="20"/>
          <w:color w:val="010000"/>
        </w:rPr>
        <w:t xml:space="preserve"> </w:t>
      </w:r>
      <w:r>
        <w:rPr>
          <w:rFonts w:ascii="Arial" w:cs="Arial" w:eastAsia="Arial" w:hAnsi="Arial"/>
          <w:sz w:val="20"/>
          <w:szCs w:val="20"/>
          <w:color w:val="000000"/>
        </w:rPr>
        <w:t xml:space="preserve">restated in its entirety in the form of </w:t>
      </w:r>
      <w:r>
        <w:rPr>
          <w:rFonts w:ascii="Arial" w:cs="Arial" w:eastAsia="Arial" w:hAnsi="Arial"/>
          <w:sz w:val="20"/>
          <w:szCs w:val="20"/>
          <w:u w:val="single" w:color="auto"/>
          <w:color w:val="000000"/>
        </w:rPr>
        <w:t>Annex A</w:t>
      </w:r>
      <w:r>
        <w:rPr>
          <w:rFonts w:ascii="Arial" w:cs="Arial" w:eastAsia="Arial" w:hAnsi="Arial"/>
          <w:sz w:val="20"/>
          <w:szCs w:val="20"/>
          <w:color w:val="000000"/>
        </w:rPr>
        <w:t xml:space="preserve"> attached hereto.</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(Revolving Loan)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jc w:val="both"/>
        <w:ind w:firstLine="757"/>
        <w:spacing w:after="0" w:line="241" w:lineRule="auto"/>
        <w:tabs>
          <w:tab w:leader="none" w:pos="1498" w:val="left"/>
        </w:tabs>
        <w:numPr>
          <w:ilvl w:val="0"/>
          <w:numId w:val="60"/>
        </w:numPr>
        <w:rPr>
          <w:rFonts w:ascii="Arial" w:cs="Arial" w:eastAsia="Arial" w:hAnsi="Arial"/>
          <w:sz w:val="19"/>
          <w:szCs w:val="19"/>
          <w:color w:val="010000"/>
        </w:rPr>
      </w:pPr>
      <w:r>
        <w:rPr>
          <w:rFonts w:ascii="Arial" w:cs="Arial" w:eastAsia="Arial" w:hAnsi="Arial"/>
          <w:sz w:val="19"/>
          <w:szCs w:val="19"/>
          <w:b w:val="1"/>
          <w:bCs w:val="1"/>
          <w:u w:val="single" w:color="auto"/>
          <w:color w:val="auto"/>
        </w:rPr>
        <w:t>Representations and Warranties; Reaffirmation of Security Interest</w:t>
      </w:r>
      <w:r>
        <w:rPr>
          <w:rFonts w:ascii="Arial" w:cs="Arial" w:eastAsia="Arial" w:hAnsi="Arial"/>
          <w:sz w:val="19"/>
          <w:szCs w:val="19"/>
          <w:color w:val="auto"/>
        </w:rPr>
        <w:t>. Borrower hereby confirms that all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representations and warranties set forth in the Credit Agreement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(without duplication of any materiality qualifier in the text of such representation or warranty) as of such earlier date. Without limiting the foregoing, each Borrower represents and warrants that prior to and after giving effect to the agreements set forth herein, no Default or Event of Default shall exist under any of the Financing Documents. Nothing herein is intended to impair or limit the validity, priority or extent of Agent’s security interests in and Liens on the Collateral. Each Borrower acknowledges and agrees that each of this Agreement, the Credit Agreement and the other Financing Documents to which it is a party constitutes the valid and binding agreement or instrument of such Borrower, enforceable against such Borrower in accordance with its respective terms, except as the enforceability thereof may be limited by bankruptcy, insolvency or other similar laws relating to the enforcement of creditors’ rights generally and by general equitable principles.</w:t>
      </w:r>
    </w:p>
    <w:p>
      <w:pPr>
        <w:spacing w:after="0" w:line="176" w:lineRule="exact"/>
        <w:rPr>
          <w:rFonts w:ascii="Arial" w:cs="Arial" w:eastAsia="Arial" w:hAnsi="Arial"/>
          <w:sz w:val="19"/>
          <w:szCs w:val="19"/>
          <w:color w:val="010000"/>
        </w:rPr>
      </w:pPr>
    </w:p>
    <w:p>
      <w:pPr>
        <w:ind w:right="20" w:firstLine="757"/>
        <w:spacing w:after="0" w:line="252" w:lineRule="auto"/>
        <w:tabs>
          <w:tab w:leader="none" w:pos="1498" w:val="left"/>
        </w:tabs>
        <w:numPr>
          <w:ilvl w:val="0"/>
          <w:numId w:val="60"/>
        </w:numPr>
        <w:rPr>
          <w:rFonts w:ascii="Arial" w:cs="Arial" w:eastAsia="Arial" w:hAnsi="Arial"/>
          <w:sz w:val="20"/>
          <w:szCs w:val="20"/>
          <w:color w:val="010000"/>
        </w:rPr>
      </w:pPr>
      <w:r>
        <w:rPr>
          <w:rFonts w:ascii="Arial" w:cs="Arial" w:eastAsia="Arial" w:hAnsi="Arial"/>
          <w:sz w:val="20"/>
          <w:szCs w:val="20"/>
          <w:b w:val="1"/>
          <w:bCs w:val="1"/>
          <w:u w:val="single" w:color="auto"/>
          <w:color w:val="auto"/>
        </w:rPr>
        <w:t>Conditions to Effectiveness</w:t>
      </w:r>
      <w:r>
        <w:rPr>
          <w:rFonts w:ascii="Arial" w:cs="Arial" w:eastAsia="Arial" w:hAnsi="Arial"/>
          <w:sz w:val="20"/>
          <w:szCs w:val="20"/>
          <w:color w:val="auto"/>
        </w:rPr>
        <w:t>. This Agreement shall become effective as of the date on which each of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have been satisfied, as determined by Agent in its sole discretion, or waived by Agent in its discretion:</w:t>
      </w:r>
    </w:p>
    <w:p>
      <w:pPr>
        <w:spacing w:after="0" w:line="171" w:lineRule="exact"/>
        <w:rPr>
          <w:sz w:val="20"/>
          <w:szCs w:val="20"/>
          <w:color w:val="auto"/>
        </w:rPr>
      </w:pPr>
    </w:p>
    <w:p>
      <w:pPr>
        <w:ind w:firstLine="1497"/>
        <w:spacing w:after="0" w:line="272" w:lineRule="auto"/>
        <w:rPr>
          <w:sz w:val="20"/>
          <w:szCs w:val="20"/>
          <w:color w:val="auto"/>
        </w:rPr>
      </w:pPr>
      <w:r>
        <w:rPr>
          <w:rFonts w:ascii="Arial" w:cs="Arial" w:eastAsia="Arial" w:hAnsi="Arial"/>
          <w:sz w:val="19"/>
          <w:szCs w:val="19"/>
          <w:color w:val="010000"/>
        </w:rPr>
        <w:t xml:space="preserve">(a) </w:t>
      </w:r>
      <w:r>
        <w:rPr>
          <w:rFonts w:ascii="Arial" w:cs="Arial" w:eastAsia="Arial" w:hAnsi="Arial"/>
          <w:sz w:val="19"/>
          <w:szCs w:val="19"/>
          <w:color w:val="000000"/>
        </w:rPr>
        <w:t>Agent shall have received (including by way electronic transmission) a duly authorized, executed and</w:t>
      </w:r>
      <w:r>
        <w:rPr>
          <w:rFonts w:ascii="Arial" w:cs="Arial" w:eastAsia="Arial" w:hAnsi="Arial"/>
          <w:sz w:val="19"/>
          <w:szCs w:val="19"/>
          <w:color w:val="010000"/>
        </w:rPr>
        <w:t xml:space="preserve"> </w:t>
      </w:r>
      <w:r>
        <w:rPr>
          <w:rFonts w:ascii="Arial" w:cs="Arial" w:eastAsia="Arial" w:hAnsi="Arial"/>
          <w:sz w:val="19"/>
          <w:szCs w:val="19"/>
          <w:color w:val="000000"/>
        </w:rPr>
        <w:t>delivered counterpart of the signature page to this Agreement from each Borrower, Agent and each Lender constituting Required Lenders;</w:t>
      </w:r>
    </w:p>
    <w:p>
      <w:pPr>
        <w:spacing w:after="0" w:line="153" w:lineRule="exact"/>
        <w:rPr>
          <w:sz w:val="20"/>
          <w:szCs w:val="20"/>
          <w:color w:val="auto"/>
        </w:rPr>
      </w:pPr>
    </w:p>
    <w:p>
      <w:pPr>
        <w:jc w:val="both"/>
        <w:ind w:firstLine="1505"/>
        <w:spacing w:after="0" w:line="232" w:lineRule="auto"/>
        <w:tabs>
          <w:tab w:leader="none" w:pos="2995"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all representations and warranties of Credit Parties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(and such parties’ delivery of their respective signatures hereto shall be deemed to be its certification thereof); and;</w:t>
      </w:r>
    </w:p>
    <w:p>
      <w:pPr>
        <w:spacing w:after="0" w:line="184" w:lineRule="exact"/>
        <w:rPr>
          <w:sz w:val="20"/>
          <w:szCs w:val="20"/>
          <w:color w:val="auto"/>
        </w:rPr>
      </w:pPr>
    </w:p>
    <w:p>
      <w:pPr>
        <w:ind w:right="20" w:firstLine="1497"/>
        <w:spacing w:after="0" w:line="246" w:lineRule="auto"/>
        <w:rPr>
          <w:sz w:val="20"/>
          <w:szCs w:val="20"/>
          <w:color w:val="auto"/>
        </w:rPr>
      </w:pPr>
      <w:r>
        <w:rPr>
          <w:rFonts w:ascii="Arial" w:cs="Arial" w:eastAsia="Arial" w:hAnsi="Arial"/>
          <w:sz w:val="20"/>
          <w:szCs w:val="20"/>
          <w:color w:val="010000"/>
        </w:rPr>
        <w:t xml:space="preserve">(c) </w:t>
      </w:r>
      <w:r>
        <w:rPr>
          <w:rFonts w:ascii="Arial" w:cs="Arial" w:eastAsia="Arial" w:hAnsi="Arial"/>
          <w:sz w:val="20"/>
          <w:szCs w:val="20"/>
          <w:color w:val="000000"/>
        </w:rPr>
        <w:t>immediately prior to and after giving effect to this Agreement, no Default or Event of Default exists</w:t>
      </w:r>
      <w:r>
        <w:rPr>
          <w:rFonts w:ascii="Arial" w:cs="Arial" w:eastAsia="Arial" w:hAnsi="Arial"/>
          <w:sz w:val="20"/>
          <w:szCs w:val="20"/>
          <w:color w:val="010000"/>
        </w:rPr>
        <w:t xml:space="preserve"> </w:t>
      </w:r>
      <w:r>
        <w:rPr>
          <w:rFonts w:ascii="Arial" w:cs="Arial" w:eastAsia="Arial" w:hAnsi="Arial"/>
          <w:sz w:val="20"/>
          <w:szCs w:val="20"/>
          <w:color w:val="000000"/>
        </w:rPr>
        <w:t>under any of the Financing Documents.</w:t>
      </w:r>
    </w:p>
    <w:p>
      <w:pPr>
        <w:spacing w:after="0" w:line="171" w:lineRule="exact"/>
        <w:rPr>
          <w:sz w:val="20"/>
          <w:szCs w:val="20"/>
          <w:color w:val="auto"/>
        </w:rPr>
      </w:pPr>
    </w:p>
    <w:p>
      <w:pPr>
        <w:jc w:val="both"/>
        <w:ind w:firstLine="757"/>
        <w:spacing w:after="0" w:line="233" w:lineRule="auto"/>
        <w:tabs>
          <w:tab w:leader="none" w:pos="1498" w:val="left"/>
        </w:tabs>
        <w:numPr>
          <w:ilvl w:val="0"/>
          <w:numId w:val="62"/>
        </w:numPr>
        <w:rPr>
          <w:rFonts w:ascii="Arial" w:cs="Arial" w:eastAsia="Arial" w:hAnsi="Arial"/>
          <w:sz w:val="20"/>
          <w:szCs w:val="20"/>
          <w:color w:val="010000"/>
        </w:rPr>
      </w:pPr>
      <w:r>
        <w:rPr>
          <w:rFonts w:ascii="Arial" w:cs="Arial" w:eastAsia="Arial" w:hAnsi="Arial"/>
          <w:sz w:val="20"/>
          <w:szCs w:val="20"/>
          <w:b w:val="1"/>
          <w:bCs w:val="1"/>
          <w:u w:val="single" w:color="auto"/>
          <w:color w:val="auto"/>
        </w:rPr>
        <w:t>Costs and Fees</w:t>
      </w:r>
      <w:r>
        <w:rPr>
          <w:rFonts w:ascii="Arial" w:cs="Arial" w:eastAsia="Arial" w:hAnsi="Arial"/>
          <w:sz w:val="20"/>
          <w:szCs w:val="20"/>
          <w:color w:val="auto"/>
        </w:rPr>
        <w:t>. Borrower agrees to promptly pay, or reimburse upon demand for, all reasonable and documented costs</w:t>
      </w:r>
      <w:r>
        <w:rPr>
          <w:rFonts w:ascii="Arial" w:cs="Arial" w:eastAsia="Arial" w:hAnsi="Arial"/>
          <w:sz w:val="20"/>
          <w:szCs w:val="20"/>
          <w:b w:val="1"/>
          <w:bCs w:val="1"/>
          <w:color w:val="auto"/>
        </w:rPr>
        <w:t xml:space="preserve"> </w:t>
      </w:r>
      <w:r>
        <w:rPr>
          <w:rFonts w:ascii="Arial" w:cs="Arial" w:eastAsia="Arial" w:hAnsi="Arial"/>
          <w:sz w:val="20"/>
          <w:szCs w:val="20"/>
          <w:color w:val="auto"/>
        </w:rPr>
        <w:t>and expenses of Agent (including, without limitation, the reasonable and documented fees, costs and expenses of counsel to Agent) in connection with the preparation, negotiation, execution and delivery of this Agreement and any other Financing Documents or other agreements prepared, negotiated, executed or delivered in connection with this Agreement or transactions contemplated hereby, in accordance with Section 12.14 of the Credit Agreement.</w:t>
      </w:r>
    </w:p>
    <w:p>
      <w:pPr>
        <w:spacing w:after="0" w:line="179" w:lineRule="exact"/>
        <w:rPr>
          <w:rFonts w:ascii="Arial" w:cs="Arial" w:eastAsia="Arial" w:hAnsi="Arial"/>
          <w:sz w:val="20"/>
          <w:szCs w:val="20"/>
          <w:color w:val="010000"/>
        </w:rPr>
      </w:pPr>
    </w:p>
    <w:p>
      <w:pPr>
        <w:jc w:val="both"/>
        <w:ind w:firstLine="757"/>
        <w:spacing w:after="0" w:line="258" w:lineRule="auto"/>
        <w:tabs>
          <w:tab w:leader="none" w:pos="1498" w:val="left"/>
        </w:tabs>
        <w:numPr>
          <w:ilvl w:val="0"/>
          <w:numId w:val="62"/>
        </w:numPr>
        <w:rPr>
          <w:rFonts w:ascii="Arial" w:cs="Arial" w:eastAsia="Arial" w:hAnsi="Arial"/>
          <w:sz w:val="18"/>
          <w:szCs w:val="18"/>
          <w:color w:val="010000"/>
        </w:rPr>
      </w:pPr>
      <w:r>
        <w:rPr>
          <w:rFonts w:ascii="Arial" w:cs="Arial" w:eastAsia="Arial" w:hAnsi="Arial"/>
          <w:sz w:val="18"/>
          <w:szCs w:val="18"/>
          <w:b w:val="1"/>
          <w:bCs w:val="1"/>
          <w:u w:val="single" w:color="auto"/>
          <w:color w:val="auto"/>
        </w:rPr>
        <w:t>Lender Release</w:t>
      </w:r>
      <w:r>
        <w:rPr>
          <w:rFonts w:ascii="Arial" w:cs="Arial" w:eastAsia="Arial" w:hAnsi="Arial"/>
          <w:sz w:val="18"/>
          <w:szCs w:val="18"/>
          <w:color w:val="auto"/>
        </w:rPr>
        <w:t>. In consideration of the agreements of Agent and Required Lenders contained herein and for other good</w:t>
      </w:r>
      <w:r>
        <w:rPr>
          <w:rFonts w:ascii="Arial" w:cs="Arial" w:eastAsia="Arial" w:hAnsi="Arial"/>
          <w:sz w:val="18"/>
          <w:szCs w:val="18"/>
          <w:b w:val="1"/>
          <w:bCs w:val="1"/>
          <w:color w:val="auto"/>
        </w:rPr>
        <w:t xml:space="preserve"> </w:t>
      </w:r>
      <w:r>
        <w:rPr>
          <w:rFonts w:ascii="Arial" w:cs="Arial" w:eastAsia="Arial" w:hAnsi="Arial"/>
          <w:sz w:val="18"/>
          <w:szCs w:val="18"/>
          <w:color w:val="auto"/>
        </w:rPr>
        <w:t>and valuable consideration, the receipt and sufficiency of which is hereby acknowledged, each Borrower, voluntarily, knowingly, unconditionally and irrevocably, with specific and express intent, for and on behalf of itself and all of its respective parents, subsidiaries, affiliates, members, managers, predecessors, successors, and assigns, and each of its respective current and former directors, officers, shareholders, agents, and employees, and each of its respective predecessors, successors, heirs, and assigns (individually and collectively, the “Releasing Parties”)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“Released Parties”), of and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(Revolving Loan)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8" w:name="page149"/>
    <w:bookmarkEnd w:id="148"/>
    <w:p>
      <w:pPr>
        <w:jc w:val="both"/>
        <w:spacing w:after="0" w:line="241" w:lineRule="auto"/>
        <w:rPr>
          <w:sz w:val="20"/>
          <w:szCs w:val="20"/>
          <w:color w:val="auto"/>
        </w:rPr>
      </w:pPr>
      <w:r>
        <w:rPr>
          <w:rFonts w:ascii="Arial" w:cs="Arial" w:eastAsia="Arial" w:hAnsi="Arial"/>
          <w:sz w:val="19"/>
          <w:szCs w:val="19"/>
          <w:color w:val="auto"/>
        </w:rPr>
        <w:t>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or arising out of this Agreement, that relate to, arise out of or otherwise are in connection with: (i) any or all of the Financing Documents or transactions contemplated thereby or any actions or omissions in connection therewith or (ii) any aspect of the dealings or relationships between or among such Borrower, on the one hand, and any or all of the Released Parties, on the other hand, relating to any or all of the documents, transactions, actions or omissions referenced in clause (i) hereof. Each Borrower acknowledges that the foregoing release is a material inducement to Agent’s and Required Lender’s decision to enter into this Agreement and agree to the modifications contemplated hereunder, and has been relied upon by Agent and Required Lenders in connection therewith.</w:t>
      </w:r>
    </w:p>
    <w:p>
      <w:pPr>
        <w:spacing w:after="0" w:line="177" w:lineRule="exact"/>
        <w:rPr>
          <w:sz w:val="20"/>
          <w:szCs w:val="20"/>
          <w:color w:val="auto"/>
        </w:rPr>
      </w:pPr>
    </w:p>
    <w:p>
      <w:pPr>
        <w:jc w:val="both"/>
        <w:ind w:firstLine="757"/>
        <w:spacing w:after="0" w:line="261" w:lineRule="auto"/>
        <w:tabs>
          <w:tab w:leader="none" w:pos="1498" w:val="left"/>
        </w:tabs>
        <w:numPr>
          <w:ilvl w:val="0"/>
          <w:numId w:val="63"/>
        </w:numPr>
        <w:rPr>
          <w:rFonts w:ascii="Arial" w:cs="Arial" w:eastAsia="Arial" w:hAnsi="Arial"/>
          <w:sz w:val="18"/>
          <w:szCs w:val="18"/>
          <w:color w:val="010000"/>
        </w:rPr>
      </w:pPr>
      <w:r>
        <w:rPr>
          <w:rFonts w:ascii="Arial" w:cs="Arial" w:eastAsia="Arial" w:hAnsi="Arial"/>
          <w:sz w:val="18"/>
          <w:szCs w:val="18"/>
          <w:b w:val="1"/>
          <w:bCs w:val="1"/>
          <w:u w:val="single" w:color="auto"/>
          <w:color w:val="auto"/>
        </w:rPr>
        <w:t>No Waiver or Novation</w:t>
      </w:r>
      <w:r>
        <w:rPr>
          <w:rFonts w:ascii="Arial" w:cs="Arial" w:eastAsia="Arial" w:hAnsi="Arial"/>
          <w:sz w:val="18"/>
          <w:szCs w:val="18"/>
          <w:color w:val="auto"/>
        </w:rPr>
        <w:t>. The execution, delivery and effectiveness of this Agreement shall not operate as a waiver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61" w:lineRule="exact"/>
        <w:rPr>
          <w:rFonts w:ascii="Arial" w:cs="Arial" w:eastAsia="Arial" w:hAnsi="Arial"/>
          <w:sz w:val="18"/>
          <w:szCs w:val="18"/>
          <w:color w:val="010000"/>
        </w:rPr>
      </w:pPr>
    </w:p>
    <w:p>
      <w:pPr>
        <w:jc w:val="both"/>
        <w:ind w:firstLine="757"/>
        <w:spacing w:after="0" w:line="242" w:lineRule="auto"/>
        <w:tabs>
          <w:tab w:leader="none" w:pos="1498" w:val="left"/>
        </w:tabs>
        <w:numPr>
          <w:ilvl w:val="0"/>
          <w:numId w:val="63"/>
        </w:numPr>
        <w:rPr>
          <w:rFonts w:ascii="Arial" w:cs="Arial" w:eastAsia="Arial" w:hAnsi="Arial"/>
          <w:sz w:val="19"/>
          <w:szCs w:val="19"/>
          <w:color w:val="010000"/>
        </w:rPr>
      </w:pPr>
      <w:r>
        <w:rPr>
          <w:rFonts w:ascii="Arial" w:cs="Arial" w:eastAsia="Arial" w:hAnsi="Arial"/>
          <w:sz w:val="19"/>
          <w:szCs w:val="19"/>
          <w:b w:val="1"/>
          <w:bCs w:val="1"/>
          <w:u w:val="single" w:color="auto"/>
          <w:color w:val="auto"/>
        </w:rPr>
        <w:t>Affirmation</w:t>
      </w:r>
      <w:r>
        <w:rPr>
          <w:rFonts w:ascii="Arial" w:cs="Arial" w:eastAsia="Arial" w:hAnsi="Arial"/>
          <w:sz w:val="19"/>
          <w:szCs w:val="19"/>
          <w:color w:val="auto"/>
        </w:rPr>
        <w:t>. Except as specifically amended pursuant to the terms hereof, Borrower hereby acknowledges and agrees</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Credit Agreement and all other Financing Documents (and all covenants, terms, conditions and agreements therein) shall remain in full force and effect, and are hereby ratified and confirmed in all respects by each Credit Party, including without limitation the granting of Liens in the Collateral to secure the Obligations and other Financing Documents. Borrower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 Borrower confirms and agrees that all security interests and Liens granted to Agent pursuant to the Financing Documents continue in full force and effect, and all Collateral remains free and clear of any Liens, other than those granted to Agent and Permitted Liens.</w:t>
      </w:r>
    </w:p>
    <w:p>
      <w:pPr>
        <w:spacing w:after="0" w:line="177" w:lineRule="exact"/>
        <w:rPr>
          <w:rFonts w:ascii="Arial" w:cs="Arial" w:eastAsia="Arial" w:hAnsi="Arial"/>
          <w:sz w:val="19"/>
          <w:szCs w:val="19"/>
          <w:color w:val="010000"/>
        </w:rPr>
      </w:pPr>
    </w:p>
    <w:p>
      <w:pPr>
        <w:ind w:left="1500" w:hanging="743"/>
        <w:spacing w:after="0"/>
        <w:tabs>
          <w:tab w:leader="none" w:pos="1500" w:val="left"/>
        </w:tabs>
        <w:numPr>
          <w:ilvl w:val="0"/>
          <w:numId w:val="63"/>
        </w:numPr>
        <w:rPr>
          <w:rFonts w:ascii="Arial" w:cs="Arial" w:eastAsia="Arial" w:hAnsi="Arial"/>
          <w:sz w:val="20"/>
          <w:szCs w:val="20"/>
          <w:color w:val="010000"/>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08" w:lineRule="exact"/>
        <w:rPr>
          <w:sz w:val="20"/>
          <w:szCs w:val="20"/>
          <w:color w:val="auto"/>
        </w:rPr>
      </w:pPr>
    </w:p>
    <w:p>
      <w:pPr>
        <w:jc w:val="both"/>
        <w:ind w:firstLine="1497"/>
        <w:spacing w:after="0" w:line="232"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u w:val="single" w:color="auto"/>
          <w:color w:val="000000"/>
        </w:rPr>
        <w:t>Reference to the Effect on the Credit Agreement</w:t>
      </w:r>
      <w:r>
        <w:rPr>
          <w:rFonts w:ascii="Arial" w:cs="Arial" w:eastAsia="Arial" w:hAnsi="Arial"/>
          <w:sz w:val="20"/>
          <w:szCs w:val="20"/>
          <w:color w:val="000000"/>
        </w:rPr>
        <w:t>. Upon the effectiveness of this Agreement, each</w:t>
      </w:r>
      <w:r>
        <w:rPr>
          <w:rFonts w:ascii="Arial" w:cs="Arial" w:eastAsia="Arial" w:hAnsi="Arial"/>
          <w:sz w:val="20"/>
          <w:szCs w:val="20"/>
          <w:color w:val="010000"/>
        </w:rPr>
        <w:t xml:space="preserve"> </w:t>
      </w:r>
      <w:r>
        <w:rPr>
          <w:rFonts w:ascii="Arial" w:cs="Arial" w:eastAsia="Arial" w:hAnsi="Arial"/>
          <w:sz w:val="20"/>
          <w:szCs w:val="20"/>
          <w:color w:val="000000"/>
        </w:rPr>
        <w:t>reference in the Credit Agreement to “this Agreement,” “hereunder,” “hereof,” “herein,” or words of similar import shall mean and be a reference to the Credit Agreement, as modified by this Agreement. Except as specifically set forth above, the Credit Agreement, and all other Financing Documents (and all covenants, terms, conditions and agreements therein), shall remain in full force and effect, and are hereby ratified and confirmed in all respects by each Credit Party.</w:t>
      </w:r>
    </w:p>
    <w:p>
      <w:pPr>
        <w:spacing w:after="0" w:line="184" w:lineRule="exact"/>
        <w:rPr>
          <w:sz w:val="20"/>
          <w:szCs w:val="20"/>
          <w:color w:val="auto"/>
        </w:rPr>
      </w:pPr>
    </w:p>
    <w:p>
      <w:pPr>
        <w:jc w:val="both"/>
        <w:ind w:firstLine="1505"/>
        <w:spacing w:after="0" w:line="232" w:lineRule="auto"/>
        <w:tabs>
          <w:tab w:leader="none" w:pos="2995" w:val="left"/>
        </w:tabs>
        <w:numPr>
          <w:ilvl w:val="0"/>
          <w:numId w:val="64"/>
        </w:numPr>
        <w:rPr>
          <w:rFonts w:ascii="Arial" w:cs="Arial" w:eastAsia="Arial" w:hAnsi="Arial"/>
          <w:sz w:val="20"/>
          <w:szCs w:val="20"/>
          <w:color w:val="010000"/>
        </w:rPr>
      </w:pPr>
      <w:r>
        <w:rPr>
          <w:rFonts w:ascii="Arial" w:cs="Arial" w:eastAsia="Arial" w:hAnsi="Arial"/>
          <w:sz w:val="20"/>
          <w:szCs w:val="20"/>
          <w:color w:val="auto"/>
        </w:rPr>
        <w:t>THIS AGREEMENT AND ALL DISPUTES AND OTHER MATTERS RELATING HERETO OR ARISING THEREFROM (WHETHER SOUNDING IN CONTRACT LAW, TORT LAW OR OTHERWISE), SHALL BE GOVERNED BY, AND SHALL BE CONSTRUED AND ENFORCED IN ACCORDANCE WITH, THE LAWS OF THE STATE OF NEW YORK, WITHOUT REGARD TO ITS CONFLICT OF LAWS PRINCIPLES (OTHER THAN SECTION 5-1401 OF THE GENERAL OBLIGATIONS LAW).</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(Revolving Loan)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both"/>
        <w:ind w:left="1500"/>
        <w:spacing w:after="0"/>
        <w:tabs>
          <w:tab w:leader="none" w:pos="2980" w:val="left"/>
        </w:tabs>
        <w:rPr>
          <w:sz w:val="20"/>
          <w:szCs w:val="20"/>
          <w:color w:val="auto"/>
        </w:rPr>
      </w:pPr>
      <w:r>
        <w:rPr>
          <w:rFonts w:ascii="Arial" w:cs="Arial" w:eastAsia="Arial" w:hAnsi="Arial"/>
          <w:sz w:val="20"/>
          <w:szCs w:val="20"/>
          <w:color w:val="010000"/>
        </w:rPr>
        <w:t>(c)</w:t>
      </w:r>
      <w:r>
        <w:rPr>
          <w:sz w:val="20"/>
          <w:szCs w:val="20"/>
          <w:color w:val="auto"/>
        </w:rPr>
        <w:tab/>
      </w: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BORROWER, AGENT AND THE LENDERS PARTY HERETO</w:t>
      </w:r>
    </w:p>
    <w:p>
      <w:pPr>
        <w:spacing w:after="0" w:line="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HEREBY IRREVOCABLY WAIVES ANY AND ALL RIGHT TO TRIAL BY JURY IN ANY LEGAL ACTION OR PROCEEDING ARISING OUT OF OR RELATING TO THIS AGREEMENT OR THE TRANSACTIONS CONTEMPLATED HEREBY AND AGREES THAT ANY SUCH ACTION OR PROCEEDING SHALL BE TRIED BEFORE A COURT AND NOT BEFORE A JURY. EACH BORROWER, AGENT AND EACH LENDER ACKNOWLEDGES THAT THIS WAIVER IS A MATERIAL INDUCEMENT TO ENTER INTO THIS AGREEMENT, THAT EACH HAS RELIED ON THE WAIVER IN ENTERING INTO THIS AGREEMENT,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87" w:lineRule="exact"/>
        <w:rPr>
          <w:sz w:val="20"/>
          <w:szCs w:val="20"/>
          <w:color w:val="auto"/>
        </w:rPr>
      </w:pPr>
    </w:p>
    <w:p>
      <w:pPr>
        <w:jc w:val="both"/>
        <w:ind w:firstLine="1505"/>
        <w:spacing w:after="0" w:line="237" w:lineRule="auto"/>
        <w:tabs>
          <w:tab w:leader="none" w:pos="2995" w:val="left"/>
        </w:tabs>
        <w:numPr>
          <w:ilvl w:val="0"/>
          <w:numId w:val="65"/>
        </w:numPr>
        <w:rPr>
          <w:rFonts w:ascii="Arial" w:cs="Arial" w:eastAsia="Arial" w:hAnsi="Arial"/>
          <w:sz w:val="20"/>
          <w:szCs w:val="20"/>
          <w:color w:val="010000"/>
        </w:rPr>
      </w:pPr>
      <w:r>
        <w:rPr>
          <w:rFonts w:ascii="Arial" w:cs="Arial" w:eastAsia="Arial" w:hAnsi="Arial"/>
          <w:sz w:val="20"/>
          <w:szCs w:val="20"/>
          <w:u w:val="single" w:color="auto"/>
          <w:color w:val="auto"/>
        </w:rPr>
        <w:t>Incorporation of Credit Agreement Provisions</w:t>
      </w:r>
      <w:r>
        <w:rPr>
          <w:rFonts w:ascii="Arial" w:cs="Arial" w:eastAsia="Arial" w:hAnsi="Arial"/>
          <w:sz w:val="20"/>
          <w:szCs w:val="20"/>
          <w:color w:val="auto"/>
        </w:rPr>
        <w:t>. The provisions contained in Section 11.6 (Indemnification), Section 12.8(b) (Submission to Jurisdiction) and Section 12.9(b) (Waiver of Jury Trial) of the Credit Agreement are incorporated herein by reference to the same extent as if reproduced herein in their entirety.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ind w:left="1500"/>
              <w:spacing w:after="0"/>
              <w:rPr>
                <w:sz w:val="20"/>
                <w:szCs w:val="20"/>
                <w:color w:val="auto"/>
              </w:rPr>
            </w:pPr>
            <w:r>
              <w:rPr>
                <w:rFonts w:ascii="Arial" w:cs="Arial" w:eastAsia="Arial" w:hAnsi="Arial"/>
                <w:sz w:val="20"/>
                <w:szCs w:val="20"/>
                <w:color w:val="010000"/>
              </w:rPr>
              <w:t>(e)</w:t>
            </w:r>
          </w:p>
        </w:tc>
        <w:tc>
          <w:tcPr>
            <w:tcW w:w="8240" w:type="dxa"/>
            <w:vAlign w:val="bottom"/>
            <w:gridSpan w:val="3"/>
          </w:tcPr>
          <w:p>
            <w:pPr>
              <w:spacing w:after="0"/>
              <w:rPr>
                <w:sz w:val="20"/>
                <w:szCs w:val="20"/>
                <w:color w:val="auto"/>
              </w:rPr>
            </w:pPr>
            <w:r>
              <w:rPr>
                <w:rFonts w:ascii="Arial" w:cs="Arial" w:eastAsia="Arial" w:hAnsi="Arial"/>
                <w:sz w:val="20"/>
                <w:szCs w:val="20"/>
                <w:color w:val="auto"/>
                <w:w w:val="90"/>
              </w:rPr>
              <w:t>Headings. Section headings in this Agreement are included for convenience of reference only and shall</w:t>
            </w:r>
          </w:p>
        </w:tc>
      </w:tr>
      <w:tr>
        <w:trPr>
          <w:trHeight w:val="244"/>
        </w:trPr>
        <w:tc>
          <w:tcPr>
            <w:tcW w:w="3000" w:type="dxa"/>
            <w:vAlign w:val="bottom"/>
          </w:tcPr>
          <w:p>
            <w:pPr>
              <w:spacing w:after="0"/>
              <w:rPr>
                <w:sz w:val="20"/>
                <w:szCs w:val="20"/>
                <w:color w:val="auto"/>
              </w:rPr>
            </w:pPr>
            <w:r>
              <w:rPr>
                <w:rFonts w:ascii="Arial" w:cs="Arial" w:eastAsia="Arial" w:hAnsi="Arial"/>
                <w:sz w:val="20"/>
                <w:szCs w:val="20"/>
                <w:color w:val="auto"/>
                <w:w w:val="88"/>
              </w:rPr>
              <w:t>not constitute a part of this Agreement</w:t>
            </w:r>
          </w:p>
        </w:tc>
        <w:tc>
          <w:tcPr>
            <w:tcW w:w="760" w:type="dxa"/>
            <w:vAlign w:val="bottom"/>
            <w:tcBorders>
              <w:top w:val="single" w:sz="8" w:color="auto"/>
            </w:tcBorders>
          </w:tcPr>
          <w:p>
            <w:pPr>
              <w:ind w:left="100"/>
              <w:spacing w:after="0"/>
              <w:rPr>
                <w:sz w:val="20"/>
                <w:szCs w:val="20"/>
                <w:color w:val="auto"/>
              </w:rPr>
            </w:pPr>
            <w:r>
              <w:rPr>
                <w:rFonts w:ascii="Arial" w:cs="Arial" w:eastAsia="Arial" w:hAnsi="Arial"/>
                <w:sz w:val="20"/>
                <w:szCs w:val="20"/>
                <w:color w:val="auto"/>
              </w:rPr>
              <w:t>for any</w:t>
            </w:r>
          </w:p>
        </w:tc>
        <w:tc>
          <w:tcPr>
            <w:tcW w:w="7480" w:type="dxa"/>
            <w:vAlign w:val="bottom"/>
            <w:gridSpan w:val="2"/>
          </w:tcPr>
          <w:p>
            <w:pPr>
              <w:spacing w:after="0"/>
              <w:rPr>
                <w:sz w:val="20"/>
                <w:szCs w:val="20"/>
                <w:color w:val="auto"/>
              </w:rPr>
            </w:pPr>
            <w:r>
              <w:rPr>
                <w:rFonts w:ascii="Arial" w:cs="Arial" w:eastAsia="Arial" w:hAnsi="Arial"/>
                <w:sz w:val="20"/>
                <w:szCs w:val="20"/>
                <w:color w:val="auto"/>
              </w:rPr>
              <w:t>other purpose.</w:t>
            </w:r>
          </w:p>
        </w:tc>
      </w:tr>
      <w:tr>
        <w:trPr>
          <w:trHeight w:val="384"/>
        </w:trPr>
        <w:tc>
          <w:tcPr>
            <w:tcW w:w="3000" w:type="dxa"/>
            <w:vAlign w:val="bottom"/>
          </w:tcPr>
          <w:p>
            <w:pPr>
              <w:ind w:left="1500"/>
              <w:spacing w:after="0"/>
              <w:rPr>
                <w:sz w:val="20"/>
                <w:szCs w:val="20"/>
                <w:color w:val="auto"/>
              </w:rPr>
            </w:pPr>
            <w:r>
              <w:rPr>
                <w:rFonts w:ascii="Arial" w:cs="Arial" w:eastAsia="Arial" w:hAnsi="Arial"/>
                <w:sz w:val="20"/>
                <w:szCs w:val="20"/>
                <w:color w:val="010000"/>
              </w:rPr>
              <w:t>(f)</w:t>
            </w:r>
          </w:p>
        </w:tc>
        <w:tc>
          <w:tcPr>
            <w:tcW w:w="8240" w:type="dxa"/>
            <w:vAlign w:val="bottom"/>
            <w:gridSpan w:val="3"/>
          </w:tcPr>
          <w:p>
            <w:pPr>
              <w:spacing w:after="0"/>
              <w:rPr>
                <w:sz w:val="20"/>
                <w:szCs w:val="20"/>
                <w:color w:val="auto"/>
              </w:rPr>
            </w:pPr>
            <w:r>
              <w:rPr>
                <w:rFonts w:ascii="Arial" w:cs="Arial" w:eastAsia="Arial" w:hAnsi="Arial"/>
                <w:sz w:val="20"/>
                <w:szCs w:val="20"/>
                <w:color w:val="auto"/>
                <w:w w:val="92"/>
              </w:rPr>
              <w:t>Counterparts.  This Agreement may be signed in any number of counterparts, each of which shall be</w:t>
            </w:r>
          </w:p>
        </w:tc>
      </w:tr>
      <w:tr>
        <w:trPr>
          <w:trHeight w:val="20"/>
        </w:trPr>
        <w:tc>
          <w:tcPr>
            <w:tcW w:w="3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bl>
    <w:p>
      <w:pPr>
        <w:jc w:val="both"/>
        <w:spacing w:after="0" w:line="255" w:lineRule="auto"/>
        <w:rPr>
          <w:sz w:val="20"/>
          <w:szCs w:val="20"/>
          <w:color w:val="auto"/>
        </w:rPr>
      </w:pPr>
      <w:r>
        <w:rPr>
          <w:rFonts w:ascii="Arial" w:cs="Arial" w:eastAsia="Arial" w:hAnsi="Arial"/>
          <w:sz w:val="18"/>
          <w:szCs w:val="18"/>
          <w:color w:val="auto"/>
        </w:rPr>
        <w:t>deemed an original and all of which when taken together shall constitute one and the same instrument. Delivery of an executed counterpart of this Agreement by facsimile or by electronic mail delivery of an electronic version (e.g., .pdf or .tif file) of an executed signature page shall be effective as delivery of an original executed counterpart hereof and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Arial" w:cs="Arial" w:eastAsia="Arial" w:hAnsi="Arial"/>
          <w:sz w:val="18"/>
          <w:szCs w:val="18"/>
          <w:b w:val="1"/>
          <w:bCs w:val="1"/>
          <w:color w:val="auto"/>
        </w:rPr>
        <w:t>Electronic</w:t>
      </w:r>
      <w:r>
        <w:rPr>
          <w:rFonts w:ascii="Arial" w:cs="Arial" w:eastAsia="Arial" w:hAnsi="Arial"/>
          <w:sz w:val="18"/>
          <w:szCs w:val="18"/>
          <w:color w:val="auto"/>
        </w:rPr>
        <w:t xml:space="preserve"> </w:t>
      </w:r>
      <w:r>
        <w:rPr>
          <w:rFonts w:ascii="Arial" w:cs="Arial" w:eastAsia="Arial" w:hAnsi="Arial"/>
          <w:sz w:val="18"/>
          <w:szCs w:val="18"/>
          <w:b w:val="1"/>
          <w:bCs w:val="1"/>
          <w:color w:val="auto"/>
        </w:rPr>
        <w:t>Signature</w:t>
      </w:r>
      <w:r>
        <w:rPr>
          <w:rFonts w:ascii="Arial" w:cs="Arial" w:eastAsia="Arial" w:hAnsi="Arial"/>
          <w:sz w:val="18"/>
          <w:szCs w:val="18"/>
          <w:color w:val="auto"/>
        </w:rPr>
        <w:t>” means an electronic sound, symbol, or process attached to, or associated with, a contract or other record and adopted by a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intent to sign, authenticate or accept such contract or other record.</w:t>
      </w:r>
    </w:p>
    <w:p>
      <w:pPr>
        <w:spacing w:after="0" w:line="170" w:lineRule="exact"/>
        <w:rPr>
          <w:sz w:val="20"/>
          <w:szCs w:val="20"/>
          <w:color w:val="auto"/>
        </w:rPr>
      </w:pPr>
    </w:p>
    <w:p>
      <w:pPr>
        <w:ind w:firstLine="1505"/>
        <w:spacing w:after="0" w:line="300" w:lineRule="auto"/>
        <w:tabs>
          <w:tab w:leader="none" w:pos="2995" w:val="left"/>
        </w:tabs>
        <w:numPr>
          <w:ilvl w:val="0"/>
          <w:numId w:val="66"/>
        </w:numPr>
        <w:rPr>
          <w:rFonts w:ascii="Arial" w:cs="Arial" w:eastAsia="Arial" w:hAnsi="Arial"/>
          <w:sz w:val="18"/>
          <w:szCs w:val="18"/>
          <w:color w:val="010000"/>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and understanding among the parties hereto and supersedes any and all prior agreements and understandings, oral or written, relating to the subject matter hereof.</w:t>
      </w:r>
    </w:p>
    <w:p>
      <w:pPr>
        <w:spacing w:after="0" w:line="130" w:lineRule="exact"/>
        <w:rPr>
          <w:rFonts w:ascii="Arial" w:cs="Arial" w:eastAsia="Arial" w:hAnsi="Arial"/>
          <w:sz w:val="18"/>
          <w:szCs w:val="18"/>
          <w:color w:val="010000"/>
        </w:rPr>
      </w:pPr>
    </w:p>
    <w:p>
      <w:pPr>
        <w:jc w:val="both"/>
        <w:ind w:firstLine="1505"/>
        <w:spacing w:after="0" w:line="237" w:lineRule="auto"/>
        <w:tabs>
          <w:tab w:leader="none" w:pos="2995" w:val="left"/>
        </w:tabs>
        <w:numPr>
          <w:ilvl w:val="0"/>
          <w:numId w:val="66"/>
        </w:numPr>
        <w:rPr>
          <w:rFonts w:ascii="Arial" w:cs="Arial" w:eastAsia="Arial" w:hAnsi="Arial"/>
          <w:sz w:val="20"/>
          <w:szCs w:val="20"/>
          <w:color w:val="010000"/>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83" w:lineRule="exact"/>
        <w:rPr>
          <w:sz w:val="20"/>
          <w:szCs w:val="20"/>
          <w:color w:val="auto"/>
        </w:rPr>
      </w:pPr>
    </w:p>
    <w:p>
      <w:pPr>
        <w:ind w:firstLine="1497"/>
        <w:spacing w:after="0" w:line="272" w:lineRule="auto"/>
        <w:rPr>
          <w:sz w:val="20"/>
          <w:szCs w:val="20"/>
          <w:color w:val="auto"/>
        </w:rPr>
      </w:pPr>
      <w:r>
        <w:rPr>
          <w:rFonts w:ascii="Arial" w:cs="Arial" w:eastAsia="Arial" w:hAnsi="Arial"/>
          <w:sz w:val="19"/>
          <w:szCs w:val="19"/>
          <w:color w:val="010000"/>
        </w:rPr>
        <w:t xml:space="preserve">(i) </w:t>
      </w:r>
      <w:r>
        <w:rPr>
          <w:rFonts w:ascii="Arial" w:cs="Arial" w:eastAsia="Arial" w:hAnsi="Arial"/>
          <w:sz w:val="19"/>
          <w:szCs w:val="19"/>
          <w:u w:val="single" w:color="auto"/>
          <w:color w:val="000000"/>
        </w:rPr>
        <w:t>Successors/Assigns</w:t>
      </w:r>
      <w:r>
        <w:rPr>
          <w:rFonts w:ascii="Arial" w:cs="Arial" w:eastAsia="Arial" w:hAnsi="Arial"/>
          <w:sz w:val="19"/>
          <w:szCs w:val="19"/>
          <w:color w:val="000000"/>
        </w:rPr>
        <w:t>. This Agreement shall bind, and the rights hereunder shall inure to, the respective</w:t>
      </w:r>
      <w:r>
        <w:rPr>
          <w:rFonts w:ascii="Arial" w:cs="Arial" w:eastAsia="Arial" w:hAnsi="Arial"/>
          <w:sz w:val="19"/>
          <w:szCs w:val="19"/>
          <w:color w:val="010000"/>
        </w:rPr>
        <w:t xml:space="preserve"> </w:t>
      </w:r>
      <w:r>
        <w:rPr>
          <w:rFonts w:ascii="Arial" w:cs="Arial" w:eastAsia="Arial" w:hAnsi="Arial"/>
          <w:sz w:val="19"/>
          <w:szCs w:val="19"/>
          <w:color w:val="000000"/>
        </w:rPr>
        <w:t>successors and assigns of the parties hereto, subject to the provisions of the Credit Agreement and the other Financing Documents.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(Revolving Loan)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jc w:val="right"/>
        <w:ind w:right="2339"/>
        <w:spacing w:after="0"/>
        <w:rPr>
          <w:sz w:val="20"/>
          <w:szCs w:val="20"/>
          <w:color w:val="auto"/>
        </w:rPr>
      </w:pPr>
      <w:r>
        <w:rPr>
          <w:rFonts w:ascii="Arial" w:cs="Arial" w:eastAsia="Arial" w:hAnsi="Arial"/>
          <w:sz w:val="20"/>
          <w:szCs w:val="20"/>
          <w:color w:val="auto"/>
        </w:rPr>
        <w:t>[SIGNATURES APPEAR ON FOLLOWING PAGES]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(Revolving Loan)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1" w:name="page152"/>
    <w:bookmarkEnd w:id="151"/>
    <w:p>
      <w:pPr>
        <w:ind w:firstLine="749"/>
        <w:spacing w:after="0" w:line="247" w:lineRule="auto"/>
        <w:rPr>
          <w:sz w:val="20"/>
          <w:szCs w:val="20"/>
          <w:color w:val="auto"/>
        </w:rPr>
      </w:pPr>
      <w:r>
        <w:rPr>
          <w:rFonts w:ascii="Arial" w:cs="Arial" w:eastAsia="Arial" w:hAnsi="Arial"/>
          <w:sz w:val="20"/>
          <w:szCs w:val="20"/>
          <w:color w:val="auto"/>
        </w:rPr>
        <w:t>IN WITNESS WHEREOF, intending to be legally bound, the undersigned have executed this Agreement as of the day and year first hereinabove set forth.</w:t>
      </w:r>
    </w:p>
    <w:p>
      <w:pPr>
        <w:spacing w:after="0" w:line="386" w:lineRule="exact"/>
        <w:rPr>
          <w:sz w:val="20"/>
          <w:szCs w:val="20"/>
          <w:color w:val="auto"/>
        </w:rPr>
      </w:pPr>
    </w:p>
    <w:p>
      <w:pPr>
        <w:ind w:left="20"/>
        <w:spacing w:after="0"/>
        <w:tabs>
          <w:tab w:leader="none" w:pos="4700" w:val="left"/>
        </w:tabs>
        <w:rPr>
          <w:sz w:val="20"/>
          <w:szCs w:val="20"/>
          <w:color w:val="auto"/>
        </w:rPr>
      </w:pPr>
      <w:r>
        <w:rPr>
          <w:rFonts w:ascii="Arial" w:cs="Arial" w:eastAsia="Arial" w:hAnsi="Arial"/>
          <w:sz w:val="20"/>
          <w:szCs w:val="20"/>
          <w:b w:val="1"/>
          <w:bCs w:val="1"/>
          <w:color w:val="auto"/>
        </w:rPr>
        <w:t>AGENT:</w:t>
      </w:r>
      <w:r>
        <w:rPr>
          <w:sz w:val="20"/>
          <w:szCs w:val="20"/>
          <w:color w:val="auto"/>
        </w:rPr>
        <w:tab/>
      </w:r>
      <w:r>
        <w:rPr>
          <w:rFonts w:ascii="Arial" w:cs="Arial" w:eastAsia="Arial" w:hAnsi="Arial"/>
          <w:sz w:val="20"/>
          <w:szCs w:val="20"/>
          <w:b w:val="1"/>
          <w:bCs w:val="1"/>
          <w:color w:val="auto"/>
        </w:rPr>
        <w:t>MIDCAP FUNDING IV TRUST</w:t>
      </w:r>
    </w:p>
    <w:p>
      <w:pPr>
        <w:spacing w:after="0" w:line="170"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L.P.,</w:t>
      </w:r>
    </w:p>
    <w:p>
      <w:pPr>
        <w:ind w:left="5200"/>
        <w:spacing w:after="0"/>
        <w:rPr>
          <w:sz w:val="20"/>
          <w:szCs w:val="20"/>
          <w:color w:val="auto"/>
        </w:rPr>
      </w:pPr>
      <w:r>
        <w:rPr>
          <w:rFonts w:ascii="Arial" w:cs="Arial" w:eastAsia="Arial" w:hAnsi="Arial"/>
          <w:sz w:val="20"/>
          <w:szCs w:val="20"/>
          <w:color w:val="auto"/>
        </w:rPr>
        <w:t>its investment manager</w:t>
      </w:r>
    </w:p>
    <w:p>
      <w:pPr>
        <w:spacing w:after="0" w:line="14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GP, LLC,</w:t>
      </w:r>
    </w:p>
    <w:p>
      <w:pPr>
        <w:ind w:left="5200"/>
        <w:spacing w:after="0"/>
        <w:rPr>
          <w:sz w:val="20"/>
          <w:szCs w:val="20"/>
          <w:color w:val="auto"/>
        </w:rPr>
      </w:pPr>
      <w:r>
        <w:rPr>
          <w:rFonts w:ascii="Arial" w:cs="Arial" w:eastAsia="Arial" w:hAnsi="Arial"/>
          <w:sz w:val="20"/>
          <w:szCs w:val="20"/>
          <w:color w:val="auto"/>
        </w:rPr>
        <w:t>its general partner</w:t>
      </w:r>
    </w:p>
    <w:p>
      <w:pPr>
        <w:spacing w:after="0" w:line="35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_/s/ Maurice Amsellem___________</w:t>
      </w:r>
    </w:p>
    <w:p>
      <w:pPr>
        <w:ind w:left="4760"/>
        <w:spacing w:after="0" w:line="211" w:lineRule="auto"/>
        <w:rPr>
          <w:sz w:val="20"/>
          <w:szCs w:val="20"/>
          <w:color w:val="auto"/>
        </w:rPr>
      </w:pPr>
      <w:r>
        <w:rPr>
          <w:rFonts w:ascii="Arial" w:cs="Arial" w:eastAsia="Arial" w:hAnsi="Arial"/>
          <w:sz w:val="20"/>
          <w:szCs w:val="20"/>
          <w:color w:val="auto"/>
        </w:rPr>
        <w:t>Name: Maurice Amsellem</w:t>
      </w:r>
    </w:p>
    <w:p>
      <w:pPr>
        <w:ind w:left="476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(Revolving Loan)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ind w:left="20"/>
        <w:spacing w:after="0"/>
        <w:tabs>
          <w:tab w:leader="none" w:pos="470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MIDCAP FUNDING IV TRUST</w:t>
      </w:r>
    </w:p>
    <w:p>
      <w:pPr>
        <w:spacing w:after="0" w:line="16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L.P.,</w:t>
      </w:r>
    </w:p>
    <w:p>
      <w:pPr>
        <w:ind w:left="5200"/>
        <w:spacing w:after="0"/>
        <w:rPr>
          <w:sz w:val="20"/>
          <w:szCs w:val="20"/>
          <w:color w:val="auto"/>
        </w:rPr>
      </w:pPr>
      <w:r>
        <w:rPr>
          <w:rFonts w:ascii="Arial" w:cs="Arial" w:eastAsia="Arial" w:hAnsi="Arial"/>
          <w:sz w:val="20"/>
          <w:szCs w:val="20"/>
          <w:color w:val="auto"/>
        </w:rPr>
        <w:t>its investment manager</w:t>
      </w:r>
    </w:p>
    <w:p>
      <w:pPr>
        <w:spacing w:after="0" w:line="14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GP, LLC,</w:t>
      </w:r>
    </w:p>
    <w:p>
      <w:pPr>
        <w:ind w:left="5200"/>
        <w:spacing w:after="0"/>
        <w:rPr>
          <w:sz w:val="20"/>
          <w:szCs w:val="20"/>
          <w:color w:val="auto"/>
        </w:rPr>
      </w:pPr>
      <w:r>
        <w:rPr>
          <w:rFonts w:ascii="Arial" w:cs="Arial" w:eastAsia="Arial" w:hAnsi="Arial"/>
          <w:sz w:val="20"/>
          <w:szCs w:val="20"/>
          <w:color w:val="auto"/>
        </w:rPr>
        <w:t>its general partner</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_/s/ Maurice Amsellem___________</w:t>
      </w:r>
    </w:p>
    <w:p>
      <w:pPr>
        <w:ind w:left="4760"/>
        <w:spacing w:after="0" w:line="223" w:lineRule="auto"/>
        <w:rPr>
          <w:sz w:val="20"/>
          <w:szCs w:val="20"/>
          <w:color w:val="auto"/>
        </w:rPr>
      </w:pPr>
      <w:r>
        <w:rPr>
          <w:rFonts w:ascii="Arial" w:cs="Arial" w:eastAsia="Arial" w:hAnsi="Arial"/>
          <w:sz w:val="20"/>
          <w:szCs w:val="20"/>
          <w:color w:val="auto"/>
        </w:rPr>
        <w:t>Name: Maurice Amsellem</w:t>
      </w:r>
    </w:p>
    <w:p>
      <w:pPr>
        <w:ind w:left="476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(Revolving Loan)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53" w:name="page154"/>
    <w:bookmarkEnd w:id="153"/>
    <w:p>
      <w:pPr>
        <w:spacing w:after="0"/>
        <w:rPr>
          <w:sz w:val="20"/>
          <w:szCs w:val="20"/>
          <w:color w:val="auto"/>
        </w:rPr>
      </w:pPr>
      <w:r>
        <w:rPr>
          <w:rFonts w:ascii="Arial" w:cs="Arial" w:eastAsia="Arial" w:hAnsi="Arial"/>
          <w:sz w:val="20"/>
          <w:szCs w:val="20"/>
          <w:color w:val="auto"/>
        </w:rPr>
        <w:t>3</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MidCap / Sight Sciences / Second Amendment to A&amp;R Credit Agreement (Revolving Loan)</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68" w:right="1440" w:bottom="1440" w:gutter="0" w:footer="0" w:header="0"/>
        </w:sectPr>
      </w:pPr>
    </w:p>
    <w:bookmarkStart w:id="154" w:name="page155"/>
    <w:bookmarkEnd w:id="154"/>
    <w:p>
      <w:pPr>
        <w:spacing w:after="0"/>
        <w:tabs>
          <w:tab w:leader="none" w:pos="3160" w:val="left"/>
        </w:tabs>
        <w:rPr>
          <w:sz w:val="20"/>
          <w:szCs w:val="20"/>
          <w:color w:val="auto"/>
        </w:rPr>
      </w:pPr>
      <w:r>
        <w:rPr>
          <w:rFonts w:ascii="Arial" w:cs="Arial" w:eastAsia="Arial" w:hAnsi="Arial"/>
          <w:sz w:val="20"/>
          <w:szCs w:val="20"/>
          <w:b w:val="1"/>
          <w:bCs w:val="1"/>
          <w:color w:val="auto"/>
        </w:rPr>
        <w:t>BORROWER:</w:t>
      </w:r>
      <w:r>
        <w:rPr>
          <w:sz w:val="20"/>
          <w:szCs w:val="20"/>
          <w:color w:val="auto"/>
        </w:rPr>
        <w:tab/>
      </w:r>
      <w:r>
        <w:rPr>
          <w:rFonts w:ascii="Arial" w:cs="Arial" w:eastAsia="Arial" w:hAnsi="Arial"/>
          <w:sz w:val="20"/>
          <w:szCs w:val="20"/>
          <w:b w:val="1"/>
          <w:bCs w:val="1"/>
          <w:color w:val="auto"/>
        </w:rPr>
        <w:t>SIGHT SCIENCES, INC.</w:t>
      </w: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 _/s/ Jesse Selnick___________________</w:t>
      </w:r>
    </w:p>
    <w:p>
      <w:pPr>
        <w:spacing w:after="0" w:line="48"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Name: _Jesse Selnick___________________</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_Chief Financial Officer____________</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(Revolving Loan)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20"/>
          <w:szCs w:val="20"/>
          <w:b w:val="1"/>
          <w:bCs w:val="1"/>
          <w:u w:val="single" w:color="auto"/>
          <w:color w:val="auto"/>
        </w:rPr>
        <w:t>ANNEX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 to Credit Agreement (Form of Compliance Certificate)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COMPLIANCE CERTIFICATE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This Compliance Certificate is given by _____________________, a Responsible Officer of Sight Sciences, Inc., a Delaware</w:t>
      </w:r>
    </w:p>
    <w:p>
      <w:pPr>
        <w:spacing w:after="0" w:line="1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corporation (the “</w:t>
      </w:r>
      <w:r>
        <w:rPr>
          <w:rFonts w:ascii="Arial" w:cs="Arial" w:eastAsia="Arial" w:hAnsi="Arial"/>
          <w:sz w:val="20"/>
          <w:szCs w:val="20"/>
          <w:b w:val="1"/>
          <w:bCs w:val="1"/>
          <w:color w:val="auto"/>
        </w:rPr>
        <w:t>Borrower Representative</w:t>
      </w:r>
      <w:r>
        <w:rPr>
          <w:rFonts w:ascii="Arial" w:cs="Arial" w:eastAsia="Arial" w:hAnsi="Arial"/>
          <w:sz w:val="20"/>
          <w:szCs w:val="20"/>
          <w:color w:val="auto"/>
        </w:rPr>
        <w:t>”), pursuant to that certain Amended and Restated Credit and Security Agreement (Revolving Loan), dated as of November 23, 2020 among the Borrower Representative and any additional Borrower that may hereafter be added thereto (collectively, “</w:t>
      </w:r>
      <w:r>
        <w:rPr>
          <w:rFonts w:ascii="Arial" w:cs="Arial" w:eastAsia="Arial" w:hAnsi="Arial"/>
          <w:sz w:val="20"/>
          <w:szCs w:val="20"/>
          <w:b w:val="1"/>
          <w:bCs w:val="1"/>
          <w:color w:val="auto"/>
        </w:rPr>
        <w:t>Borrowers</w:t>
      </w:r>
      <w:r>
        <w:rPr>
          <w:rFonts w:ascii="Arial" w:cs="Arial" w:eastAsia="Arial" w:hAnsi="Arial"/>
          <w:sz w:val="20"/>
          <w:szCs w:val="20"/>
          <w:color w:val="auto"/>
        </w:rPr>
        <w:t>”), MidCap Funding IV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Capitalized terms used herein without definition shall have the meanings set forth in the Credit Agreement.</w:t>
      </w:r>
    </w:p>
    <w:p>
      <w:pPr>
        <w:spacing w:after="0" w:line="18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The undersigned Responsible Officer hereby certifies, solely in his/her capacity as a Responsible Officer of the Borrower Representative and not in any individual capacity, to Agent and Lenders that:</w:t>
      </w:r>
    </w:p>
    <w:p>
      <w:pPr>
        <w:spacing w:after="0" w:line="177" w:lineRule="exact"/>
        <w:rPr>
          <w:sz w:val="20"/>
          <w:szCs w:val="20"/>
          <w:color w:val="auto"/>
        </w:rPr>
      </w:pPr>
    </w:p>
    <w:p>
      <w:pPr>
        <w:jc w:val="both"/>
        <w:ind w:firstLine="757"/>
        <w:spacing w:after="0" w:line="237" w:lineRule="auto"/>
        <w:tabs>
          <w:tab w:leader="none" w:pos="1145"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financial statements delivered with this certificate in accordance with Section 4.1 of the Credit Agreement fairly present in all material respects the results of operations and financial condition of Borrowers and their Consolidated Subsidiaries as of the dates and the accounting period covered by such financial statements;]</w:t>
      </w:r>
    </w:p>
    <w:p>
      <w:pPr>
        <w:spacing w:after="0" w:line="182" w:lineRule="exact"/>
        <w:rPr>
          <w:rFonts w:ascii="Arial" w:cs="Arial" w:eastAsia="Arial" w:hAnsi="Arial"/>
          <w:sz w:val="20"/>
          <w:szCs w:val="20"/>
          <w:color w:val="auto"/>
        </w:rPr>
      </w:pPr>
    </w:p>
    <w:p>
      <w:pPr>
        <w:ind w:left="1160" w:hanging="403"/>
        <w:spacing w:after="0"/>
        <w:tabs>
          <w:tab w:leader="none" w:pos="11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auto"/>
        </w:rPr>
      </w:pPr>
    </w:p>
    <w:p>
      <w:pPr>
        <w:jc w:val="both"/>
        <w:ind w:firstLine="757"/>
        <w:spacing w:after="0" w:line="244" w:lineRule="auto"/>
        <w:tabs>
          <w:tab w:leader="none" w:pos="1145"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I have reviewed the terms of the Credit Agreement and have made, or caused to be made under my supervision, a review in reasonable detail of the transactions and conditions of Borrowers and their Consolidated Subsidiaries during the accounting period covered by such financial statements, and such review has not disclosed the existence during or at the end of such accounting period, and I have no knowledge of the existence as of the date hereof, of any condition or event that constitutes a Default or an Event of Default, except as set forth in </w:t>
      </w:r>
      <w:r>
        <w:rPr>
          <w:rFonts w:ascii="Arial" w:cs="Arial" w:eastAsia="Arial" w:hAnsi="Arial"/>
          <w:sz w:val="19"/>
          <w:szCs w:val="19"/>
          <w:b w:val="1"/>
          <w:bCs w:val="1"/>
          <w:u w:val="single" w:color="auto"/>
          <w:color w:val="auto"/>
        </w:rPr>
        <w:t>Schedule 1</w:t>
      </w:r>
      <w:r>
        <w:rPr>
          <w:rFonts w:ascii="Arial" w:cs="Arial" w:eastAsia="Arial" w:hAnsi="Arial"/>
          <w:sz w:val="19"/>
          <w:szCs w:val="19"/>
          <w:color w:val="auto"/>
        </w:rPr>
        <w:t xml:space="preserve"> hereto, which includes a description of the nature and period of existence of such Default or an Event of Default and what action Borrowers have taken, are undertaking and propose to take with respect thereto;</w:t>
      </w:r>
    </w:p>
    <w:p>
      <w:pPr>
        <w:spacing w:after="0" w:line="173" w:lineRule="exact"/>
        <w:rPr>
          <w:rFonts w:ascii="Arial" w:cs="Arial" w:eastAsia="Arial" w:hAnsi="Arial"/>
          <w:sz w:val="19"/>
          <w:szCs w:val="19"/>
          <w:color w:val="auto"/>
        </w:rPr>
      </w:pPr>
    </w:p>
    <w:p>
      <w:pPr>
        <w:jc w:val="both"/>
        <w:ind w:firstLine="757"/>
        <w:spacing w:after="0" w:line="279" w:lineRule="auto"/>
        <w:tabs>
          <w:tab w:leader="none" w:pos="11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attached hereto, </w:t>
      </w:r>
      <w:r>
        <w:rPr>
          <w:rFonts w:ascii="Arial" w:cs="Arial" w:eastAsia="Arial" w:hAnsi="Arial"/>
          <w:sz w:val="18"/>
          <w:szCs w:val="18"/>
          <w:u w:val="single" w:color="auto"/>
          <w:color w:val="auto"/>
        </w:rPr>
        <w:t>Schedule 9.2(b)</w:t>
      </w:r>
      <w:r>
        <w:rPr>
          <w:rFonts w:ascii="Arial" w:cs="Arial" w:eastAsia="Arial" w:hAnsi="Arial"/>
          <w:sz w:val="18"/>
          <w:szCs w:val="18"/>
          <w:color w:val="auto"/>
        </w:rPr>
        <w:t xml:space="preserve"> to the Credit Agreement contains a complete and accurate list of all business locations of Borrowers and Guarantors and all names under which Borrowers and Guarantors currently conduct business;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specifically notes any changes in the names under which any Borrower or Guarantors conduct business;</w:t>
      </w:r>
    </w:p>
    <w:p>
      <w:pPr>
        <w:spacing w:after="0" w:line="142" w:lineRule="exact"/>
        <w:rPr>
          <w:rFonts w:ascii="Arial" w:cs="Arial" w:eastAsia="Arial" w:hAnsi="Arial"/>
          <w:sz w:val="18"/>
          <w:szCs w:val="18"/>
          <w:color w:val="auto"/>
        </w:rPr>
      </w:pPr>
    </w:p>
    <w:p>
      <w:pPr>
        <w:jc w:val="both"/>
        <w:ind w:firstLine="757"/>
        <w:spacing w:after="0" w:line="235" w:lineRule="auto"/>
        <w:tabs>
          <w:tab w:leader="none" w:pos="1145" w:val="left"/>
        </w:tabs>
        <w:numPr>
          <w:ilvl w:val="0"/>
          <w:numId w:val="67"/>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b w:val="1"/>
          <w:bCs w:val="1"/>
          <w:u w:val="single" w:color="auto"/>
          <w:color w:val="auto"/>
        </w:rPr>
        <w:t>Schedule 3</w:t>
      </w:r>
      <w:r>
        <w:rPr>
          <w:rFonts w:ascii="Arial" w:cs="Arial" w:eastAsia="Arial" w:hAnsi="Arial"/>
          <w:sz w:val="20"/>
          <w:szCs w:val="20"/>
          <w:color w:val="auto"/>
        </w:rPr>
        <w:t xml:space="preserve"> attached hereto, the undersigned has no knowledge of (i) any federal or state tax liens (other than Permitted Liens) having been filed against any Borrower, Guarantor or any Collateral, or (ii) any failure of any Borrower or any Guarantors to make required payments of withholding or other tax obligations of any Borrower or any Guarantors during the accounting period to which the attached statements pertain or any subsequent period;</w:t>
      </w:r>
    </w:p>
    <w:p>
      <w:pPr>
        <w:spacing w:after="0" w:line="185" w:lineRule="exact"/>
        <w:rPr>
          <w:rFonts w:ascii="Arial" w:cs="Arial" w:eastAsia="Arial" w:hAnsi="Arial"/>
          <w:sz w:val="20"/>
          <w:szCs w:val="20"/>
          <w:color w:val="auto"/>
        </w:rPr>
      </w:pPr>
    </w:p>
    <w:p>
      <w:pPr>
        <w:ind w:firstLine="833"/>
        <w:spacing w:after="0" w:line="246" w:lineRule="auto"/>
        <w:tabs>
          <w:tab w:leader="none" w:pos="1199" w:val="left"/>
        </w:tabs>
        <w:numPr>
          <w:ilvl w:val="1"/>
          <w:numId w:val="67"/>
        </w:numPr>
        <w:rPr>
          <w:rFonts w:ascii="Arial" w:cs="Arial" w:eastAsia="Arial" w:hAnsi="Arial"/>
          <w:sz w:val="20"/>
          <w:szCs w:val="20"/>
          <w:color w:val="auto"/>
        </w:rPr>
      </w:pP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to the Credit Agreement contains a complete and accurate statement of all deposit accounts or investment accounts maintained by Borrowers and Guarantors;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(Revolving Loan)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6" w:name="page157"/>
    <w:bookmarkEnd w:id="156"/>
    <w:p>
      <w:pPr>
        <w:jc w:val="both"/>
        <w:ind w:firstLine="757"/>
        <w:spacing w:after="0" w:line="235" w:lineRule="auto"/>
        <w:tabs>
          <w:tab w:leader="none" w:pos="1145"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b w:val="1"/>
          <w:bCs w:val="1"/>
          <w:u w:val="single" w:color="auto"/>
          <w:color w:val="auto"/>
        </w:rPr>
        <w:t>Schedule 4</w:t>
      </w:r>
      <w:r>
        <w:rPr>
          <w:rFonts w:ascii="Arial" w:cs="Arial" w:eastAsia="Arial" w:hAnsi="Arial"/>
          <w:sz w:val="20"/>
          <w:szCs w:val="20"/>
          <w:color w:val="auto"/>
        </w:rPr>
        <w:t xml:space="preserve"> attached hereto and </w:t>
      </w:r>
      <w:r>
        <w:rPr>
          <w:rFonts w:ascii="Arial" w:cs="Arial" w:eastAsia="Arial" w:hAnsi="Arial"/>
          <w:sz w:val="20"/>
          <w:szCs w:val="20"/>
          <w:u w:val="single" w:color="auto"/>
          <w:color w:val="auto"/>
        </w:rPr>
        <w:t>Schedule 3.6</w:t>
      </w:r>
      <w:r>
        <w:rPr>
          <w:rFonts w:ascii="Arial" w:cs="Arial" w:eastAsia="Arial" w:hAnsi="Arial"/>
          <w:sz w:val="20"/>
          <w:szCs w:val="20"/>
          <w:color w:val="auto"/>
        </w:rPr>
        <w:t xml:space="preserve"> to the Credit Agreement, the undersigned has no knowledge of any current, pending or threatened: (i) litigation against the Borrowers or any Guarantors, (ii) inquiries, investigations or proceedings concerning the business affairs, practices, licensing or reimbursement entitlements of Borrowers or any Guarantors, or (iii) default by Borrowers or any Guarantors under any Material Contract to which it is a party;]</w:t>
      </w:r>
    </w:p>
    <w:p>
      <w:pPr>
        <w:spacing w:after="0" w:line="179" w:lineRule="exact"/>
        <w:rPr>
          <w:rFonts w:ascii="Arial" w:cs="Arial" w:eastAsia="Arial" w:hAnsi="Arial"/>
          <w:sz w:val="20"/>
          <w:szCs w:val="20"/>
          <w:color w:val="auto"/>
        </w:rPr>
      </w:pPr>
    </w:p>
    <w:p>
      <w:pPr>
        <w:jc w:val="both"/>
        <w:ind w:firstLine="757"/>
        <w:spacing w:after="0" w:line="264" w:lineRule="auto"/>
        <w:tabs>
          <w:tab w:leader="none" w:pos="11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b w:val="1"/>
          <w:bCs w:val="1"/>
          <w:u w:val="single" w:color="auto"/>
          <w:color w:val="auto"/>
        </w:rPr>
        <w:t>Schedule 5</w:t>
      </w:r>
      <w:r>
        <w:rPr>
          <w:rFonts w:ascii="Arial" w:cs="Arial" w:eastAsia="Arial" w:hAnsi="Arial"/>
          <w:sz w:val="18"/>
          <w:szCs w:val="18"/>
          <w:color w:val="auto"/>
        </w:rPr>
        <w:t xml:space="preserve"> attached hereto, no Borrower has acquired, by purchase, by the approval or granting of any application for registration (whether or not such application was previously disclosed to Agent by Borrowers) or otherwise, any Intellectual Property that is registered with any United States or foreign Governmental Authority, or has filed with any such United States or foreign Governmental Authority, any new application for the registration of any Intellectual Property, that has not previously been reported to Agent on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to the Credit Agreement or any </w:t>
      </w:r>
      <w:r>
        <w:rPr>
          <w:rFonts w:ascii="Arial" w:cs="Arial" w:eastAsia="Arial" w:hAnsi="Arial"/>
          <w:sz w:val="18"/>
          <w:szCs w:val="18"/>
          <w:b w:val="1"/>
          <w:bCs w:val="1"/>
          <w:u w:val="single" w:color="auto"/>
          <w:color w:val="auto"/>
        </w:rPr>
        <w:t>Schedule 5</w:t>
      </w:r>
      <w:r>
        <w:rPr>
          <w:rFonts w:ascii="Arial" w:cs="Arial" w:eastAsia="Arial" w:hAnsi="Arial"/>
          <w:sz w:val="18"/>
          <w:szCs w:val="18"/>
          <w:color w:val="auto"/>
        </w:rPr>
        <w:t xml:space="preserve"> to any previous Compliance Certificate delivered by Borrower to Agent];</w:t>
      </w:r>
    </w:p>
    <w:p>
      <w:pPr>
        <w:spacing w:after="0" w:line="157" w:lineRule="exact"/>
        <w:rPr>
          <w:rFonts w:ascii="Arial" w:cs="Arial" w:eastAsia="Arial" w:hAnsi="Arial"/>
          <w:sz w:val="18"/>
          <w:szCs w:val="18"/>
          <w:color w:val="auto"/>
        </w:rPr>
      </w:pPr>
    </w:p>
    <w:p>
      <w:pPr>
        <w:jc w:val="both"/>
        <w:ind w:firstLine="757"/>
        <w:spacing w:after="0" w:line="247" w:lineRule="auto"/>
        <w:tabs>
          <w:tab w:leader="none" w:pos="1145"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[except as noted on </w:t>
      </w:r>
      <w:r>
        <w:rPr>
          <w:rFonts w:ascii="Arial" w:cs="Arial" w:eastAsia="Arial" w:hAnsi="Arial"/>
          <w:sz w:val="19"/>
          <w:szCs w:val="19"/>
          <w:b w:val="1"/>
          <w:bCs w:val="1"/>
          <w:u w:val="single" w:color="auto"/>
          <w:color w:val="auto"/>
        </w:rPr>
        <w:t>Schedule 5</w:t>
      </w:r>
      <w:r>
        <w:rPr>
          <w:rFonts w:ascii="Arial" w:cs="Arial" w:eastAsia="Arial" w:hAnsi="Arial"/>
          <w:sz w:val="19"/>
          <w:szCs w:val="19"/>
          <w:color w:val="auto"/>
        </w:rPr>
        <w:t xml:space="preserve"> attached hereto, no entered into or become bound by any additional in-bound license or sublicense agreement that is material to Borrower’s business or any additional exclusive out-bound license or sublicense agreement (excluding agreements for in-bound licenses for (a) off-the-shelf software or services that are commercially available to the public, and (b) open source software), that has not previously been reported to Agent on </w:t>
      </w:r>
      <w:r>
        <w:rPr>
          <w:rFonts w:ascii="Arial" w:cs="Arial" w:eastAsia="Arial" w:hAnsi="Arial"/>
          <w:sz w:val="19"/>
          <w:szCs w:val="19"/>
          <w:u w:val="single" w:color="auto"/>
          <w:color w:val="auto"/>
        </w:rPr>
        <w:t>Schedule 3.19</w:t>
      </w:r>
      <w:r>
        <w:rPr>
          <w:rFonts w:ascii="Arial" w:cs="Arial" w:eastAsia="Arial" w:hAnsi="Arial"/>
          <w:sz w:val="19"/>
          <w:szCs w:val="19"/>
          <w:color w:val="auto"/>
        </w:rPr>
        <w:t xml:space="preserve"> to the Credit Agreement or any </w:t>
      </w:r>
      <w:r>
        <w:rPr>
          <w:rFonts w:ascii="Arial" w:cs="Arial" w:eastAsia="Arial" w:hAnsi="Arial"/>
          <w:sz w:val="19"/>
          <w:szCs w:val="19"/>
          <w:b w:val="1"/>
          <w:bCs w:val="1"/>
          <w:u w:val="single" w:color="auto"/>
          <w:color w:val="auto"/>
        </w:rPr>
        <w:t>Schedule 5</w:t>
      </w:r>
      <w:r>
        <w:rPr>
          <w:rFonts w:ascii="Arial" w:cs="Arial" w:eastAsia="Arial" w:hAnsi="Arial"/>
          <w:sz w:val="19"/>
          <w:szCs w:val="19"/>
          <w:color w:val="auto"/>
        </w:rPr>
        <w:t xml:space="preserve"> to any previous Compliance Certificate delivered by Borrower to Agent] ;</w:t>
      </w:r>
    </w:p>
    <w:p>
      <w:pPr>
        <w:spacing w:after="0" w:line="171" w:lineRule="exact"/>
        <w:rPr>
          <w:rFonts w:ascii="Arial" w:cs="Arial" w:eastAsia="Arial" w:hAnsi="Arial"/>
          <w:sz w:val="19"/>
          <w:szCs w:val="19"/>
          <w:color w:val="auto"/>
        </w:rPr>
      </w:pPr>
    </w:p>
    <w:p>
      <w:pPr>
        <w:jc w:val="both"/>
        <w:ind w:firstLine="757"/>
        <w:spacing w:after="0" w:line="258" w:lineRule="auto"/>
        <w:tabs>
          <w:tab w:leader="none" w:pos="1145"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except as noted on </w:t>
      </w:r>
      <w:r>
        <w:rPr>
          <w:rFonts w:ascii="Arial" w:cs="Arial" w:eastAsia="Arial" w:hAnsi="Arial"/>
          <w:sz w:val="19"/>
          <w:szCs w:val="19"/>
          <w:b w:val="1"/>
          <w:bCs w:val="1"/>
          <w:u w:val="single" w:color="auto"/>
          <w:color w:val="auto"/>
        </w:rPr>
        <w:t>Schedule 6</w:t>
      </w:r>
      <w:r>
        <w:rPr>
          <w:rFonts w:ascii="Arial" w:cs="Arial" w:eastAsia="Arial" w:hAnsi="Arial"/>
          <w:sz w:val="19"/>
          <w:szCs w:val="19"/>
          <w:color w:val="auto"/>
        </w:rPr>
        <w:t xml:space="preserve"> attached hereto, no Borrower or Guarantor has acquired, by purchase or otherwise, any Chattel Paper, Letter of Credit Rights, Instruments, Documents or Investment Property that has not previously been reported to Agent on any </w:t>
      </w:r>
      <w:r>
        <w:rPr>
          <w:rFonts w:ascii="Arial" w:cs="Arial" w:eastAsia="Arial" w:hAnsi="Arial"/>
          <w:sz w:val="19"/>
          <w:szCs w:val="19"/>
          <w:b w:val="1"/>
          <w:bCs w:val="1"/>
          <w:u w:val="single" w:color="auto"/>
          <w:color w:val="auto"/>
        </w:rPr>
        <w:t>Schedule 6</w:t>
      </w:r>
      <w:r>
        <w:rPr>
          <w:rFonts w:ascii="Arial" w:cs="Arial" w:eastAsia="Arial" w:hAnsi="Arial"/>
          <w:sz w:val="19"/>
          <w:szCs w:val="19"/>
          <w:b w:val="1"/>
          <w:bCs w:val="1"/>
          <w:color w:val="auto"/>
        </w:rPr>
        <w:t xml:space="preserve"> </w:t>
      </w:r>
      <w:r>
        <w:rPr>
          <w:rFonts w:ascii="Arial" w:cs="Arial" w:eastAsia="Arial" w:hAnsi="Arial"/>
          <w:sz w:val="19"/>
          <w:szCs w:val="19"/>
          <w:color w:val="auto"/>
        </w:rPr>
        <w:t>to any previous Compliance Certificate delivered by Borrower Representative to Agent;</w:t>
      </w:r>
    </w:p>
    <w:p>
      <w:pPr>
        <w:spacing w:after="0" w:line="165" w:lineRule="exact"/>
        <w:rPr>
          <w:rFonts w:ascii="Arial" w:cs="Arial" w:eastAsia="Arial" w:hAnsi="Arial"/>
          <w:sz w:val="19"/>
          <w:szCs w:val="19"/>
          <w:color w:val="auto"/>
        </w:rPr>
      </w:pPr>
    </w:p>
    <w:p>
      <w:pPr>
        <w:jc w:val="both"/>
        <w:ind w:firstLine="757"/>
        <w:spacing w:after="0" w:line="237" w:lineRule="auto"/>
        <w:tabs>
          <w:tab w:leader="none" w:pos="1145"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u w:val="single" w:color="auto"/>
          <w:color w:val="auto"/>
        </w:rPr>
        <w:t>Schedule 7</w:t>
      </w:r>
      <w:r>
        <w:rPr>
          <w:rFonts w:ascii="Arial" w:cs="Arial" w:eastAsia="Arial" w:hAnsi="Arial"/>
          <w:sz w:val="20"/>
          <w:szCs w:val="20"/>
          <w:color w:val="auto"/>
        </w:rPr>
        <w:t xml:space="preserve"> attached hereto, no Borrower or Guarantor is aware of any commercial tort claim that has not previously been reported to Agent on any </w:t>
      </w:r>
      <w:r>
        <w:rPr>
          <w:rFonts w:ascii="Arial" w:cs="Arial" w:eastAsia="Arial" w:hAnsi="Arial"/>
          <w:sz w:val="20"/>
          <w:szCs w:val="20"/>
          <w:u w:val="single" w:color="auto"/>
          <w:color w:val="auto"/>
        </w:rPr>
        <w:t>Schedule 7</w:t>
      </w:r>
      <w:r>
        <w:rPr>
          <w:rFonts w:ascii="Arial" w:cs="Arial" w:eastAsia="Arial" w:hAnsi="Arial"/>
          <w:sz w:val="20"/>
          <w:szCs w:val="20"/>
          <w:color w:val="auto"/>
        </w:rPr>
        <w:t xml:space="preserve"> to any previous Compliance Certificate delivered by Borrower Representative to Agent; and</w:t>
      </w:r>
    </w:p>
    <w:p>
      <w:pPr>
        <w:spacing w:after="0" w:line="182" w:lineRule="exact"/>
        <w:rPr>
          <w:rFonts w:ascii="Arial" w:cs="Arial" w:eastAsia="Arial" w:hAnsi="Arial"/>
          <w:sz w:val="20"/>
          <w:szCs w:val="20"/>
          <w:color w:val="auto"/>
        </w:rPr>
      </w:pPr>
    </w:p>
    <w:p>
      <w:pPr>
        <w:ind w:firstLine="757"/>
        <w:spacing w:after="0" w:line="246" w:lineRule="auto"/>
        <w:tabs>
          <w:tab w:leader="none" w:pos="1145" w:val="left"/>
        </w:tabs>
        <w:numPr>
          <w:ilvl w:val="0"/>
          <w:numId w:val="68"/>
        </w:numPr>
        <w:rPr>
          <w:rFonts w:ascii="Arial" w:cs="Arial" w:eastAsia="Arial" w:hAnsi="Arial"/>
          <w:sz w:val="20"/>
          <w:szCs w:val="20"/>
          <w:color w:val="auto"/>
        </w:rPr>
      </w:pPr>
      <w:r>
        <w:rPr>
          <w:rFonts w:ascii="Arial" w:cs="Arial" w:eastAsia="Arial" w:hAnsi="Arial"/>
          <w:sz w:val="20"/>
          <w:szCs w:val="20"/>
          <w:color w:val="auto"/>
        </w:rPr>
        <w:t>[ The aggregate amount of cash and cash equivalents held by Borrowers (on a consolidated basis) as of the date hereof is $[__________]];</w:t>
      </w:r>
    </w:p>
    <w:p>
      <w:pPr>
        <w:spacing w:after="0" w:line="176" w:lineRule="exact"/>
        <w:rPr>
          <w:rFonts w:ascii="Arial" w:cs="Arial" w:eastAsia="Arial" w:hAnsi="Arial"/>
          <w:sz w:val="20"/>
          <w:szCs w:val="20"/>
          <w:color w:val="auto"/>
        </w:rPr>
      </w:pPr>
    </w:p>
    <w:p>
      <w:pPr>
        <w:ind w:left="1160" w:hanging="403"/>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held by Excluded Subsidiaries as of the date hereof is $[__________]];</w:t>
      </w:r>
    </w:p>
    <w:p>
      <w:pPr>
        <w:spacing w:after="0" w:line="225" w:lineRule="exact"/>
        <w:rPr>
          <w:rFonts w:ascii="Arial" w:cs="Arial" w:eastAsia="Arial" w:hAnsi="Arial"/>
          <w:sz w:val="18"/>
          <w:szCs w:val="18"/>
          <w:color w:val="auto"/>
        </w:rPr>
      </w:pPr>
    </w:p>
    <w:p>
      <w:pPr>
        <w:ind w:left="1160" w:hanging="403"/>
        <w:spacing w:after="0"/>
        <w:tabs>
          <w:tab w:leader="none" w:pos="11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aggregate amount of Borrower Unrestricted Cash as of the date hereof is $[__________]]; and</w:t>
      </w:r>
    </w:p>
    <w:p>
      <w:pPr>
        <w:spacing w:after="0" w:line="202" w:lineRule="exact"/>
        <w:rPr>
          <w:sz w:val="20"/>
          <w:szCs w:val="20"/>
          <w:color w:val="auto"/>
        </w:rPr>
      </w:pPr>
    </w:p>
    <w:p>
      <w:pPr>
        <w:ind w:left="760"/>
        <w:spacing w:after="0"/>
        <w:tabs>
          <w:tab w:leader="none" w:pos="1140" w:val="left"/>
          <w:tab w:leader="none" w:pos="9700" w:val="left"/>
          <w:tab w:leader="none" w:pos="10000" w:val="left"/>
        </w:tabs>
        <w:rPr>
          <w:sz w:val="20"/>
          <w:szCs w:val="20"/>
          <w:color w:val="auto"/>
        </w:rPr>
      </w:pPr>
      <w:r>
        <w:rPr>
          <w:rFonts w:ascii="Arial" w:cs="Arial" w:eastAsia="Arial" w:hAnsi="Arial"/>
          <w:sz w:val="20"/>
          <w:szCs w:val="20"/>
          <w:color w:val="auto"/>
        </w:rPr>
        <w:t>(o)</w:t>
        <w:tab/>
        <w:t>[Net Revenue of Borrowers and Guarantors for the relevant Defined Period is equal to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Borrowers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-14605</wp:posOffset>
            </wp:positionV>
            <wp:extent cx="6635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7">
                      <a:extLst>
                        <a:ext uri="{28A0092B-C50C-407E-A947-70E740481C1C}"/>
                      </a:extLst>
                    </a:blip>
                    <a:srcRect/>
                    <a:stretch>
                      <a:fillRect/>
                    </a:stretch>
                  </pic:blipFill>
                  <pic:spPr bwMode="auto">
                    <a:xfrm>
                      <a:off x="0" y="0"/>
                      <a:ext cx="663575" cy="8890"/>
                    </a:xfrm>
                    <a:prstGeom prst="rect">
                      <a:avLst/>
                    </a:prstGeom>
                    <a:noFill/>
                  </pic:spPr>
                </pic:pic>
              </a:graphicData>
            </a:graphic>
          </wp:anchor>
        </w:drawing>
      </w:r>
    </w:p>
    <w:p>
      <w:pPr>
        <w:jc w:val="both"/>
        <w:spacing w:after="0" w:line="230" w:lineRule="auto"/>
        <w:rPr>
          <w:sz w:val="20"/>
          <w:szCs w:val="20"/>
          <w:color w:val="auto"/>
        </w:rPr>
      </w:pPr>
      <w:r>
        <w:rPr>
          <w:rFonts w:ascii="Arial" w:cs="Arial" w:eastAsia="Arial" w:hAnsi="Arial"/>
          <w:sz w:val="20"/>
          <w:szCs w:val="20"/>
          <w:color w:val="auto"/>
        </w:rPr>
        <w:t xml:space="preserve">Guarantor are </w:t>
      </w:r>
      <w:r>
        <w:rPr>
          <w:rFonts w:ascii="Arial" w:cs="Arial" w:eastAsia="Arial" w:hAnsi="Arial"/>
          <w:sz w:val="20"/>
          <w:szCs w:val="20"/>
          <w:b w:val="1"/>
          <w:bCs w:val="1"/>
          <w:color w:val="auto"/>
        </w:rPr>
        <w:t>[NOT</w:t>
      </w:r>
      <w:r>
        <w:rPr>
          <w:rFonts w:ascii="Arial" w:cs="Arial" w:eastAsia="Arial" w:hAnsi="Arial"/>
          <w:sz w:val="20"/>
          <w:szCs w:val="20"/>
          <w:color w:val="auto"/>
        </w:rPr>
        <w:t>] in compliance with the covenant contained in Article 6 of the Credit Agreement, and in any Guarantee constituting a part of the Financing Documents[, as demonstrated by the calculation of such covenants below, except as set forth below; in determining such compliance, the following calculations have been made: [See attached worksheets]. Such calculations and the certifications contained therein are true, correct and complete in all material respects].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foregoing certifications and computations are made as of ________________, 202__ (end of month) and as of _____________,</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202__.</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(Revolving Loan)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7" w:name="page158"/>
    <w:bookmarkEnd w:id="157"/>
    <w:p>
      <w:pPr>
        <w:ind w:left="5940"/>
        <w:spacing w:after="0"/>
        <w:rPr>
          <w:sz w:val="20"/>
          <w:szCs w:val="20"/>
          <w:color w:val="auto"/>
        </w:rPr>
      </w:pPr>
      <w:r>
        <w:rPr>
          <w:rFonts w:ascii="Arial" w:cs="Arial" w:eastAsia="Arial" w:hAnsi="Arial"/>
          <w:sz w:val="20"/>
          <w:szCs w:val="20"/>
          <w:color w:val="auto"/>
        </w:rPr>
        <w:t>Sincerely,</w:t>
      </w:r>
    </w:p>
    <w:p>
      <w:pPr>
        <w:spacing w:after="0" w:line="291" w:lineRule="exact"/>
        <w:rPr>
          <w:sz w:val="20"/>
          <w:szCs w:val="20"/>
          <w:color w:val="auto"/>
        </w:rPr>
      </w:pPr>
    </w:p>
    <w:p>
      <w:pPr>
        <w:ind w:left="5940"/>
        <w:spacing w:after="0"/>
        <w:rPr>
          <w:sz w:val="20"/>
          <w:szCs w:val="20"/>
          <w:color w:val="auto"/>
        </w:rPr>
      </w:pPr>
      <w:r>
        <w:rPr>
          <w:rFonts w:ascii="Arial" w:cs="Arial" w:eastAsia="Arial" w:hAnsi="Arial"/>
          <w:sz w:val="19"/>
          <w:szCs w:val="19"/>
          <w:b w:val="1"/>
          <w:bCs w:val="1"/>
          <w:color w:val="auto"/>
        </w:rPr>
        <w:t>SIGHT SCIENCES, INC.</w:t>
      </w:r>
    </w:p>
    <w:p>
      <w:pPr>
        <w:spacing w:after="0" w:line="303"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-7620</wp:posOffset>
            </wp:positionV>
            <wp:extent cx="32067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9">
                      <a:extLst>
                        <a:ext uri="{28A0092B-C50C-407E-A947-70E740481C1C}"/>
                      </a:extLst>
                    </a:blip>
                    <a:srcRect/>
                    <a:stretch>
                      <a:fillRect/>
                    </a:stretch>
                  </pic:blipFill>
                  <pic:spPr bwMode="auto">
                    <a:xfrm>
                      <a:off x="0" y="0"/>
                      <a:ext cx="320675" cy="8255"/>
                    </a:xfrm>
                    <a:prstGeom prst="rect">
                      <a:avLst/>
                    </a:prstGeom>
                    <a:noFill/>
                  </pic:spPr>
                </pic:pic>
              </a:graphicData>
            </a:graphic>
          </wp:anchor>
        </w:drawing>
      </w:r>
    </w:p>
    <w:p>
      <w:pPr>
        <w:ind w:left="5940"/>
        <w:spacing w:after="0" w:line="211"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-6985</wp:posOffset>
            </wp:positionV>
            <wp:extent cx="1676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0">
                      <a:extLst>
                        <a:ext uri="{28A0092B-C50C-407E-A947-70E740481C1C}"/>
                      </a:extLst>
                    </a:blip>
                    <a:srcRect/>
                    <a:stretch>
                      <a:fillRect/>
                    </a:stretch>
                  </pic:blipFill>
                  <pic:spPr bwMode="auto">
                    <a:xfrm>
                      <a:off x="0" y="0"/>
                      <a:ext cx="167640"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(Revolving Loan)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6" w:right="1440" w:bottom="1440" w:gutter="0" w:footer="0" w:header="0"/>
        </w:sectPr>
      </w:pPr>
    </w:p>
    <w:bookmarkStart w:id="158" w:name="page159"/>
    <w:bookmarkEnd w:id="158"/>
    <w:p>
      <w:pPr>
        <w:ind w:left="10220"/>
        <w:spacing w:after="0"/>
        <w:rPr>
          <w:sz w:val="20"/>
          <w:szCs w:val="20"/>
          <w:color w:val="auto"/>
        </w:rPr>
      </w:pPr>
      <w:r>
        <w:rPr>
          <w:rFonts w:ascii="Arial" w:cs="Arial" w:eastAsia="Arial" w:hAnsi="Arial"/>
          <w:sz w:val="16"/>
          <w:szCs w:val="16"/>
          <w:b w:val="1"/>
          <w:bCs w:val="1"/>
          <w:color w:val="auto"/>
        </w:rPr>
        <w:t>Exhibit 10.14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SECOND AMENDMENT TO AMENDED AND RESTATED CREDIT AND SECURITY AGREEMENT (TERM LOAN)</w:t>
      </w:r>
    </w:p>
    <w:p>
      <w:pPr>
        <w:spacing w:after="0" w:line="262" w:lineRule="exact"/>
        <w:rPr>
          <w:sz w:val="20"/>
          <w:szCs w:val="20"/>
          <w:color w:val="auto"/>
        </w:rPr>
      </w:pPr>
    </w:p>
    <w:p>
      <w:pPr>
        <w:jc w:val="both"/>
        <w:ind w:firstLine="396"/>
        <w:spacing w:after="0" w:line="232" w:lineRule="auto"/>
        <w:rPr>
          <w:sz w:val="20"/>
          <w:szCs w:val="20"/>
          <w:color w:val="auto"/>
        </w:rPr>
      </w:pPr>
      <w:r>
        <w:rPr>
          <w:rFonts w:ascii="Arial" w:cs="Arial" w:eastAsia="Arial" w:hAnsi="Arial"/>
          <w:sz w:val="20"/>
          <w:szCs w:val="20"/>
          <w:color w:val="auto"/>
        </w:rPr>
        <w:t>This SECOND AMENDMENT TO AMENDED AND RESTATED CREDIT AND SECURITY AGREEMENT (TERM LOAN) (this “</w:t>
      </w:r>
      <w:r>
        <w:rPr>
          <w:rFonts w:ascii="Arial" w:cs="Arial" w:eastAsia="Arial" w:hAnsi="Arial"/>
          <w:sz w:val="20"/>
          <w:szCs w:val="20"/>
          <w:b w:val="1"/>
          <w:bCs w:val="1"/>
          <w:color w:val="auto"/>
        </w:rPr>
        <w:t>Agreement</w:t>
      </w:r>
      <w:r>
        <w:rPr>
          <w:rFonts w:ascii="Arial" w:cs="Arial" w:eastAsia="Arial" w:hAnsi="Arial"/>
          <w:sz w:val="20"/>
          <w:szCs w:val="20"/>
          <w:color w:val="auto"/>
        </w:rPr>
        <w:t>”) is made as of this 15th day of October, 2021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by and among </w:t>
      </w:r>
      <w:r>
        <w:rPr>
          <w:rFonts w:ascii="Arial" w:cs="Arial" w:eastAsia="Arial" w:hAnsi="Arial"/>
          <w:sz w:val="20"/>
          <w:szCs w:val="20"/>
          <w:b w:val="1"/>
          <w:bCs w:val="1"/>
          <w:color w:val="auto"/>
        </w:rPr>
        <w:t>SIGHT SCIENCES,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Borrower</w:t>
      </w:r>
      <w:r>
        <w:rPr>
          <w:rFonts w:ascii="Arial" w:cs="Arial" w:eastAsia="Arial" w:hAnsi="Arial"/>
          <w:sz w:val="20"/>
          <w:szCs w:val="20"/>
          <w:color w:val="auto"/>
        </w:rPr>
        <w:t xml:space="preserve">”), </w:t>
      </w:r>
      <w:r>
        <w:rPr>
          <w:rFonts w:ascii="Arial" w:cs="Arial" w:eastAsia="Arial" w:hAnsi="Arial"/>
          <w:sz w:val="20"/>
          <w:szCs w:val="20"/>
          <w:b w:val="1"/>
          <w:bCs w:val="1"/>
          <w:color w:val="auto"/>
        </w:rPr>
        <w:t>MIDCAP FINANCIAL TRUST</w:t>
      </w:r>
      <w:r>
        <w:rPr>
          <w:rFonts w:ascii="Arial" w:cs="Arial" w:eastAsia="Arial" w:hAnsi="Arial"/>
          <w:sz w:val="20"/>
          <w:szCs w:val="20"/>
          <w:color w:val="auto"/>
        </w:rPr>
        <w:t>, as Agent for Lenders (in such capacity and together with its permitted successors and assigns, the “</w:t>
      </w:r>
      <w:r>
        <w:rPr>
          <w:rFonts w:ascii="Arial" w:cs="Arial" w:eastAsia="Arial" w:hAnsi="Arial"/>
          <w:sz w:val="20"/>
          <w:szCs w:val="20"/>
          <w:b w:val="1"/>
          <w:bCs w:val="1"/>
          <w:color w:val="auto"/>
        </w:rPr>
        <w:t>Agent</w:t>
      </w:r>
      <w:r>
        <w:rPr>
          <w:rFonts w:ascii="Arial" w:cs="Arial" w:eastAsia="Arial" w:hAnsi="Arial"/>
          <w:sz w:val="20"/>
          <w:szCs w:val="20"/>
          <w:color w:val="auto"/>
        </w:rPr>
        <w:t>”) and the other financial institutions or other entities from time to time parties to the Credit Agreement referenced below, each as a Lender.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08" w:lineRule="exact"/>
        <w:rPr>
          <w:sz w:val="20"/>
          <w:szCs w:val="20"/>
          <w:color w:val="auto"/>
        </w:rPr>
      </w:pPr>
    </w:p>
    <w:p>
      <w:pPr>
        <w:jc w:val="both"/>
        <w:ind w:firstLine="757"/>
        <w:spacing w:after="0" w:line="243" w:lineRule="auto"/>
        <w:tabs>
          <w:tab w:leader="none" w:pos="1498" w:val="left"/>
        </w:tabs>
        <w:numPr>
          <w:ilvl w:val="0"/>
          <w:numId w:val="69"/>
        </w:numPr>
        <w:rPr>
          <w:rFonts w:ascii="Arial" w:cs="Arial" w:eastAsia="Arial" w:hAnsi="Arial"/>
          <w:sz w:val="19"/>
          <w:szCs w:val="19"/>
          <w:color w:val="auto"/>
        </w:rPr>
      </w:pPr>
      <w:r>
        <w:rPr>
          <w:rFonts w:ascii="Arial" w:cs="Arial" w:eastAsia="Arial" w:hAnsi="Arial"/>
          <w:sz w:val="19"/>
          <w:szCs w:val="19"/>
          <w:color w:val="auto"/>
        </w:rPr>
        <w:t>Agent, Lenders and Borrower have entered into that certain Amended and Restated Credit and Security Agreement (Term Loan), dated as of November 23, 2020 (as amended by that certain First Amendment to Amended and Restated Credit and Security Agreement (Term Loan), dated as of October 5, 2021, and as further amended, restated, amended and restated, supplemented and/or otherwise modified prior to the date hereof, the “</w:t>
      </w:r>
      <w:r>
        <w:rPr>
          <w:rFonts w:ascii="Arial" w:cs="Arial" w:eastAsia="Arial" w:hAnsi="Arial"/>
          <w:sz w:val="19"/>
          <w:szCs w:val="19"/>
          <w:b w:val="1"/>
          <w:bCs w:val="1"/>
          <w:color w:val="auto"/>
        </w:rPr>
        <w:t>Existing Credit Agreement</w:t>
      </w:r>
      <w:r>
        <w:rPr>
          <w:rFonts w:ascii="Arial" w:cs="Arial" w:eastAsia="Arial" w:hAnsi="Arial"/>
          <w:sz w:val="19"/>
          <w:szCs w:val="19"/>
          <w:color w:val="auto"/>
        </w:rPr>
        <w:t>” and as the same is amended hereby and as it may be further amended, restated, amended and restated, supplemented and/or otherwise modified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pursuant to which the Lenders have agreed to make certain advances of money and to extend certain financial accommodations to Borrower in the amounts and manner set forth in the Credit Agreement.</w:t>
      </w:r>
    </w:p>
    <w:p>
      <w:pPr>
        <w:spacing w:after="0" w:line="395" w:lineRule="exact"/>
        <w:rPr>
          <w:rFonts w:ascii="Arial" w:cs="Arial" w:eastAsia="Arial" w:hAnsi="Arial"/>
          <w:sz w:val="19"/>
          <w:szCs w:val="19"/>
          <w:color w:val="auto"/>
        </w:rPr>
      </w:pPr>
    </w:p>
    <w:p>
      <w:pPr>
        <w:jc w:val="both"/>
        <w:ind w:firstLine="757"/>
        <w:spacing w:after="0" w:line="254" w:lineRule="auto"/>
        <w:tabs>
          <w:tab w:leader="none" w:pos="1498" w:val="left"/>
        </w:tabs>
        <w:numPr>
          <w:ilvl w:val="0"/>
          <w:numId w:val="69"/>
        </w:numPr>
        <w:rPr>
          <w:rFonts w:ascii="Arial" w:cs="Arial" w:eastAsia="Arial" w:hAnsi="Arial"/>
          <w:sz w:val="19"/>
          <w:szCs w:val="19"/>
          <w:color w:val="auto"/>
        </w:rPr>
      </w:pPr>
      <w:r>
        <w:rPr>
          <w:rFonts w:ascii="Arial" w:cs="Arial" w:eastAsia="Arial" w:hAnsi="Arial"/>
          <w:sz w:val="19"/>
          <w:szCs w:val="19"/>
          <w:color w:val="auto"/>
        </w:rPr>
        <w:t>Borrower has requested, and Agent and the Lenders constituting at least the Required Lenders have agreed, on and subject to the terms and conditions set forth in this Agreement to, among other things, amend the Compliance Certificate attached as Exhibit B to the Existing Credit Agreement, as more fully set forth in and subject to the terms and conditions herein.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0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NOW, THEREFORE, in consideration of the foregoing, the terms and conditions set forth in this Agreement, and other good and valuable consideration, the receipt and sufficiency of which are hereby acknowledged, Agent, Required Lenders, and Borrower hereby agree as follows:</w:t>
      </w:r>
    </w:p>
    <w:p>
      <w:pPr>
        <w:spacing w:after="0" w:line="177" w:lineRule="exact"/>
        <w:rPr>
          <w:sz w:val="20"/>
          <w:szCs w:val="20"/>
          <w:color w:val="auto"/>
        </w:rPr>
      </w:pPr>
    </w:p>
    <w:p>
      <w:pPr>
        <w:jc w:val="both"/>
        <w:ind w:firstLine="757"/>
        <w:spacing w:after="0" w:line="233" w:lineRule="auto"/>
        <w:tabs>
          <w:tab w:leader="none" w:pos="1498" w:val="left"/>
        </w:tabs>
        <w:numPr>
          <w:ilvl w:val="0"/>
          <w:numId w:val="70"/>
        </w:numPr>
        <w:rPr>
          <w:rFonts w:ascii="Arial" w:cs="Arial" w:eastAsia="Arial" w:hAnsi="Arial"/>
          <w:sz w:val="20"/>
          <w:szCs w:val="20"/>
          <w:color w:val="010000"/>
        </w:rPr>
      </w:pPr>
      <w:r>
        <w:rPr>
          <w:rFonts w:ascii="Arial" w:cs="Arial" w:eastAsia="Arial" w:hAnsi="Arial"/>
          <w:sz w:val="20"/>
          <w:szCs w:val="20"/>
          <w:b w:val="1"/>
          <w:bCs w:val="1"/>
          <w:u w:val="single" w:color="auto"/>
          <w:color w:val="auto"/>
        </w:rPr>
        <w:t>Recitals; Construction</w:t>
      </w:r>
      <w:r>
        <w:rPr>
          <w:rFonts w:ascii="Arial" w:cs="Arial" w:eastAsia="Arial" w:hAnsi="Arial"/>
          <w:sz w:val="20"/>
          <w:szCs w:val="20"/>
          <w:color w:val="auto"/>
        </w:rPr>
        <w:t>. This Agreement shall constitute a Financing Document and the Recitals and each reference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Credit Agreement, unless otherwise expressly noted, will be deemed to reference the Credit Agreement as modified hereby. The Recitals set forth above shall be construed as part of this Agreement as if set forth fully in the body of this Agreement. Capitalized terms used but not otherwise defined herein shall have the meanings ascribed to them in the Credit Agreement (including those capitalized terms used in the Recitals hereto).</w:t>
      </w:r>
    </w:p>
    <w:p>
      <w:pPr>
        <w:spacing w:after="0" w:line="179" w:lineRule="exact"/>
        <w:rPr>
          <w:rFonts w:ascii="Arial" w:cs="Arial" w:eastAsia="Arial" w:hAnsi="Arial"/>
          <w:sz w:val="20"/>
          <w:szCs w:val="20"/>
          <w:color w:val="010000"/>
        </w:rPr>
      </w:pPr>
    </w:p>
    <w:p>
      <w:pPr>
        <w:jc w:val="both"/>
        <w:ind w:firstLine="757"/>
        <w:spacing w:after="0" w:line="239" w:lineRule="auto"/>
        <w:tabs>
          <w:tab w:leader="none" w:pos="1498" w:val="left"/>
        </w:tabs>
        <w:numPr>
          <w:ilvl w:val="0"/>
          <w:numId w:val="70"/>
        </w:numPr>
        <w:rPr>
          <w:rFonts w:ascii="Arial" w:cs="Arial" w:eastAsia="Arial" w:hAnsi="Arial"/>
          <w:sz w:val="20"/>
          <w:szCs w:val="20"/>
          <w:color w:val="010000"/>
        </w:rPr>
      </w:pPr>
      <w:r>
        <w:rPr>
          <w:rFonts w:ascii="Arial" w:cs="Arial" w:eastAsia="Arial" w:hAnsi="Arial"/>
          <w:sz w:val="20"/>
          <w:szCs w:val="20"/>
          <w:b w:val="1"/>
          <w:bCs w:val="1"/>
          <w:u w:val="single" w:color="auto"/>
          <w:color w:val="auto"/>
        </w:rPr>
        <w:t>Amendments to Credit Agreement</w:t>
      </w:r>
      <w:r>
        <w:rPr>
          <w:rFonts w:ascii="Arial" w:cs="Arial" w:eastAsia="Arial" w:hAnsi="Arial"/>
          <w:sz w:val="20"/>
          <w:szCs w:val="20"/>
          <w:color w:val="auto"/>
        </w:rPr>
        <w:t>. Subject to the terms and conditions in this Agreement, including, without limitation,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conditions to effectiveness set forth in Section 4 below, effective as of the Effective Date, the Existing Credit Agreement is hereby amended as follows:</w:t>
      </w:r>
    </w:p>
    <w:p>
      <w:pPr>
        <w:spacing w:after="0" w:line="183" w:lineRule="exact"/>
        <w:rPr>
          <w:sz w:val="20"/>
          <w:szCs w:val="20"/>
          <w:color w:val="auto"/>
        </w:rPr>
      </w:pPr>
    </w:p>
    <w:p>
      <w:pPr>
        <w:ind w:firstLine="1497"/>
        <w:spacing w:after="0" w:line="246"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color w:val="000000"/>
        </w:rPr>
        <w:t>The Compliance Certificate attached as Exhibit B to the Existing Credit Agreement is amended and</w:t>
      </w:r>
      <w:r>
        <w:rPr>
          <w:rFonts w:ascii="Arial" w:cs="Arial" w:eastAsia="Arial" w:hAnsi="Arial"/>
          <w:sz w:val="20"/>
          <w:szCs w:val="20"/>
          <w:color w:val="010000"/>
        </w:rPr>
        <w:t xml:space="preserve"> </w:t>
      </w:r>
      <w:r>
        <w:rPr>
          <w:rFonts w:ascii="Arial" w:cs="Arial" w:eastAsia="Arial" w:hAnsi="Arial"/>
          <w:sz w:val="20"/>
          <w:szCs w:val="20"/>
          <w:color w:val="000000"/>
        </w:rPr>
        <w:t xml:space="preserve">restated in its entirety in the form of </w:t>
      </w:r>
      <w:r>
        <w:rPr>
          <w:rFonts w:ascii="Arial" w:cs="Arial" w:eastAsia="Arial" w:hAnsi="Arial"/>
          <w:sz w:val="20"/>
          <w:szCs w:val="20"/>
          <w:u w:val="single" w:color="auto"/>
          <w:color w:val="000000"/>
        </w:rPr>
        <w:t>Annex A</w:t>
      </w:r>
      <w:r>
        <w:rPr>
          <w:rFonts w:ascii="Arial" w:cs="Arial" w:eastAsia="Arial" w:hAnsi="Arial"/>
          <w:sz w:val="20"/>
          <w:szCs w:val="20"/>
          <w:color w:val="000000"/>
        </w:rPr>
        <w:t xml:space="preserve"> attached hereto.</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(Term Loan)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jc w:val="both"/>
        <w:ind w:firstLine="757"/>
        <w:spacing w:after="0"/>
        <w:tabs>
          <w:tab w:leader="none" w:pos="1498" w:val="left"/>
        </w:tabs>
        <w:numPr>
          <w:ilvl w:val="0"/>
          <w:numId w:val="71"/>
        </w:numPr>
        <w:rPr>
          <w:rFonts w:ascii="Arial" w:cs="Arial" w:eastAsia="Arial" w:hAnsi="Arial"/>
          <w:sz w:val="19"/>
          <w:szCs w:val="19"/>
          <w:color w:val="010000"/>
        </w:rPr>
      </w:pPr>
      <w:r>
        <w:rPr>
          <w:rFonts w:ascii="Arial" w:cs="Arial" w:eastAsia="Arial" w:hAnsi="Arial"/>
          <w:sz w:val="19"/>
          <w:szCs w:val="19"/>
          <w:b w:val="1"/>
          <w:bCs w:val="1"/>
          <w:u w:val="single" w:color="auto"/>
          <w:color w:val="auto"/>
        </w:rPr>
        <w:t>Representations and Warranties; Reaffirmation of Security Interest</w:t>
      </w:r>
      <w:r>
        <w:rPr>
          <w:rFonts w:ascii="Arial" w:cs="Arial" w:eastAsia="Arial" w:hAnsi="Arial"/>
          <w:sz w:val="19"/>
          <w:szCs w:val="19"/>
          <w:color w:val="auto"/>
        </w:rPr>
        <w:t>. Borrower hereby confirms that all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representations and warranties set forth in the Credit Agreement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(without duplication of any materiality qualifier in the text of such representation or warranty) as of such earlier date. Without limiting the foregoing, each Borrower represents and warrants that prior to and after giving effect to the agreements set forth herein, no Default or Event of Default shall exist under any of the Financing Documents. Nothing herein is intended to impair or limit the validity, priority or extent of Agent’s security interests in and Liens on the Collateral. Each Borrower acknowledges and agrees that each of this Agreement, the Credit Agreement and the other Financing Documents to which it is a party constitutes the valid and binding agreement or instrument of such Borrower, enforceable against such Borrower in accordance with its respective terms, except as the enforceability thereof may be limited by bankruptcy, insolvency or other similar laws relating to the enforcement of creditors’ rights generally and by general equitable principles.</w:t>
      </w:r>
    </w:p>
    <w:p>
      <w:pPr>
        <w:spacing w:after="0" w:line="185" w:lineRule="exact"/>
        <w:rPr>
          <w:rFonts w:ascii="Arial" w:cs="Arial" w:eastAsia="Arial" w:hAnsi="Arial"/>
          <w:sz w:val="19"/>
          <w:szCs w:val="19"/>
          <w:color w:val="010000"/>
        </w:rPr>
      </w:pPr>
    </w:p>
    <w:p>
      <w:pPr>
        <w:ind w:right="20" w:firstLine="757"/>
        <w:spacing w:after="0" w:line="252" w:lineRule="auto"/>
        <w:tabs>
          <w:tab w:leader="none" w:pos="1498" w:val="left"/>
        </w:tabs>
        <w:numPr>
          <w:ilvl w:val="0"/>
          <w:numId w:val="71"/>
        </w:numPr>
        <w:rPr>
          <w:rFonts w:ascii="Arial" w:cs="Arial" w:eastAsia="Arial" w:hAnsi="Arial"/>
          <w:sz w:val="20"/>
          <w:szCs w:val="20"/>
          <w:color w:val="010000"/>
        </w:rPr>
      </w:pPr>
      <w:r>
        <w:rPr>
          <w:rFonts w:ascii="Arial" w:cs="Arial" w:eastAsia="Arial" w:hAnsi="Arial"/>
          <w:sz w:val="20"/>
          <w:szCs w:val="20"/>
          <w:b w:val="1"/>
          <w:bCs w:val="1"/>
          <w:u w:val="single" w:color="auto"/>
          <w:color w:val="auto"/>
        </w:rPr>
        <w:t>Conditions to Effectiveness</w:t>
      </w:r>
      <w:r>
        <w:rPr>
          <w:rFonts w:ascii="Arial" w:cs="Arial" w:eastAsia="Arial" w:hAnsi="Arial"/>
          <w:sz w:val="20"/>
          <w:szCs w:val="20"/>
          <w:color w:val="auto"/>
        </w:rPr>
        <w:t>. This Agreement shall become effective as of the date on which each of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have been satisfied, as determined by Agent in its sole discretion, or waived by Agent in its discretion:</w:t>
      </w:r>
    </w:p>
    <w:p>
      <w:pPr>
        <w:spacing w:after="0" w:line="171" w:lineRule="exact"/>
        <w:rPr>
          <w:sz w:val="20"/>
          <w:szCs w:val="20"/>
          <w:color w:val="auto"/>
        </w:rPr>
      </w:pPr>
    </w:p>
    <w:p>
      <w:pPr>
        <w:ind w:firstLine="1497"/>
        <w:spacing w:after="0" w:line="272" w:lineRule="auto"/>
        <w:rPr>
          <w:sz w:val="20"/>
          <w:szCs w:val="20"/>
          <w:color w:val="auto"/>
        </w:rPr>
      </w:pPr>
      <w:r>
        <w:rPr>
          <w:rFonts w:ascii="Arial" w:cs="Arial" w:eastAsia="Arial" w:hAnsi="Arial"/>
          <w:sz w:val="19"/>
          <w:szCs w:val="19"/>
          <w:color w:val="010000"/>
        </w:rPr>
        <w:t xml:space="preserve">(a) </w:t>
      </w:r>
      <w:r>
        <w:rPr>
          <w:rFonts w:ascii="Arial" w:cs="Arial" w:eastAsia="Arial" w:hAnsi="Arial"/>
          <w:sz w:val="19"/>
          <w:szCs w:val="19"/>
          <w:color w:val="000000"/>
        </w:rPr>
        <w:t>Agent shall have received (including by way electronic transmission) a duly authorized, executed and</w:t>
      </w:r>
      <w:r>
        <w:rPr>
          <w:rFonts w:ascii="Arial" w:cs="Arial" w:eastAsia="Arial" w:hAnsi="Arial"/>
          <w:sz w:val="19"/>
          <w:szCs w:val="19"/>
          <w:color w:val="010000"/>
        </w:rPr>
        <w:t xml:space="preserve"> </w:t>
      </w:r>
      <w:r>
        <w:rPr>
          <w:rFonts w:ascii="Arial" w:cs="Arial" w:eastAsia="Arial" w:hAnsi="Arial"/>
          <w:sz w:val="19"/>
          <w:szCs w:val="19"/>
          <w:color w:val="000000"/>
        </w:rPr>
        <w:t>delivered counterpart of the signature page to this Agreement from each Borrower, Agent and each Lender constituting Required Lenders;</w:t>
      </w:r>
    </w:p>
    <w:p>
      <w:pPr>
        <w:spacing w:after="0" w:line="153" w:lineRule="exact"/>
        <w:rPr>
          <w:sz w:val="20"/>
          <w:szCs w:val="20"/>
          <w:color w:val="auto"/>
        </w:rPr>
      </w:pPr>
    </w:p>
    <w:p>
      <w:pPr>
        <w:jc w:val="both"/>
        <w:ind w:firstLine="1505"/>
        <w:spacing w:after="0" w:line="232" w:lineRule="auto"/>
        <w:tabs>
          <w:tab w:leader="none" w:pos="2995" w:val="left"/>
        </w:tabs>
        <w:numPr>
          <w:ilvl w:val="0"/>
          <w:numId w:val="72"/>
        </w:numPr>
        <w:rPr>
          <w:rFonts w:ascii="Arial" w:cs="Arial" w:eastAsia="Arial" w:hAnsi="Arial"/>
          <w:sz w:val="20"/>
          <w:szCs w:val="20"/>
          <w:color w:val="010000"/>
        </w:rPr>
      </w:pPr>
      <w:r>
        <w:rPr>
          <w:rFonts w:ascii="Arial" w:cs="Arial" w:eastAsia="Arial" w:hAnsi="Arial"/>
          <w:sz w:val="20"/>
          <w:szCs w:val="20"/>
          <w:color w:val="auto"/>
        </w:rPr>
        <w:t>all representations and warranties of Credit Parties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(and such parties’ delivery of their respective signatures hereto shall be deemed to be its certification thereof); and;</w:t>
      </w:r>
    </w:p>
    <w:p>
      <w:pPr>
        <w:spacing w:after="0" w:line="184" w:lineRule="exact"/>
        <w:rPr>
          <w:sz w:val="20"/>
          <w:szCs w:val="20"/>
          <w:color w:val="auto"/>
        </w:rPr>
      </w:pPr>
    </w:p>
    <w:p>
      <w:pPr>
        <w:ind w:right="20" w:firstLine="1497"/>
        <w:spacing w:after="0" w:line="246" w:lineRule="auto"/>
        <w:rPr>
          <w:sz w:val="20"/>
          <w:szCs w:val="20"/>
          <w:color w:val="auto"/>
        </w:rPr>
      </w:pPr>
      <w:r>
        <w:rPr>
          <w:rFonts w:ascii="Arial" w:cs="Arial" w:eastAsia="Arial" w:hAnsi="Arial"/>
          <w:sz w:val="20"/>
          <w:szCs w:val="20"/>
          <w:color w:val="010000"/>
        </w:rPr>
        <w:t xml:space="preserve">(c) </w:t>
      </w:r>
      <w:r>
        <w:rPr>
          <w:rFonts w:ascii="Arial" w:cs="Arial" w:eastAsia="Arial" w:hAnsi="Arial"/>
          <w:sz w:val="20"/>
          <w:szCs w:val="20"/>
          <w:color w:val="000000"/>
        </w:rPr>
        <w:t>immediately prior to and after giving effect to this Agreement, no Default or Event of Default exists</w:t>
      </w:r>
      <w:r>
        <w:rPr>
          <w:rFonts w:ascii="Arial" w:cs="Arial" w:eastAsia="Arial" w:hAnsi="Arial"/>
          <w:sz w:val="20"/>
          <w:szCs w:val="20"/>
          <w:color w:val="010000"/>
        </w:rPr>
        <w:t xml:space="preserve"> </w:t>
      </w:r>
      <w:r>
        <w:rPr>
          <w:rFonts w:ascii="Arial" w:cs="Arial" w:eastAsia="Arial" w:hAnsi="Arial"/>
          <w:sz w:val="20"/>
          <w:szCs w:val="20"/>
          <w:color w:val="000000"/>
        </w:rPr>
        <w:t>under any of the Financing Documents.</w:t>
      </w:r>
    </w:p>
    <w:p>
      <w:pPr>
        <w:spacing w:after="0" w:line="171" w:lineRule="exact"/>
        <w:rPr>
          <w:sz w:val="20"/>
          <w:szCs w:val="20"/>
          <w:color w:val="auto"/>
        </w:rPr>
      </w:pPr>
    </w:p>
    <w:p>
      <w:pPr>
        <w:jc w:val="both"/>
        <w:ind w:firstLine="757"/>
        <w:spacing w:after="0" w:line="233" w:lineRule="auto"/>
        <w:tabs>
          <w:tab w:leader="none" w:pos="1498" w:val="left"/>
        </w:tabs>
        <w:numPr>
          <w:ilvl w:val="0"/>
          <w:numId w:val="73"/>
        </w:numPr>
        <w:rPr>
          <w:rFonts w:ascii="Arial" w:cs="Arial" w:eastAsia="Arial" w:hAnsi="Arial"/>
          <w:sz w:val="20"/>
          <w:szCs w:val="20"/>
          <w:color w:val="010000"/>
        </w:rPr>
      </w:pPr>
      <w:r>
        <w:rPr>
          <w:rFonts w:ascii="Arial" w:cs="Arial" w:eastAsia="Arial" w:hAnsi="Arial"/>
          <w:sz w:val="20"/>
          <w:szCs w:val="20"/>
          <w:b w:val="1"/>
          <w:bCs w:val="1"/>
          <w:u w:val="single" w:color="auto"/>
          <w:color w:val="auto"/>
        </w:rPr>
        <w:t>Costs and Fees</w:t>
      </w:r>
      <w:r>
        <w:rPr>
          <w:rFonts w:ascii="Arial" w:cs="Arial" w:eastAsia="Arial" w:hAnsi="Arial"/>
          <w:sz w:val="20"/>
          <w:szCs w:val="20"/>
          <w:color w:val="auto"/>
        </w:rPr>
        <w:t>. Borrower agrees to promptly pay, or reimburse upon demand for, all reasonable and documented costs</w:t>
      </w:r>
      <w:r>
        <w:rPr>
          <w:rFonts w:ascii="Arial" w:cs="Arial" w:eastAsia="Arial" w:hAnsi="Arial"/>
          <w:sz w:val="20"/>
          <w:szCs w:val="20"/>
          <w:b w:val="1"/>
          <w:bCs w:val="1"/>
          <w:color w:val="auto"/>
        </w:rPr>
        <w:t xml:space="preserve"> </w:t>
      </w:r>
      <w:r>
        <w:rPr>
          <w:rFonts w:ascii="Arial" w:cs="Arial" w:eastAsia="Arial" w:hAnsi="Arial"/>
          <w:sz w:val="20"/>
          <w:szCs w:val="20"/>
          <w:color w:val="auto"/>
        </w:rPr>
        <w:t>and expenses of Agent (including, without limitation, the reasonable and documented fees, costs and expenses of counsel to Agent) in connection with the preparation, negotiation, execution and delivery of this Agreement and any other Financing Documents or other agreements prepared, negotiated, executed or delivered in connection with this Agreement or transactions contemplated hereby, in accordance with Section 12.14 of the Credit Agreement.</w:t>
      </w:r>
    </w:p>
    <w:p>
      <w:pPr>
        <w:spacing w:after="0" w:line="179" w:lineRule="exact"/>
        <w:rPr>
          <w:rFonts w:ascii="Arial" w:cs="Arial" w:eastAsia="Arial" w:hAnsi="Arial"/>
          <w:sz w:val="20"/>
          <w:szCs w:val="20"/>
          <w:color w:val="010000"/>
        </w:rPr>
      </w:pPr>
    </w:p>
    <w:p>
      <w:pPr>
        <w:jc w:val="both"/>
        <w:ind w:firstLine="757"/>
        <w:spacing w:after="0" w:line="258" w:lineRule="auto"/>
        <w:tabs>
          <w:tab w:leader="none" w:pos="1498" w:val="left"/>
        </w:tabs>
        <w:numPr>
          <w:ilvl w:val="0"/>
          <w:numId w:val="73"/>
        </w:numPr>
        <w:rPr>
          <w:rFonts w:ascii="Arial" w:cs="Arial" w:eastAsia="Arial" w:hAnsi="Arial"/>
          <w:sz w:val="18"/>
          <w:szCs w:val="18"/>
          <w:color w:val="010000"/>
        </w:rPr>
      </w:pPr>
      <w:r>
        <w:rPr>
          <w:rFonts w:ascii="Arial" w:cs="Arial" w:eastAsia="Arial" w:hAnsi="Arial"/>
          <w:sz w:val="18"/>
          <w:szCs w:val="18"/>
          <w:b w:val="1"/>
          <w:bCs w:val="1"/>
          <w:u w:val="single" w:color="auto"/>
          <w:color w:val="auto"/>
        </w:rPr>
        <w:t>Lender Release</w:t>
      </w:r>
      <w:r>
        <w:rPr>
          <w:rFonts w:ascii="Arial" w:cs="Arial" w:eastAsia="Arial" w:hAnsi="Arial"/>
          <w:sz w:val="18"/>
          <w:szCs w:val="18"/>
          <w:color w:val="auto"/>
        </w:rPr>
        <w:t>. In consideration of the agreements of Agent and Required Lenders contained herein and for other good</w:t>
      </w:r>
      <w:r>
        <w:rPr>
          <w:rFonts w:ascii="Arial" w:cs="Arial" w:eastAsia="Arial" w:hAnsi="Arial"/>
          <w:sz w:val="18"/>
          <w:szCs w:val="18"/>
          <w:b w:val="1"/>
          <w:bCs w:val="1"/>
          <w:color w:val="auto"/>
        </w:rPr>
        <w:t xml:space="preserve"> </w:t>
      </w:r>
      <w:r>
        <w:rPr>
          <w:rFonts w:ascii="Arial" w:cs="Arial" w:eastAsia="Arial" w:hAnsi="Arial"/>
          <w:sz w:val="18"/>
          <w:szCs w:val="18"/>
          <w:color w:val="auto"/>
        </w:rPr>
        <w:t>and valuable consideration, the receipt and sufficiency of which is hereby acknowledged, each Borrower, voluntarily, knowingly, unconditionally and irrevocably, with specific and express intent, for and on behalf of itself and all of its respective parents, subsidiaries, affiliates, members, managers, predecessors, successors, and assigns, and each of its respective current and former directors, officers, shareholders, agents, and employees, and each of its respective predecessors, successors, heirs, and assigns (individually and collectively, the “Releasing Parties”)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“Released Parties”), of and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(Term Loan)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jc w:val="both"/>
        <w:spacing w:after="0" w:line="241" w:lineRule="auto"/>
        <w:rPr>
          <w:sz w:val="20"/>
          <w:szCs w:val="20"/>
          <w:color w:val="auto"/>
        </w:rPr>
      </w:pPr>
      <w:r>
        <w:rPr>
          <w:rFonts w:ascii="Arial" w:cs="Arial" w:eastAsia="Arial" w:hAnsi="Arial"/>
          <w:sz w:val="19"/>
          <w:szCs w:val="19"/>
          <w:color w:val="auto"/>
        </w:rPr>
        <w:t>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or arising out of this Agreement, that relate to, arise out of or otherwise are in connection with: (i) any or all of the Financing Documents or transactions contemplated thereby or any actions or omissions in connection therewith or (ii) any aspect of the dealings or relationships between or among such Borrower, on the one hand, and any or all of the Released Parties, on the other hand, relating to any or all of the documents, transactions, actions or omissions referenced in clause (i) hereof. Each Borrower acknowledges that the foregoing release is a material inducement to Agent’s and Required Lender’s decision to enter into this Agreement and agree to the modifications contemplated hereunder, and has been relied upon by Agent and Required Lenders in connection therewith.</w:t>
      </w:r>
    </w:p>
    <w:p>
      <w:pPr>
        <w:spacing w:after="0" w:line="177" w:lineRule="exact"/>
        <w:rPr>
          <w:sz w:val="20"/>
          <w:szCs w:val="20"/>
          <w:color w:val="auto"/>
        </w:rPr>
      </w:pPr>
    </w:p>
    <w:p>
      <w:pPr>
        <w:jc w:val="both"/>
        <w:ind w:firstLine="757"/>
        <w:spacing w:after="0" w:line="261" w:lineRule="auto"/>
        <w:tabs>
          <w:tab w:leader="none" w:pos="1498" w:val="left"/>
        </w:tabs>
        <w:numPr>
          <w:ilvl w:val="0"/>
          <w:numId w:val="74"/>
        </w:numPr>
        <w:rPr>
          <w:rFonts w:ascii="Arial" w:cs="Arial" w:eastAsia="Arial" w:hAnsi="Arial"/>
          <w:sz w:val="18"/>
          <w:szCs w:val="18"/>
          <w:color w:val="010000"/>
        </w:rPr>
      </w:pPr>
      <w:r>
        <w:rPr>
          <w:rFonts w:ascii="Arial" w:cs="Arial" w:eastAsia="Arial" w:hAnsi="Arial"/>
          <w:sz w:val="18"/>
          <w:szCs w:val="18"/>
          <w:b w:val="1"/>
          <w:bCs w:val="1"/>
          <w:u w:val="single" w:color="auto"/>
          <w:color w:val="auto"/>
        </w:rPr>
        <w:t>No Waiver or Novation</w:t>
      </w:r>
      <w:r>
        <w:rPr>
          <w:rFonts w:ascii="Arial" w:cs="Arial" w:eastAsia="Arial" w:hAnsi="Arial"/>
          <w:sz w:val="18"/>
          <w:szCs w:val="18"/>
          <w:color w:val="auto"/>
        </w:rPr>
        <w:t>. The execution, delivery and effectiveness of this Agreement shall not operate as a waiver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61" w:lineRule="exact"/>
        <w:rPr>
          <w:rFonts w:ascii="Arial" w:cs="Arial" w:eastAsia="Arial" w:hAnsi="Arial"/>
          <w:sz w:val="18"/>
          <w:szCs w:val="18"/>
          <w:color w:val="010000"/>
        </w:rPr>
      </w:pPr>
    </w:p>
    <w:p>
      <w:pPr>
        <w:jc w:val="both"/>
        <w:ind w:firstLine="757"/>
        <w:spacing w:after="0" w:line="242" w:lineRule="auto"/>
        <w:tabs>
          <w:tab w:leader="none" w:pos="1498" w:val="left"/>
        </w:tabs>
        <w:numPr>
          <w:ilvl w:val="0"/>
          <w:numId w:val="74"/>
        </w:numPr>
        <w:rPr>
          <w:rFonts w:ascii="Arial" w:cs="Arial" w:eastAsia="Arial" w:hAnsi="Arial"/>
          <w:sz w:val="19"/>
          <w:szCs w:val="19"/>
          <w:color w:val="010000"/>
        </w:rPr>
      </w:pPr>
      <w:r>
        <w:rPr>
          <w:rFonts w:ascii="Arial" w:cs="Arial" w:eastAsia="Arial" w:hAnsi="Arial"/>
          <w:sz w:val="19"/>
          <w:szCs w:val="19"/>
          <w:b w:val="1"/>
          <w:bCs w:val="1"/>
          <w:u w:val="single" w:color="auto"/>
          <w:color w:val="auto"/>
        </w:rPr>
        <w:t>Affirmation</w:t>
      </w:r>
      <w:r>
        <w:rPr>
          <w:rFonts w:ascii="Arial" w:cs="Arial" w:eastAsia="Arial" w:hAnsi="Arial"/>
          <w:sz w:val="19"/>
          <w:szCs w:val="19"/>
          <w:color w:val="auto"/>
        </w:rPr>
        <w:t>. Except as specifically amended pursuant to the terms hereof, Borrower hereby acknowledges and agrees</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Credit Agreement and all other Financing Documents (and all covenants, terms, conditions and agreements therein) shall remain in full force and effect, and are hereby ratified and confirmed in all respects by each Credit Party, including without limitation the granting of Liens in the Collateral to secure the Obligations and other Financing Documents. Borrower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 Borrower confirms and agrees that all security interests and Liens granted to Agent pursuant to the Financing Documents continue in full force and effect, and all Collateral remains free and clear of any Liens, other than those granted to Agent and Permitted Liens.</w:t>
      </w:r>
    </w:p>
    <w:p>
      <w:pPr>
        <w:spacing w:after="0" w:line="177" w:lineRule="exact"/>
        <w:rPr>
          <w:rFonts w:ascii="Arial" w:cs="Arial" w:eastAsia="Arial" w:hAnsi="Arial"/>
          <w:sz w:val="19"/>
          <w:szCs w:val="19"/>
          <w:color w:val="010000"/>
        </w:rPr>
      </w:pPr>
    </w:p>
    <w:p>
      <w:pPr>
        <w:ind w:left="1500" w:hanging="743"/>
        <w:spacing w:after="0"/>
        <w:tabs>
          <w:tab w:leader="none" w:pos="1500" w:val="left"/>
        </w:tabs>
        <w:numPr>
          <w:ilvl w:val="0"/>
          <w:numId w:val="74"/>
        </w:numPr>
        <w:rPr>
          <w:rFonts w:ascii="Arial" w:cs="Arial" w:eastAsia="Arial" w:hAnsi="Arial"/>
          <w:sz w:val="20"/>
          <w:szCs w:val="20"/>
          <w:color w:val="010000"/>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08" w:lineRule="exact"/>
        <w:rPr>
          <w:sz w:val="20"/>
          <w:szCs w:val="20"/>
          <w:color w:val="auto"/>
        </w:rPr>
      </w:pPr>
    </w:p>
    <w:p>
      <w:pPr>
        <w:jc w:val="both"/>
        <w:ind w:firstLine="1497"/>
        <w:spacing w:after="0" w:line="232"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u w:val="single" w:color="auto"/>
          <w:color w:val="000000"/>
        </w:rPr>
        <w:t>Reference to the Effect on the Credit Agreement</w:t>
      </w:r>
      <w:r>
        <w:rPr>
          <w:rFonts w:ascii="Arial" w:cs="Arial" w:eastAsia="Arial" w:hAnsi="Arial"/>
          <w:sz w:val="20"/>
          <w:szCs w:val="20"/>
          <w:color w:val="000000"/>
        </w:rPr>
        <w:t>. Upon the effectiveness of this Agreement, each</w:t>
      </w:r>
      <w:r>
        <w:rPr>
          <w:rFonts w:ascii="Arial" w:cs="Arial" w:eastAsia="Arial" w:hAnsi="Arial"/>
          <w:sz w:val="20"/>
          <w:szCs w:val="20"/>
          <w:color w:val="010000"/>
        </w:rPr>
        <w:t xml:space="preserve"> </w:t>
      </w:r>
      <w:r>
        <w:rPr>
          <w:rFonts w:ascii="Arial" w:cs="Arial" w:eastAsia="Arial" w:hAnsi="Arial"/>
          <w:sz w:val="20"/>
          <w:szCs w:val="20"/>
          <w:color w:val="000000"/>
        </w:rPr>
        <w:t>reference in the Credit Agreement to “this Agreement,” “hereunder,” “hereof,” “herein,” or words of similar import shall mean and be a reference to the Credit Agreement, as modified by this Agreement. Except as specifically set forth above, the Credit Agreement, and all other Financing Documents (and all covenants, terms, conditions and agreements therein), shall remain in full force and effect, and are hereby ratified and confirmed in all respects by each Credit Party.</w:t>
      </w:r>
    </w:p>
    <w:p>
      <w:pPr>
        <w:spacing w:after="0" w:line="184" w:lineRule="exact"/>
        <w:rPr>
          <w:sz w:val="20"/>
          <w:szCs w:val="20"/>
          <w:color w:val="auto"/>
        </w:rPr>
      </w:pPr>
    </w:p>
    <w:p>
      <w:pPr>
        <w:jc w:val="both"/>
        <w:ind w:firstLine="1505"/>
        <w:spacing w:after="0" w:line="232" w:lineRule="auto"/>
        <w:tabs>
          <w:tab w:leader="none" w:pos="2995" w:val="left"/>
        </w:tabs>
        <w:numPr>
          <w:ilvl w:val="0"/>
          <w:numId w:val="75"/>
        </w:numPr>
        <w:rPr>
          <w:rFonts w:ascii="Arial" w:cs="Arial" w:eastAsia="Arial" w:hAnsi="Arial"/>
          <w:sz w:val="20"/>
          <w:szCs w:val="20"/>
          <w:color w:val="010000"/>
        </w:rPr>
      </w:pPr>
      <w:r>
        <w:rPr>
          <w:rFonts w:ascii="Arial" w:cs="Arial" w:eastAsia="Arial" w:hAnsi="Arial"/>
          <w:sz w:val="20"/>
          <w:szCs w:val="20"/>
          <w:color w:val="auto"/>
        </w:rPr>
        <w:t>THIS AGREEMENT AND ALL DISPUTES AND OTHER MATTERS RELATING HERETO OR ARISING THEREFROM (WHETHER SOUNDING IN CONTRACT LAW, TORT LAW OR OTHERWISE), SHALL BE GOVERNED BY, AND SHALL BE CONSTRUED AND ENFORCED IN ACCORDANCE WITH, THE LAWS OF THE STATE OF NEW YORK, WITHOUT REGARD TO ITS CONFLICT OF LAWS PRINCIPLES (OTHER THAN SECTION 5-1401 OF THE GENERAL OBLIGATIONS LAW).</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(Term Loan)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jc w:val="both"/>
        <w:ind w:left="1500"/>
        <w:spacing w:after="0"/>
        <w:tabs>
          <w:tab w:leader="none" w:pos="2980" w:val="left"/>
        </w:tabs>
        <w:rPr>
          <w:sz w:val="20"/>
          <w:szCs w:val="20"/>
          <w:color w:val="auto"/>
        </w:rPr>
      </w:pPr>
      <w:r>
        <w:rPr>
          <w:rFonts w:ascii="Arial" w:cs="Arial" w:eastAsia="Arial" w:hAnsi="Arial"/>
          <w:sz w:val="20"/>
          <w:szCs w:val="20"/>
          <w:color w:val="010000"/>
        </w:rPr>
        <w:t>(c)</w:t>
      </w:r>
      <w:r>
        <w:rPr>
          <w:sz w:val="20"/>
          <w:szCs w:val="20"/>
          <w:color w:val="auto"/>
        </w:rPr>
        <w:tab/>
      </w: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BORROWER, AGENT AND THE LENDERS PARTY HERETO</w:t>
      </w:r>
    </w:p>
    <w:p>
      <w:pPr>
        <w:spacing w:after="0" w:line="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HEREBY IRREVOCABLY WAIVES ANY AND ALL RIGHT TO TRIAL BY JURY IN ANY LEGAL ACTION OR PROCEEDING ARISING OUT OF OR RELATING TO THIS AGREEMENT OR THE TRANSACTIONS CONTEMPLATED HEREBY AND AGREES THAT ANY SUCH ACTION OR PROCEEDING SHALL BE TRIED BEFORE A COURT AND NOT BEFORE A JURY. EACH BORROWER, AGENT AND EACH LENDER ACKNOWLEDGES THAT THIS WAIVER IS A MATERIAL INDUCEMENT TO ENTER INTO THIS AGREEMENT, THAT EACH HAS RELIED ON THE WAIVER IN ENTERING INTO THIS AGREEMENT,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87" w:lineRule="exact"/>
        <w:rPr>
          <w:sz w:val="20"/>
          <w:szCs w:val="20"/>
          <w:color w:val="auto"/>
        </w:rPr>
      </w:pPr>
    </w:p>
    <w:p>
      <w:pPr>
        <w:jc w:val="both"/>
        <w:ind w:firstLine="1505"/>
        <w:spacing w:after="0" w:line="237" w:lineRule="auto"/>
        <w:tabs>
          <w:tab w:leader="none" w:pos="2995" w:val="left"/>
        </w:tabs>
        <w:numPr>
          <w:ilvl w:val="0"/>
          <w:numId w:val="76"/>
        </w:numPr>
        <w:rPr>
          <w:rFonts w:ascii="Arial" w:cs="Arial" w:eastAsia="Arial" w:hAnsi="Arial"/>
          <w:sz w:val="20"/>
          <w:szCs w:val="20"/>
          <w:color w:val="010000"/>
        </w:rPr>
      </w:pPr>
      <w:r>
        <w:rPr>
          <w:rFonts w:ascii="Arial" w:cs="Arial" w:eastAsia="Arial" w:hAnsi="Arial"/>
          <w:sz w:val="20"/>
          <w:szCs w:val="20"/>
          <w:u w:val="single" w:color="auto"/>
          <w:color w:val="auto"/>
        </w:rPr>
        <w:t>Incorporation of Credit Agreement Provisions</w:t>
      </w:r>
      <w:r>
        <w:rPr>
          <w:rFonts w:ascii="Arial" w:cs="Arial" w:eastAsia="Arial" w:hAnsi="Arial"/>
          <w:sz w:val="20"/>
          <w:szCs w:val="20"/>
          <w:color w:val="auto"/>
        </w:rPr>
        <w:t>. The provisions contained in Section 11.6 (Indemnification), Section 12.8(b) (Submission to Jurisdiction) and Section 12.9(b) (Waiver of Jury Trial) of the Credit Agreement are incorporated herein by reference to the same extent as if reproduced herein in their entirety.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ind w:left="1500"/>
              <w:spacing w:after="0"/>
              <w:rPr>
                <w:sz w:val="20"/>
                <w:szCs w:val="20"/>
                <w:color w:val="auto"/>
              </w:rPr>
            </w:pPr>
            <w:r>
              <w:rPr>
                <w:rFonts w:ascii="Arial" w:cs="Arial" w:eastAsia="Arial" w:hAnsi="Arial"/>
                <w:sz w:val="20"/>
                <w:szCs w:val="20"/>
                <w:color w:val="010000"/>
              </w:rPr>
              <w:t>(e)</w:t>
            </w:r>
          </w:p>
        </w:tc>
        <w:tc>
          <w:tcPr>
            <w:tcW w:w="8240" w:type="dxa"/>
            <w:vAlign w:val="bottom"/>
            <w:gridSpan w:val="3"/>
          </w:tcPr>
          <w:p>
            <w:pPr>
              <w:spacing w:after="0"/>
              <w:rPr>
                <w:sz w:val="20"/>
                <w:szCs w:val="20"/>
                <w:color w:val="auto"/>
              </w:rPr>
            </w:pPr>
            <w:r>
              <w:rPr>
                <w:rFonts w:ascii="Arial" w:cs="Arial" w:eastAsia="Arial" w:hAnsi="Arial"/>
                <w:sz w:val="20"/>
                <w:szCs w:val="20"/>
                <w:color w:val="auto"/>
                <w:w w:val="90"/>
              </w:rPr>
              <w:t>Headings. Section headings in this Agreement are included for convenience of reference only and shall</w:t>
            </w:r>
          </w:p>
        </w:tc>
      </w:tr>
      <w:tr>
        <w:trPr>
          <w:trHeight w:val="244"/>
        </w:trPr>
        <w:tc>
          <w:tcPr>
            <w:tcW w:w="3000" w:type="dxa"/>
            <w:vAlign w:val="bottom"/>
          </w:tcPr>
          <w:p>
            <w:pPr>
              <w:spacing w:after="0"/>
              <w:rPr>
                <w:sz w:val="20"/>
                <w:szCs w:val="20"/>
                <w:color w:val="auto"/>
              </w:rPr>
            </w:pPr>
            <w:r>
              <w:rPr>
                <w:rFonts w:ascii="Arial" w:cs="Arial" w:eastAsia="Arial" w:hAnsi="Arial"/>
                <w:sz w:val="20"/>
                <w:szCs w:val="20"/>
                <w:color w:val="auto"/>
                <w:w w:val="88"/>
              </w:rPr>
              <w:t>not constitute a part of this Agreement</w:t>
            </w:r>
          </w:p>
        </w:tc>
        <w:tc>
          <w:tcPr>
            <w:tcW w:w="760" w:type="dxa"/>
            <w:vAlign w:val="bottom"/>
            <w:tcBorders>
              <w:top w:val="single" w:sz="8" w:color="auto"/>
            </w:tcBorders>
          </w:tcPr>
          <w:p>
            <w:pPr>
              <w:ind w:left="100"/>
              <w:spacing w:after="0"/>
              <w:rPr>
                <w:sz w:val="20"/>
                <w:szCs w:val="20"/>
                <w:color w:val="auto"/>
              </w:rPr>
            </w:pPr>
            <w:r>
              <w:rPr>
                <w:rFonts w:ascii="Arial" w:cs="Arial" w:eastAsia="Arial" w:hAnsi="Arial"/>
                <w:sz w:val="20"/>
                <w:szCs w:val="20"/>
                <w:color w:val="auto"/>
              </w:rPr>
              <w:t>for any</w:t>
            </w:r>
          </w:p>
        </w:tc>
        <w:tc>
          <w:tcPr>
            <w:tcW w:w="7480" w:type="dxa"/>
            <w:vAlign w:val="bottom"/>
            <w:gridSpan w:val="2"/>
          </w:tcPr>
          <w:p>
            <w:pPr>
              <w:spacing w:after="0"/>
              <w:rPr>
                <w:sz w:val="20"/>
                <w:szCs w:val="20"/>
                <w:color w:val="auto"/>
              </w:rPr>
            </w:pPr>
            <w:r>
              <w:rPr>
                <w:rFonts w:ascii="Arial" w:cs="Arial" w:eastAsia="Arial" w:hAnsi="Arial"/>
                <w:sz w:val="20"/>
                <w:szCs w:val="20"/>
                <w:color w:val="auto"/>
              </w:rPr>
              <w:t>other purpose.</w:t>
            </w:r>
          </w:p>
        </w:tc>
      </w:tr>
      <w:tr>
        <w:trPr>
          <w:trHeight w:val="384"/>
        </w:trPr>
        <w:tc>
          <w:tcPr>
            <w:tcW w:w="3000" w:type="dxa"/>
            <w:vAlign w:val="bottom"/>
          </w:tcPr>
          <w:p>
            <w:pPr>
              <w:ind w:left="1500"/>
              <w:spacing w:after="0"/>
              <w:rPr>
                <w:sz w:val="20"/>
                <w:szCs w:val="20"/>
                <w:color w:val="auto"/>
              </w:rPr>
            </w:pPr>
            <w:r>
              <w:rPr>
                <w:rFonts w:ascii="Arial" w:cs="Arial" w:eastAsia="Arial" w:hAnsi="Arial"/>
                <w:sz w:val="20"/>
                <w:szCs w:val="20"/>
                <w:color w:val="010000"/>
              </w:rPr>
              <w:t>(f)</w:t>
            </w:r>
          </w:p>
        </w:tc>
        <w:tc>
          <w:tcPr>
            <w:tcW w:w="8240" w:type="dxa"/>
            <w:vAlign w:val="bottom"/>
            <w:gridSpan w:val="3"/>
          </w:tcPr>
          <w:p>
            <w:pPr>
              <w:spacing w:after="0"/>
              <w:rPr>
                <w:sz w:val="20"/>
                <w:szCs w:val="20"/>
                <w:color w:val="auto"/>
              </w:rPr>
            </w:pPr>
            <w:r>
              <w:rPr>
                <w:rFonts w:ascii="Arial" w:cs="Arial" w:eastAsia="Arial" w:hAnsi="Arial"/>
                <w:sz w:val="20"/>
                <w:szCs w:val="20"/>
                <w:color w:val="auto"/>
                <w:w w:val="92"/>
              </w:rPr>
              <w:t>Counterparts.  This Agreement may be signed in any number of counterparts, each of which shall be</w:t>
            </w:r>
          </w:p>
        </w:tc>
      </w:tr>
      <w:tr>
        <w:trPr>
          <w:trHeight w:val="20"/>
        </w:trPr>
        <w:tc>
          <w:tcPr>
            <w:tcW w:w="3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bl>
    <w:p>
      <w:pPr>
        <w:jc w:val="both"/>
        <w:spacing w:after="0" w:line="255" w:lineRule="auto"/>
        <w:rPr>
          <w:sz w:val="20"/>
          <w:szCs w:val="20"/>
          <w:color w:val="auto"/>
        </w:rPr>
      </w:pPr>
      <w:r>
        <w:rPr>
          <w:rFonts w:ascii="Arial" w:cs="Arial" w:eastAsia="Arial" w:hAnsi="Arial"/>
          <w:sz w:val="18"/>
          <w:szCs w:val="18"/>
          <w:color w:val="auto"/>
        </w:rPr>
        <w:t>deemed an original and all of which when taken together shall constitute one and the same instrument. Delivery of an executed counterpart of this Agreement by facsimile or by electronic mail delivery of an electronic version (e.g., .pdf or .tif file) of an executed signature page shall be effective as delivery of an original executed counterpart hereof and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Arial" w:cs="Arial" w:eastAsia="Arial" w:hAnsi="Arial"/>
          <w:sz w:val="18"/>
          <w:szCs w:val="18"/>
          <w:b w:val="1"/>
          <w:bCs w:val="1"/>
          <w:color w:val="auto"/>
        </w:rPr>
        <w:t>Electronic</w:t>
      </w:r>
      <w:r>
        <w:rPr>
          <w:rFonts w:ascii="Arial" w:cs="Arial" w:eastAsia="Arial" w:hAnsi="Arial"/>
          <w:sz w:val="18"/>
          <w:szCs w:val="18"/>
          <w:color w:val="auto"/>
        </w:rPr>
        <w:t xml:space="preserve"> </w:t>
      </w:r>
      <w:r>
        <w:rPr>
          <w:rFonts w:ascii="Arial" w:cs="Arial" w:eastAsia="Arial" w:hAnsi="Arial"/>
          <w:sz w:val="18"/>
          <w:szCs w:val="18"/>
          <w:b w:val="1"/>
          <w:bCs w:val="1"/>
          <w:color w:val="auto"/>
        </w:rPr>
        <w:t>Signature</w:t>
      </w:r>
      <w:r>
        <w:rPr>
          <w:rFonts w:ascii="Arial" w:cs="Arial" w:eastAsia="Arial" w:hAnsi="Arial"/>
          <w:sz w:val="18"/>
          <w:szCs w:val="18"/>
          <w:color w:val="auto"/>
        </w:rPr>
        <w:t>” means an electronic sound, symbol, or process attached to, or associated with, a contract or other record and adopted by a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intent to sign, authenticate or accept such contract or other record.</w:t>
      </w:r>
    </w:p>
    <w:p>
      <w:pPr>
        <w:spacing w:after="0" w:line="170" w:lineRule="exact"/>
        <w:rPr>
          <w:sz w:val="20"/>
          <w:szCs w:val="20"/>
          <w:color w:val="auto"/>
        </w:rPr>
      </w:pPr>
    </w:p>
    <w:p>
      <w:pPr>
        <w:ind w:firstLine="1505"/>
        <w:spacing w:after="0" w:line="300" w:lineRule="auto"/>
        <w:tabs>
          <w:tab w:leader="none" w:pos="2995" w:val="left"/>
        </w:tabs>
        <w:numPr>
          <w:ilvl w:val="0"/>
          <w:numId w:val="77"/>
        </w:numPr>
        <w:rPr>
          <w:rFonts w:ascii="Arial" w:cs="Arial" w:eastAsia="Arial" w:hAnsi="Arial"/>
          <w:sz w:val="18"/>
          <w:szCs w:val="18"/>
          <w:color w:val="010000"/>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and understanding among the parties hereto and supersedes any and all prior agreements and understandings, oral or written, relating to the subject matter hereof.</w:t>
      </w:r>
    </w:p>
    <w:p>
      <w:pPr>
        <w:spacing w:after="0" w:line="130" w:lineRule="exact"/>
        <w:rPr>
          <w:rFonts w:ascii="Arial" w:cs="Arial" w:eastAsia="Arial" w:hAnsi="Arial"/>
          <w:sz w:val="18"/>
          <w:szCs w:val="18"/>
          <w:color w:val="010000"/>
        </w:rPr>
      </w:pPr>
    </w:p>
    <w:p>
      <w:pPr>
        <w:jc w:val="both"/>
        <w:ind w:firstLine="1505"/>
        <w:spacing w:after="0" w:line="237" w:lineRule="auto"/>
        <w:tabs>
          <w:tab w:leader="none" w:pos="2995" w:val="left"/>
        </w:tabs>
        <w:numPr>
          <w:ilvl w:val="0"/>
          <w:numId w:val="77"/>
        </w:numPr>
        <w:rPr>
          <w:rFonts w:ascii="Arial" w:cs="Arial" w:eastAsia="Arial" w:hAnsi="Arial"/>
          <w:sz w:val="20"/>
          <w:szCs w:val="20"/>
          <w:color w:val="010000"/>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83" w:lineRule="exact"/>
        <w:rPr>
          <w:sz w:val="20"/>
          <w:szCs w:val="20"/>
          <w:color w:val="auto"/>
        </w:rPr>
      </w:pPr>
    </w:p>
    <w:p>
      <w:pPr>
        <w:ind w:firstLine="1497"/>
        <w:spacing w:after="0" w:line="272" w:lineRule="auto"/>
        <w:rPr>
          <w:sz w:val="20"/>
          <w:szCs w:val="20"/>
          <w:color w:val="auto"/>
        </w:rPr>
      </w:pPr>
      <w:r>
        <w:rPr>
          <w:rFonts w:ascii="Arial" w:cs="Arial" w:eastAsia="Arial" w:hAnsi="Arial"/>
          <w:sz w:val="19"/>
          <w:szCs w:val="19"/>
          <w:color w:val="010000"/>
        </w:rPr>
        <w:t xml:space="preserve">(i) </w:t>
      </w:r>
      <w:r>
        <w:rPr>
          <w:rFonts w:ascii="Arial" w:cs="Arial" w:eastAsia="Arial" w:hAnsi="Arial"/>
          <w:sz w:val="19"/>
          <w:szCs w:val="19"/>
          <w:u w:val="single" w:color="auto"/>
          <w:color w:val="000000"/>
        </w:rPr>
        <w:t>Successors/Assigns</w:t>
      </w:r>
      <w:r>
        <w:rPr>
          <w:rFonts w:ascii="Arial" w:cs="Arial" w:eastAsia="Arial" w:hAnsi="Arial"/>
          <w:sz w:val="19"/>
          <w:szCs w:val="19"/>
          <w:color w:val="000000"/>
        </w:rPr>
        <w:t>. This Agreement shall bind, and the rights hereunder shall inure to, the respective</w:t>
      </w:r>
      <w:r>
        <w:rPr>
          <w:rFonts w:ascii="Arial" w:cs="Arial" w:eastAsia="Arial" w:hAnsi="Arial"/>
          <w:sz w:val="19"/>
          <w:szCs w:val="19"/>
          <w:color w:val="010000"/>
        </w:rPr>
        <w:t xml:space="preserve"> </w:t>
      </w:r>
      <w:r>
        <w:rPr>
          <w:rFonts w:ascii="Arial" w:cs="Arial" w:eastAsia="Arial" w:hAnsi="Arial"/>
          <w:sz w:val="19"/>
          <w:szCs w:val="19"/>
          <w:color w:val="000000"/>
        </w:rPr>
        <w:t>successors and assigns of the parties hereto, subject to the provisions of the Credit Agreement and the other Financing Documents.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(Term Loan)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2" w:name="page163"/>
    <w:bookmarkEnd w:id="162"/>
    <w:p>
      <w:pPr>
        <w:jc w:val="right"/>
        <w:ind w:right="2339"/>
        <w:spacing w:after="0"/>
        <w:rPr>
          <w:sz w:val="20"/>
          <w:szCs w:val="20"/>
          <w:color w:val="auto"/>
        </w:rPr>
      </w:pPr>
      <w:r>
        <w:rPr>
          <w:rFonts w:ascii="Arial" w:cs="Arial" w:eastAsia="Arial" w:hAnsi="Arial"/>
          <w:sz w:val="20"/>
          <w:szCs w:val="20"/>
          <w:color w:val="auto"/>
        </w:rPr>
        <w:t>[SIGNATURES APPEAR ON FOLLOWING PAGES]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(Term Loan)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163" w:name="page164"/>
    <w:bookmarkEnd w:id="163"/>
    <w:p>
      <w:pPr>
        <w:ind w:firstLine="749"/>
        <w:spacing w:after="0" w:line="247" w:lineRule="auto"/>
        <w:rPr>
          <w:sz w:val="20"/>
          <w:szCs w:val="20"/>
          <w:color w:val="auto"/>
        </w:rPr>
      </w:pPr>
      <w:r>
        <w:rPr>
          <w:rFonts w:ascii="Arial" w:cs="Arial" w:eastAsia="Arial" w:hAnsi="Arial"/>
          <w:sz w:val="20"/>
          <w:szCs w:val="20"/>
          <w:color w:val="auto"/>
        </w:rPr>
        <w:t>IN WITNESS WHEREOF, intending to be legally bound, the undersigned have executed this Agreement as of the day and year first hereinabove set forth.</w:t>
      </w:r>
    </w:p>
    <w:p>
      <w:pPr>
        <w:spacing w:after="0" w:line="386" w:lineRule="exact"/>
        <w:rPr>
          <w:sz w:val="20"/>
          <w:szCs w:val="20"/>
          <w:color w:val="auto"/>
        </w:rPr>
      </w:pPr>
    </w:p>
    <w:p>
      <w:pPr>
        <w:ind w:left="20"/>
        <w:spacing w:after="0"/>
        <w:tabs>
          <w:tab w:leader="none" w:pos="4740" w:val="left"/>
        </w:tabs>
        <w:rPr>
          <w:sz w:val="20"/>
          <w:szCs w:val="20"/>
          <w:color w:val="auto"/>
        </w:rPr>
      </w:pPr>
      <w:r>
        <w:rPr>
          <w:rFonts w:ascii="Arial" w:cs="Arial" w:eastAsia="Arial" w:hAnsi="Arial"/>
          <w:sz w:val="20"/>
          <w:szCs w:val="20"/>
          <w:b w:val="1"/>
          <w:bCs w:val="1"/>
          <w:color w:val="auto"/>
        </w:rPr>
        <w:t>AGENT:</w:t>
      </w:r>
      <w:r>
        <w:rPr>
          <w:sz w:val="20"/>
          <w:szCs w:val="20"/>
          <w:color w:val="auto"/>
        </w:rPr>
        <w:tab/>
      </w:r>
      <w:r>
        <w:rPr>
          <w:rFonts w:ascii="Arial" w:cs="Arial" w:eastAsia="Arial" w:hAnsi="Arial"/>
          <w:sz w:val="20"/>
          <w:szCs w:val="20"/>
          <w:b w:val="1"/>
          <w:bCs w:val="1"/>
          <w:color w:val="auto"/>
        </w:rPr>
        <w:t>MIDCAP FINANCIAL TRUST</w:t>
      </w:r>
    </w:p>
    <w:p>
      <w:pPr>
        <w:spacing w:after="0" w:line="170"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 Apollo Capital Management, L.P.,</w:t>
      </w:r>
    </w:p>
    <w:p>
      <w:pPr>
        <w:ind w:left="5240"/>
        <w:spacing w:after="0"/>
        <w:rPr>
          <w:sz w:val="20"/>
          <w:szCs w:val="20"/>
          <w:color w:val="auto"/>
        </w:rPr>
      </w:pPr>
      <w:r>
        <w:rPr>
          <w:rFonts w:ascii="Arial" w:cs="Arial" w:eastAsia="Arial" w:hAnsi="Arial"/>
          <w:sz w:val="20"/>
          <w:szCs w:val="20"/>
          <w:color w:val="auto"/>
        </w:rPr>
        <w:t>its investment manager</w:t>
      </w:r>
    </w:p>
    <w:p>
      <w:pPr>
        <w:spacing w:after="0" w:line="148"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 Apollo Capital Management GP, LLC,</w:t>
      </w:r>
    </w:p>
    <w:p>
      <w:pPr>
        <w:ind w:left="5240"/>
        <w:spacing w:after="0"/>
        <w:rPr>
          <w:sz w:val="20"/>
          <w:szCs w:val="20"/>
          <w:color w:val="auto"/>
        </w:rPr>
      </w:pPr>
      <w:r>
        <w:rPr>
          <w:rFonts w:ascii="Arial" w:cs="Arial" w:eastAsia="Arial" w:hAnsi="Arial"/>
          <w:sz w:val="20"/>
          <w:szCs w:val="20"/>
          <w:color w:val="auto"/>
        </w:rPr>
        <w:t>its general partner</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 _/s/Maurice Amsellem__________</w:t>
      </w:r>
    </w:p>
    <w:p>
      <w:pPr>
        <w:ind w:left="4800"/>
        <w:spacing w:after="0" w:line="211" w:lineRule="auto"/>
        <w:rPr>
          <w:sz w:val="20"/>
          <w:szCs w:val="20"/>
          <w:color w:val="auto"/>
        </w:rPr>
      </w:pPr>
      <w:r>
        <w:rPr>
          <w:rFonts w:ascii="Arial" w:cs="Arial" w:eastAsia="Arial" w:hAnsi="Arial"/>
          <w:sz w:val="20"/>
          <w:szCs w:val="20"/>
          <w:color w:val="auto"/>
        </w:rPr>
        <w:t>Name: Maurice Amsellem</w:t>
      </w:r>
    </w:p>
    <w:p>
      <w:pPr>
        <w:ind w:left="48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(Term Loan)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4" w:name="page165"/>
    <w:bookmarkEnd w:id="164"/>
    <w:p>
      <w:pPr>
        <w:ind w:left="20"/>
        <w:spacing w:after="0"/>
        <w:tabs>
          <w:tab w:leader="none" w:pos="474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MIDCAP FUNDING XIII TRUST</w:t>
      </w:r>
    </w:p>
    <w:p>
      <w:pPr>
        <w:spacing w:after="0" w:line="169"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By: Apollo Capital Management, L.P.,</w:t>
      </w:r>
    </w:p>
    <w:p>
      <w:pPr>
        <w:ind w:left="5240"/>
        <w:spacing w:after="0"/>
        <w:rPr>
          <w:sz w:val="20"/>
          <w:szCs w:val="20"/>
          <w:color w:val="auto"/>
        </w:rPr>
      </w:pPr>
      <w:r>
        <w:rPr>
          <w:rFonts w:ascii="Arial" w:cs="Arial" w:eastAsia="Arial" w:hAnsi="Arial"/>
          <w:sz w:val="20"/>
          <w:szCs w:val="20"/>
          <w:color w:val="auto"/>
        </w:rPr>
        <w:t>its investment manager</w:t>
      </w:r>
    </w:p>
    <w:p>
      <w:pPr>
        <w:spacing w:after="0" w:line="159"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By: Apollo Capital Management GP, LLC,</w:t>
      </w:r>
    </w:p>
    <w:p>
      <w:pPr>
        <w:ind w:left="5240"/>
        <w:spacing w:after="0"/>
        <w:rPr>
          <w:sz w:val="20"/>
          <w:szCs w:val="20"/>
          <w:color w:val="auto"/>
        </w:rPr>
      </w:pPr>
      <w:r>
        <w:rPr>
          <w:rFonts w:ascii="Arial" w:cs="Arial" w:eastAsia="Arial" w:hAnsi="Arial"/>
          <w:sz w:val="20"/>
          <w:szCs w:val="20"/>
          <w:color w:val="auto"/>
        </w:rPr>
        <w:t>its general partner</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_/s/ Maurice Amsellem__________</w:t>
      </w:r>
    </w:p>
    <w:p>
      <w:pPr>
        <w:ind w:left="4800"/>
        <w:spacing w:after="0" w:line="223" w:lineRule="auto"/>
        <w:rPr>
          <w:sz w:val="20"/>
          <w:szCs w:val="20"/>
          <w:color w:val="auto"/>
        </w:rPr>
      </w:pPr>
      <w:r>
        <w:rPr>
          <w:rFonts w:ascii="Arial" w:cs="Arial" w:eastAsia="Arial" w:hAnsi="Arial"/>
          <w:sz w:val="20"/>
          <w:szCs w:val="20"/>
          <w:color w:val="auto"/>
        </w:rPr>
        <w:t>Name: Maurice Amsellem</w:t>
      </w:r>
    </w:p>
    <w:p>
      <w:pPr>
        <w:ind w:left="48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(Term Loan)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65" w:name="page166"/>
    <w:bookmarkEnd w:id="165"/>
    <w:p>
      <w:pPr>
        <w:spacing w:after="0"/>
        <w:rPr>
          <w:sz w:val="20"/>
          <w:szCs w:val="20"/>
          <w:color w:val="auto"/>
        </w:rPr>
      </w:pPr>
      <w:r>
        <w:rPr>
          <w:rFonts w:ascii="Arial" w:cs="Arial" w:eastAsia="Arial" w:hAnsi="Arial"/>
          <w:sz w:val="20"/>
          <w:szCs w:val="20"/>
          <w:color w:val="auto"/>
        </w:rPr>
        <w:t>3</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MidCap / Sight Sciences / Second Amendment to A&amp;R Credit Agreement (Term Loan)</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68" w:right="1440" w:bottom="1440" w:gutter="0" w:footer="0" w:header="0"/>
        </w:sectPr>
      </w:pPr>
    </w:p>
    <w:bookmarkStart w:id="166" w:name="page167"/>
    <w:bookmarkEnd w:id="166"/>
    <w:p>
      <w:pPr>
        <w:ind w:left="20"/>
        <w:spacing w:after="0"/>
        <w:tabs>
          <w:tab w:leader="none" w:pos="452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ELM 2020-3 TRUST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By: MidCap Financial Services Capital Management, LLC, as Servicer</w:t>
      </w:r>
    </w:p>
    <w:p>
      <w:pPr>
        <w:spacing w:after="0" w:line="312"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By: _/s/ John O'Dea___________________</w:t>
      </w:r>
    </w:p>
    <w:p>
      <w:pPr>
        <w:ind w:left="4600"/>
        <w:spacing w:after="0" w:line="211" w:lineRule="auto"/>
        <w:rPr>
          <w:sz w:val="20"/>
          <w:szCs w:val="20"/>
          <w:color w:val="auto"/>
        </w:rPr>
      </w:pPr>
      <w:r>
        <w:rPr>
          <w:rFonts w:ascii="Arial" w:cs="Arial" w:eastAsia="Arial" w:hAnsi="Arial"/>
          <w:sz w:val="20"/>
          <w:szCs w:val="20"/>
          <w:color w:val="auto"/>
        </w:rPr>
        <w:t>Name: John O’Dea</w:t>
      </w:r>
    </w:p>
    <w:p>
      <w:pPr>
        <w:ind w:left="45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10" w:lineRule="exact"/>
        <w:rPr>
          <w:sz w:val="20"/>
          <w:szCs w:val="20"/>
          <w:color w:val="auto"/>
        </w:rPr>
      </w:pPr>
    </w:p>
    <w:p>
      <w:pPr>
        <w:ind w:left="100"/>
        <w:spacing w:after="0"/>
        <w:tabs>
          <w:tab w:leader="none" w:pos="434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ELM 2020-4 TRUST</w:t>
      </w:r>
    </w:p>
    <w:p>
      <w:pPr>
        <w:spacing w:after="0" w:line="15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MidCap Financial Services Capital Management, LLC, as Servicer</w:t>
      </w:r>
    </w:p>
    <w:p>
      <w:pPr>
        <w:spacing w:after="0" w:line="335"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By: _/s/ John O'Dea____________________</w:t>
      </w:r>
    </w:p>
    <w:p>
      <w:pPr>
        <w:ind w:left="4400"/>
        <w:spacing w:after="0" w:line="211" w:lineRule="auto"/>
        <w:rPr>
          <w:sz w:val="20"/>
          <w:szCs w:val="20"/>
          <w:color w:val="auto"/>
        </w:rPr>
      </w:pPr>
      <w:r>
        <w:rPr>
          <w:rFonts w:ascii="Arial" w:cs="Arial" w:eastAsia="Arial" w:hAnsi="Arial"/>
          <w:sz w:val="20"/>
          <w:szCs w:val="20"/>
          <w:color w:val="auto"/>
        </w:rPr>
        <w:t>Name: John O’Dea</w:t>
      </w:r>
    </w:p>
    <w:p>
      <w:pPr>
        <w:ind w:left="44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(Term Loan)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20" w:top="360" w:right="1399" w:bottom="1440" w:gutter="0" w:footer="0" w:header="0"/>
        </w:sectPr>
      </w:pPr>
    </w:p>
    <w:bookmarkStart w:id="167" w:name="page168"/>
    <w:bookmarkEnd w:id="167"/>
    <w:p>
      <w:pPr>
        <w:spacing w:after="0"/>
        <w:tabs>
          <w:tab w:leader="none" w:pos="3160" w:val="left"/>
        </w:tabs>
        <w:rPr>
          <w:sz w:val="20"/>
          <w:szCs w:val="20"/>
          <w:color w:val="auto"/>
        </w:rPr>
      </w:pPr>
      <w:r>
        <w:rPr>
          <w:rFonts w:ascii="Arial" w:cs="Arial" w:eastAsia="Arial" w:hAnsi="Arial"/>
          <w:sz w:val="20"/>
          <w:szCs w:val="20"/>
          <w:b w:val="1"/>
          <w:bCs w:val="1"/>
          <w:color w:val="auto"/>
        </w:rPr>
        <w:t>BORROWER:</w:t>
      </w:r>
      <w:r>
        <w:rPr>
          <w:sz w:val="20"/>
          <w:szCs w:val="20"/>
          <w:color w:val="auto"/>
        </w:rPr>
        <w:tab/>
      </w:r>
      <w:r>
        <w:rPr>
          <w:rFonts w:ascii="Arial" w:cs="Arial" w:eastAsia="Arial" w:hAnsi="Arial"/>
          <w:sz w:val="20"/>
          <w:szCs w:val="20"/>
          <w:b w:val="1"/>
          <w:bCs w:val="1"/>
          <w:color w:val="auto"/>
        </w:rPr>
        <w:t>SIGHT SCIENCES, INC.</w:t>
      </w: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 _/s/ Jesse Selnick__________________</w:t>
      </w:r>
    </w:p>
    <w:p>
      <w:pPr>
        <w:spacing w:after="0" w:line="48"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Name: _Jesse Selnick__________________</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_Chief Financial Officer___________</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(Term Loan)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20"/>
          <w:szCs w:val="20"/>
          <w:b w:val="1"/>
          <w:bCs w:val="1"/>
          <w:u w:val="single" w:color="auto"/>
          <w:color w:val="auto"/>
        </w:rPr>
        <w:t>ANNEX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 to Credit Agreement (Form of Compliance Certificate)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COMPLIANCE CERTIFICATE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This Compliance Certificate is given by _____________________, a Responsible Officer of Sight Sciences, Inc., a Delaware</w:t>
      </w:r>
    </w:p>
    <w:p>
      <w:pPr>
        <w:spacing w:after="0" w:line="1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corporation (the “</w:t>
      </w:r>
      <w:r>
        <w:rPr>
          <w:rFonts w:ascii="Arial" w:cs="Arial" w:eastAsia="Arial" w:hAnsi="Arial"/>
          <w:sz w:val="20"/>
          <w:szCs w:val="20"/>
          <w:b w:val="1"/>
          <w:bCs w:val="1"/>
          <w:color w:val="auto"/>
        </w:rPr>
        <w:t>Borrower Representative</w:t>
      </w:r>
      <w:r>
        <w:rPr>
          <w:rFonts w:ascii="Arial" w:cs="Arial" w:eastAsia="Arial" w:hAnsi="Arial"/>
          <w:sz w:val="20"/>
          <w:szCs w:val="20"/>
          <w:color w:val="auto"/>
        </w:rPr>
        <w:t>”), pursuant to that certain Amended and Restated Credit and Security Agreement (Term Loan), dated as of November 23, 2020 among the Borrower Representative and any additional Borrower that may hereafter be added thereto (collectively, “</w:t>
      </w:r>
      <w:r>
        <w:rPr>
          <w:rFonts w:ascii="Arial" w:cs="Arial" w:eastAsia="Arial" w:hAnsi="Arial"/>
          <w:sz w:val="20"/>
          <w:szCs w:val="20"/>
          <w:b w:val="1"/>
          <w:bCs w:val="1"/>
          <w:color w:val="auto"/>
        </w:rPr>
        <w:t>Borrowers</w:t>
      </w:r>
      <w:r>
        <w:rPr>
          <w:rFonts w:ascii="Arial" w:cs="Arial" w:eastAsia="Arial" w:hAnsi="Arial"/>
          <w:sz w:val="20"/>
          <w:szCs w:val="20"/>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Capitalized terms used herein without definition shall have the meanings set forth in the Credit Agreement.</w:t>
      </w:r>
    </w:p>
    <w:p>
      <w:pPr>
        <w:spacing w:after="0" w:line="18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The undersigned Responsible Officer hereby certifies, solely in his/her capacity as a Responsible Officer of the Borrower Representative and not in any individual capacity, to Agent and Lenders that:</w:t>
      </w:r>
    </w:p>
    <w:p>
      <w:pPr>
        <w:spacing w:after="0" w:line="177" w:lineRule="exact"/>
        <w:rPr>
          <w:sz w:val="20"/>
          <w:szCs w:val="20"/>
          <w:color w:val="auto"/>
        </w:rPr>
      </w:pPr>
    </w:p>
    <w:p>
      <w:pPr>
        <w:jc w:val="both"/>
        <w:ind w:firstLine="757"/>
        <w:spacing w:after="0" w:line="237" w:lineRule="auto"/>
        <w:tabs>
          <w:tab w:leader="none" w:pos="1145"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financial statements delivered with this certificate in accordance with Section 4.1 of the Credit Agreement fairly present in all material respects the results of operations and financial condition of Borrowers and their Consolidated Subsidiaries as of the dates and the accounting period covered by such financial statements;]</w:t>
      </w:r>
    </w:p>
    <w:p>
      <w:pPr>
        <w:spacing w:after="0" w:line="182" w:lineRule="exact"/>
        <w:rPr>
          <w:rFonts w:ascii="Arial" w:cs="Arial" w:eastAsia="Arial" w:hAnsi="Arial"/>
          <w:sz w:val="20"/>
          <w:szCs w:val="20"/>
          <w:color w:val="auto"/>
        </w:rPr>
      </w:pPr>
    </w:p>
    <w:p>
      <w:pPr>
        <w:ind w:left="1160" w:hanging="403"/>
        <w:spacing w:after="0"/>
        <w:tabs>
          <w:tab w:leader="none" w:pos="11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[reserved];</w:t>
      </w:r>
    </w:p>
    <w:p>
      <w:pPr>
        <w:spacing w:after="0" w:line="202" w:lineRule="exact"/>
        <w:rPr>
          <w:rFonts w:ascii="Arial" w:cs="Arial" w:eastAsia="Arial" w:hAnsi="Arial"/>
          <w:sz w:val="20"/>
          <w:szCs w:val="20"/>
          <w:color w:val="auto"/>
        </w:rPr>
      </w:pPr>
    </w:p>
    <w:p>
      <w:pPr>
        <w:jc w:val="both"/>
        <w:ind w:firstLine="757"/>
        <w:spacing w:after="0" w:line="244" w:lineRule="auto"/>
        <w:tabs>
          <w:tab w:leader="none" w:pos="1145"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I have reviewed the terms of the Credit Agreement and have made, or caused to be made under my supervision, a review in reasonable detail of the transactions and conditions of Borrowers and their Consolidated Subsidiaries during the accounting period covered by such financial statements, and such review has not disclosed the existence during or at the end of such accounting period, and I have no knowledge of the existence as of the date hereof, of any condition or event that constitutes a Default or an Event of Default, except as set forth in </w:t>
      </w:r>
      <w:r>
        <w:rPr>
          <w:rFonts w:ascii="Arial" w:cs="Arial" w:eastAsia="Arial" w:hAnsi="Arial"/>
          <w:sz w:val="19"/>
          <w:szCs w:val="19"/>
          <w:b w:val="1"/>
          <w:bCs w:val="1"/>
          <w:u w:val="single" w:color="auto"/>
          <w:color w:val="auto"/>
        </w:rPr>
        <w:t>Schedule 1</w:t>
      </w:r>
      <w:r>
        <w:rPr>
          <w:rFonts w:ascii="Arial" w:cs="Arial" w:eastAsia="Arial" w:hAnsi="Arial"/>
          <w:sz w:val="19"/>
          <w:szCs w:val="19"/>
          <w:color w:val="auto"/>
        </w:rPr>
        <w:t xml:space="preserve"> hereto, which includes a description of the nature and period of existence of such Default or an Event of Default and what action Borrowers have taken, are undertaking and propose to take with respect thereto;</w:t>
      </w:r>
    </w:p>
    <w:p>
      <w:pPr>
        <w:spacing w:after="0" w:line="173" w:lineRule="exact"/>
        <w:rPr>
          <w:rFonts w:ascii="Arial" w:cs="Arial" w:eastAsia="Arial" w:hAnsi="Arial"/>
          <w:sz w:val="19"/>
          <w:szCs w:val="19"/>
          <w:color w:val="auto"/>
        </w:rPr>
      </w:pPr>
    </w:p>
    <w:p>
      <w:pPr>
        <w:jc w:val="both"/>
        <w:ind w:firstLine="757"/>
        <w:spacing w:after="0" w:line="279" w:lineRule="auto"/>
        <w:tabs>
          <w:tab w:leader="none" w:pos="114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attached hereto, </w:t>
      </w:r>
      <w:r>
        <w:rPr>
          <w:rFonts w:ascii="Arial" w:cs="Arial" w:eastAsia="Arial" w:hAnsi="Arial"/>
          <w:sz w:val="18"/>
          <w:szCs w:val="18"/>
          <w:u w:val="single" w:color="auto"/>
          <w:color w:val="auto"/>
        </w:rPr>
        <w:t>Schedule 9.2(b)</w:t>
      </w:r>
      <w:r>
        <w:rPr>
          <w:rFonts w:ascii="Arial" w:cs="Arial" w:eastAsia="Arial" w:hAnsi="Arial"/>
          <w:sz w:val="18"/>
          <w:szCs w:val="18"/>
          <w:color w:val="auto"/>
        </w:rPr>
        <w:t xml:space="preserve"> to the Credit Agreement contains a complete and accurate list of all business locations of Borrowers and Guarantors and all names under which Borrowers and Guarantors currently conduct business;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specifically notes any changes in the names under which any Borrower or Guarantors conduct business;</w:t>
      </w:r>
    </w:p>
    <w:p>
      <w:pPr>
        <w:spacing w:after="0" w:line="142" w:lineRule="exact"/>
        <w:rPr>
          <w:rFonts w:ascii="Arial" w:cs="Arial" w:eastAsia="Arial" w:hAnsi="Arial"/>
          <w:sz w:val="18"/>
          <w:szCs w:val="18"/>
          <w:color w:val="auto"/>
        </w:rPr>
      </w:pPr>
    </w:p>
    <w:p>
      <w:pPr>
        <w:jc w:val="both"/>
        <w:ind w:firstLine="757"/>
        <w:spacing w:after="0" w:line="235" w:lineRule="auto"/>
        <w:tabs>
          <w:tab w:leader="none" w:pos="1145"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b w:val="1"/>
          <w:bCs w:val="1"/>
          <w:u w:val="single" w:color="auto"/>
          <w:color w:val="auto"/>
        </w:rPr>
        <w:t>Schedule 3</w:t>
      </w:r>
      <w:r>
        <w:rPr>
          <w:rFonts w:ascii="Arial" w:cs="Arial" w:eastAsia="Arial" w:hAnsi="Arial"/>
          <w:sz w:val="20"/>
          <w:szCs w:val="20"/>
          <w:color w:val="auto"/>
        </w:rPr>
        <w:t xml:space="preserve"> attached hereto, the undersigned has no knowledge of (i) any federal or state tax liens (other than Permitted Liens) having been filed against any Borrower, Guarantor or any Collateral, or (ii) any failure of any Borrower or any Guarantors to make required payments of withholding or other tax obligations of any Borrower or any Guarantors during the accounting period to which the attached statements pertain or any subsequent period;</w:t>
      </w:r>
    </w:p>
    <w:p>
      <w:pPr>
        <w:spacing w:after="0" w:line="185" w:lineRule="exact"/>
        <w:rPr>
          <w:sz w:val="20"/>
          <w:szCs w:val="20"/>
          <w:color w:val="auto"/>
        </w:rPr>
      </w:pPr>
    </w:p>
    <w:p>
      <w:pPr>
        <w:ind w:firstLine="833"/>
        <w:spacing w:after="0" w:line="246" w:lineRule="auto"/>
        <w:tabs>
          <w:tab w:leader="none" w:pos="1199" w:val="left"/>
        </w:tabs>
        <w:numPr>
          <w:ilvl w:val="1"/>
          <w:numId w:val="79"/>
        </w:numPr>
        <w:rPr>
          <w:rFonts w:ascii="Arial" w:cs="Arial" w:eastAsia="Arial" w:hAnsi="Arial"/>
          <w:sz w:val="20"/>
          <w:szCs w:val="20"/>
          <w:color w:val="auto"/>
        </w:rPr>
      </w:pP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to the Credit Agreement contains a complete and accurate statement of all deposit accounts or investment accounts maintained by Borrowers and Guarantors;</w:t>
      </w:r>
    </w:p>
    <w:p>
      <w:pPr>
        <w:spacing w:after="0" w:line="170" w:lineRule="exact"/>
        <w:rPr>
          <w:rFonts w:ascii="Arial" w:cs="Arial" w:eastAsia="Arial" w:hAnsi="Arial"/>
          <w:sz w:val="20"/>
          <w:szCs w:val="20"/>
          <w:color w:val="auto"/>
        </w:rPr>
      </w:pPr>
    </w:p>
    <w:p>
      <w:pPr>
        <w:ind w:firstLine="757"/>
        <w:spacing w:after="0" w:line="252" w:lineRule="auto"/>
        <w:tabs>
          <w:tab w:leader="none" w:pos="1145"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b w:val="1"/>
          <w:bCs w:val="1"/>
          <w:u w:val="single" w:color="auto"/>
          <w:color w:val="auto"/>
        </w:rPr>
        <w:t>Schedule 4</w:t>
      </w:r>
      <w:r>
        <w:rPr>
          <w:rFonts w:ascii="Arial" w:cs="Arial" w:eastAsia="Arial" w:hAnsi="Arial"/>
          <w:sz w:val="20"/>
          <w:szCs w:val="20"/>
          <w:color w:val="auto"/>
        </w:rPr>
        <w:t xml:space="preserve"> attached hereto and </w:t>
      </w:r>
      <w:r>
        <w:rPr>
          <w:rFonts w:ascii="Arial" w:cs="Arial" w:eastAsia="Arial" w:hAnsi="Arial"/>
          <w:sz w:val="20"/>
          <w:szCs w:val="20"/>
          <w:u w:val="single" w:color="auto"/>
          <w:color w:val="auto"/>
        </w:rPr>
        <w:t>Schedule 3.6</w:t>
      </w:r>
      <w:r>
        <w:rPr>
          <w:rFonts w:ascii="Arial" w:cs="Arial" w:eastAsia="Arial" w:hAnsi="Arial"/>
          <w:sz w:val="20"/>
          <w:szCs w:val="20"/>
          <w:color w:val="auto"/>
        </w:rPr>
        <w:t xml:space="preserve"> to the Credit Agreement, the undersigned has no knowledge of any current, pending or threatened: (i) litigation against the Borrowers or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(Term Loan)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9" w:name="page170"/>
    <w:bookmarkEnd w:id="169"/>
    <w:p>
      <w:pPr>
        <w:jc w:val="both"/>
        <w:spacing w:after="0" w:line="237" w:lineRule="auto"/>
        <w:rPr>
          <w:sz w:val="20"/>
          <w:szCs w:val="20"/>
          <w:color w:val="auto"/>
        </w:rPr>
      </w:pPr>
      <w:r>
        <w:rPr>
          <w:rFonts w:ascii="Arial" w:cs="Arial" w:eastAsia="Arial" w:hAnsi="Arial"/>
          <w:sz w:val="20"/>
          <w:szCs w:val="20"/>
          <w:color w:val="auto"/>
        </w:rPr>
        <w:t>any Guarantors, (ii) inquiries, investigations or proceedings concerning the business affairs, practices, licensing or reimbursement entitlements of Borrowers or any Guarantors, or (iii) default by Borrowers or any Guarantors under any Material Contract to which it is a party;]</w:t>
      </w:r>
    </w:p>
    <w:p>
      <w:pPr>
        <w:spacing w:after="0" w:line="177" w:lineRule="exact"/>
        <w:rPr>
          <w:sz w:val="20"/>
          <w:szCs w:val="20"/>
          <w:color w:val="auto"/>
        </w:rPr>
      </w:pPr>
    </w:p>
    <w:p>
      <w:pPr>
        <w:jc w:val="both"/>
        <w:ind w:firstLine="757"/>
        <w:spacing w:after="0" w:line="264" w:lineRule="auto"/>
        <w:tabs>
          <w:tab w:leader="none" w:pos="1145"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b w:val="1"/>
          <w:bCs w:val="1"/>
          <w:u w:val="single" w:color="auto"/>
          <w:color w:val="auto"/>
        </w:rPr>
        <w:t>Schedule 5</w:t>
      </w:r>
      <w:r>
        <w:rPr>
          <w:rFonts w:ascii="Arial" w:cs="Arial" w:eastAsia="Arial" w:hAnsi="Arial"/>
          <w:sz w:val="18"/>
          <w:szCs w:val="18"/>
          <w:color w:val="auto"/>
        </w:rPr>
        <w:t xml:space="preserve"> attached hereto, no Borrower has acquired, by purchase, by the approval or granting of any application for registration (whether or not such application was previously disclosed to Agent by Borrowers) or otherwise, any Intellectual Property that is registered with any United States or foreign Governmental Authority, or has filed with any such United States or foreign Governmental Authority, any new application for the registration of any Intellectual Property, that has not previously been reported to Agent on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to the Credit Agreement or any </w:t>
      </w:r>
      <w:r>
        <w:rPr>
          <w:rFonts w:ascii="Arial" w:cs="Arial" w:eastAsia="Arial" w:hAnsi="Arial"/>
          <w:sz w:val="18"/>
          <w:szCs w:val="18"/>
          <w:b w:val="1"/>
          <w:bCs w:val="1"/>
          <w:u w:val="single" w:color="auto"/>
          <w:color w:val="auto"/>
        </w:rPr>
        <w:t>Schedule 5</w:t>
      </w:r>
      <w:r>
        <w:rPr>
          <w:rFonts w:ascii="Arial" w:cs="Arial" w:eastAsia="Arial" w:hAnsi="Arial"/>
          <w:sz w:val="18"/>
          <w:szCs w:val="18"/>
          <w:color w:val="auto"/>
        </w:rPr>
        <w:t xml:space="preserve"> to any previous Compliance Certificate delivered by Borrower to Agent];</w:t>
      </w:r>
    </w:p>
    <w:p>
      <w:pPr>
        <w:spacing w:after="0" w:line="157" w:lineRule="exact"/>
        <w:rPr>
          <w:rFonts w:ascii="Arial" w:cs="Arial" w:eastAsia="Arial" w:hAnsi="Arial"/>
          <w:sz w:val="18"/>
          <w:szCs w:val="18"/>
          <w:color w:val="auto"/>
        </w:rPr>
      </w:pPr>
    </w:p>
    <w:p>
      <w:pPr>
        <w:jc w:val="both"/>
        <w:ind w:firstLine="757"/>
        <w:spacing w:after="0" w:line="247" w:lineRule="auto"/>
        <w:tabs>
          <w:tab w:leader="none" w:pos="1145"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[except as noted on </w:t>
      </w:r>
      <w:r>
        <w:rPr>
          <w:rFonts w:ascii="Arial" w:cs="Arial" w:eastAsia="Arial" w:hAnsi="Arial"/>
          <w:sz w:val="19"/>
          <w:szCs w:val="19"/>
          <w:b w:val="1"/>
          <w:bCs w:val="1"/>
          <w:u w:val="single" w:color="auto"/>
          <w:color w:val="auto"/>
        </w:rPr>
        <w:t>Schedule 5</w:t>
      </w:r>
      <w:r>
        <w:rPr>
          <w:rFonts w:ascii="Arial" w:cs="Arial" w:eastAsia="Arial" w:hAnsi="Arial"/>
          <w:sz w:val="19"/>
          <w:szCs w:val="19"/>
          <w:color w:val="auto"/>
        </w:rPr>
        <w:t xml:space="preserve"> attached hereto, no entered into or become bound by any additional in-bound license or sublicense agreement that is material to Borrower’s business or any additional exclusive out-bound license or sublicense agreement (excluding agreements for in-bound licenses for (a) off-the-shelf software or services that are commercially available to the public, and (b) open source software), that has not previously been reported to Agent on </w:t>
      </w:r>
      <w:r>
        <w:rPr>
          <w:rFonts w:ascii="Arial" w:cs="Arial" w:eastAsia="Arial" w:hAnsi="Arial"/>
          <w:sz w:val="19"/>
          <w:szCs w:val="19"/>
          <w:u w:val="single" w:color="auto"/>
          <w:color w:val="auto"/>
        </w:rPr>
        <w:t>Schedule 3.19</w:t>
      </w:r>
      <w:r>
        <w:rPr>
          <w:rFonts w:ascii="Arial" w:cs="Arial" w:eastAsia="Arial" w:hAnsi="Arial"/>
          <w:sz w:val="19"/>
          <w:szCs w:val="19"/>
          <w:color w:val="auto"/>
        </w:rPr>
        <w:t xml:space="preserve"> to the Credit Agreement or any </w:t>
      </w:r>
      <w:r>
        <w:rPr>
          <w:rFonts w:ascii="Arial" w:cs="Arial" w:eastAsia="Arial" w:hAnsi="Arial"/>
          <w:sz w:val="19"/>
          <w:szCs w:val="19"/>
          <w:b w:val="1"/>
          <w:bCs w:val="1"/>
          <w:u w:val="single" w:color="auto"/>
          <w:color w:val="auto"/>
        </w:rPr>
        <w:t>Schedule 5</w:t>
      </w:r>
      <w:r>
        <w:rPr>
          <w:rFonts w:ascii="Arial" w:cs="Arial" w:eastAsia="Arial" w:hAnsi="Arial"/>
          <w:sz w:val="19"/>
          <w:szCs w:val="19"/>
          <w:color w:val="auto"/>
        </w:rPr>
        <w:t xml:space="preserve"> to any previous Compliance Certificate delivered by Borrower to Agent] ;</w:t>
      </w:r>
    </w:p>
    <w:p>
      <w:pPr>
        <w:spacing w:after="0" w:line="171" w:lineRule="exact"/>
        <w:rPr>
          <w:rFonts w:ascii="Arial" w:cs="Arial" w:eastAsia="Arial" w:hAnsi="Arial"/>
          <w:sz w:val="19"/>
          <w:szCs w:val="19"/>
          <w:color w:val="auto"/>
        </w:rPr>
      </w:pPr>
    </w:p>
    <w:p>
      <w:pPr>
        <w:jc w:val="both"/>
        <w:ind w:firstLine="757"/>
        <w:spacing w:after="0" w:line="258" w:lineRule="auto"/>
        <w:tabs>
          <w:tab w:leader="none" w:pos="1145"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except as noted on </w:t>
      </w:r>
      <w:r>
        <w:rPr>
          <w:rFonts w:ascii="Arial" w:cs="Arial" w:eastAsia="Arial" w:hAnsi="Arial"/>
          <w:sz w:val="19"/>
          <w:szCs w:val="19"/>
          <w:b w:val="1"/>
          <w:bCs w:val="1"/>
          <w:u w:val="single" w:color="auto"/>
          <w:color w:val="auto"/>
        </w:rPr>
        <w:t>Schedule 6</w:t>
      </w:r>
      <w:r>
        <w:rPr>
          <w:rFonts w:ascii="Arial" w:cs="Arial" w:eastAsia="Arial" w:hAnsi="Arial"/>
          <w:sz w:val="19"/>
          <w:szCs w:val="19"/>
          <w:color w:val="auto"/>
        </w:rPr>
        <w:t xml:space="preserve"> attached hereto, no Borrower or Guarantor has acquired, by purchase or otherwise, any Chattel Paper, Letter of Credit Rights, Instruments, Documents or Investment Property that has not previously been reported to Agent on any </w:t>
      </w:r>
      <w:r>
        <w:rPr>
          <w:rFonts w:ascii="Arial" w:cs="Arial" w:eastAsia="Arial" w:hAnsi="Arial"/>
          <w:sz w:val="19"/>
          <w:szCs w:val="19"/>
          <w:b w:val="1"/>
          <w:bCs w:val="1"/>
          <w:u w:val="single" w:color="auto"/>
          <w:color w:val="auto"/>
        </w:rPr>
        <w:t>Schedule 6</w:t>
      </w:r>
      <w:r>
        <w:rPr>
          <w:rFonts w:ascii="Arial" w:cs="Arial" w:eastAsia="Arial" w:hAnsi="Arial"/>
          <w:sz w:val="19"/>
          <w:szCs w:val="19"/>
          <w:b w:val="1"/>
          <w:bCs w:val="1"/>
          <w:color w:val="auto"/>
        </w:rPr>
        <w:t xml:space="preserve"> </w:t>
      </w:r>
      <w:r>
        <w:rPr>
          <w:rFonts w:ascii="Arial" w:cs="Arial" w:eastAsia="Arial" w:hAnsi="Arial"/>
          <w:sz w:val="19"/>
          <w:szCs w:val="19"/>
          <w:color w:val="auto"/>
        </w:rPr>
        <w:t>to any previous Compliance Certificate delivered by Borrower Representative to Agent;</w:t>
      </w:r>
    </w:p>
    <w:p>
      <w:pPr>
        <w:spacing w:after="0" w:line="165" w:lineRule="exact"/>
        <w:rPr>
          <w:rFonts w:ascii="Arial" w:cs="Arial" w:eastAsia="Arial" w:hAnsi="Arial"/>
          <w:sz w:val="19"/>
          <w:szCs w:val="19"/>
          <w:color w:val="auto"/>
        </w:rPr>
      </w:pPr>
    </w:p>
    <w:p>
      <w:pPr>
        <w:jc w:val="both"/>
        <w:ind w:firstLine="757"/>
        <w:spacing w:after="0" w:line="237" w:lineRule="auto"/>
        <w:tabs>
          <w:tab w:leader="none" w:pos="1145"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u w:val="single" w:color="auto"/>
          <w:color w:val="auto"/>
        </w:rPr>
        <w:t>Schedule 7</w:t>
      </w:r>
      <w:r>
        <w:rPr>
          <w:rFonts w:ascii="Arial" w:cs="Arial" w:eastAsia="Arial" w:hAnsi="Arial"/>
          <w:sz w:val="20"/>
          <w:szCs w:val="20"/>
          <w:color w:val="auto"/>
        </w:rPr>
        <w:t xml:space="preserve"> attached hereto, no Borrower or Guarantor is aware of any commercial tort claim that has not previously been reported to Agent on any </w:t>
      </w:r>
      <w:r>
        <w:rPr>
          <w:rFonts w:ascii="Arial" w:cs="Arial" w:eastAsia="Arial" w:hAnsi="Arial"/>
          <w:sz w:val="20"/>
          <w:szCs w:val="20"/>
          <w:u w:val="single" w:color="auto"/>
          <w:color w:val="auto"/>
        </w:rPr>
        <w:t>Schedule 7</w:t>
      </w:r>
      <w:r>
        <w:rPr>
          <w:rFonts w:ascii="Arial" w:cs="Arial" w:eastAsia="Arial" w:hAnsi="Arial"/>
          <w:sz w:val="20"/>
          <w:szCs w:val="20"/>
          <w:color w:val="auto"/>
        </w:rPr>
        <w:t xml:space="preserve"> to any previous Compliance Certificate delivered by Borrower Representative to Agent; and</w:t>
      </w:r>
    </w:p>
    <w:p>
      <w:pPr>
        <w:spacing w:after="0" w:line="182" w:lineRule="exact"/>
        <w:rPr>
          <w:rFonts w:ascii="Arial" w:cs="Arial" w:eastAsia="Arial" w:hAnsi="Arial"/>
          <w:sz w:val="20"/>
          <w:szCs w:val="20"/>
          <w:color w:val="auto"/>
        </w:rPr>
      </w:pPr>
    </w:p>
    <w:p>
      <w:pPr>
        <w:ind w:firstLine="757"/>
        <w:spacing w:after="0" w:line="246" w:lineRule="auto"/>
        <w:tabs>
          <w:tab w:leader="none" w:pos="1145" w:val="left"/>
        </w:tabs>
        <w:numPr>
          <w:ilvl w:val="0"/>
          <w:numId w:val="81"/>
        </w:numPr>
        <w:rPr>
          <w:rFonts w:ascii="Arial" w:cs="Arial" w:eastAsia="Arial" w:hAnsi="Arial"/>
          <w:sz w:val="20"/>
          <w:szCs w:val="20"/>
          <w:color w:val="auto"/>
        </w:rPr>
      </w:pPr>
      <w:r>
        <w:rPr>
          <w:rFonts w:ascii="Arial" w:cs="Arial" w:eastAsia="Arial" w:hAnsi="Arial"/>
          <w:sz w:val="20"/>
          <w:szCs w:val="20"/>
          <w:color w:val="auto"/>
        </w:rPr>
        <w:t>[ The aggregate amount of cash and cash equivalents held by Borrowers (on a consolidated basis) as of the date hereof is $[__________]];</w:t>
      </w:r>
    </w:p>
    <w:p>
      <w:pPr>
        <w:spacing w:after="0" w:line="176" w:lineRule="exact"/>
        <w:rPr>
          <w:rFonts w:ascii="Arial" w:cs="Arial" w:eastAsia="Arial" w:hAnsi="Arial"/>
          <w:sz w:val="20"/>
          <w:szCs w:val="20"/>
          <w:color w:val="auto"/>
        </w:rPr>
      </w:pPr>
    </w:p>
    <w:p>
      <w:pPr>
        <w:ind w:left="1160" w:hanging="403"/>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held by Excluded Subsidiaries as of the date hereof is $[__________]];</w:t>
      </w:r>
    </w:p>
    <w:p>
      <w:pPr>
        <w:spacing w:after="0" w:line="225" w:lineRule="exact"/>
        <w:rPr>
          <w:rFonts w:ascii="Arial" w:cs="Arial" w:eastAsia="Arial" w:hAnsi="Arial"/>
          <w:sz w:val="18"/>
          <w:szCs w:val="18"/>
          <w:color w:val="auto"/>
        </w:rPr>
      </w:pPr>
    </w:p>
    <w:p>
      <w:pPr>
        <w:ind w:left="1160" w:hanging="403"/>
        <w:spacing w:after="0"/>
        <w:tabs>
          <w:tab w:leader="none" w:pos="11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aggregate amount of Borrower Unrestricted Cash as of the date hereof is $[__________]]; and</w:t>
      </w:r>
    </w:p>
    <w:p>
      <w:pPr>
        <w:spacing w:after="0" w:line="202" w:lineRule="exact"/>
        <w:rPr>
          <w:sz w:val="20"/>
          <w:szCs w:val="20"/>
          <w:color w:val="auto"/>
        </w:rPr>
      </w:pPr>
    </w:p>
    <w:p>
      <w:pPr>
        <w:ind w:left="760"/>
        <w:spacing w:after="0"/>
        <w:tabs>
          <w:tab w:leader="none" w:pos="1140" w:val="left"/>
          <w:tab w:leader="none" w:pos="9700" w:val="left"/>
          <w:tab w:leader="none" w:pos="10000" w:val="left"/>
        </w:tabs>
        <w:rPr>
          <w:sz w:val="20"/>
          <w:szCs w:val="20"/>
          <w:color w:val="auto"/>
        </w:rPr>
      </w:pPr>
      <w:r>
        <w:rPr>
          <w:rFonts w:ascii="Arial" w:cs="Arial" w:eastAsia="Arial" w:hAnsi="Arial"/>
          <w:sz w:val="20"/>
          <w:szCs w:val="20"/>
          <w:color w:val="auto"/>
        </w:rPr>
        <w:t>(o)</w:t>
        <w:tab/>
        <w:t>[Net Revenue of Borrowers and Guarantors for the relevant Defined Period is equal to $</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Borrowers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-14605</wp:posOffset>
            </wp:positionV>
            <wp:extent cx="66357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3">
                      <a:extLst>
                        <a:ext uri="{28A0092B-C50C-407E-A947-70E740481C1C}"/>
                      </a:extLst>
                    </a:blip>
                    <a:srcRect/>
                    <a:stretch>
                      <a:fillRect/>
                    </a:stretch>
                  </pic:blipFill>
                  <pic:spPr bwMode="auto">
                    <a:xfrm>
                      <a:off x="0" y="0"/>
                      <a:ext cx="663575" cy="8255"/>
                    </a:xfrm>
                    <a:prstGeom prst="rect">
                      <a:avLst/>
                    </a:prstGeom>
                    <a:noFill/>
                  </pic:spPr>
                </pic:pic>
              </a:graphicData>
            </a:graphic>
          </wp:anchor>
        </w:drawing>
      </w:r>
    </w:p>
    <w:p>
      <w:pPr>
        <w:jc w:val="both"/>
        <w:spacing w:after="0" w:line="230" w:lineRule="auto"/>
        <w:rPr>
          <w:sz w:val="20"/>
          <w:szCs w:val="20"/>
          <w:color w:val="auto"/>
        </w:rPr>
      </w:pPr>
      <w:r>
        <w:rPr>
          <w:rFonts w:ascii="Arial" w:cs="Arial" w:eastAsia="Arial" w:hAnsi="Arial"/>
          <w:sz w:val="20"/>
          <w:szCs w:val="20"/>
          <w:color w:val="auto"/>
        </w:rPr>
        <w:t xml:space="preserve">Guarantor are </w:t>
      </w:r>
      <w:r>
        <w:rPr>
          <w:rFonts w:ascii="Arial" w:cs="Arial" w:eastAsia="Arial" w:hAnsi="Arial"/>
          <w:sz w:val="20"/>
          <w:szCs w:val="20"/>
          <w:b w:val="1"/>
          <w:bCs w:val="1"/>
          <w:color w:val="auto"/>
        </w:rPr>
        <w:t>[NOT</w:t>
      </w:r>
      <w:r>
        <w:rPr>
          <w:rFonts w:ascii="Arial" w:cs="Arial" w:eastAsia="Arial" w:hAnsi="Arial"/>
          <w:sz w:val="20"/>
          <w:szCs w:val="20"/>
          <w:color w:val="auto"/>
        </w:rPr>
        <w:t>] in compliance with the covenant contained in Article 6 of the Credit Agreement, and in any Guarantee constituting a part of the Financing Documents[, as demonstrated by the calculation of such covenants below, except as set forth below; in determining such compliance, the following calculations have been made: [See attached worksheets]. Such calculations and the certifications contained therein are true, correct and complete in all material respects].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foregoing certifications and computations are made as of ________________, 202__ (end of month) and as of _____________,</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202__.</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(Term Loan)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0" w:name="page171"/>
    <w:bookmarkEnd w:id="170"/>
    <w:p>
      <w:pPr>
        <w:ind w:left="5940"/>
        <w:spacing w:after="0"/>
        <w:rPr>
          <w:sz w:val="20"/>
          <w:szCs w:val="20"/>
          <w:color w:val="auto"/>
        </w:rPr>
      </w:pPr>
      <w:r>
        <w:rPr>
          <w:rFonts w:ascii="Arial" w:cs="Arial" w:eastAsia="Arial" w:hAnsi="Arial"/>
          <w:sz w:val="20"/>
          <w:szCs w:val="20"/>
          <w:color w:val="auto"/>
        </w:rPr>
        <w:t>Sincerely,</w:t>
      </w:r>
    </w:p>
    <w:p>
      <w:pPr>
        <w:spacing w:after="0" w:line="291" w:lineRule="exact"/>
        <w:rPr>
          <w:sz w:val="20"/>
          <w:szCs w:val="20"/>
          <w:color w:val="auto"/>
        </w:rPr>
      </w:pPr>
    </w:p>
    <w:p>
      <w:pPr>
        <w:ind w:left="5940"/>
        <w:spacing w:after="0"/>
        <w:rPr>
          <w:sz w:val="20"/>
          <w:szCs w:val="20"/>
          <w:color w:val="auto"/>
        </w:rPr>
      </w:pPr>
      <w:r>
        <w:rPr>
          <w:rFonts w:ascii="Arial" w:cs="Arial" w:eastAsia="Arial" w:hAnsi="Arial"/>
          <w:sz w:val="19"/>
          <w:szCs w:val="19"/>
          <w:b w:val="1"/>
          <w:bCs w:val="1"/>
          <w:color w:val="auto"/>
        </w:rPr>
        <w:t>SIGHT SCIENCES, INC.</w:t>
      </w:r>
    </w:p>
    <w:p>
      <w:pPr>
        <w:spacing w:after="0" w:line="303"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-7620</wp:posOffset>
            </wp:positionV>
            <wp:extent cx="32067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5">
                      <a:extLst>
                        <a:ext uri="{28A0092B-C50C-407E-A947-70E740481C1C}"/>
                      </a:extLst>
                    </a:blip>
                    <a:srcRect/>
                    <a:stretch>
                      <a:fillRect/>
                    </a:stretch>
                  </pic:blipFill>
                  <pic:spPr bwMode="auto">
                    <a:xfrm>
                      <a:off x="0" y="0"/>
                      <a:ext cx="320675" cy="8890"/>
                    </a:xfrm>
                    <a:prstGeom prst="rect">
                      <a:avLst/>
                    </a:prstGeom>
                    <a:noFill/>
                  </pic:spPr>
                </pic:pic>
              </a:graphicData>
            </a:graphic>
          </wp:anchor>
        </w:drawing>
      </w:r>
    </w:p>
    <w:p>
      <w:pPr>
        <w:ind w:left="5940"/>
        <w:spacing w:after="0" w:line="211"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-6985</wp:posOffset>
            </wp:positionV>
            <wp:extent cx="16764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6">
                      <a:extLst>
                        <a:ext uri="{28A0092B-C50C-407E-A947-70E740481C1C}"/>
                      </a:extLst>
                    </a:blip>
                    <a:srcRect/>
                    <a:stretch>
                      <a:fillRect/>
                    </a:stretch>
                  </pic:blipFill>
                  <pic:spPr bwMode="auto">
                    <a:xfrm>
                      <a:off x="0" y="0"/>
                      <a:ext cx="167640"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MidCap / Sight Sciences / Second Amendment to A&amp;R Credit Agreement (Term Loan)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MACROBUTTON DocID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6" w:right="1440"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23" w:lineRule="exact"/>
        <w:rPr>
          <w:sz w:val="20"/>
          <w:szCs w:val="20"/>
          <w:color w:val="auto"/>
        </w:rPr>
      </w:pPr>
    </w:p>
    <w:p>
      <w:pPr>
        <w:ind w:right="200"/>
        <w:spacing w:after="0" w:line="252" w:lineRule="auto"/>
        <w:rPr>
          <w:sz w:val="20"/>
          <w:szCs w:val="20"/>
          <w:color w:val="auto"/>
        </w:rPr>
      </w:pPr>
      <w:r>
        <w:rPr>
          <w:rFonts w:ascii="Arial" w:cs="Arial" w:eastAsia="Arial" w:hAnsi="Arial"/>
          <w:sz w:val="20"/>
          <w:szCs w:val="20"/>
          <w:b w:val="1"/>
          <w:bCs w:val="1"/>
          <w:color w:val="auto"/>
        </w:rPr>
        <w:t>Certain information marked as [****] has been excluded from this exhibit because it is both (i) not material and (ii) is the type that the Registrant treats as private or confidential.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#1</w:t>
      </w:r>
    </w:p>
    <w:p>
      <w:pPr>
        <w:jc w:val="center"/>
        <w:spacing w:after="0" w:line="233" w:lineRule="auto"/>
        <w:rPr>
          <w:sz w:val="20"/>
          <w:szCs w:val="20"/>
          <w:color w:val="auto"/>
        </w:rPr>
      </w:pPr>
      <w:r>
        <w:rPr>
          <w:rFonts w:ascii="Arial" w:cs="Arial" w:eastAsia="Arial" w:hAnsi="Arial"/>
          <w:sz w:val="20"/>
          <w:szCs w:val="20"/>
          <w:b w:val="1"/>
          <w:bCs w:val="1"/>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SUPPLY AGREEMENT</w:t>
      </w:r>
    </w:p>
    <w:p>
      <w:pPr>
        <w:spacing w:after="0" w:line="200" w:lineRule="exact"/>
        <w:rPr>
          <w:sz w:val="20"/>
          <w:szCs w:val="20"/>
          <w:color w:val="auto"/>
        </w:rPr>
      </w:pPr>
    </w:p>
    <w:p>
      <w:pPr>
        <w:spacing w:after="0" w:line="20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This Amendment #1 to Supply Agreement (“Amendment”) is made effective as of January 28, 2022 (the “Amendment Effective Date”) and entered into by and between Sight Sciences, Inc., a Delaware corporation having a principal place of business at 4040 Campbell Ave., Suite 100, Menlo Park, California 94025 (“</w:t>
      </w:r>
      <w:r>
        <w:rPr>
          <w:rFonts w:ascii="Arial" w:cs="Arial" w:eastAsia="Arial" w:hAnsi="Arial"/>
          <w:sz w:val="20"/>
          <w:szCs w:val="20"/>
          <w:b w:val="1"/>
          <w:bCs w:val="1"/>
          <w:color w:val="auto"/>
        </w:rPr>
        <w:t>Buyer</w:t>
      </w:r>
      <w:r>
        <w:rPr>
          <w:rFonts w:ascii="Arial" w:cs="Arial" w:eastAsia="Arial" w:hAnsi="Arial"/>
          <w:sz w:val="20"/>
          <w:szCs w:val="20"/>
          <w:color w:val="auto"/>
        </w:rPr>
        <w:t>”) and Peter’s Technology (Suzhou) CO., LTD., a Suzhou, Jiangsu Province corporation, with its principal place of business at No. 99 Jishi East Road, Wu Jiang District, Suzhou City, Jiangsu Province, P.R. China 215200 (</w:t>
      </w:r>
      <w:r>
        <w:rPr>
          <w:rFonts w:ascii="Arial" w:cs="Arial" w:eastAsia="Arial" w:hAnsi="Arial"/>
          <w:sz w:val="20"/>
          <w:szCs w:val="20"/>
          <w:b w:val="1"/>
          <w:bCs w:val="1"/>
          <w:color w:val="auto"/>
        </w:rPr>
        <w:t>“Supplier”</w:t>
      </w:r>
      <w:r>
        <w:rPr>
          <w:rFonts w:ascii="Arial" w:cs="Arial" w:eastAsia="Arial" w:hAnsi="Arial"/>
          <w:sz w:val="20"/>
          <w:szCs w:val="20"/>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0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WHEREAS, Buyer and Supplier are parties to that certain Supply Agreement, effective as of January 14, 2020 (as the same has been or may be amended, the “Agreement”); and</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WHEREAS, the Parties wish to amend certain of their respective rights and obligations under the Agreement as set forth herein.</w:t>
      </w:r>
    </w:p>
    <w:p>
      <w:pPr>
        <w:spacing w:after="0" w:line="22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NOW, THEREFORE, in consideration of the covenants contained herein, and for other good and valuable consideration, the receipt and sufficiency of which is hereby acknowledged,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325" w:lineRule="exact"/>
        <w:rPr>
          <w:sz w:val="20"/>
          <w:szCs w:val="20"/>
          <w:color w:val="auto"/>
        </w:rPr>
      </w:pPr>
    </w:p>
    <w:p>
      <w:pPr>
        <w:ind w:left="1500" w:hanging="743"/>
        <w:spacing w:after="0"/>
        <w:tabs>
          <w:tab w:leader="none" w:pos="15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This Amendment shall be effective as of the Amendment Effective Date.</w:t>
      </w:r>
    </w:p>
    <w:p>
      <w:pPr>
        <w:spacing w:after="0" w:line="202" w:lineRule="exact"/>
        <w:rPr>
          <w:rFonts w:ascii="Arial" w:cs="Arial" w:eastAsia="Arial" w:hAnsi="Arial"/>
          <w:sz w:val="20"/>
          <w:szCs w:val="20"/>
          <w:color w:val="auto"/>
        </w:rPr>
      </w:pPr>
    </w:p>
    <w:p>
      <w:pPr>
        <w:ind w:left="1500" w:hanging="743"/>
        <w:spacing w:after="0"/>
        <w:tabs>
          <w:tab w:leader="none" w:pos="15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amended in its entirety and replaced with the attached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of the Amendment Effective Date.</w:t>
      </w:r>
    </w:p>
    <w:p>
      <w:pPr>
        <w:spacing w:after="0" w:line="225" w:lineRule="exact"/>
        <w:rPr>
          <w:rFonts w:ascii="Arial" w:cs="Arial" w:eastAsia="Arial" w:hAnsi="Arial"/>
          <w:sz w:val="18"/>
          <w:szCs w:val="18"/>
          <w:color w:val="auto"/>
        </w:rPr>
      </w:pPr>
    </w:p>
    <w:p>
      <w:pPr>
        <w:ind w:left="1160" w:hanging="403"/>
        <w:spacing w:after="0"/>
        <w:tabs>
          <w:tab w:leader="none" w:pos="116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shall be amended in its entirety and replaced with the attached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as of the Amendment Effective Date.</w:t>
      </w:r>
    </w:p>
    <w:p>
      <w:pPr>
        <w:spacing w:after="0" w:line="105" w:lineRule="exact"/>
        <w:rPr>
          <w:rFonts w:ascii="Arial" w:cs="Arial" w:eastAsia="Arial" w:hAnsi="Arial"/>
          <w:sz w:val="19"/>
          <w:szCs w:val="19"/>
          <w:color w:val="auto"/>
        </w:rPr>
      </w:pPr>
    </w:p>
    <w:p>
      <w:pPr>
        <w:ind w:left="1160" w:hanging="403"/>
        <w:spacing w:after="0"/>
        <w:tabs>
          <w:tab w:leader="none" w:pos="1160" w:val="left"/>
        </w:tabs>
        <w:numPr>
          <w:ilvl w:val="0"/>
          <w:numId w:val="82"/>
        </w:numPr>
        <w:rPr>
          <w:rFonts w:ascii="Arial" w:cs="Arial" w:eastAsia="Arial" w:hAnsi="Arial"/>
          <w:sz w:val="19"/>
          <w:szCs w:val="19"/>
          <w:color w:val="auto"/>
        </w:rPr>
      </w:pPr>
      <w:r>
        <w:rPr>
          <w:rFonts w:ascii="Arial" w:cs="Arial" w:eastAsia="Arial" w:hAnsi="Arial"/>
          <w:sz w:val="19"/>
          <w:szCs w:val="19"/>
          <w:color w:val="auto"/>
        </w:rPr>
        <w:t>All capitalized terms not defined in this Amendment shall have the meanings ascribed to such terms in the Agreement.</w:t>
      </w:r>
    </w:p>
    <w:p>
      <w:pPr>
        <w:spacing w:after="0" w:line="105" w:lineRule="exact"/>
        <w:rPr>
          <w:rFonts w:ascii="Arial" w:cs="Arial" w:eastAsia="Arial" w:hAnsi="Arial"/>
          <w:sz w:val="19"/>
          <w:szCs w:val="19"/>
          <w:color w:val="auto"/>
        </w:rPr>
      </w:pPr>
    </w:p>
    <w:p>
      <w:pPr>
        <w:ind w:right="20" w:firstLine="757"/>
        <w:spacing w:after="0" w:line="246" w:lineRule="auto"/>
        <w:tabs>
          <w:tab w:leader="none" w:pos="1145" w:val="left"/>
        </w:tabs>
        <w:numPr>
          <w:ilvl w:val="0"/>
          <w:numId w:val="82"/>
        </w:numPr>
        <w:rPr>
          <w:rFonts w:ascii="Arial" w:cs="Arial" w:eastAsia="Arial" w:hAnsi="Arial"/>
          <w:sz w:val="20"/>
          <w:szCs w:val="20"/>
          <w:color w:val="auto"/>
        </w:rPr>
      </w:pPr>
      <w:r>
        <w:rPr>
          <w:rFonts w:ascii="Arial" w:cs="Arial" w:eastAsia="Arial" w:hAnsi="Arial"/>
          <w:sz w:val="20"/>
          <w:szCs w:val="20"/>
          <w:color w:val="auto"/>
        </w:rPr>
        <w:t>Unless specifically amended herein, all other terms and conditions of the Agreement, including the remainder of Exhibit A, shall continue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2" w:name="page173"/>
    <w:bookmarkEnd w:id="172"/>
    <w:p>
      <w:pPr>
        <w:ind w:left="760"/>
        <w:spacing w:after="0"/>
        <w:rPr>
          <w:sz w:val="20"/>
          <w:szCs w:val="20"/>
          <w:color w:val="auto"/>
        </w:rPr>
      </w:pPr>
      <w:r>
        <w:rPr>
          <w:rFonts w:ascii="Arial" w:cs="Arial" w:eastAsia="Arial" w:hAnsi="Arial"/>
          <w:sz w:val="20"/>
          <w:szCs w:val="20"/>
          <w:color w:val="auto"/>
        </w:rPr>
        <w:t>The parties have caused this Agreement to be executed as of the Amendment Effective Date.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920" w:type="dxa"/>
            <w:vAlign w:val="bottom"/>
            <w:gridSpan w:val="3"/>
          </w:tcPr>
          <w:p>
            <w:pPr>
              <w:ind w:left="200"/>
              <w:spacing w:after="0"/>
              <w:rPr>
                <w:sz w:val="20"/>
                <w:szCs w:val="20"/>
                <w:color w:val="auto"/>
              </w:rPr>
            </w:pPr>
            <w:r>
              <w:rPr>
                <w:rFonts w:ascii="Arial" w:cs="Arial" w:eastAsia="Arial" w:hAnsi="Arial"/>
                <w:sz w:val="20"/>
                <w:szCs w:val="20"/>
                <w:b w:val="1"/>
                <w:bCs w:val="1"/>
                <w:color w:val="auto"/>
              </w:rPr>
              <w:t>SIGHT SCIENCES, INC.</w:t>
            </w:r>
          </w:p>
        </w:tc>
        <w:tc>
          <w:tcPr>
            <w:tcW w:w="5320" w:type="dxa"/>
            <w:vAlign w:val="bottom"/>
            <w:gridSpan w:val="4"/>
          </w:tcPr>
          <w:p>
            <w:pPr>
              <w:spacing w:after="0"/>
              <w:rPr>
                <w:sz w:val="20"/>
                <w:szCs w:val="20"/>
                <w:color w:val="auto"/>
              </w:rPr>
            </w:pPr>
            <w:r>
              <w:rPr>
                <w:rFonts w:ascii="Arial" w:cs="Arial" w:eastAsia="Arial" w:hAnsi="Arial"/>
                <w:sz w:val="20"/>
                <w:szCs w:val="20"/>
                <w:b w:val="1"/>
                <w:bCs w:val="1"/>
                <w:color w:val="auto"/>
              </w:rPr>
              <w:t>PETER’S TECHNOLOGY (SUZHOU) CO., LTD.</w:t>
            </w:r>
          </w:p>
        </w:tc>
        <w:tc>
          <w:tcPr>
            <w:tcW w:w="0" w:type="dxa"/>
            <w:vAlign w:val="bottom"/>
          </w:tcPr>
          <w:p>
            <w:pPr>
              <w:spacing w:after="0"/>
              <w:rPr>
                <w:sz w:val="1"/>
                <w:szCs w:val="1"/>
                <w:color w:val="auto"/>
              </w:rPr>
            </w:pPr>
          </w:p>
        </w:tc>
      </w:tr>
      <w:tr>
        <w:trPr>
          <w:trHeight w:val="360"/>
        </w:trPr>
        <w:tc>
          <w:tcPr>
            <w:tcW w:w="5920" w:type="dxa"/>
            <w:vAlign w:val="bottom"/>
            <w:gridSpan w:val="3"/>
            <w:vMerge w:val="restart"/>
          </w:tcPr>
          <w:p>
            <w:pPr>
              <w:ind w:left="200"/>
              <w:spacing w:after="0"/>
              <w:rPr>
                <w:sz w:val="20"/>
                <w:szCs w:val="20"/>
                <w:color w:val="auto"/>
              </w:rPr>
            </w:pPr>
            <w:r>
              <w:rPr>
                <w:rFonts w:ascii="Arial" w:cs="Arial" w:eastAsia="Arial" w:hAnsi="Arial"/>
                <w:sz w:val="20"/>
                <w:szCs w:val="20"/>
                <w:color w:val="auto"/>
              </w:rPr>
              <w:t>By: /s/ David Needleman_________________</w:t>
            </w:r>
          </w:p>
        </w:tc>
        <w:tc>
          <w:tcPr>
            <w:tcW w:w="5320" w:type="dxa"/>
            <w:vAlign w:val="bottom"/>
            <w:gridSpan w:val="4"/>
          </w:tcPr>
          <w:p>
            <w:pPr>
              <w:spacing w:after="0"/>
              <w:rPr>
                <w:sz w:val="20"/>
                <w:szCs w:val="20"/>
                <w:color w:val="auto"/>
              </w:rPr>
            </w:pPr>
            <w:r>
              <w:rPr>
                <w:rFonts w:ascii="Arial" w:cs="Arial" w:eastAsia="Arial" w:hAnsi="Arial"/>
                <w:sz w:val="20"/>
                <w:szCs w:val="20"/>
                <w:color w:val="auto"/>
              </w:rPr>
              <w:t>By /s/ Calvin Kuo________________</w:t>
            </w:r>
          </w:p>
        </w:tc>
        <w:tc>
          <w:tcPr>
            <w:tcW w:w="0" w:type="dxa"/>
            <w:vAlign w:val="bottom"/>
          </w:tcPr>
          <w:p>
            <w:pPr>
              <w:spacing w:after="0"/>
              <w:rPr>
                <w:sz w:val="1"/>
                <w:szCs w:val="1"/>
                <w:color w:val="auto"/>
              </w:rPr>
            </w:pPr>
          </w:p>
        </w:tc>
      </w:tr>
      <w:tr>
        <w:trPr>
          <w:trHeight w:val="142"/>
        </w:trPr>
        <w:tc>
          <w:tcPr>
            <w:tcW w:w="59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80" w:type="dxa"/>
            <w:vAlign w:val="bottom"/>
          </w:tcPr>
          <w:p>
            <w:pPr>
              <w:ind w:left="240"/>
              <w:spacing w:after="0" w:line="223" w:lineRule="exact"/>
              <w:rPr>
                <w:sz w:val="20"/>
                <w:szCs w:val="20"/>
                <w:color w:val="auto"/>
              </w:rPr>
            </w:pPr>
            <w:r>
              <w:rPr>
                <w:rFonts w:ascii="Arial" w:cs="Arial" w:eastAsia="Arial" w:hAnsi="Arial"/>
                <w:sz w:val="20"/>
                <w:szCs w:val="20"/>
                <w:color w:val="auto"/>
              </w:rPr>
              <w:t>VP</w:t>
            </w:r>
          </w:p>
        </w:tc>
        <w:tc>
          <w:tcPr>
            <w:tcW w:w="3360" w:type="dxa"/>
            <w:vAlign w:val="bottom"/>
            <w:tcBorders>
              <w:top w:val="single" w:sz="8" w:color="auto"/>
            </w:tcBorders>
          </w:tcPr>
          <w:p>
            <w:pPr>
              <w:spacing w:after="0" w:line="223" w:lineRule="exact"/>
              <w:rPr>
                <w:sz w:val="20"/>
                <w:szCs w:val="20"/>
                <w:color w:val="auto"/>
              </w:rPr>
            </w:pPr>
            <w:r>
              <w:rPr>
                <w:rFonts w:ascii="Arial" w:cs="Arial" w:eastAsia="Arial" w:hAnsi="Arial"/>
                <w:sz w:val="20"/>
                <w:szCs w:val="20"/>
                <w:color w:val="auto"/>
              </w:rPr>
              <w:t>of ME/Ops</w:t>
            </w:r>
          </w:p>
        </w:tc>
        <w:tc>
          <w:tcPr>
            <w:tcW w:w="1980" w:type="dxa"/>
            <w:vAlign w:val="bottom"/>
          </w:tcPr>
          <w:p>
            <w:pPr>
              <w:spacing w:after="0"/>
              <w:rPr>
                <w:sz w:val="19"/>
                <w:szCs w:val="19"/>
                <w:color w:val="auto"/>
              </w:rPr>
            </w:pPr>
          </w:p>
        </w:tc>
        <w:tc>
          <w:tcPr>
            <w:tcW w:w="5320" w:type="dxa"/>
            <w:vAlign w:val="bottom"/>
            <w:gridSpan w:val="4"/>
          </w:tcPr>
          <w:p>
            <w:pPr>
              <w:spacing w:after="0" w:line="223" w:lineRule="exact"/>
              <w:rPr>
                <w:sz w:val="20"/>
                <w:szCs w:val="20"/>
                <w:color w:val="auto"/>
              </w:rPr>
            </w:pPr>
            <w:r>
              <w:rPr>
                <w:rFonts w:ascii="Arial" w:cs="Arial" w:eastAsia="Arial" w:hAnsi="Arial"/>
                <w:sz w:val="20"/>
                <w:szCs w:val="20"/>
                <w:color w:val="auto"/>
              </w:rPr>
              <w:t>Calvin Kuo_____________________</w:t>
            </w:r>
          </w:p>
        </w:tc>
        <w:tc>
          <w:tcPr>
            <w:tcW w:w="0" w:type="dxa"/>
            <w:vAlign w:val="bottom"/>
          </w:tcPr>
          <w:p>
            <w:pPr>
              <w:spacing w:after="0"/>
              <w:rPr>
                <w:sz w:val="1"/>
                <w:szCs w:val="1"/>
                <w:color w:val="auto"/>
              </w:rPr>
            </w:pPr>
          </w:p>
        </w:tc>
      </w:tr>
      <w:tr>
        <w:trPr>
          <w:trHeight w:val="244"/>
        </w:trPr>
        <w:tc>
          <w:tcPr>
            <w:tcW w:w="5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980" w:type="dxa"/>
            <w:vAlign w:val="bottom"/>
            <w:tcBorders>
              <w:top w:val="single" w:sz="8" w:color="auto"/>
            </w:tcBorders>
            <w:gridSpan w:val="2"/>
          </w:tcPr>
          <w:p>
            <w:pPr>
              <w:spacing w:after="0"/>
              <w:rPr>
                <w:sz w:val="20"/>
                <w:szCs w:val="20"/>
                <w:color w:val="auto"/>
              </w:rPr>
            </w:pPr>
            <w:r>
              <w:rPr>
                <w:rFonts w:ascii="Arial" w:cs="Arial" w:eastAsia="Arial" w:hAnsi="Arial"/>
                <w:sz w:val="20"/>
                <w:szCs w:val="20"/>
                <w:i w:val="1"/>
                <w:iCs w:val="1"/>
                <w:color w:val="auto"/>
              </w:rPr>
              <w:t>(print name)</w:t>
            </w:r>
          </w:p>
        </w:tc>
        <w:tc>
          <w:tcPr>
            <w:tcW w:w="23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5920" w:type="dxa"/>
            <w:vAlign w:val="bottom"/>
            <w:gridSpan w:val="3"/>
            <w:vMerge w:val="restart"/>
          </w:tcPr>
          <w:p>
            <w:pPr>
              <w:ind w:left="200"/>
              <w:spacing w:after="0"/>
              <w:rPr>
                <w:sz w:val="20"/>
                <w:szCs w:val="20"/>
                <w:color w:val="auto"/>
              </w:rPr>
            </w:pPr>
            <w:r>
              <w:rPr>
                <w:rFonts w:ascii="Arial" w:cs="Arial" w:eastAsia="Arial" w:hAnsi="Arial"/>
                <w:sz w:val="20"/>
                <w:szCs w:val="20"/>
                <w:color w:val="auto"/>
              </w:rPr>
              <w:t>Date 1/27/2022</w:t>
            </w:r>
          </w:p>
        </w:tc>
        <w:tc>
          <w:tcPr>
            <w:tcW w:w="5320" w:type="dxa"/>
            <w:vAlign w:val="bottom"/>
            <w:gridSpan w:val="4"/>
          </w:tcPr>
          <w:p>
            <w:pPr>
              <w:spacing w:after="0"/>
              <w:rPr>
                <w:sz w:val="20"/>
                <w:szCs w:val="20"/>
                <w:color w:val="auto"/>
              </w:rPr>
            </w:pPr>
            <w:r>
              <w:rPr>
                <w:rFonts w:ascii="Arial" w:cs="Arial" w:eastAsia="Arial" w:hAnsi="Arial"/>
                <w:sz w:val="20"/>
                <w:szCs w:val="20"/>
                <w:color w:val="auto"/>
              </w:rPr>
              <w:t>Title General Manager</w:t>
            </w:r>
          </w:p>
        </w:tc>
        <w:tc>
          <w:tcPr>
            <w:tcW w:w="0" w:type="dxa"/>
            <w:vAlign w:val="bottom"/>
          </w:tcPr>
          <w:p>
            <w:pPr>
              <w:spacing w:after="0"/>
              <w:rPr>
                <w:sz w:val="1"/>
                <w:szCs w:val="1"/>
                <w:color w:val="auto"/>
              </w:rPr>
            </w:pPr>
          </w:p>
        </w:tc>
      </w:tr>
      <w:tr>
        <w:trPr>
          <w:trHeight w:val="162"/>
        </w:trPr>
        <w:tc>
          <w:tcPr>
            <w:tcW w:w="5920" w:type="dxa"/>
            <w:vAlign w:val="bottom"/>
            <w:gridSpan w:val="3"/>
            <w:vMerge w:val="continue"/>
          </w:tcPr>
          <w:p>
            <w:pPr>
              <w:spacing w:after="0"/>
              <w:rPr>
                <w:sz w:val="14"/>
                <w:szCs w:val="14"/>
                <w:color w:val="auto"/>
              </w:rPr>
            </w:pPr>
          </w:p>
        </w:tc>
        <w:tc>
          <w:tcPr>
            <w:tcW w:w="5320" w:type="dxa"/>
            <w:vAlign w:val="bottom"/>
            <w:gridSpan w:val="4"/>
            <w:vMerge w:val="restart"/>
          </w:tcPr>
          <w:p>
            <w:pPr>
              <w:spacing w:after="0"/>
              <w:rPr>
                <w:sz w:val="20"/>
                <w:szCs w:val="20"/>
                <w:color w:val="auto"/>
              </w:rPr>
            </w:pPr>
            <w:r>
              <w:rPr>
                <w:rFonts w:ascii="Arial" w:cs="Arial" w:eastAsia="Arial" w:hAnsi="Arial"/>
                <w:sz w:val="20"/>
                <w:szCs w:val="20"/>
                <w:color w:val="auto"/>
              </w:rPr>
              <w:t>Date 1/28/2022</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32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6"/>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73" w:name="page174"/>
    <w:bookmarkEnd w:id="173"/>
    <w:p>
      <w:pPr>
        <w:jc w:val="center"/>
        <w:ind w:right="-311"/>
        <w:spacing w:after="0"/>
        <w:rPr>
          <w:sz w:val="20"/>
          <w:szCs w:val="20"/>
          <w:color w:val="auto"/>
        </w:rPr>
      </w:pPr>
      <w:r>
        <w:rPr>
          <w:rFonts w:ascii="Arial" w:cs="Arial" w:eastAsia="Arial" w:hAnsi="Arial"/>
          <w:sz w:val="22"/>
          <w:szCs w:val="22"/>
          <w:b w:val="1"/>
          <w:bCs w:val="1"/>
          <w:u w:val="single" w:color="auto"/>
          <w:color w:val="auto"/>
        </w:rPr>
        <w:t>EXHIBIT A</w:t>
      </w:r>
    </w:p>
    <w:p>
      <w:pPr>
        <w:spacing w:after="0" w:line="247" w:lineRule="exact"/>
        <w:rPr>
          <w:sz w:val="20"/>
          <w:szCs w:val="20"/>
          <w:color w:val="auto"/>
        </w:rPr>
      </w:pPr>
    </w:p>
    <w:p>
      <w:pPr>
        <w:jc w:val="center"/>
        <w:ind w:right="-311"/>
        <w:spacing w:after="0"/>
        <w:rPr>
          <w:sz w:val="20"/>
          <w:szCs w:val="20"/>
          <w:color w:val="auto"/>
        </w:rPr>
      </w:pPr>
      <w:r>
        <w:rPr>
          <w:rFonts w:ascii="Arial" w:cs="Arial" w:eastAsia="Arial" w:hAnsi="Arial"/>
          <w:sz w:val="22"/>
          <w:szCs w:val="22"/>
          <w:b w:val="1"/>
          <w:bCs w:val="1"/>
          <w:u w:val="single" w:color="auto"/>
          <w:color w:val="auto"/>
        </w:rPr>
        <w:t>PRODUCTS; PRODUCT PRICING</w:t>
      </w:r>
    </w:p>
    <w:p>
      <w:pPr>
        <w:spacing w:after="0" w:line="200" w:lineRule="exact"/>
        <w:rPr>
          <w:sz w:val="20"/>
          <w:szCs w:val="20"/>
          <w:color w:val="auto"/>
        </w:rPr>
      </w:pPr>
    </w:p>
    <w:p>
      <w:pPr>
        <w:spacing w:after="0" w:line="357" w:lineRule="exact"/>
        <w:rPr>
          <w:sz w:val="20"/>
          <w:szCs w:val="20"/>
          <w:color w:val="auto"/>
        </w:rPr>
      </w:pPr>
    </w:p>
    <w:p>
      <w:pPr>
        <w:ind w:left="332" w:hanging="332"/>
        <w:spacing w:after="0"/>
        <w:tabs>
          <w:tab w:leader="none" w:pos="332"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Products; Prices</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and Product prices are as follows:</w:t>
      </w:r>
    </w:p>
    <w:p>
      <w:pPr>
        <w:spacing w:after="0" w:line="345" w:lineRule="exact"/>
        <w:rPr>
          <w:sz w:val="20"/>
          <w:szCs w:val="20"/>
          <w:color w:val="auto"/>
        </w:rPr>
      </w:pPr>
    </w:p>
    <w:tbl>
      <w:tblPr>
        <w:tblLayout w:type="fixed"/>
        <w:tblInd w:w="322" w:type="dxa"/>
        <w:tblCellMar>
          <w:top w:w="0" w:type="dxa"/>
          <w:left w:w="0" w:type="dxa"/>
          <w:bottom w:w="0" w:type="dxa"/>
          <w:right w:w="0" w:type="dxa"/>
        </w:tblCellMar>
      </w:tblPr>
      <w:tr>
        <w:trPr>
          <w:trHeight w:val="378"/>
        </w:trPr>
        <w:tc>
          <w:tcPr>
            <w:tcW w:w="1740" w:type="dxa"/>
            <w:vAlign w:val="bottom"/>
            <w:tcBorders>
              <w:top w:val="single" w:sz="8" w:color="auto"/>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22"/>
                <w:szCs w:val="22"/>
                <w:b w:val="1"/>
                <w:bCs w:val="1"/>
                <w:color w:val="auto"/>
              </w:rPr>
              <w:t>Product No.</w:t>
            </w:r>
          </w:p>
        </w:tc>
        <w:tc>
          <w:tcPr>
            <w:tcW w:w="5740" w:type="dxa"/>
            <w:vAlign w:val="bottom"/>
            <w:tcBorders>
              <w:top w:val="single" w:sz="8" w:color="auto"/>
              <w:right w:val="single" w:sz="8" w:color="auto"/>
            </w:tcBorders>
            <w:gridSpan w:val="2"/>
            <w:shd w:val="clear" w:color="auto" w:fill="F2F2F2"/>
          </w:tcPr>
          <w:p>
            <w:pPr>
              <w:ind w:left="80"/>
              <w:spacing w:after="0"/>
              <w:rPr>
                <w:sz w:val="20"/>
                <w:szCs w:val="20"/>
                <w:color w:val="auto"/>
              </w:rPr>
            </w:pPr>
            <w:r>
              <w:rPr>
                <w:rFonts w:ascii="Arial" w:cs="Arial" w:eastAsia="Arial" w:hAnsi="Arial"/>
                <w:sz w:val="22"/>
                <w:szCs w:val="22"/>
                <w:b w:val="1"/>
                <w:bCs w:val="1"/>
                <w:color w:val="auto"/>
              </w:rPr>
              <w:t>Product Description</w:t>
            </w:r>
          </w:p>
        </w:tc>
        <w:tc>
          <w:tcPr>
            <w:tcW w:w="3200" w:type="dxa"/>
            <w:vAlign w:val="bottom"/>
            <w:tcBorders>
              <w:top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22"/>
                <w:szCs w:val="22"/>
                <w:b w:val="1"/>
                <w:bCs w:val="1"/>
                <w:color w:val="auto"/>
              </w:rPr>
              <w:t>Price Per Unit</w:t>
            </w:r>
          </w:p>
        </w:tc>
      </w:tr>
      <w:tr>
        <w:trPr>
          <w:trHeight w:val="81"/>
        </w:trPr>
        <w:tc>
          <w:tcPr>
            <w:tcW w:w="1740" w:type="dxa"/>
            <w:vAlign w:val="bottom"/>
            <w:tcBorders>
              <w:left w:val="single" w:sz="8" w:color="auto"/>
              <w:bottom w:val="single" w:sz="8" w:color="auto"/>
              <w:right w:val="single" w:sz="8" w:color="auto"/>
            </w:tcBorders>
            <w:shd w:val="clear" w:color="auto" w:fill="F2F2F2"/>
          </w:tcPr>
          <w:p>
            <w:pPr>
              <w:spacing w:after="0"/>
              <w:rPr>
                <w:sz w:val="7"/>
                <w:szCs w:val="7"/>
                <w:color w:val="auto"/>
              </w:rPr>
            </w:pPr>
          </w:p>
        </w:tc>
        <w:tc>
          <w:tcPr>
            <w:tcW w:w="5740" w:type="dxa"/>
            <w:vAlign w:val="bottom"/>
            <w:tcBorders>
              <w:bottom w:val="single" w:sz="8" w:color="auto"/>
              <w:right w:val="single" w:sz="8" w:color="auto"/>
            </w:tcBorders>
            <w:gridSpan w:val="2"/>
            <w:shd w:val="clear" w:color="auto" w:fill="F2F2F2"/>
          </w:tcPr>
          <w:p>
            <w:pPr>
              <w:spacing w:after="0"/>
              <w:rPr>
                <w:sz w:val="7"/>
                <w:szCs w:val="7"/>
                <w:color w:val="auto"/>
              </w:rPr>
            </w:pPr>
          </w:p>
        </w:tc>
        <w:tc>
          <w:tcPr>
            <w:tcW w:w="3200" w:type="dxa"/>
            <w:vAlign w:val="bottom"/>
            <w:tcBorders>
              <w:bottom w:val="single" w:sz="8" w:color="auto"/>
              <w:right w:val="single" w:sz="8" w:color="auto"/>
            </w:tcBorders>
            <w:shd w:val="clear" w:color="auto" w:fill="F2F2F2"/>
          </w:tcPr>
          <w:p>
            <w:pPr>
              <w:spacing w:after="0"/>
              <w:rPr>
                <w:sz w:val="7"/>
                <w:szCs w:val="7"/>
                <w:color w:val="auto"/>
              </w:rPr>
            </w:pPr>
          </w:p>
        </w:tc>
      </w:tr>
      <w:tr>
        <w:trPr>
          <w:trHeight w:val="284"/>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FG-06721</w:t>
            </w:r>
          </w:p>
        </w:tc>
        <w:tc>
          <w:tcPr>
            <w:tcW w:w="574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1-102 OMNI Surgical System (US)</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50"/>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281"/>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FG-06722</w:t>
            </w:r>
          </w:p>
        </w:tc>
        <w:tc>
          <w:tcPr>
            <w:tcW w:w="560" w:type="dxa"/>
            <w:vAlign w:val="bottom"/>
          </w:tcPr>
          <w:p>
            <w:pPr>
              <w:ind w:left="80"/>
              <w:spacing w:after="0"/>
              <w:rPr>
                <w:sz w:val="20"/>
                <w:szCs w:val="20"/>
                <w:color w:val="auto"/>
              </w:rPr>
            </w:pPr>
            <w:r>
              <w:rPr>
                <w:rFonts w:ascii="Arial" w:cs="Arial" w:eastAsia="Arial" w:hAnsi="Arial"/>
                <w:sz w:val="20"/>
                <w:szCs w:val="20"/>
                <w:color w:val="auto"/>
                <w:w w:val="89"/>
              </w:rPr>
              <w:t>1-103</w:t>
            </w:r>
          </w:p>
        </w:tc>
        <w:tc>
          <w:tcPr>
            <w:tcW w:w="51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OMNI Surgical System (OUS)</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50"/>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281"/>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FG-06011</w:t>
            </w:r>
          </w:p>
        </w:tc>
        <w:tc>
          <w:tcPr>
            <w:tcW w:w="560" w:type="dxa"/>
            <w:vAlign w:val="bottom"/>
          </w:tcPr>
          <w:p>
            <w:pPr>
              <w:ind w:left="80"/>
              <w:spacing w:after="0"/>
              <w:rPr>
                <w:sz w:val="20"/>
                <w:szCs w:val="20"/>
                <w:color w:val="auto"/>
              </w:rPr>
            </w:pPr>
            <w:r>
              <w:rPr>
                <w:rFonts w:ascii="Arial" w:cs="Arial" w:eastAsia="Arial" w:hAnsi="Arial"/>
                <w:sz w:val="20"/>
                <w:szCs w:val="20"/>
                <w:color w:val="auto"/>
                <w:w w:val="89"/>
              </w:rPr>
              <w:t>1-104</w:t>
            </w:r>
          </w:p>
        </w:tc>
        <w:tc>
          <w:tcPr>
            <w:tcW w:w="51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OMNI Plus Surgical System (US)</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50"/>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281"/>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FG-06047</w:t>
            </w:r>
          </w:p>
        </w:tc>
        <w:tc>
          <w:tcPr>
            <w:tcW w:w="560" w:type="dxa"/>
            <w:vAlign w:val="bottom"/>
          </w:tcPr>
          <w:p>
            <w:pPr>
              <w:ind w:left="80"/>
              <w:spacing w:after="0"/>
              <w:rPr>
                <w:sz w:val="20"/>
                <w:szCs w:val="20"/>
                <w:color w:val="auto"/>
              </w:rPr>
            </w:pPr>
            <w:r>
              <w:rPr>
                <w:rFonts w:ascii="Arial" w:cs="Arial" w:eastAsia="Arial" w:hAnsi="Arial"/>
                <w:sz w:val="20"/>
                <w:szCs w:val="20"/>
                <w:color w:val="auto"/>
                <w:w w:val="89"/>
              </w:rPr>
              <w:t>1-105</w:t>
            </w:r>
          </w:p>
        </w:tc>
        <w:tc>
          <w:tcPr>
            <w:tcW w:w="51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OMNI Plus Surgical System (OUS)</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50"/>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5740" w:type="dxa"/>
            <w:vAlign w:val="bottom"/>
            <w:tcBorders>
              <w:bottom w:val="single" w:sz="8" w:color="auto"/>
              <w:right w:val="single" w:sz="8" w:color="auto"/>
            </w:tcBorders>
            <w:gridSpan w:val="2"/>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281"/>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FG-07938</w:t>
            </w:r>
          </w:p>
        </w:tc>
        <w:tc>
          <w:tcPr>
            <w:tcW w:w="574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5-117 SmartLids, Single Pair, Gen 1.5</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50"/>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bl>
    <w:p>
      <w:pPr>
        <w:spacing w:after="0" w:line="330" w:lineRule="exact"/>
        <w:rPr>
          <w:sz w:val="20"/>
          <w:szCs w:val="20"/>
          <w:color w:val="auto"/>
        </w:rPr>
      </w:pPr>
    </w:p>
    <w:p>
      <w:pPr>
        <w:ind w:left="372"/>
        <w:spacing w:after="0"/>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left="372"/>
        <w:spacing w:after="0"/>
        <w:rPr>
          <w:sz w:val="20"/>
          <w:szCs w:val="20"/>
          <w:color w:val="auto"/>
        </w:rPr>
      </w:pPr>
      <w:r>
        <w:rPr>
          <w:rFonts w:ascii="Arial" w:cs="Arial" w:eastAsia="Arial" w:hAnsi="Arial"/>
          <w:sz w:val="21"/>
          <w:szCs w:val="21"/>
          <w:color w:val="auto"/>
        </w:rPr>
        <w:t xml:space="preserve">Products are current revision in accordance with Buyer’s released specifications as further provided on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379095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92"/>
          </w:cols>
          <w:pgMar w:left="328" w:top="558" w:right="579" w:bottom="1440" w:gutter="0" w:footer="0" w:header="0"/>
        </w:sectPr>
      </w:pPr>
    </w:p>
    <w:bookmarkStart w:id="174" w:name="page175"/>
    <w:bookmarkEnd w:id="174"/>
    <w:p>
      <w:pPr>
        <w:jc w:val="center"/>
        <w:ind w:right="-1160"/>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jc w:val="center"/>
        <w:ind w:right="-1160"/>
        <w:spacing w:after="0"/>
        <w:rPr>
          <w:sz w:val="20"/>
          <w:szCs w:val="20"/>
          <w:color w:val="auto"/>
        </w:rPr>
      </w:pPr>
      <w:r>
        <w:rPr>
          <w:rFonts w:ascii="Arial" w:cs="Arial" w:eastAsia="Arial" w:hAnsi="Arial"/>
          <w:sz w:val="21"/>
          <w:szCs w:val="21"/>
          <w:b w:val="1"/>
          <w:bCs w:val="1"/>
          <w:u w:val="single" w:color="auto"/>
          <w:color w:val="auto"/>
        </w:rPr>
        <w:t>SPECIFICATIONS</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1-102 OMNI Surgical System (US)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01" w:right="1440"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1-103 OMNI Surgical System (OUS)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5" w:right="1440"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1-104 OMNI Plus Surgical System (US)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5" w:right="1440"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1-105 OMNI Plus Surgical System (OUS)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5" w:right="1440"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color w:val="auto"/>
        </w:rPr>
        <w:t>5-117 SmartLids, Single Pair, Gen 1.5</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5"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900" w:type="dxa"/>
            <w:vAlign w:val="bottom"/>
            <w:gridSpan w:val="3"/>
          </w:tcPr>
          <w:p>
            <w:pPr>
              <w:ind w:left="800"/>
              <w:spacing w:after="0"/>
              <w:rPr>
                <w:sz w:val="20"/>
                <w:szCs w:val="20"/>
                <w:color w:val="auto"/>
              </w:rPr>
            </w:pPr>
            <w:r>
              <w:rPr>
                <w:rFonts w:ascii="Arial" w:cs="Arial" w:eastAsia="Arial" w:hAnsi="Arial"/>
                <w:sz w:val="18"/>
                <w:szCs w:val="18"/>
                <w:b w:val="1"/>
                <w:bCs w:val="1"/>
                <w:color w:val="auto"/>
              </w:rPr>
              <w:t>Subsidiaries of Sight Sciences, Inc.</w:t>
            </w:r>
          </w:p>
        </w:tc>
        <w:tc>
          <w:tcPr>
            <w:tcW w:w="840" w:type="dxa"/>
            <w:vAlign w:val="bottom"/>
          </w:tcPr>
          <w:p>
            <w:pPr>
              <w:spacing w:after="0"/>
              <w:rPr>
                <w:sz w:val="20"/>
                <w:szCs w:val="20"/>
                <w:color w:val="auto"/>
              </w:rPr>
            </w:pPr>
          </w:p>
        </w:tc>
      </w:tr>
      <w:tr>
        <w:trPr>
          <w:trHeight w:val="405"/>
        </w:trPr>
        <w:tc>
          <w:tcPr>
            <w:tcW w:w="860" w:type="dxa"/>
            <w:vAlign w:val="bottom"/>
          </w:tcPr>
          <w:p>
            <w:pPr>
              <w:spacing w:after="0"/>
              <w:rPr>
                <w:sz w:val="24"/>
                <w:szCs w:val="24"/>
                <w:color w:val="auto"/>
              </w:rPr>
            </w:pPr>
          </w:p>
        </w:tc>
        <w:tc>
          <w:tcPr>
            <w:tcW w:w="2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Legal Name of Subsidiary</w:t>
            </w:r>
          </w:p>
        </w:tc>
        <w:tc>
          <w:tcPr>
            <w:tcW w:w="19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Jurisdiction of Organization</w:t>
            </w:r>
          </w:p>
        </w:tc>
        <w:tc>
          <w:tcPr>
            <w:tcW w:w="840" w:type="dxa"/>
            <w:vAlign w:val="bottom"/>
          </w:tcPr>
          <w:p>
            <w:pPr>
              <w:spacing w:after="0"/>
              <w:rPr>
                <w:sz w:val="24"/>
                <w:szCs w:val="24"/>
                <w:color w:val="auto"/>
              </w:rPr>
            </w:pPr>
          </w:p>
        </w:tc>
      </w:tr>
      <w:tr>
        <w:trPr>
          <w:trHeight w:val="250"/>
        </w:trPr>
        <w:tc>
          <w:tcPr>
            <w:tcW w:w="860" w:type="dxa"/>
            <w:vAlign w:val="bottom"/>
          </w:tcPr>
          <w:p>
            <w:pPr>
              <w:spacing w:after="0"/>
              <w:rPr>
                <w:sz w:val="21"/>
                <w:szCs w:val="21"/>
                <w:color w:val="auto"/>
              </w:rPr>
            </w:pPr>
          </w:p>
        </w:tc>
        <w:tc>
          <w:tcPr>
            <w:tcW w:w="2640" w:type="dxa"/>
            <w:vAlign w:val="bottom"/>
            <w:shd w:val="clear" w:color="auto" w:fill="CFF0FC"/>
          </w:tcPr>
          <w:p>
            <w:pPr>
              <w:ind w:left="80"/>
              <w:spacing w:after="0"/>
              <w:rPr>
                <w:sz w:val="20"/>
                <w:szCs w:val="20"/>
                <w:color w:val="auto"/>
              </w:rPr>
            </w:pPr>
            <w:r>
              <w:rPr>
                <w:rFonts w:ascii="Arial" w:cs="Arial" w:eastAsia="Arial" w:hAnsi="Arial"/>
                <w:sz w:val="18"/>
                <w:szCs w:val="18"/>
                <w:color w:val="auto"/>
              </w:rPr>
              <w:t>Sight Sciences UK, Ltd.</w:t>
            </w:r>
          </w:p>
        </w:tc>
        <w:tc>
          <w:tcPr>
            <w:tcW w:w="1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80" w:type="dxa"/>
            <w:vAlign w:val="bottom"/>
            <w:shd w:val="clear" w:color="auto" w:fill="CFF0FC"/>
          </w:tcPr>
          <w:p>
            <w:pPr>
              <w:ind w:left="80"/>
              <w:spacing w:after="0"/>
              <w:rPr>
                <w:sz w:val="20"/>
                <w:szCs w:val="20"/>
                <w:color w:val="auto"/>
              </w:rPr>
            </w:pPr>
            <w:r>
              <w:rPr>
                <w:rFonts w:ascii="Arial" w:cs="Arial" w:eastAsia="Arial" w:hAnsi="Arial"/>
                <w:sz w:val="18"/>
                <w:szCs w:val="18"/>
                <w:color w:val="auto"/>
              </w:rPr>
              <w:t>United Kingdom</w:t>
            </w:r>
          </w:p>
        </w:tc>
        <w:tc>
          <w:tcPr>
            <w:tcW w:w="840" w:type="dxa"/>
            <w:vAlign w:val="bottom"/>
          </w:tcPr>
          <w:p>
            <w:pPr>
              <w:spacing w:after="0"/>
              <w:rPr>
                <w:sz w:val="21"/>
                <w:szCs w:val="21"/>
                <w:color w:val="auto"/>
              </w:rPr>
            </w:pPr>
          </w:p>
        </w:tc>
      </w:tr>
      <w:tr>
        <w:trPr>
          <w:trHeight w:val="270"/>
        </w:trPr>
        <w:tc>
          <w:tcPr>
            <w:tcW w:w="860" w:type="dxa"/>
            <w:vAlign w:val="bottom"/>
          </w:tcPr>
          <w:p>
            <w:pPr>
              <w:spacing w:after="0"/>
              <w:rPr>
                <w:sz w:val="23"/>
                <w:szCs w:val="23"/>
                <w:color w:val="auto"/>
              </w:rPr>
            </w:pPr>
          </w:p>
        </w:tc>
        <w:tc>
          <w:tcPr>
            <w:tcW w:w="2640" w:type="dxa"/>
            <w:vAlign w:val="bottom"/>
          </w:tcPr>
          <w:p>
            <w:pPr>
              <w:ind w:left="80"/>
              <w:spacing w:after="0"/>
              <w:rPr>
                <w:sz w:val="20"/>
                <w:szCs w:val="20"/>
                <w:color w:val="auto"/>
              </w:rPr>
            </w:pPr>
            <w:r>
              <w:rPr>
                <w:rFonts w:ascii="Arial" w:cs="Arial" w:eastAsia="Arial" w:hAnsi="Arial"/>
                <w:sz w:val="18"/>
                <w:szCs w:val="18"/>
                <w:color w:val="auto"/>
              </w:rPr>
              <w:t>Sight Sciences GmbH</w:t>
            </w:r>
          </w:p>
        </w:tc>
        <w:tc>
          <w:tcPr>
            <w:tcW w:w="1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Germany</w:t>
            </w:r>
          </w:p>
        </w:tc>
        <w:tc>
          <w:tcPr>
            <w:tcW w:w="840" w:type="dxa"/>
            <w:vAlign w:val="bottom"/>
          </w:tcPr>
          <w:p>
            <w:pPr>
              <w:spacing w:after="0"/>
              <w:rPr>
                <w:sz w:val="23"/>
                <w:szCs w:val="23"/>
                <w:color w:val="auto"/>
              </w:rPr>
            </w:pPr>
          </w:p>
        </w:tc>
      </w:tr>
      <w:tr>
        <w:trPr>
          <w:trHeight w:val="344"/>
        </w:trPr>
        <w:tc>
          <w:tcPr>
            <w:tcW w:w="8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23.1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consent to the incorporation by reference in the Registration Statement No. 333-257936 on Form S-8 of our report dated March 24, 2022, relating to the consolidated financial statements of Sight Sciences, Inc., appearing in this Annual Report on Form 10-K of Sight Sciences, Inc. for the year ended December 31,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March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Paul Badawi, certify that:</w:t>
      </w:r>
    </w:p>
    <w:p>
      <w:pPr>
        <w:spacing w:after="0" w:line="198"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Sight Sciences, Inc.;</w:t>
      </w:r>
    </w:p>
    <w:p>
      <w:pPr>
        <w:spacing w:after="0" w:line="198" w:lineRule="exact"/>
        <w:rPr>
          <w:rFonts w:ascii="Arial" w:cs="Arial" w:eastAsia="Arial" w:hAnsi="Arial"/>
          <w:sz w:val="18"/>
          <w:szCs w:val="18"/>
          <w:color w:val="auto"/>
        </w:rPr>
      </w:pPr>
    </w:p>
    <w:p>
      <w:pPr>
        <w:jc w:val="both"/>
        <w:ind w:left="520" w:right="240" w:hanging="512"/>
        <w:spacing w:after="0" w:line="248"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520" w:right="240" w:hanging="512"/>
        <w:spacing w:after="0" w:line="248"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500" w:right="140" w:hanging="369"/>
        <w:spacing w:after="0" w:line="270" w:lineRule="auto"/>
        <w:tabs>
          <w:tab w:leader="none" w:pos="1500" w:val="left"/>
        </w:tabs>
        <w:numPr>
          <w:ilvl w:val="1"/>
          <w:numId w:val="8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500" w:right="200" w:hanging="369"/>
        <w:spacing w:after="0" w:line="248" w:lineRule="auto"/>
        <w:tabs>
          <w:tab w:leader="none" w:pos="15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500" w:hanging="369"/>
        <w:spacing w:after="0" w:line="324" w:lineRule="auto"/>
        <w:tabs>
          <w:tab w:leader="none" w:pos="15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1500" w:right="40" w:hanging="369"/>
        <w:spacing w:after="0" w:line="248" w:lineRule="auto"/>
        <w:tabs>
          <w:tab w:leader="none" w:pos="15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1500" w:right="300" w:hanging="369"/>
        <w:spacing w:after="0" w:line="324" w:lineRule="auto"/>
        <w:tabs>
          <w:tab w:leader="none" w:pos="15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500" w:right="580" w:hanging="369"/>
        <w:spacing w:after="0" w:line="261" w:lineRule="auto"/>
        <w:tabs>
          <w:tab w:leader="none" w:pos="15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260"/>
        <w:spacing w:after="0"/>
        <w:rPr>
          <w:sz w:val="20"/>
          <w:szCs w:val="20"/>
          <w:color w:val="auto"/>
        </w:rPr>
      </w:pPr>
      <w:r>
        <w:rPr>
          <w:rFonts w:ascii="Arial" w:cs="Arial" w:eastAsia="Arial" w:hAnsi="Arial"/>
          <w:sz w:val="18"/>
          <w:szCs w:val="18"/>
          <w:color w:val="auto"/>
        </w:rPr>
        <w:t>/s/ Paul Badawi</w:t>
      </w:r>
    </w:p>
    <w:p>
      <w:pPr>
        <w:ind w:left="7420"/>
        <w:spacing w:after="0" w:line="203" w:lineRule="auto"/>
        <w:rPr>
          <w:sz w:val="20"/>
          <w:szCs w:val="20"/>
          <w:color w:val="auto"/>
        </w:rPr>
      </w:pPr>
      <w:r>
        <w:rPr>
          <w:rFonts w:ascii="Arial" w:cs="Arial" w:eastAsia="Arial" w:hAnsi="Arial"/>
          <w:sz w:val="18"/>
          <w:szCs w:val="18"/>
          <w:b w:val="1"/>
          <w:bCs w:val="1"/>
          <w:color w:val="auto"/>
        </w:rPr>
        <w:t>Paul Badawi</w:t>
      </w:r>
    </w:p>
    <w:p>
      <w:pPr>
        <w:ind w:left="658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rPr>
          <w:sz w:val="20"/>
          <w:szCs w:val="20"/>
          <w:color w:val="auto"/>
        </w:rPr>
      </w:pPr>
      <w:r>
        <w:rPr>
          <w:rFonts w:ascii="Arial" w:cs="Arial" w:eastAsia="Arial" w:hAnsi="Arial"/>
          <w:sz w:val="18"/>
          <w:szCs w:val="18"/>
          <w:color w:val="auto"/>
        </w:rPr>
        <w:t>I, Jesse Selnick, certify that:</w:t>
      </w:r>
    </w:p>
    <w:p>
      <w:pPr>
        <w:spacing w:after="0" w:line="182" w:lineRule="exact"/>
        <w:rPr>
          <w:sz w:val="20"/>
          <w:szCs w:val="20"/>
          <w:color w:val="auto"/>
        </w:rPr>
      </w:pPr>
    </w:p>
    <w:p>
      <w:pPr>
        <w:ind w:left="520" w:hanging="512"/>
        <w:spacing w:after="0"/>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Sight Sciences, Inc.;</w:t>
      </w:r>
    </w:p>
    <w:p>
      <w:pPr>
        <w:spacing w:after="0" w:line="198" w:lineRule="exact"/>
        <w:rPr>
          <w:rFonts w:ascii="Arial" w:cs="Arial" w:eastAsia="Arial" w:hAnsi="Arial"/>
          <w:sz w:val="18"/>
          <w:szCs w:val="18"/>
          <w:color w:val="auto"/>
        </w:rPr>
      </w:pPr>
    </w:p>
    <w:p>
      <w:pPr>
        <w:jc w:val="both"/>
        <w:ind w:left="520" w:right="240" w:hanging="512"/>
        <w:spacing w:after="0" w:line="248"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520" w:right="240" w:hanging="512"/>
        <w:spacing w:after="0" w:line="248"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500" w:right="140" w:hanging="369"/>
        <w:spacing w:after="0" w:line="270" w:lineRule="auto"/>
        <w:tabs>
          <w:tab w:leader="none" w:pos="15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500" w:right="200" w:hanging="369"/>
        <w:spacing w:after="0" w:line="248" w:lineRule="auto"/>
        <w:tabs>
          <w:tab w:leader="none" w:pos="15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500" w:hanging="369"/>
        <w:spacing w:after="0" w:line="324" w:lineRule="auto"/>
        <w:tabs>
          <w:tab w:leader="none" w:pos="150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1500" w:right="40" w:hanging="369"/>
        <w:spacing w:after="0" w:line="248" w:lineRule="auto"/>
        <w:tabs>
          <w:tab w:leader="none" w:pos="15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1500" w:right="300" w:hanging="369"/>
        <w:spacing w:after="0" w:line="324" w:lineRule="auto"/>
        <w:tabs>
          <w:tab w:leader="none" w:pos="150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500" w:right="580" w:hanging="369"/>
        <w:spacing w:after="0" w:line="261" w:lineRule="auto"/>
        <w:tabs>
          <w:tab w:leader="none" w:pos="15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24, 2022</w:t>
      </w:r>
    </w:p>
    <w:p>
      <w:pPr>
        <w:spacing w:after="0" w:line="7"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Jesse Selnick</w:t>
      </w:r>
    </w:p>
    <w:p>
      <w:pPr>
        <w:ind w:left="8060"/>
        <w:spacing w:after="0" w:line="203" w:lineRule="auto"/>
        <w:rPr>
          <w:sz w:val="20"/>
          <w:szCs w:val="20"/>
          <w:color w:val="auto"/>
        </w:rPr>
      </w:pPr>
      <w:r>
        <w:rPr>
          <w:rFonts w:ascii="Arial" w:cs="Arial" w:eastAsia="Arial" w:hAnsi="Arial"/>
          <w:sz w:val="18"/>
          <w:szCs w:val="18"/>
          <w:b w:val="1"/>
          <w:bCs w:val="1"/>
          <w:color w:val="auto"/>
        </w:rPr>
        <w:t>Jesse Selnick</w:t>
      </w:r>
    </w:p>
    <w:p>
      <w:pPr>
        <w:ind w:left="7280"/>
        <w:spacing w:after="0" w:line="203"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69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b w:val="1"/>
          <w:bCs w:val="1"/>
          <w:color w:val="auto"/>
        </w:rPr>
        <w:t>Exhibit 32.1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15" w:lineRule="exact"/>
        <w:rPr>
          <w:sz w:val="20"/>
          <w:szCs w:val="20"/>
          <w:color w:val="auto"/>
        </w:rPr>
      </w:pPr>
    </w:p>
    <w:p>
      <w:pPr>
        <w:ind w:right="20" w:firstLine="432"/>
        <w:spacing w:after="0" w:line="250" w:lineRule="auto"/>
        <w:rPr>
          <w:sz w:val="20"/>
          <w:szCs w:val="20"/>
          <w:color w:val="auto"/>
        </w:rPr>
      </w:pPr>
      <w:r>
        <w:rPr>
          <w:rFonts w:ascii="Arial" w:cs="Arial" w:eastAsia="Arial" w:hAnsi="Arial"/>
          <w:sz w:val="22"/>
          <w:szCs w:val="22"/>
          <w:color w:val="auto"/>
        </w:rPr>
        <w:t>Pursuant to 18 U.S.C. § 1350, as created by Section 906 of the Sarbanes-Oxley Act of 2002, the undersigned officer of Sight Sciences, Inc. (the “</w:t>
      </w:r>
      <w:r>
        <w:rPr>
          <w:rFonts w:ascii="Arial" w:cs="Arial" w:eastAsia="Arial" w:hAnsi="Arial"/>
          <w:sz w:val="22"/>
          <w:szCs w:val="22"/>
          <w:u w:val="single" w:color="auto"/>
          <w:color w:val="auto"/>
        </w:rPr>
        <w:t>Company</w:t>
      </w:r>
      <w:r>
        <w:rPr>
          <w:rFonts w:ascii="Arial" w:cs="Arial" w:eastAsia="Arial" w:hAnsi="Arial"/>
          <w:sz w:val="22"/>
          <w:szCs w:val="22"/>
          <w:color w:val="auto"/>
        </w:rPr>
        <w:t>”) hereby certifies that:</w:t>
      </w:r>
    </w:p>
    <w:p>
      <w:pPr>
        <w:spacing w:after="0" w:line="202" w:lineRule="exact"/>
        <w:rPr>
          <w:sz w:val="20"/>
          <w:szCs w:val="20"/>
          <w:color w:val="auto"/>
        </w:rPr>
      </w:pPr>
    </w:p>
    <w:p>
      <w:pPr>
        <w:ind w:left="1280" w:right="100" w:hanging="757"/>
        <w:spacing w:after="0"/>
        <w:tabs>
          <w:tab w:leader="none" w:pos="12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Annual Report on Form 10-K of the Company for the period ended December 31, 2021 (the “</w:t>
      </w:r>
      <w:r>
        <w:rPr>
          <w:rFonts w:ascii="Arial" w:cs="Arial" w:eastAsia="Arial" w:hAnsi="Arial"/>
          <w:sz w:val="22"/>
          <w:szCs w:val="22"/>
          <w:u w:val="single" w:color="auto"/>
          <w:color w:val="auto"/>
        </w:rPr>
        <w:t>Report</w:t>
      </w:r>
      <w:r>
        <w:rPr>
          <w:rFonts w:ascii="Arial" w:cs="Arial" w:eastAsia="Arial" w:hAnsi="Arial"/>
          <w:sz w:val="22"/>
          <w:szCs w:val="22"/>
          <w:color w:val="auto"/>
        </w:rPr>
        <w:t>”) fully complies with the requirements of Section 13(a) or Section 15(d), as applicable, of the Securities Exchange Act of 1934, as amended; and</w:t>
      </w:r>
    </w:p>
    <w:p>
      <w:pPr>
        <w:spacing w:after="0" w:line="213" w:lineRule="exact"/>
        <w:rPr>
          <w:rFonts w:ascii="Arial" w:cs="Arial" w:eastAsia="Arial" w:hAnsi="Arial"/>
          <w:sz w:val="22"/>
          <w:szCs w:val="22"/>
          <w:color w:val="auto"/>
        </w:rPr>
      </w:pPr>
    </w:p>
    <w:p>
      <w:pPr>
        <w:ind w:left="1280" w:right="180" w:hanging="757"/>
        <w:spacing w:after="0" w:line="250" w:lineRule="auto"/>
        <w:tabs>
          <w:tab w:leader="none" w:pos="12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tbl>
      <w:tblPr>
        <w:tblLayout w:type="fixed"/>
        <w:tblInd w:w="380" w:type="dxa"/>
        <w:tblCellMar>
          <w:top w:w="0" w:type="dxa"/>
          <w:left w:w="0" w:type="dxa"/>
          <w:bottom w:w="0" w:type="dxa"/>
          <w:right w:w="0" w:type="dxa"/>
        </w:tblCellMar>
      </w:tblPr>
      <w:tr>
        <w:trPr>
          <w:trHeight w:val="253"/>
        </w:trPr>
        <w:tc>
          <w:tcPr>
            <w:tcW w:w="2920" w:type="dxa"/>
            <w:vAlign w:val="bottom"/>
          </w:tcPr>
          <w:p>
            <w:pPr>
              <w:spacing w:after="0"/>
              <w:rPr>
                <w:sz w:val="20"/>
                <w:szCs w:val="20"/>
                <w:color w:val="auto"/>
              </w:rPr>
            </w:pPr>
            <w:r>
              <w:rPr>
                <w:rFonts w:ascii="Arial" w:cs="Arial" w:eastAsia="Arial" w:hAnsi="Arial"/>
                <w:sz w:val="22"/>
                <w:szCs w:val="22"/>
                <w:color w:val="auto"/>
              </w:rPr>
              <w:t>Dated: March 24, 2022</w:t>
            </w:r>
          </w:p>
        </w:tc>
        <w:tc>
          <w:tcPr>
            <w:tcW w:w="3280" w:type="dxa"/>
            <w:vAlign w:val="bottom"/>
            <w:gridSpan w:val="3"/>
          </w:tcPr>
          <w:p>
            <w:pPr>
              <w:ind w:left="920"/>
              <w:spacing w:after="0"/>
              <w:rPr>
                <w:sz w:val="20"/>
                <w:szCs w:val="20"/>
                <w:color w:val="auto"/>
              </w:rPr>
            </w:pPr>
            <w:r>
              <w:rPr>
                <w:rFonts w:ascii="Arial" w:cs="Arial" w:eastAsia="Arial" w:hAnsi="Arial"/>
                <w:sz w:val="22"/>
                <w:szCs w:val="22"/>
                <w:color w:val="auto"/>
              </w:rPr>
              <w:t>/s/ Paul Badawi</w:t>
            </w:r>
          </w:p>
        </w:tc>
      </w:tr>
      <w:tr>
        <w:trPr>
          <w:trHeight w:val="20"/>
        </w:trPr>
        <w:tc>
          <w:tcPr>
            <w:tcW w:w="2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42"/>
        </w:trPr>
        <w:tc>
          <w:tcPr>
            <w:tcW w:w="2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360" w:type="dxa"/>
            <w:vAlign w:val="bottom"/>
            <w:gridSpan w:val="2"/>
          </w:tcPr>
          <w:p>
            <w:pPr>
              <w:ind w:left="280"/>
              <w:spacing w:after="0" w:line="242" w:lineRule="exact"/>
              <w:rPr>
                <w:sz w:val="20"/>
                <w:szCs w:val="20"/>
                <w:color w:val="auto"/>
              </w:rPr>
            </w:pPr>
            <w:r>
              <w:rPr>
                <w:rFonts w:ascii="Arial" w:cs="Arial" w:eastAsia="Arial" w:hAnsi="Arial"/>
                <w:sz w:val="22"/>
                <w:szCs w:val="22"/>
                <w:color w:val="auto"/>
              </w:rPr>
              <w:t>Paul Badawi</w:t>
            </w:r>
          </w:p>
        </w:tc>
      </w:tr>
      <w:tr>
        <w:trPr>
          <w:trHeight w:val="274"/>
        </w:trPr>
        <w:tc>
          <w:tcPr>
            <w:tcW w:w="2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360" w:type="dxa"/>
            <w:vAlign w:val="bottom"/>
            <w:gridSpan w:val="2"/>
          </w:tcPr>
          <w:p>
            <w:pPr>
              <w:ind w:left="280"/>
              <w:spacing w:after="0"/>
              <w:rPr>
                <w:sz w:val="20"/>
                <w:szCs w:val="20"/>
                <w:color w:val="auto"/>
              </w:rPr>
            </w:pPr>
            <w:r>
              <w:rPr>
                <w:rFonts w:ascii="Arial" w:cs="Arial" w:eastAsia="Arial" w:hAnsi="Arial"/>
                <w:sz w:val="22"/>
                <w:szCs w:val="22"/>
                <w:color w:val="auto"/>
                <w:w w:val="92"/>
              </w:rPr>
              <w:t>Chief Executive Officer</w:t>
            </w:r>
          </w:p>
        </w:tc>
      </w:tr>
    </w:tbl>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 SV_DOCS\131912.1[W2000]||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2"/>
          <w:szCs w:val="22"/>
          <w:b w:val="1"/>
          <w:bCs w:val="1"/>
          <w:color w:val="auto"/>
        </w:rPr>
        <w:t>Exhibit 32.2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15" w:lineRule="exact"/>
        <w:rPr>
          <w:sz w:val="20"/>
          <w:szCs w:val="20"/>
          <w:color w:val="auto"/>
        </w:rPr>
      </w:pPr>
    </w:p>
    <w:p>
      <w:pPr>
        <w:ind w:right="20" w:firstLine="432"/>
        <w:spacing w:after="0" w:line="250" w:lineRule="auto"/>
        <w:rPr>
          <w:sz w:val="20"/>
          <w:szCs w:val="20"/>
          <w:color w:val="auto"/>
        </w:rPr>
      </w:pPr>
      <w:r>
        <w:rPr>
          <w:rFonts w:ascii="Arial" w:cs="Arial" w:eastAsia="Arial" w:hAnsi="Arial"/>
          <w:sz w:val="22"/>
          <w:szCs w:val="22"/>
          <w:color w:val="auto"/>
        </w:rPr>
        <w:t>Pursuant to 18 U.S.C. § 1350, as created by Section 906 of the Sarbanes-Oxley Act of 2002, the undersigned officer of Sight Sciences, Inc.(the “</w:t>
      </w:r>
      <w:r>
        <w:rPr>
          <w:rFonts w:ascii="Arial" w:cs="Arial" w:eastAsia="Arial" w:hAnsi="Arial"/>
          <w:sz w:val="22"/>
          <w:szCs w:val="22"/>
          <w:u w:val="single" w:color="auto"/>
          <w:color w:val="auto"/>
        </w:rPr>
        <w:t>Company</w:t>
      </w:r>
      <w:r>
        <w:rPr>
          <w:rFonts w:ascii="Arial" w:cs="Arial" w:eastAsia="Arial" w:hAnsi="Arial"/>
          <w:sz w:val="22"/>
          <w:szCs w:val="22"/>
          <w:color w:val="auto"/>
        </w:rPr>
        <w:t>”) hereby certifies that:</w:t>
      </w:r>
    </w:p>
    <w:p>
      <w:pPr>
        <w:spacing w:after="0" w:line="202" w:lineRule="exact"/>
        <w:rPr>
          <w:sz w:val="20"/>
          <w:szCs w:val="20"/>
          <w:color w:val="auto"/>
        </w:rPr>
      </w:pPr>
    </w:p>
    <w:p>
      <w:pPr>
        <w:ind w:left="1280" w:right="100" w:hanging="757"/>
        <w:spacing w:after="0"/>
        <w:tabs>
          <w:tab w:leader="none" w:pos="12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Annual Report on Form 10-K of the Company for the period ended December 31, 2021 (the “</w:t>
      </w:r>
      <w:r>
        <w:rPr>
          <w:rFonts w:ascii="Arial" w:cs="Arial" w:eastAsia="Arial" w:hAnsi="Arial"/>
          <w:sz w:val="22"/>
          <w:szCs w:val="22"/>
          <w:u w:val="single" w:color="auto"/>
          <w:color w:val="auto"/>
        </w:rPr>
        <w:t>Report</w:t>
      </w:r>
      <w:r>
        <w:rPr>
          <w:rFonts w:ascii="Arial" w:cs="Arial" w:eastAsia="Arial" w:hAnsi="Arial"/>
          <w:sz w:val="22"/>
          <w:szCs w:val="22"/>
          <w:color w:val="auto"/>
        </w:rPr>
        <w:t>”) fully complies with the requirements of Section 13(a) or Section 15(d), as applicable, of the Securities Exchange Act of 1934, as amended; and</w:t>
      </w:r>
    </w:p>
    <w:p>
      <w:pPr>
        <w:spacing w:after="0" w:line="213" w:lineRule="exact"/>
        <w:rPr>
          <w:rFonts w:ascii="Arial" w:cs="Arial" w:eastAsia="Arial" w:hAnsi="Arial"/>
          <w:sz w:val="22"/>
          <w:szCs w:val="22"/>
          <w:color w:val="auto"/>
        </w:rPr>
      </w:pPr>
    </w:p>
    <w:p>
      <w:pPr>
        <w:ind w:left="1280" w:right="180" w:hanging="757"/>
        <w:spacing w:after="0" w:line="250" w:lineRule="auto"/>
        <w:tabs>
          <w:tab w:leader="none" w:pos="12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80" w:type="dxa"/>
            <w:vAlign w:val="bottom"/>
          </w:tcPr>
          <w:p>
            <w:pPr>
              <w:spacing w:after="0"/>
              <w:rPr>
                <w:sz w:val="20"/>
                <w:szCs w:val="20"/>
                <w:color w:val="auto"/>
              </w:rPr>
            </w:pPr>
            <w:r>
              <w:rPr>
                <w:rFonts w:ascii="Arial" w:cs="Arial" w:eastAsia="Arial" w:hAnsi="Arial"/>
                <w:sz w:val="22"/>
                <w:szCs w:val="22"/>
                <w:color w:val="auto"/>
              </w:rPr>
              <w:t>Dated: March 24, 2022</w:t>
            </w:r>
          </w:p>
        </w:tc>
        <w:tc>
          <w:tcPr>
            <w:tcW w:w="1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4"/>
              </w:rPr>
              <w:t>/s/ Jesse Selnick</w:t>
            </w:r>
          </w:p>
        </w:tc>
        <w:tc>
          <w:tcPr>
            <w:tcW w:w="840" w:type="dxa"/>
            <w:vAlign w:val="bottom"/>
          </w:tcPr>
          <w:p>
            <w:pPr>
              <w:spacing w:after="0"/>
              <w:rPr>
                <w:sz w:val="21"/>
                <w:szCs w:val="21"/>
                <w:color w:val="auto"/>
              </w:rPr>
            </w:pPr>
          </w:p>
        </w:tc>
      </w:tr>
      <w:tr>
        <w:trPr>
          <w:trHeight w:val="242"/>
        </w:trPr>
        <w:tc>
          <w:tcPr>
            <w:tcW w:w="4280" w:type="dxa"/>
            <w:vAlign w:val="bottom"/>
          </w:tcPr>
          <w:p>
            <w:pPr>
              <w:spacing w:after="0"/>
              <w:rPr>
                <w:sz w:val="21"/>
                <w:szCs w:val="21"/>
                <w:color w:val="auto"/>
              </w:rPr>
            </w:pPr>
          </w:p>
        </w:tc>
        <w:tc>
          <w:tcPr>
            <w:tcW w:w="2240" w:type="dxa"/>
            <w:vAlign w:val="bottom"/>
            <w:gridSpan w:val="2"/>
          </w:tcPr>
          <w:p>
            <w:pPr>
              <w:ind w:left="220"/>
              <w:spacing w:after="0" w:line="242" w:lineRule="exact"/>
              <w:rPr>
                <w:sz w:val="20"/>
                <w:szCs w:val="20"/>
                <w:color w:val="auto"/>
              </w:rPr>
            </w:pPr>
            <w:r>
              <w:rPr>
                <w:rFonts w:ascii="Arial" w:cs="Arial" w:eastAsia="Arial" w:hAnsi="Arial"/>
                <w:sz w:val="22"/>
                <w:szCs w:val="22"/>
                <w:color w:val="auto"/>
              </w:rPr>
              <w:t>Jesse Selnick</w:t>
            </w:r>
          </w:p>
        </w:tc>
      </w:tr>
      <w:tr>
        <w:trPr>
          <w:trHeight w:val="274"/>
        </w:trPr>
        <w:tc>
          <w:tcPr>
            <w:tcW w:w="4280" w:type="dxa"/>
            <w:vAlign w:val="bottom"/>
          </w:tcPr>
          <w:p>
            <w:pPr>
              <w:spacing w:after="0"/>
              <w:rPr>
                <w:sz w:val="23"/>
                <w:szCs w:val="23"/>
                <w:color w:val="auto"/>
              </w:rPr>
            </w:pPr>
          </w:p>
        </w:tc>
        <w:tc>
          <w:tcPr>
            <w:tcW w:w="2240" w:type="dxa"/>
            <w:vAlign w:val="bottom"/>
            <w:gridSpan w:val="2"/>
          </w:tcPr>
          <w:p>
            <w:pPr>
              <w:ind w:left="220"/>
              <w:spacing w:after="0"/>
              <w:rPr>
                <w:sz w:val="20"/>
                <w:szCs w:val="20"/>
                <w:color w:val="auto"/>
              </w:rPr>
            </w:pPr>
            <w:r>
              <w:rPr>
                <w:rFonts w:ascii="Arial" w:cs="Arial" w:eastAsia="Arial" w:hAnsi="Arial"/>
                <w:sz w:val="22"/>
                <w:szCs w:val="22"/>
                <w:color w:val="auto"/>
                <w:w w:val="92"/>
              </w:rPr>
              <w:t>Chief Financial Officer</w:t>
            </w:r>
          </w:p>
        </w:tc>
      </w:tr>
    </w:tbl>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 SV_DOCS\131912.1[W2000]||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85" w:name="page186"/>
    <w:bookmarkEnd w:id="1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lvl w:ilvl="1">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1)"/>
      <w:numFmt w:val="lowerRoman"/>
      <w:start w:val="1"/>
    </w:lvl>
  </w:abstractNum>
  <w:abstractNum w:abstractNumId="10">
    <w:nsid w:val="684A481A"/>
    <w:multiLevelType w:val="hybridMultilevel"/>
    <w:lvl w:ilvl="0">
      <w:lvlJc w:val="left"/>
      <w:lvlText w:val="•"/>
      <w:numFmt w:val="bullet"/>
      <w:start w:val="1"/>
    </w:lvl>
    <w:lvl w:ilvl="1">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endash "/>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1)"/>
      <w:numFmt w:val="lowerRoman"/>
      <w:start w:val="2"/>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1)"/>
      <w:numFmt w:val="lowerLetter"/>
      <w:start w:val="1"/>
    </w:lvl>
  </w:abstractNum>
  <w:abstractNum w:abstractNumId="55">
    <w:nsid w:val="6B94764"/>
    <w:multiLevelType w:val="hybridMultilevel"/>
    <w:lvl w:ilvl="0">
      <w:lvlJc w:val="left"/>
      <w:lvlText w:val="%1"/>
      <w:numFmt w:val="lowerLetter"/>
      <w:start w:val="1"/>
    </w:lvl>
    <w:lvl w:ilvl="1">
      <w:lvlJc w:val="left"/>
      <w:lvlText w:val="(%2)"/>
      <w:numFmt w:val="decimal"/>
      <w:start w:val="2"/>
    </w:lvl>
  </w:abstractNum>
  <w:abstractNum w:abstractNumId="56">
    <w:nsid w:val="42C296BD"/>
    <w:multiLevelType w:val="hybridMultilevel"/>
    <w:lvl w:ilvl="0">
      <w:lvlJc w:val="left"/>
      <w:lvlText w:val="(%1)"/>
      <w:numFmt w:val="lowerLetter"/>
      <w:start w:val="2"/>
    </w:lvl>
    <w:lvl w:ilvl="1">
      <w:lvlJc w:val="left"/>
      <w:lvlText w:val="%2"/>
      <w:numFmt w:val="decimal"/>
      <w:start w:val="1"/>
    </w:lvl>
  </w:abstractNum>
  <w:abstractNum w:abstractNumId="57">
    <w:nsid w:val="168E121F"/>
    <w:multiLevelType w:val="hybridMultilevel"/>
    <w:lvl w:ilvl="0">
      <w:lvlJc w:val="left"/>
      <w:lvlText w:val="%1."/>
      <w:numFmt w:val="upperLetter"/>
      <w:start w:val="1"/>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1."/>
      <w:numFmt w:val="decimal"/>
      <w:start w:val="3"/>
    </w:lvl>
  </w:abstractNum>
  <w:abstractNum w:abstractNumId="60">
    <w:nsid w:val="5DC79EA8"/>
    <w:multiLevelType w:val="hybridMultilevel"/>
    <w:lvl w:ilvl="0">
      <w:lvlJc w:val="left"/>
      <w:lvlText w:val="(%1)"/>
      <w:numFmt w:val="lowerLetter"/>
      <w:start w:val="2"/>
    </w:lvl>
  </w:abstractNum>
  <w:abstractNum w:abstractNumId="61">
    <w:nsid w:val="540A471C"/>
    <w:multiLevelType w:val="hybridMultilevel"/>
    <w:lvl w:ilvl="0">
      <w:lvlJc w:val="left"/>
      <w:lvlText w:val="%1."/>
      <w:numFmt w:val="decimal"/>
      <w:start w:val="5"/>
    </w:lvl>
  </w:abstractNum>
  <w:abstractNum w:abstractNumId="62">
    <w:nsid w:val="7BD3EE7B"/>
    <w:multiLevelType w:val="hybridMultilevel"/>
    <w:lvl w:ilvl="0">
      <w:lvlJc w:val="left"/>
      <w:lvlText w:val="%1."/>
      <w:numFmt w:val="decimal"/>
      <w:start w:val="7"/>
    </w:lvl>
  </w:abstractNum>
  <w:abstractNum w:abstractNumId="63">
    <w:nsid w:val="51D9C564"/>
    <w:multiLevelType w:val="hybridMultilevel"/>
    <w:lvl w:ilvl="0">
      <w:lvlJc w:val="left"/>
      <w:lvlText w:val="(%1)"/>
      <w:numFmt w:val="lowerLetter"/>
      <w:start w:val="2"/>
    </w:lvl>
  </w:abstractNum>
  <w:abstractNum w:abstractNumId="64">
    <w:nsid w:val="613EFDC5"/>
    <w:multiLevelType w:val="hybridMultilevel"/>
    <w:lvl w:ilvl="0">
      <w:lvlJc w:val="left"/>
      <w:lvlText w:val="(%1)"/>
      <w:numFmt w:val="lowerLetter"/>
      <w:start w:val="4"/>
    </w:lvl>
  </w:abstractNum>
  <w:abstractNum w:abstractNumId="65">
    <w:nsid w:val="BF72B14"/>
    <w:multiLevelType w:val="hybridMultilevel"/>
    <w:lvl w:ilvl="0">
      <w:lvlJc w:val="left"/>
      <w:lvlText w:val="(%1)"/>
      <w:numFmt w:val="lowerLetter"/>
      <w:start w:val="7"/>
    </w:lvl>
  </w:abstractNum>
  <w:abstractNum w:abstractNumId="66">
    <w:nsid w:val="11447B73"/>
    <w:multiLevelType w:val="hybridMultilevel"/>
    <w:lvl w:ilvl="0">
      <w:lvlJc w:val="left"/>
      <w:lvlText w:val="(%1)"/>
      <w:numFmt w:val="lowerLetter"/>
      <w:start w:val="1"/>
    </w:lvl>
    <w:lvl w:ilvl="1">
      <w:lvlJc w:val="left"/>
      <w:lvlText w:val="(%2)"/>
      <w:numFmt w:val="lowerLetter"/>
      <w:start w:val="6"/>
    </w:lvl>
  </w:abstractNum>
  <w:abstractNum w:abstractNumId="67">
    <w:nsid w:val="42963E5A"/>
    <w:multiLevelType w:val="hybridMultilevel"/>
    <w:lvl w:ilvl="0">
      <w:lvlJc w:val="left"/>
      <w:lvlText w:val="(%1)"/>
      <w:numFmt w:val="lowerLetter"/>
      <w:start w:val="7"/>
    </w:lvl>
  </w:abstractNum>
  <w:abstractNum w:abstractNumId="68">
    <w:nsid w:val="A0382C5"/>
    <w:multiLevelType w:val="hybridMultilevel"/>
    <w:lvl w:ilvl="0">
      <w:lvlJc w:val="left"/>
      <w:lvlText w:val="%1."/>
      <w:numFmt w:val="upperLetter"/>
      <w:start w:val="1"/>
    </w:lvl>
  </w:abstractNum>
  <w:abstractNum w:abstractNumId="69">
    <w:nsid w:val="8F2B15E"/>
    <w:multiLevelType w:val="hybridMultilevel"/>
    <w:lvl w:ilvl="0">
      <w:lvlJc w:val="left"/>
      <w:lvlText w:val="%1."/>
      <w:numFmt w:val="decimal"/>
      <w:start w:val="1"/>
    </w:lvl>
  </w:abstractNum>
  <w:abstractNum w:abstractNumId="70">
    <w:nsid w:val="1A32234B"/>
    <w:multiLevelType w:val="hybridMultilevel"/>
    <w:lvl w:ilvl="0">
      <w:lvlJc w:val="left"/>
      <w:lvlText w:val="%1."/>
      <w:numFmt w:val="decimal"/>
      <w:start w:val="3"/>
    </w:lvl>
  </w:abstractNum>
  <w:abstractNum w:abstractNumId="71">
    <w:nsid w:val="3B0FD379"/>
    <w:multiLevelType w:val="hybridMultilevel"/>
    <w:lvl w:ilvl="0">
      <w:lvlJc w:val="left"/>
      <w:lvlText w:val="(%1)"/>
      <w:numFmt w:val="lowerLetter"/>
      <w:start w:val="2"/>
    </w:lvl>
  </w:abstractNum>
  <w:abstractNum w:abstractNumId="72">
    <w:nsid w:val="68EB2F63"/>
    <w:multiLevelType w:val="hybridMultilevel"/>
    <w:lvl w:ilvl="0">
      <w:lvlJc w:val="left"/>
      <w:lvlText w:val="%1."/>
      <w:numFmt w:val="decimal"/>
      <w:start w:val="5"/>
    </w:lvl>
  </w:abstractNum>
  <w:abstractNum w:abstractNumId="73">
    <w:nsid w:val="4962813B"/>
    <w:multiLevelType w:val="hybridMultilevel"/>
    <w:lvl w:ilvl="0">
      <w:lvlJc w:val="left"/>
      <w:lvlText w:val="%1."/>
      <w:numFmt w:val="decimal"/>
      <w:start w:val="7"/>
    </w:lvl>
  </w:abstractNum>
  <w:abstractNum w:abstractNumId="74">
    <w:nsid w:val="60B6DF70"/>
    <w:multiLevelType w:val="hybridMultilevel"/>
    <w:lvl w:ilvl="0">
      <w:lvlJc w:val="left"/>
      <w:lvlText w:val="(%1)"/>
      <w:numFmt w:val="lowerLetter"/>
      <w:start w:val="2"/>
    </w:lvl>
  </w:abstractNum>
  <w:abstractNum w:abstractNumId="75">
    <w:nsid w:val="6A5EE64"/>
    <w:multiLevelType w:val="hybridMultilevel"/>
    <w:lvl w:ilvl="0">
      <w:lvlJc w:val="left"/>
      <w:lvlText w:val="(%1)"/>
      <w:numFmt w:val="lowerLetter"/>
      <w:start w:val="4"/>
    </w:lvl>
  </w:abstractNum>
  <w:abstractNum w:abstractNumId="76">
    <w:nsid w:val="14330624"/>
    <w:multiLevelType w:val="hybridMultilevel"/>
    <w:lvl w:ilvl="0">
      <w:lvlJc w:val="left"/>
      <w:lvlText w:val="(%1)"/>
      <w:numFmt w:val="lowerLetter"/>
      <w:start w:val="7"/>
    </w:lvl>
  </w:abstractNum>
  <w:abstractNum w:abstractNumId="77">
    <w:nsid w:val="7FFFCA11"/>
    <w:multiLevelType w:val="hybridMultilevel"/>
    <w:lvl w:ilvl="0">
      <w:lvlJc w:val="left"/>
      <w:lvlText w:val="(%1)"/>
      <w:numFmt w:val="lowerLetter"/>
      <w:start w:val="1"/>
    </w:lvl>
  </w:abstractNum>
  <w:abstractNum w:abstractNumId="78">
    <w:nsid w:val="1A27709E"/>
    <w:multiLevelType w:val="hybridMultilevel"/>
    <w:lvl w:ilvl="0">
      <w:lvlJc w:val="left"/>
      <w:lvlText w:val="%1"/>
      <w:numFmt w:val="lowerLetter"/>
      <w:start w:val="1"/>
    </w:lvl>
    <w:lvl w:ilvl="1">
      <w:lvlJc w:val="left"/>
      <w:lvlText w:val="(%2)"/>
      <w:numFmt w:val="lowerLetter"/>
      <w:start w:val="6"/>
    </w:lvl>
  </w:abstractNum>
  <w:abstractNum w:abstractNumId="79">
    <w:nsid w:val="71EA1109"/>
    <w:multiLevelType w:val="hybridMultilevel"/>
    <w:lvl w:ilvl="0">
      <w:lvlJc w:val="left"/>
      <w:lvlText w:val="(%1)"/>
      <w:numFmt w:val="lowerLetter"/>
      <w:start w:val="7"/>
    </w:lvl>
    <w:lvl w:ilvl="1">
      <w:lvlJc w:val="left"/>
      <w:lvlText w:val="%2"/>
      <w:numFmt w:val="lowerLetter"/>
      <w:start w:val="1"/>
    </w:lvl>
  </w:abstractNum>
  <w:abstractNum w:abstractNumId="80">
    <w:nsid w:val="100F59DC"/>
    <w:multiLevelType w:val="hybridMultilevel"/>
    <w:lvl w:ilvl="0">
      <w:lvlJc w:val="left"/>
      <w:lvlText w:val="(%1)"/>
      <w:numFmt w:val="lowerLetter"/>
      <w:start w:val="8"/>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1."/>
      <w:numFmt w:val="decimal"/>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png"/><Relationship Id="rId320" Type="http://schemas.openxmlformats.org/officeDocument/2006/relationships/image" Target="media/image295.png"/><Relationship Id="rId321"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324" Type="http://schemas.openxmlformats.org/officeDocument/2006/relationships/image" Target="media/image299.png"/><Relationship Id="rId325" Type="http://schemas.openxmlformats.org/officeDocument/2006/relationships/image" Target="media/image300.png"/><Relationship Id="rId326" Type="http://schemas.openxmlformats.org/officeDocument/2006/relationships/image" Target="media/image301.png"/><Relationship Id="rId327" Type="http://schemas.openxmlformats.org/officeDocument/2006/relationships/image" Target="media/image302.png"/><Relationship Id="rId328" Type="http://schemas.openxmlformats.org/officeDocument/2006/relationships/image" Target="media/image303.png"/><Relationship Id="rId329" Type="http://schemas.openxmlformats.org/officeDocument/2006/relationships/image" Target="media/image304.png"/><Relationship Id="rId330" Type="http://schemas.openxmlformats.org/officeDocument/2006/relationships/image" Target="media/image305.png"/><Relationship Id="rId331" Type="http://schemas.openxmlformats.org/officeDocument/2006/relationships/image" Target="media/image306.png"/><Relationship Id="rId332" Type="http://schemas.openxmlformats.org/officeDocument/2006/relationships/image" Target="media/image307.png"/><Relationship Id="rId333" Type="http://schemas.openxmlformats.org/officeDocument/2006/relationships/image" Target="media/image308.png"/><Relationship Id="rId334" Type="http://schemas.openxmlformats.org/officeDocument/2006/relationships/image" Target="media/image309.png"/><Relationship Id="rId335" Type="http://schemas.openxmlformats.org/officeDocument/2006/relationships/image" Target="media/image310.png"/><Relationship Id="rId336" Type="http://schemas.openxmlformats.org/officeDocument/2006/relationships/image" Target="media/image311.png"/><Relationship Id="rId337" Type="http://schemas.openxmlformats.org/officeDocument/2006/relationships/image" Target="media/image312.png"/><Relationship Id="rId338" Type="http://schemas.openxmlformats.org/officeDocument/2006/relationships/image" Target="media/image313.png"/><Relationship Id="rId339" Type="http://schemas.openxmlformats.org/officeDocument/2006/relationships/image" Target="media/image314.png"/><Relationship Id="rId340" Type="http://schemas.openxmlformats.org/officeDocument/2006/relationships/image" Target="media/image315.png"/><Relationship Id="rId341" Type="http://schemas.openxmlformats.org/officeDocument/2006/relationships/image" Target="media/image316.png"/><Relationship Id="rId342" Type="http://schemas.openxmlformats.org/officeDocument/2006/relationships/image" Target="media/image317.png"/><Relationship Id="rId343" Type="http://schemas.openxmlformats.org/officeDocument/2006/relationships/image" Target="media/image318.png"/><Relationship Id="rId344" Type="http://schemas.openxmlformats.org/officeDocument/2006/relationships/image" Target="media/image319.png"/><Relationship Id="rId345" Type="http://schemas.openxmlformats.org/officeDocument/2006/relationships/image" Target="media/image320.png"/><Relationship Id="rId346" Type="http://schemas.openxmlformats.org/officeDocument/2006/relationships/image" Target="media/image321.png"/><Relationship Id="rId347" Type="http://schemas.openxmlformats.org/officeDocument/2006/relationships/image" Target="media/image322.png"/><Relationship Id="rId348" Type="http://schemas.openxmlformats.org/officeDocument/2006/relationships/image" Target="media/image323.png"/><Relationship Id="rId349" Type="http://schemas.openxmlformats.org/officeDocument/2006/relationships/image" Target="media/image324.png"/><Relationship Id="rId350" Type="http://schemas.openxmlformats.org/officeDocument/2006/relationships/image" Target="media/image325.png"/><Relationship Id="rId351" Type="http://schemas.openxmlformats.org/officeDocument/2006/relationships/image" Target="media/image326.png"/><Relationship Id="rId352" Type="http://schemas.openxmlformats.org/officeDocument/2006/relationships/image" Target="media/image327.png"/><Relationship Id="rId353" Type="http://schemas.openxmlformats.org/officeDocument/2006/relationships/image" Target="media/image328.png"/><Relationship Id="rId354" Type="http://schemas.openxmlformats.org/officeDocument/2006/relationships/image" Target="media/image329.png"/><Relationship Id="rId355" Type="http://schemas.openxmlformats.org/officeDocument/2006/relationships/image" Target="media/image330.png"/><Relationship Id="rId356" Type="http://schemas.openxmlformats.org/officeDocument/2006/relationships/image" Target="media/image331.png"/><Relationship Id="rId357" Type="http://schemas.openxmlformats.org/officeDocument/2006/relationships/image" Target="media/image332.png"/><Relationship Id="rId358" Type="http://schemas.openxmlformats.org/officeDocument/2006/relationships/image" Target="media/image333.png"/><Relationship Id="rId359" Type="http://schemas.openxmlformats.org/officeDocument/2006/relationships/image" Target="media/image334.png"/><Relationship Id="rId360" Type="http://schemas.openxmlformats.org/officeDocument/2006/relationships/image" Target="media/image335.png"/><Relationship Id="rId361" Type="http://schemas.openxmlformats.org/officeDocument/2006/relationships/image" Target="media/image336.png"/><Relationship Id="rId362" Type="http://schemas.openxmlformats.org/officeDocument/2006/relationships/image" Target="media/image337.png"/><Relationship Id="rId363" Type="http://schemas.openxmlformats.org/officeDocument/2006/relationships/image" Target="media/image338.png"/><Relationship Id="rId364" Type="http://schemas.openxmlformats.org/officeDocument/2006/relationships/image" Target="media/image339.png"/><Relationship Id="rId365" Type="http://schemas.openxmlformats.org/officeDocument/2006/relationships/image" Target="media/image340.png"/><Relationship Id="rId366" Type="http://schemas.openxmlformats.org/officeDocument/2006/relationships/image" Target="media/image341.png"/><Relationship Id="rId367" Type="http://schemas.openxmlformats.org/officeDocument/2006/relationships/image" Target="media/image342.png"/><Relationship Id="rId368" Type="http://schemas.openxmlformats.org/officeDocument/2006/relationships/image" Target="media/image343.png"/><Relationship Id="rId369" Type="http://schemas.openxmlformats.org/officeDocument/2006/relationships/image" Target="media/image344.png"/><Relationship Id="rId370" Type="http://schemas.openxmlformats.org/officeDocument/2006/relationships/image" Target="media/image345.png"/><Relationship Id="rId371" Type="http://schemas.openxmlformats.org/officeDocument/2006/relationships/image" Target="media/image346.png"/><Relationship Id="rId372" Type="http://schemas.openxmlformats.org/officeDocument/2006/relationships/image" Target="media/image347.png"/><Relationship Id="rId373" Type="http://schemas.openxmlformats.org/officeDocument/2006/relationships/image" Target="media/image348.png"/><Relationship Id="rId374" Type="http://schemas.openxmlformats.org/officeDocument/2006/relationships/image" Target="media/image349.png"/><Relationship Id="rId375" Type="http://schemas.openxmlformats.org/officeDocument/2006/relationships/image" Target="media/image350.png"/><Relationship Id="rId298" Type="http://schemas.openxmlformats.org/officeDocument/2006/relationships/hyperlink" Target="https://www.sec.gov/Archives/edgar/data/1531177/000119312521218705/d116785dex31.htm" TargetMode="External"/><Relationship Id="rId299" Type="http://schemas.openxmlformats.org/officeDocument/2006/relationships/hyperlink" Target="https://www.sec.gov/Archives/edgar/data/1531177/000119312521218705/d116785dex32.htm" TargetMode="External"/><Relationship Id="rId300" Type="http://schemas.openxmlformats.org/officeDocument/2006/relationships/hyperlink" Target="https://www.sec.gov/Archives/edgar/data/1531177/000119312521210231/d90195dex33.htm" TargetMode="External"/><Relationship Id="rId301" Type="http://schemas.openxmlformats.org/officeDocument/2006/relationships/hyperlink" Target="https://www.sec.gov/Archives/edgar/data/1531177/000119312521210231/d90195dex41.htm" TargetMode="External"/><Relationship Id="rId302" Type="http://schemas.openxmlformats.org/officeDocument/2006/relationships/hyperlink" Target="https://www.sec.gov/Archives/edgar/data/1531177/000119312521210231/d90195dex42.htm" TargetMode="External"/><Relationship Id="rId303" Type="http://schemas.openxmlformats.org/officeDocument/2006/relationships/hyperlink" Target="https://www.sec.gov/Archives/edgar/data/1531177/000119312521197314/d90195dex43.htm" TargetMode="External"/><Relationship Id="rId304" Type="http://schemas.openxmlformats.org/officeDocument/2006/relationships/hyperlink" Target="https://www.sec.gov/Archives/edgar/data/1531177/000119312521197314/d90195dex101.htm" TargetMode="External"/><Relationship Id="rId305" Type="http://schemas.openxmlformats.org/officeDocument/2006/relationships/hyperlink" Target="https://www.sec.gov/Archives/edgar/data/1531177/000119312521210231/d90195dex102.htm" TargetMode="External"/><Relationship Id="rId306" Type="http://schemas.openxmlformats.org/officeDocument/2006/relationships/hyperlink" Target="https://www.sec.gov/Archives/edgar/data/1531177/000119312521210231/d90195dex103.htm" TargetMode="External"/><Relationship Id="rId307" Type="http://schemas.openxmlformats.org/officeDocument/2006/relationships/hyperlink" Target="https://www.sec.gov/Archives/edgar/data/1531177/000119312521210231/d90195dex104.htm" TargetMode="External"/><Relationship Id="rId308" Type="http://schemas.openxmlformats.org/officeDocument/2006/relationships/hyperlink" Target="https://www.sec.gov/Archives/edgar/data/1531177/000119312521210231/d90195dex105.htm" TargetMode="External"/><Relationship Id="rId309" Type="http://schemas.openxmlformats.org/officeDocument/2006/relationships/hyperlink" Target="https://www.sec.gov/Archives/edgar/data/1531177/000119312521210231/d90195dex1011.htm" TargetMode="External"/><Relationship Id="rId310" Type="http://schemas.openxmlformats.org/officeDocument/2006/relationships/hyperlink" Target="https://www.sec.gov/Archives/edgar/data/1531177/000119312521210231/d90195dex1012.htm" TargetMode="External"/><Relationship Id="rId311" Type="http://schemas.openxmlformats.org/officeDocument/2006/relationships/hyperlink" Target="https://www.sec.gov/Archives/edgar/data/1531177/000119312521210231/d90195dex1013.htm" TargetMode="External"/><Relationship Id="rId312" Type="http://schemas.openxmlformats.org/officeDocument/2006/relationships/hyperlink" Target="https://www.sec.gov/Archives/edgar/data/1531177/000119312521210231/d90195dex1014.htm" TargetMode="External"/><Relationship Id="rId313" Type="http://schemas.openxmlformats.org/officeDocument/2006/relationships/hyperlink" Target="https://www.sec.gov/Archives/edgar/data/1531177/000119312521197314/d90195dex107.htm" TargetMode="External"/><Relationship Id="rId314" Type="http://schemas.openxmlformats.org/officeDocument/2006/relationships/hyperlink" Target="https://www.sec.gov/Archives/edgar/data/1531177/000095017021004130/sght-ex10_1.htm" TargetMode="External"/><Relationship Id="rId315" Type="http://schemas.openxmlformats.org/officeDocument/2006/relationships/hyperlink" Target="https://www.sec.gov/Archives/edgar/data/1531177/000095017021004130/sght-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2022-03-24T15:42:20Z</dcterms:created>
  <dcterms:modified xsi:type="dcterms:W3CDTF">2022-03-24T15:42:20Z</dcterms:modified>
</cp:coreProperties>
</file>