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551815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158750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1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195580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7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9" w:lineRule="exact"/>
        <w:rPr>
          <w:sz w:val="24"/>
          <w:szCs w:val="24"/>
          <w:color w:val="auto"/>
        </w:rPr>
      </w:pPr>
    </w:p>
    <w:p>
      <w:pPr>
        <w:ind w:left="3660" w:right="1620" w:hanging="3639"/>
        <w:spacing w:after="0" w:line="367" w:lineRule="auto"/>
        <w:tabs>
          <w:tab w:leader="none" w:pos="485"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September 30, 2022</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04" w:lineRule="exact"/>
        <w:rPr>
          <w:sz w:val="24"/>
          <w:szCs w:val="24"/>
          <w:color w:val="auto"/>
        </w:rPr>
      </w:pPr>
    </w:p>
    <w:p>
      <w:pPr>
        <w:ind w:left="3320" w:right="1600" w:hanging="3299"/>
        <w:spacing w:after="0" w:line="367" w:lineRule="auto"/>
        <w:tabs>
          <w:tab w:leader="none" w:pos="471"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For the transition period from __________ to ____________</w:t>
      </w:r>
    </w:p>
    <w:p>
      <w:pPr>
        <w:spacing w:after="0" w:line="1" w:lineRule="exact"/>
        <w:rPr>
          <w:rFonts w:ascii="MS PGothic" w:cs="MS PGothic" w:eastAsia="MS PGothic" w:hAnsi="MS PGothic"/>
          <w:sz w:val="18"/>
          <w:szCs w:val="18"/>
          <w:color w:val="auto"/>
          <w:highlight w:val="black"/>
        </w:rPr>
      </w:pPr>
    </w:p>
    <w:p>
      <w:pPr>
        <w:ind w:left="420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Commission File Number: 001-40587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180340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1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SIGHT SCIENCES,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167640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p>
      <w:pPr>
        <w:spacing w:after="0" w:line="200" w:lineRule="exact"/>
        <w:rPr>
          <w:sz w:val="24"/>
          <w:szCs w:val="24"/>
          <w:color w:val="auto"/>
        </w:rPr>
      </w:pPr>
    </w:p>
    <w:p>
      <w:pPr>
        <w:spacing w:after="0" w:line="262" w:lineRule="exact"/>
        <w:rPr>
          <w:sz w:val="24"/>
          <w:szCs w:val="24"/>
          <w:color w:val="auto"/>
        </w:rPr>
      </w:pPr>
    </w:p>
    <w:p>
      <w:pPr>
        <w:jc w:val="center"/>
        <w:ind w:right="1580"/>
        <w:spacing w:after="0"/>
        <w:rPr>
          <w:sz w:val="20"/>
          <w:szCs w:val="20"/>
          <w:color w:val="auto"/>
        </w:rPr>
      </w:pPr>
      <w:r>
        <w:rPr>
          <w:rFonts w:ascii="Arial" w:cs="Arial" w:eastAsia="Arial" w:hAnsi="Arial"/>
          <w:sz w:val="18"/>
          <w:szCs w:val="18"/>
          <w:b w:val="1"/>
          <w:bCs w:val="1"/>
          <w:color w:val="auto"/>
        </w:rPr>
        <w:t>Delaware</w:t>
      </w:r>
    </w:p>
    <w:p>
      <w:pPr>
        <w:spacing w:after="0" w:line="23" w:lineRule="exact"/>
        <w:rPr>
          <w:sz w:val="24"/>
          <w:szCs w:val="24"/>
          <w:color w:val="auto"/>
        </w:rPr>
      </w:pPr>
    </w:p>
    <w:p>
      <w:pPr>
        <w:ind w:left="2020"/>
        <w:spacing w:after="0"/>
        <w:rPr>
          <w:sz w:val="20"/>
          <w:szCs w:val="20"/>
          <w:color w:val="auto"/>
        </w:rPr>
      </w:pPr>
      <w:r>
        <w:rPr>
          <w:rFonts w:ascii="Arial" w:cs="Arial" w:eastAsia="Arial" w:hAnsi="Arial"/>
          <w:sz w:val="10"/>
          <w:szCs w:val="10"/>
          <w:b w:val="1"/>
          <w:bCs w:val="1"/>
          <w:color w:val="auto"/>
        </w:rPr>
        <w:t>(State or other jurisdiction of</w:t>
      </w:r>
    </w:p>
    <w:p>
      <w:pPr>
        <w:spacing w:after="0" w:line="20" w:lineRule="exact"/>
        <w:rPr>
          <w:sz w:val="24"/>
          <w:szCs w:val="24"/>
          <w:color w:val="auto"/>
        </w:rPr>
      </w:pPr>
    </w:p>
    <w:p>
      <w:pPr>
        <w:ind w:left="2000"/>
        <w:spacing w:after="0"/>
        <w:rPr>
          <w:sz w:val="20"/>
          <w:szCs w:val="20"/>
          <w:color w:val="auto"/>
        </w:rPr>
      </w:pPr>
      <w:r>
        <w:rPr>
          <w:rFonts w:ascii="Arial" w:cs="Arial" w:eastAsia="Arial" w:hAnsi="Arial"/>
          <w:sz w:val="10"/>
          <w:szCs w:val="10"/>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2" w:lineRule="exact"/>
        <w:rPr>
          <w:sz w:val="24"/>
          <w:szCs w:val="24"/>
          <w:color w:val="auto"/>
        </w:rPr>
      </w:pPr>
    </w:p>
    <w:p>
      <w:pPr>
        <w:ind w:left="60"/>
        <w:spacing w:after="0"/>
        <w:rPr>
          <w:sz w:val="20"/>
          <w:szCs w:val="20"/>
          <w:color w:val="auto"/>
        </w:rPr>
      </w:pPr>
      <w:r>
        <w:rPr>
          <w:rFonts w:ascii="Arial" w:cs="Arial" w:eastAsia="Arial" w:hAnsi="Arial"/>
          <w:sz w:val="17"/>
          <w:szCs w:val="17"/>
          <w:b w:val="1"/>
          <w:bCs w:val="1"/>
          <w:color w:val="auto"/>
        </w:rPr>
        <w:t>80-0625749</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6"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Identification No.)</w:t>
      </w:r>
    </w:p>
    <w:p>
      <w:pPr>
        <w:spacing w:after="0" w:line="35" w:lineRule="exact"/>
        <w:rPr>
          <w:sz w:val="24"/>
          <w:szCs w:val="24"/>
          <w:color w:val="auto"/>
        </w:rPr>
      </w:pPr>
    </w:p>
    <w:p>
      <w:pPr>
        <w:sectPr>
          <w:pgSz w:w="11900" w:h="16838" w:orient="portrait"/>
          <w:cols w:equalWidth="0" w:num="2">
            <w:col w:w="7220" w:space="720"/>
            <w:col w:w="3300"/>
          </w:cols>
          <w:pgMar w:left="320" w:top="1097" w:right="339" w:bottom="1440" w:gutter="0" w:footer="0" w:header="0"/>
          <w:type w:val="continuous"/>
        </w:sectPr>
      </w:pPr>
    </w:p>
    <w:p>
      <w:pPr>
        <w:ind w:left="1680"/>
        <w:spacing w:after="0"/>
        <w:rPr>
          <w:sz w:val="20"/>
          <w:szCs w:val="20"/>
          <w:color w:val="auto"/>
        </w:rPr>
      </w:pPr>
      <w:r>
        <w:rPr>
          <w:rFonts w:ascii="Arial" w:cs="Arial" w:eastAsia="Arial" w:hAnsi="Arial"/>
          <w:sz w:val="18"/>
          <w:szCs w:val="18"/>
          <w:b w:val="1"/>
          <w:bCs w:val="1"/>
          <w:color w:val="auto"/>
        </w:rPr>
        <w:t>4040 Campbell Ave, Suite 100</w:t>
      </w:r>
    </w:p>
    <w:p>
      <w:pPr>
        <w:spacing w:after="0" w:line="13" w:lineRule="exact"/>
        <w:rPr>
          <w:sz w:val="24"/>
          <w:szCs w:val="24"/>
          <w:color w:val="auto"/>
        </w:rPr>
      </w:pPr>
    </w:p>
    <w:p>
      <w:pPr>
        <w:ind w:left="2180"/>
        <w:spacing w:after="0"/>
        <w:tabs>
          <w:tab w:leader="none" w:pos="8180" w:val="left"/>
        </w:tabs>
        <w:rPr>
          <w:sz w:val="20"/>
          <w:szCs w:val="20"/>
          <w:color w:val="auto"/>
        </w:rPr>
      </w:pPr>
      <w:r>
        <w:rPr>
          <w:rFonts w:ascii="Arial" w:cs="Arial" w:eastAsia="Arial" w:hAnsi="Arial"/>
          <w:sz w:val="18"/>
          <w:szCs w:val="18"/>
          <w:b w:val="1"/>
          <w:bCs w:val="1"/>
          <w:color w:val="auto"/>
        </w:rPr>
        <w:t>Menlo Park, CA</w:t>
      </w:r>
      <w:r>
        <w:rPr>
          <w:sz w:val="20"/>
          <w:szCs w:val="20"/>
          <w:color w:val="auto"/>
        </w:rPr>
        <w:tab/>
      </w:r>
      <w:r>
        <w:rPr>
          <w:rFonts w:ascii="Arial" w:cs="Arial" w:eastAsia="Arial" w:hAnsi="Arial"/>
          <w:sz w:val="16"/>
          <w:szCs w:val="16"/>
          <w:b w:val="1"/>
          <w:bCs w:val="1"/>
          <w:color w:val="auto"/>
        </w:rPr>
        <w:t>94025</w:t>
      </w:r>
    </w:p>
    <w:p>
      <w:pPr>
        <w:spacing w:after="0" w:line="17" w:lineRule="exact"/>
        <w:rPr>
          <w:sz w:val="24"/>
          <w:szCs w:val="24"/>
          <w:color w:val="auto"/>
        </w:rPr>
      </w:pPr>
    </w:p>
    <w:p>
      <w:pPr>
        <w:ind w:left="1780"/>
        <w:spacing w:after="0"/>
        <w:tabs>
          <w:tab w:leader="none" w:pos="8120" w:val="left"/>
        </w:tabs>
        <w:rPr>
          <w:sz w:val="20"/>
          <w:szCs w:val="20"/>
          <w:color w:val="auto"/>
        </w:rPr>
      </w:pPr>
      <w:r>
        <w:rPr>
          <w:rFonts w:ascii="Arial" w:cs="Arial" w:eastAsia="Arial" w:hAnsi="Arial"/>
          <w:sz w:val="13"/>
          <w:szCs w:val="13"/>
          <w:b w:val="1"/>
          <w:bCs w:val="1"/>
          <w:color w:val="auto"/>
        </w:rPr>
        <w:t>(Address of principal executive offices)</w:t>
      </w:r>
      <w:r>
        <w:rPr>
          <w:sz w:val="20"/>
          <w:szCs w:val="20"/>
          <w:color w:val="auto"/>
        </w:rPr>
        <w:tab/>
      </w:r>
      <w:r>
        <w:rPr>
          <w:rFonts w:ascii="Arial" w:cs="Arial" w:eastAsia="Arial" w:hAnsi="Arial"/>
          <w:sz w:val="10"/>
          <w:szCs w:val="10"/>
          <w:b w:val="1"/>
          <w:bCs w:val="1"/>
          <w:color w:val="auto"/>
        </w:rPr>
        <w:t>(Zip Code)</w:t>
      </w:r>
    </w:p>
    <w:p>
      <w:pPr>
        <w:spacing w:after="0" w:line="79"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(877) 266-1144</w:t>
      </w:r>
    </w:p>
    <w:p>
      <w:pPr>
        <w:spacing w:after="0" w:line="63" w:lineRule="exact"/>
        <w:rPr>
          <w:sz w:val="24"/>
          <w:szCs w:val="24"/>
          <w:color w:val="auto"/>
        </w:rPr>
      </w:pPr>
    </w:p>
    <w:p>
      <w:pPr>
        <w:ind w:left="5460"/>
        <w:spacing w:after="0"/>
        <w:rPr>
          <w:sz w:val="20"/>
          <w:szCs w:val="20"/>
          <w:color w:val="auto"/>
        </w:rPr>
      </w:pPr>
      <w:r>
        <w:rPr>
          <w:rFonts w:ascii="Arial" w:cs="Arial" w:eastAsia="Arial" w:hAnsi="Arial"/>
          <w:sz w:val="18"/>
          <w:szCs w:val="18"/>
          <w:b w:val="1"/>
          <w:bCs w:val="1"/>
          <w:color w:val="auto"/>
        </w:rPr>
        <w:t>N/A</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167640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02"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2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20" w:type="dxa"/>
            <w:vAlign w:val="bottom"/>
          </w:tcPr>
          <w:p>
            <w:pPr>
              <w:spacing w:after="0"/>
              <w:rPr>
                <w:sz w:val="14"/>
                <w:szCs w:val="14"/>
                <w:color w:val="auto"/>
              </w:rPr>
            </w:pPr>
          </w:p>
        </w:tc>
        <w:tc>
          <w:tcPr>
            <w:tcW w:w="5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85"/>
        </w:trPr>
        <w:tc>
          <w:tcPr>
            <w:tcW w:w="42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20" w:type="dxa"/>
            <w:vAlign w:val="bottom"/>
          </w:tcPr>
          <w:p>
            <w:pPr>
              <w:spacing w:after="0"/>
              <w:rPr>
                <w:sz w:val="16"/>
                <w:szCs w:val="16"/>
                <w:color w:val="auto"/>
              </w:rPr>
            </w:pPr>
          </w:p>
        </w:tc>
        <w:tc>
          <w:tcPr>
            <w:tcW w:w="5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280" w:type="dxa"/>
            <w:vAlign w:val="bottom"/>
          </w:tcPr>
          <w:p>
            <w:pPr>
              <w:jc w:val="center"/>
              <w:spacing w:after="0"/>
              <w:rPr>
                <w:sz w:val="20"/>
                <w:szCs w:val="20"/>
                <w:color w:val="auto"/>
              </w:rPr>
            </w:pPr>
            <w:r>
              <w:rPr>
                <w:rFonts w:ascii="Arial" w:cs="Arial" w:eastAsia="Arial" w:hAnsi="Arial"/>
                <w:sz w:val="16"/>
                <w:szCs w:val="16"/>
                <w:color w:val="auto"/>
                <w:w w:val="91"/>
              </w:rPr>
              <w:t>Common Stock, par value $0.001</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w w:val="94"/>
              </w:rPr>
              <w:t>SGHT</w:t>
            </w:r>
          </w:p>
        </w:tc>
        <w:tc>
          <w:tcPr>
            <w:tcW w:w="120" w:type="dxa"/>
            <w:vAlign w:val="bottom"/>
          </w:tcPr>
          <w:p>
            <w:pPr>
              <w:spacing w:after="0"/>
              <w:rPr>
                <w:sz w:val="17"/>
                <w:szCs w:val="17"/>
                <w:color w:val="auto"/>
              </w:rPr>
            </w:pPr>
          </w:p>
        </w:tc>
        <w:tc>
          <w:tcPr>
            <w:tcW w:w="5040" w:type="dxa"/>
            <w:vAlign w:val="bottom"/>
          </w:tcPr>
          <w:p>
            <w:pPr>
              <w:jc w:val="center"/>
              <w:spacing w:after="0"/>
              <w:rPr>
                <w:sz w:val="20"/>
                <w:szCs w:val="20"/>
                <w:color w:val="auto"/>
              </w:rPr>
            </w:pPr>
            <w:r>
              <w:rPr>
                <w:rFonts w:ascii="Arial" w:cs="Arial" w:eastAsia="Arial" w:hAnsi="Arial"/>
                <w:sz w:val="16"/>
                <w:szCs w:val="16"/>
                <w:color w:val="auto"/>
                <w:w w:val="91"/>
              </w:rPr>
              <w:t>The Nasdaq Global Select Market</w:t>
            </w:r>
          </w:p>
        </w:tc>
        <w:tc>
          <w:tcPr>
            <w:tcW w:w="0" w:type="dxa"/>
            <w:vAlign w:val="bottom"/>
          </w:tcPr>
          <w:p>
            <w:pPr>
              <w:spacing w:after="0"/>
              <w:rPr>
                <w:sz w:val="1"/>
                <w:szCs w:val="1"/>
                <w:color w:val="auto"/>
              </w:rPr>
            </w:pPr>
          </w:p>
        </w:tc>
      </w:tr>
    </w:tbl>
    <w:p>
      <w:pPr>
        <w:spacing w:after="0" w:line="81" w:lineRule="exact"/>
        <w:rPr>
          <w:sz w:val="24"/>
          <w:szCs w:val="24"/>
          <w:color w:val="auto"/>
        </w:rPr>
      </w:pPr>
    </w:p>
    <w:p>
      <w:pPr>
        <w:jc w:val="both"/>
        <w:ind w:firstLine="599"/>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2" w:lineRule="exact"/>
        <w:rPr>
          <w:sz w:val="24"/>
          <w:szCs w:val="24"/>
          <w:color w:val="auto"/>
        </w:rPr>
      </w:pPr>
    </w:p>
    <w:p>
      <w:pPr>
        <w:ind w:right="100" w:firstLine="599"/>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33" w:lineRule="exact"/>
        <w:rPr>
          <w:sz w:val="24"/>
          <w:szCs w:val="24"/>
          <w:color w:val="auto"/>
        </w:rPr>
      </w:pPr>
    </w:p>
    <w:p>
      <w:pPr>
        <w:jc w:val="both"/>
        <w:ind w:right="260" w:firstLine="599"/>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39" w:lineRule="exact"/>
        <w:rPr>
          <w:sz w:val="24"/>
          <w:szCs w:val="24"/>
          <w:color w:val="auto"/>
        </w:rPr>
      </w:pPr>
    </w:p>
    <w:tbl>
      <w:tblPr>
        <w:tblLayout w:type="fixed"/>
        <w:tblInd w:w="20" w:type="dxa"/>
        <w:tblCellMar>
          <w:top w:w="0" w:type="dxa"/>
          <w:left w:w="0" w:type="dxa"/>
          <w:bottom w:w="0" w:type="dxa"/>
          <w:right w:w="0" w:type="dxa"/>
        </w:tblCellMar>
      </w:tblPr>
      <w:tr>
        <w:trPr>
          <w:trHeight w:val="189"/>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2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Arial" w:cs="Arial" w:eastAsia="Arial" w:hAnsi="Arial"/>
                <w:sz w:val="16"/>
                <w:szCs w:val="16"/>
                <w:color w:val="auto"/>
              </w:rPr>
              <w:t>Accelerated filer</w:t>
            </w:r>
          </w:p>
        </w:tc>
        <w:tc>
          <w:tcPr>
            <w:tcW w:w="4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189"/>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352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Arial" w:cs="Arial" w:eastAsia="Arial" w:hAnsi="Arial"/>
                <w:sz w:val="16"/>
                <w:szCs w:val="16"/>
                <w:color w:val="auto"/>
              </w:rPr>
              <w:t>Smaller reporting company</w:t>
            </w:r>
          </w:p>
        </w:tc>
        <w:tc>
          <w:tcPr>
            <w:tcW w:w="4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2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spacing w:after="0"/>
              <w:rPr>
                <w:sz w:val="22"/>
                <w:szCs w:val="22"/>
                <w:color w:val="auto"/>
              </w:rPr>
            </w:pPr>
          </w:p>
        </w:tc>
        <w:tc>
          <w:tcPr>
            <w:tcW w:w="420" w:type="dxa"/>
            <w:vAlign w:val="bottom"/>
          </w:tcPr>
          <w:p>
            <w:pPr>
              <w:spacing w:after="0"/>
              <w:rPr>
                <w:sz w:val="22"/>
                <w:szCs w:val="22"/>
                <w:color w:val="auto"/>
              </w:rPr>
            </w:pPr>
          </w:p>
        </w:tc>
      </w:tr>
    </w:tbl>
    <w:p>
      <w:pPr>
        <w:spacing w:after="0" w:line="167" w:lineRule="exact"/>
        <w:rPr>
          <w:sz w:val="24"/>
          <w:szCs w:val="24"/>
          <w:color w:val="auto"/>
        </w:rPr>
      </w:pPr>
    </w:p>
    <w:p>
      <w:pPr>
        <w:ind w:right="500" w:firstLine="599"/>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 w:lineRule="exact"/>
        <w:rPr>
          <w:sz w:val="24"/>
          <w:szCs w:val="24"/>
          <w:color w:val="auto"/>
        </w:rPr>
      </w:pPr>
    </w:p>
    <w:p>
      <w:pPr>
        <w:ind w:left="600"/>
        <w:spacing w:after="0" w:line="184" w:lineRule="exact"/>
        <w:tabs>
          <w:tab w:leader="none" w:pos="8140" w:val="left"/>
          <w:tab w:leader="none" w:pos="874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292" w:lineRule="exact"/>
        <w:rPr>
          <w:sz w:val="24"/>
          <w:szCs w:val="24"/>
          <w:color w:val="auto"/>
        </w:rPr>
      </w:pPr>
    </w:p>
    <w:p>
      <w:pPr>
        <w:ind w:left="600"/>
        <w:spacing w:after="0"/>
        <w:rPr>
          <w:sz w:val="20"/>
          <w:szCs w:val="20"/>
          <w:color w:val="auto"/>
        </w:rPr>
      </w:pPr>
      <w:r>
        <w:rPr>
          <w:rFonts w:ascii="Arial" w:cs="Arial" w:eastAsia="Arial" w:hAnsi="Arial"/>
          <w:sz w:val="16"/>
          <w:szCs w:val="16"/>
          <w:color w:val="auto"/>
        </w:rPr>
        <w:t>As of November 4, 2022, the registrant had 48,151,302 shares of Common Stock, par value $0.001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180975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519430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60" w:type="dxa"/>
            <w:vAlign w:val="bottom"/>
          </w:tcPr>
          <w:p>
            <w:pPr>
              <w:spacing w:after="0"/>
              <w:rPr>
                <w:sz w:val="16"/>
                <w:szCs w:val="16"/>
                <w:color w:val="auto"/>
              </w:rPr>
            </w:pPr>
          </w:p>
        </w:tc>
        <w:tc>
          <w:tcPr>
            <w:tcW w:w="9300" w:type="dxa"/>
            <w:vAlign w:val="bottom"/>
            <w:gridSpan w:val="21"/>
            <w:vMerge w:val="restart"/>
          </w:tcPr>
          <w:p>
            <w:pPr>
              <w:spacing w:after="0"/>
              <w:rPr>
                <w:sz w:val="20"/>
                <w:szCs w:val="20"/>
                <w:color w:val="auto"/>
              </w:rPr>
            </w:pPr>
            <w:r>
              <w:rPr>
                <w:rFonts w:ascii="Arial" w:cs="Arial" w:eastAsia="Arial" w:hAnsi="Arial"/>
                <w:sz w:val="18"/>
                <w:szCs w:val="18"/>
                <w:color w:val="0563C1"/>
              </w:rPr>
              <w:t>Special Note Regarding Forward-Looking Statements</w:t>
            </w:r>
          </w:p>
        </w:tc>
        <w:tc>
          <w:tcPr>
            <w:tcW w:w="7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9300" w:type="dxa"/>
            <w:vAlign w:val="bottom"/>
            <w:gridSpan w:val="21"/>
            <w:vMerge w:val="continue"/>
          </w:tcPr>
          <w:p>
            <w:pPr>
              <w:spacing w:after="0"/>
              <w:rPr>
                <w:sz w:val="13"/>
                <w:szCs w:val="13"/>
                <w:color w:val="auto"/>
              </w:rPr>
            </w:pPr>
          </w:p>
        </w:tc>
        <w:tc>
          <w:tcPr>
            <w:tcW w:w="780" w:type="dxa"/>
            <w:vAlign w:val="bottom"/>
          </w:tcPr>
          <w:p>
            <w:pPr>
              <w:jc w:val="center"/>
              <w:spacing w:after="0" w:line="155" w:lineRule="exact"/>
              <w:rPr>
                <w:sz w:val="20"/>
                <w:szCs w:val="20"/>
                <w:color w:val="auto"/>
              </w:rPr>
            </w:pPr>
            <w:r>
              <w:rPr>
                <w:rFonts w:ascii="Arial" w:cs="Arial" w:eastAsia="Arial" w:hAnsi="Arial"/>
                <w:sz w:val="16"/>
                <w:szCs w:val="16"/>
                <w:color w:val="auto"/>
                <w:w w:val="89"/>
              </w:rPr>
              <w:t>3</w:t>
            </w:r>
          </w:p>
        </w:tc>
        <w:tc>
          <w:tcPr>
            <w:tcW w:w="0" w:type="dxa"/>
            <w:vAlign w:val="bottom"/>
          </w:tcPr>
          <w:p>
            <w:pPr>
              <w:spacing w:after="0"/>
              <w:rPr>
                <w:sz w:val="1"/>
                <w:szCs w:val="1"/>
                <w:color w:val="auto"/>
              </w:rPr>
            </w:pPr>
          </w:p>
        </w:tc>
      </w:tr>
      <w:tr>
        <w:trPr>
          <w:trHeight w:val="385"/>
        </w:trPr>
        <w:tc>
          <w:tcPr>
            <w:tcW w:w="1160" w:type="dxa"/>
            <w:vAlign w:val="bottom"/>
          </w:tcPr>
          <w:p>
            <w:pPr>
              <w:ind w:left="20"/>
              <w:spacing w:after="0"/>
              <w:rPr>
                <w:sz w:val="20"/>
                <w:szCs w:val="20"/>
                <w:color w:val="auto"/>
              </w:rPr>
            </w:pPr>
            <w:r>
              <w:rPr>
                <w:rFonts w:ascii="Arial" w:cs="Arial" w:eastAsia="Arial" w:hAnsi="Arial"/>
                <w:sz w:val="18"/>
                <w:szCs w:val="18"/>
                <w:b w:val="1"/>
                <w:bCs w:val="1"/>
                <w:color w:val="auto"/>
              </w:rPr>
              <w:t>PART I.</w:t>
            </w:r>
          </w:p>
        </w:tc>
        <w:tc>
          <w:tcPr>
            <w:tcW w:w="3880" w:type="dxa"/>
            <w:vAlign w:val="bottom"/>
            <w:tcBorders>
              <w:top w:val="single" w:sz="8" w:color="0563C1"/>
            </w:tcBorders>
            <w:gridSpan w:val="12"/>
          </w:tcPr>
          <w:p>
            <w:pPr>
              <w:spacing w:after="0"/>
              <w:rPr>
                <w:sz w:val="20"/>
                <w:szCs w:val="20"/>
                <w:color w:val="auto"/>
              </w:rPr>
            </w:pPr>
            <w:r>
              <w:rPr>
                <w:rFonts w:ascii="Arial" w:cs="Arial" w:eastAsia="Arial" w:hAnsi="Arial"/>
                <w:sz w:val="18"/>
                <w:szCs w:val="18"/>
                <w:color w:val="0563C1"/>
              </w:rPr>
              <w:t>FINANCIAL INFORMATION</w:t>
            </w:r>
          </w:p>
        </w:tc>
        <w:tc>
          <w:tcPr>
            <w:tcW w:w="5420" w:type="dxa"/>
            <w:vAlign w:val="bottom"/>
            <w:gridSpan w:val="9"/>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5</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60" w:type="dxa"/>
            <w:vAlign w:val="bottom"/>
          </w:tcPr>
          <w:p>
            <w:pPr>
              <w:ind w:left="20"/>
              <w:spacing w:after="0"/>
              <w:rPr>
                <w:sz w:val="20"/>
                <w:szCs w:val="20"/>
                <w:color w:val="auto"/>
              </w:rPr>
            </w:pPr>
            <w:r>
              <w:rPr>
                <w:rFonts w:ascii="Arial" w:cs="Arial" w:eastAsia="Arial" w:hAnsi="Arial"/>
                <w:sz w:val="18"/>
                <w:szCs w:val="18"/>
                <w:color w:val="auto"/>
              </w:rPr>
              <w:t>Item 1.</w:t>
            </w:r>
          </w:p>
        </w:tc>
        <w:tc>
          <w:tcPr>
            <w:tcW w:w="9300" w:type="dxa"/>
            <w:vAlign w:val="bottom"/>
            <w:gridSpan w:val="21"/>
          </w:tcPr>
          <w:p>
            <w:pPr>
              <w:spacing w:after="0"/>
              <w:rPr>
                <w:sz w:val="20"/>
                <w:szCs w:val="20"/>
                <w:color w:val="auto"/>
              </w:rPr>
            </w:pPr>
            <w:r>
              <w:rPr>
                <w:rFonts w:ascii="Arial" w:cs="Arial" w:eastAsia="Arial" w:hAnsi="Arial"/>
                <w:sz w:val="18"/>
                <w:szCs w:val="18"/>
                <w:color w:val="0563C1"/>
              </w:rPr>
              <w:t>Condensed Consolidated Financial Statements (Unaudited)</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5</w:t>
            </w: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3860" w:type="dxa"/>
            <w:vAlign w:val="bottom"/>
            <w:tcBorders>
              <w:top w:val="single" w:sz="8" w:color="0563C1"/>
              <w:bottom w:val="single" w:sz="8" w:color="0563C1"/>
            </w:tcBorders>
            <w:gridSpan w:val="11"/>
          </w:tcPr>
          <w:p>
            <w:pPr>
              <w:spacing w:after="0" w:line="182" w:lineRule="exact"/>
              <w:rPr>
                <w:sz w:val="20"/>
                <w:szCs w:val="20"/>
                <w:color w:val="auto"/>
              </w:rPr>
            </w:pPr>
            <w:r>
              <w:rPr>
                <w:rFonts w:ascii="Arial" w:cs="Arial" w:eastAsia="Arial" w:hAnsi="Arial"/>
                <w:sz w:val="18"/>
                <w:szCs w:val="18"/>
                <w:color w:val="0563C1"/>
                <w:w w:val="88"/>
              </w:rPr>
              <w:t>Condensed Consolidated Balance Sheets (Unaudited)</w:t>
            </w:r>
          </w:p>
        </w:tc>
        <w:tc>
          <w:tcPr>
            <w:tcW w:w="400" w:type="dxa"/>
            <w:vAlign w:val="bottom"/>
            <w:tcBorders>
              <w:top w:val="single" w:sz="8" w:color="0563C1"/>
            </w:tcBorders>
            <w:gridSpan w:val="2"/>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jc w:val="center"/>
              <w:spacing w:after="0" w:line="183" w:lineRule="exact"/>
              <w:rPr>
                <w:sz w:val="20"/>
                <w:szCs w:val="20"/>
                <w:color w:val="auto"/>
              </w:rPr>
            </w:pPr>
            <w:r>
              <w:rPr>
                <w:rFonts w:ascii="Arial" w:cs="Arial" w:eastAsia="Arial" w:hAnsi="Arial"/>
                <w:sz w:val="16"/>
                <w:szCs w:val="16"/>
                <w:color w:val="auto"/>
                <w:w w:val="89"/>
              </w:rPr>
              <w:t>5</w:t>
            </w: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9300" w:type="dxa"/>
            <w:vAlign w:val="bottom"/>
            <w:gridSpan w:val="21"/>
          </w:tcPr>
          <w:p>
            <w:pPr>
              <w:spacing w:after="0" w:line="182" w:lineRule="exact"/>
              <w:rPr>
                <w:sz w:val="20"/>
                <w:szCs w:val="20"/>
                <w:color w:val="auto"/>
              </w:rPr>
            </w:pPr>
            <w:r>
              <w:rPr>
                <w:rFonts w:ascii="Arial" w:cs="Arial" w:eastAsia="Arial" w:hAnsi="Arial"/>
                <w:sz w:val="18"/>
                <w:szCs w:val="18"/>
                <w:color w:val="0563C1"/>
              </w:rPr>
              <w:t>Condensed Consolidated Statements of Operations and Comprehensive Loss (Unaudited)</w:t>
            </w:r>
          </w:p>
        </w:tc>
        <w:tc>
          <w:tcPr>
            <w:tcW w:w="780" w:type="dxa"/>
            <w:vAlign w:val="bottom"/>
          </w:tcPr>
          <w:p>
            <w:pPr>
              <w:jc w:val="center"/>
              <w:spacing w:after="0" w:line="183" w:lineRule="exact"/>
              <w:rPr>
                <w:sz w:val="20"/>
                <w:szCs w:val="20"/>
                <w:color w:val="auto"/>
              </w:rPr>
            </w:pPr>
            <w:r>
              <w:rPr>
                <w:rFonts w:ascii="Arial" w:cs="Arial" w:eastAsia="Arial" w:hAnsi="Arial"/>
                <w:sz w:val="16"/>
                <w:szCs w:val="16"/>
                <w:color w:val="auto"/>
                <w:w w:val="89"/>
              </w:rPr>
              <w:t>6</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2020" w:type="dxa"/>
            <w:vAlign w:val="bottom"/>
            <w:gridSpan w:val="4"/>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280" w:type="dxa"/>
            <w:vAlign w:val="bottom"/>
            <w:shd w:val="clear" w:color="auto" w:fill="0563C1"/>
          </w:tcPr>
          <w:p>
            <w:pPr>
              <w:spacing w:after="0" w:line="20" w:lineRule="exact"/>
              <w:rPr>
                <w:sz w:val="1"/>
                <w:szCs w:val="1"/>
                <w:color w:val="auto"/>
              </w:rPr>
            </w:pPr>
          </w:p>
        </w:tc>
        <w:tc>
          <w:tcPr>
            <w:tcW w:w="1520" w:type="dxa"/>
            <w:vAlign w:val="bottom"/>
            <w:shd w:val="clear" w:color="auto" w:fill="0563C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60" w:type="dxa"/>
            <w:vAlign w:val="bottom"/>
          </w:tcPr>
          <w:p>
            <w:pPr>
              <w:spacing w:after="0"/>
              <w:rPr>
                <w:sz w:val="15"/>
                <w:szCs w:val="15"/>
                <w:color w:val="auto"/>
              </w:rPr>
            </w:pPr>
          </w:p>
        </w:tc>
        <w:tc>
          <w:tcPr>
            <w:tcW w:w="9300" w:type="dxa"/>
            <w:vAlign w:val="bottom"/>
            <w:gridSpan w:val="21"/>
          </w:tcPr>
          <w:p>
            <w:pPr>
              <w:spacing w:after="0" w:line="182" w:lineRule="exact"/>
              <w:rPr>
                <w:sz w:val="20"/>
                <w:szCs w:val="20"/>
                <w:color w:val="auto"/>
              </w:rPr>
            </w:pPr>
            <w:r>
              <w:rPr>
                <w:rFonts w:ascii="Arial" w:cs="Arial" w:eastAsia="Arial" w:hAnsi="Arial"/>
                <w:sz w:val="18"/>
                <w:szCs w:val="18"/>
                <w:color w:val="0563C1"/>
                <w:w w:val="97"/>
              </w:rPr>
              <w:t>Condensed Consolidated Statements of Redeemable Convertible Preferred Stock and Stockholders’ Equity (Unaudited)</w:t>
            </w:r>
          </w:p>
        </w:tc>
        <w:tc>
          <w:tcPr>
            <w:tcW w:w="780" w:type="dxa"/>
            <w:vAlign w:val="bottom"/>
          </w:tcPr>
          <w:p>
            <w:pPr>
              <w:jc w:val="center"/>
              <w:spacing w:after="0" w:line="183" w:lineRule="exact"/>
              <w:rPr>
                <w:sz w:val="20"/>
                <w:szCs w:val="20"/>
                <w:color w:val="auto"/>
              </w:rPr>
            </w:pPr>
            <w:r>
              <w:rPr>
                <w:rFonts w:ascii="Arial" w:cs="Arial" w:eastAsia="Arial" w:hAnsi="Arial"/>
                <w:sz w:val="16"/>
                <w:szCs w:val="16"/>
                <w:color w:val="auto"/>
                <w:w w:val="89"/>
              </w:rPr>
              <w:t>7</w:t>
            </w: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4640" w:type="dxa"/>
            <w:vAlign w:val="bottom"/>
            <w:tcBorders>
              <w:top w:val="single" w:sz="8" w:color="0563C1"/>
              <w:bottom w:val="single" w:sz="8" w:color="0563C1"/>
            </w:tcBorders>
            <w:gridSpan w:val="16"/>
          </w:tcPr>
          <w:p>
            <w:pPr>
              <w:spacing w:after="0" w:line="182" w:lineRule="exact"/>
              <w:rPr>
                <w:sz w:val="20"/>
                <w:szCs w:val="20"/>
                <w:color w:val="auto"/>
              </w:rPr>
            </w:pPr>
            <w:r>
              <w:rPr>
                <w:rFonts w:ascii="Arial" w:cs="Arial" w:eastAsia="Arial" w:hAnsi="Arial"/>
                <w:sz w:val="18"/>
                <w:szCs w:val="18"/>
                <w:color w:val="0563C1"/>
                <w:w w:val="89"/>
              </w:rPr>
              <w:t>Condensed Consolidated Statements of Cash Flows (Unaudited)</w:t>
            </w:r>
          </w:p>
        </w:tc>
        <w:tc>
          <w:tcPr>
            <w:tcW w:w="3980" w:type="dxa"/>
            <w:vAlign w:val="bottom"/>
            <w:tcBorders>
              <w:top w:val="single" w:sz="8" w:color="0563C1"/>
            </w:tcBorders>
            <w:gridSpan w:val="4"/>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jc w:val="center"/>
              <w:spacing w:after="0" w:line="183" w:lineRule="exact"/>
              <w:rPr>
                <w:sz w:val="20"/>
                <w:szCs w:val="20"/>
                <w:color w:val="auto"/>
              </w:rPr>
            </w:pPr>
            <w:r>
              <w:rPr>
                <w:rFonts w:ascii="Arial" w:cs="Arial" w:eastAsia="Arial" w:hAnsi="Arial"/>
                <w:sz w:val="16"/>
                <w:szCs w:val="16"/>
                <w:color w:val="auto"/>
                <w:w w:val="89"/>
              </w:rPr>
              <w:t>10</w:t>
            </w:r>
          </w:p>
        </w:tc>
        <w:tc>
          <w:tcPr>
            <w:tcW w:w="0" w:type="dxa"/>
            <w:vAlign w:val="bottom"/>
          </w:tcPr>
          <w:p>
            <w:pPr>
              <w:spacing w:after="0"/>
              <w:rPr>
                <w:sz w:val="1"/>
                <w:szCs w:val="1"/>
                <w:color w:val="auto"/>
              </w:rPr>
            </w:pPr>
          </w:p>
        </w:tc>
      </w:tr>
      <w:tr>
        <w:trPr>
          <w:trHeight w:val="183"/>
        </w:trPr>
        <w:tc>
          <w:tcPr>
            <w:tcW w:w="1160" w:type="dxa"/>
            <w:vAlign w:val="bottom"/>
            <w:vMerge w:val="restart"/>
          </w:tcPr>
          <w:p>
            <w:pPr>
              <w:ind w:left="20"/>
              <w:spacing w:after="0"/>
              <w:rPr>
                <w:sz w:val="20"/>
                <w:szCs w:val="20"/>
                <w:color w:val="auto"/>
              </w:rPr>
            </w:pPr>
            <w:r>
              <w:rPr>
                <w:rFonts w:ascii="Arial" w:cs="Arial" w:eastAsia="Arial" w:hAnsi="Arial"/>
                <w:sz w:val="18"/>
                <w:szCs w:val="18"/>
                <w:color w:val="auto"/>
              </w:rPr>
              <w:t>Item 2.</w:t>
            </w:r>
          </w:p>
        </w:tc>
        <w:tc>
          <w:tcPr>
            <w:tcW w:w="9300" w:type="dxa"/>
            <w:vAlign w:val="bottom"/>
            <w:gridSpan w:val="21"/>
          </w:tcPr>
          <w:p>
            <w:pPr>
              <w:spacing w:after="0" w:line="182" w:lineRule="exact"/>
              <w:rPr>
                <w:sz w:val="20"/>
                <w:szCs w:val="20"/>
                <w:color w:val="auto"/>
              </w:rPr>
            </w:pPr>
            <w:r>
              <w:rPr>
                <w:rFonts w:ascii="Arial" w:cs="Arial" w:eastAsia="Arial" w:hAnsi="Arial"/>
                <w:sz w:val="18"/>
                <w:szCs w:val="18"/>
                <w:color w:val="0563C1"/>
              </w:rPr>
              <w:t>Notes to Condensed Consolidated Financial Statements (Unaudited)</w:t>
            </w:r>
          </w:p>
        </w:tc>
        <w:tc>
          <w:tcPr>
            <w:tcW w:w="780" w:type="dxa"/>
            <w:vAlign w:val="bottom"/>
          </w:tcPr>
          <w:p>
            <w:pPr>
              <w:jc w:val="center"/>
              <w:spacing w:after="0" w:line="183" w:lineRule="exact"/>
              <w:rPr>
                <w:sz w:val="20"/>
                <w:szCs w:val="20"/>
                <w:color w:val="auto"/>
              </w:rPr>
            </w:pPr>
            <w:r>
              <w:rPr>
                <w:rFonts w:ascii="Arial" w:cs="Arial" w:eastAsia="Arial" w:hAnsi="Arial"/>
                <w:sz w:val="16"/>
                <w:szCs w:val="16"/>
                <w:color w:val="auto"/>
                <w:w w:val="78"/>
              </w:rPr>
              <w:t>11</w:t>
            </w:r>
          </w:p>
        </w:tc>
        <w:tc>
          <w:tcPr>
            <w:tcW w:w="0" w:type="dxa"/>
            <w:vAlign w:val="bottom"/>
          </w:tcPr>
          <w:p>
            <w:pPr>
              <w:spacing w:after="0"/>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4920" w:type="dxa"/>
            <w:vAlign w:val="bottom"/>
            <w:tcBorders>
              <w:top w:val="single" w:sz="8" w:color="0563C1"/>
            </w:tcBorders>
            <w:gridSpan w:val="17"/>
          </w:tcPr>
          <w:p>
            <w:pPr>
              <w:spacing w:after="0" w:line="182" w:lineRule="exact"/>
              <w:rPr>
                <w:sz w:val="20"/>
                <w:szCs w:val="20"/>
                <w:color w:val="auto"/>
              </w:rPr>
            </w:pPr>
            <w:r>
              <w:rPr>
                <w:rFonts w:ascii="Arial" w:cs="Arial" w:eastAsia="Arial" w:hAnsi="Arial"/>
                <w:sz w:val="18"/>
                <w:szCs w:val="18"/>
                <w:color w:val="0563C1"/>
                <w:w w:val="92"/>
              </w:rPr>
              <w:t>Management’s Discussion and Analysis of Financial Condition and</w:t>
            </w:r>
          </w:p>
        </w:tc>
        <w:tc>
          <w:tcPr>
            <w:tcW w:w="4380" w:type="dxa"/>
            <w:vAlign w:val="bottom"/>
            <w:gridSpan w:val="4"/>
          </w:tcPr>
          <w:p>
            <w:pPr>
              <w:spacing w:after="0" w:line="182" w:lineRule="exact"/>
              <w:rPr>
                <w:sz w:val="20"/>
                <w:szCs w:val="20"/>
                <w:color w:val="auto"/>
              </w:rPr>
            </w:pPr>
            <w:r>
              <w:rPr>
                <w:rFonts w:ascii="Arial" w:cs="Arial" w:eastAsia="Arial" w:hAnsi="Arial"/>
                <w:sz w:val="18"/>
                <w:szCs w:val="18"/>
                <w:color w:val="0563C1"/>
              </w:rPr>
              <w:t>Results of Operations</w:t>
            </w:r>
          </w:p>
        </w:tc>
        <w:tc>
          <w:tcPr>
            <w:tcW w:w="780" w:type="dxa"/>
            <w:vAlign w:val="bottom"/>
          </w:tcPr>
          <w:p>
            <w:pPr>
              <w:jc w:val="center"/>
              <w:spacing w:after="0" w:line="183" w:lineRule="exact"/>
              <w:rPr>
                <w:sz w:val="20"/>
                <w:szCs w:val="20"/>
                <w:color w:val="auto"/>
              </w:rPr>
            </w:pPr>
            <w:r>
              <w:rPr>
                <w:rFonts w:ascii="Arial" w:cs="Arial" w:eastAsia="Arial" w:hAnsi="Arial"/>
                <w:sz w:val="16"/>
                <w:szCs w:val="16"/>
                <w:color w:val="auto"/>
                <w:w w:val="89"/>
              </w:rPr>
              <w:t>25</w:t>
            </w:r>
          </w:p>
        </w:tc>
        <w:tc>
          <w:tcPr>
            <w:tcW w:w="0" w:type="dxa"/>
            <w:vAlign w:val="bottom"/>
          </w:tcPr>
          <w:p>
            <w:pPr>
              <w:spacing w:after="0"/>
              <w:rPr>
                <w:sz w:val="1"/>
                <w:szCs w:val="1"/>
                <w:color w:val="auto"/>
              </w:rPr>
            </w:pPr>
          </w:p>
        </w:tc>
      </w:tr>
      <w:tr>
        <w:trPr>
          <w:trHeight w:val="183"/>
        </w:trPr>
        <w:tc>
          <w:tcPr>
            <w:tcW w:w="1160" w:type="dxa"/>
            <w:vAlign w:val="bottom"/>
          </w:tcPr>
          <w:p>
            <w:pPr>
              <w:ind w:left="20"/>
              <w:spacing w:after="0" w:line="182" w:lineRule="exact"/>
              <w:rPr>
                <w:sz w:val="20"/>
                <w:szCs w:val="20"/>
                <w:color w:val="auto"/>
              </w:rPr>
            </w:pPr>
            <w:r>
              <w:rPr>
                <w:rFonts w:ascii="Arial" w:cs="Arial" w:eastAsia="Arial" w:hAnsi="Arial"/>
                <w:sz w:val="18"/>
                <w:szCs w:val="18"/>
                <w:color w:val="auto"/>
              </w:rPr>
              <w:t>Item 3.</w:t>
            </w:r>
          </w:p>
        </w:tc>
        <w:tc>
          <w:tcPr>
            <w:tcW w:w="6460" w:type="dxa"/>
            <w:vAlign w:val="bottom"/>
            <w:tcBorders>
              <w:top w:val="single" w:sz="8" w:color="0563C1"/>
            </w:tcBorders>
            <w:gridSpan w:val="19"/>
          </w:tcPr>
          <w:p>
            <w:pPr>
              <w:spacing w:after="0" w:line="182" w:lineRule="exact"/>
              <w:rPr>
                <w:sz w:val="20"/>
                <w:szCs w:val="20"/>
                <w:color w:val="auto"/>
              </w:rPr>
            </w:pPr>
            <w:r>
              <w:rPr>
                <w:rFonts w:ascii="Arial" w:cs="Arial" w:eastAsia="Arial" w:hAnsi="Arial"/>
                <w:sz w:val="18"/>
                <w:szCs w:val="18"/>
                <w:color w:val="0563C1"/>
              </w:rPr>
              <w:t>Quantitative and Qualitative Disclosures About Market Risk</w:t>
            </w:r>
          </w:p>
        </w:tc>
        <w:tc>
          <w:tcPr>
            <w:tcW w:w="2840" w:type="dxa"/>
            <w:vAlign w:val="bottom"/>
            <w:gridSpan w:val="2"/>
          </w:tcPr>
          <w:p>
            <w:pPr>
              <w:spacing w:after="0"/>
              <w:rPr>
                <w:sz w:val="15"/>
                <w:szCs w:val="15"/>
                <w:color w:val="auto"/>
              </w:rPr>
            </w:pPr>
          </w:p>
        </w:tc>
        <w:tc>
          <w:tcPr>
            <w:tcW w:w="780" w:type="dxa"/>
            <w:vAlign w:val="bottom"/>
          </w:tcPr>
          <w:p>
            <w:pPr>
              <w:jc w:val="center"/>
              <w:spacing w:after="0" w:line="183" w:lineRule="exact"/>
              <w:rPr>
                <w:sz w:val="20"/>
                <w:szCs w:val="20"/>
                <w:color w:val="auto"/>
              </w:rPr>
            </w:pPr>
            <w:r>
              <w:rPr>
                <w:rFonts w:ascii="Arial" w:cs="Arial" w:eastAsia="Arial" w:hAnsi="Arial"/>
                <w:sz w:val="16"/>
                <w:szCs w:val="16"/>
                <w:color w:val="auto"/>
                <w:w w:val="89"/>
              </w:rPr>
              <w:t>34</w:t>
            </w:r>
          </w:p>
        </w:tc>
        <w:tc>
          <w:tcPr>
            <w:tcW w:w="0" w:type="dxa"/>
            <w:vAlign w:val="bottom"/>
          </w:tcPr>
          <w:p>
            <w:pPr>
              <w:spacing w:after="0"/>
              <w:rPr>
                <w:sz w:val="1"/>
                <w:szCs w:val="1"/>
                <w:color w:val="auto"/>
              </w:rPr>
            </w:pPr>
          </w:p>
        </w:tc>
      </w:tr>
      <w:tr>
        <w:trPr>
          <w:trHeight w:val="183"/>
        </w:trPr>
        <w:tc>
          <w:tcPr>
            <w:tcW w:w="1160" w:type="dxa"/>
            <w:vAlign w:val="bottom"/>
          </w:tcPr>
          <w:p>
            <w:pPr>
              <w:ind w:left="20"/>
              <w:spacing w:after="0" w:line="182" w:lineRule="exact"/>
              <w:rPr>
                <w:sz w:val="20"/>
                <w:szCs w:val="20"/>
                <w:color w:val="auto"/>
              </w:rPr>
            </w:pPr>
            <w:r>
              <w:rPr>
                <w:rFonts w:ascii="Arial" w:cs="Arial" w:eastAsia="Arial" w:hAnsi="Arial"/>
                <w:sz w:val="18"/>
                <w:szCs w:val="18"/>
                <w:color w:val="auto"/>
              </w:rPr>
              <w:t>Item 4.</w:t>
            </w:r>
          </w:p>
        </w:tc>
        <w:tc>
          <w:tcPr>
            <w:tcW w:w="1780" w:type="dxa"/>
            <w:vAlign w:val="bottom"/>
            <w:tcBorders>
              <w:top w:val="single" w:sz="8" w:color="0563C1"/>
              <w:bottom w:val="single" w:sz="8" w:color="0563C1"/>
            </w:tcBorders>
            <w:gridSpan w:val="6"/>
          </w:tcPr>
          <w:p>
            <w:pPr>
              <w:spacing w:after="0" w:line="182" w:lineRule="exact"/>
              <w:rPr>
                <w:sz w:val="20"/>
                <w:szCs w:val="20"/>
                <w:color w:val="auto"/>
              </w:rPr>
            </w:pPr>
            <w:r>
              <w:rPr>
                <w:rFonts w:ascii="Arial" w:cs="Arial" w:eastAsia="Arial" w:hAnsi="Arial"/>
                <w:sz w:val="18"/>
                <w:szCs w:val="18"/>
                <w:color w:val="0563C1"/>
                <w:w w:val="88"/>
              </w:rPr>
              <w:t>Controls and Procedures</w:t>
            </w:r>
          </w:p>
        </w:tc>
        <w:tc>
          <w:tcPr>
            <w:tcW w:w="20" w:type="dxa"/>
            <w:vAlign w:val="bottom"/>
            <w:tcBorders>
              <w:top w:val="single" w:sz="8" w:color="0563C1"/>
              <w:bottom w:val="single" w:sz="8" w:color="0000EE"/>
            </w:tcBorders>
          </w:tcPr>
          <w:p>
            <w:pPr>
              <w:spacing w:after="0"/>
              <w:rPr>
                <w:sz w:val="15"/>
                <w:szCs w:val="15"/>
                <w:color w:val="auto"/>
              </w:rPr>
            </w:pPr>
          </w:p>
        </w:tc>
        <w:tc>
          <w:tcPr>
            <w:tcW w:w="2580" w:type="dxa"/>
            <w:vAlign w:val="bottom"/>
            <w:tcBorders>
              <w:top w:val="single" w:sz="8" w:color="0563C1"/>
            </w:tcBorders>
            <w:gridSpan w:val="8"/>
          </w:tcPr>
          <w:p>
            <w:pPr>
              <w:spacing w:after="0"/>
              <w:rPr>
                <w:sz w:val="15"/>
                <w:szCs w:val="15"/>
                <w:color w:val="auto"/>
              </w:rPr>
            </w:pPr>
          </w:p>
        </w:tc>
        <w:tc>
          <w:tcPr>
            <w:tcW w:w="4920" w:type="dxa"/>
            <w:vAlign w:val="bottom"/>
            <w:gridSpan w:val="6"/>
          </w:tcPr>
          <w:p>
            <w:pPr>
              <w:spacing w:after="0"/>
              <w:rPr>
                <w:sz w:val="15"/>
                <w:szCs w:val="15"/>
                <w:color w:val="auto"/>
              </w:rPr>
            </w:pPr>
          </w:p>
        </w:tc>
        <w:tc>
          <w:tcPr>
            <w:tcW w:w="780" w:type="dxa"/>
            <w:vAlign w:val="bottom"/>
          </w:tcPr>
          <w:p>
            <w:pPr>
              <w:jc w:val="center"/>
              <w:spacing w:after="0" w:line="183" w:lineRule="exact"/>
              <w:rPr>
                <w:sz w:val="20"/>
                <w:szCs w:val="20"/>
                <w:color w:val="auto"/>
              </w:rPr>
            </w:pPr>
            <w:r>
              <w:rPr>
                <w:rFonts w:ascii="Arial" w:cs="Arial" w:eastAsia="Arial" w:hAnsi="Arial"/>
                <w:sz w:val="16"/>
                <w:szCs w:val="16"/>
                <w:color w:val="auto"/>
                <w:w w:val="89"/>
              </w:rPr>
              <w:t>34</w:t>
            </w:r>
          </w:p>
        </w:tc>
        <w:tc>
          <w:tcPr>
            <w:tcW w:w="0" w:type="dxa"/>
            <w:vAlign w:val="bottom"/>
          </w:tcPr>
          <w:p>
            <w:pPr>
              <w:spacing w:after="0"/>
              <w:rPr>
                <w:sz w:val="1"/>
                <w:szCs w:val="1"/>
                <w:color w:val="auto"/>
              </w:rPr>
            </w:pPr>
          </w:p>
        </w:tc>
      </w:tr>
      <w:tr>
        <w:trPr>
          <w:trHeight w:val="385"/>
        </w:trPr>
        <w:tc>
          <w:tcPr>
            <w:tcW w:w="1160" w:type="dxa"/>
            <w:vAlign w:val="bottom"/>
          </w:tcPr>
          <w:p>
            <w:pPr>
              <w:ind w:left="20"/>
              <w:spacing w:after="0"/>
              <w:rPr>
                <w:sz w:val="20"/>
                <w:szCs w:val="20"/>
                <w:color w:val="auto"/>
              </w:rPr>
            </w:pPr>
            <w:r>
              <w:rPr>
                <w:rFonts w:ascii="Arial" w:cs="Arial" w:eastAsia="Arial" w:hAnsi="Arial"/>
                <w:sz w:val="18"/>
                <w:szCs w:val="18"/>
                <w:b w:val="1"/>
                <w:bCs w:val="1"/>
                <w:color w:val="auto"/>
              </w:rPr>
              <w:t>PART II.</w:t>
            </w:r>
          </w:p>
        </w:tc>
        <w:tc>
          <w:tcPr>
            <w:tcW w:w="1900" w:type="dxa"/>
            <w:vAlign w:val="bottom"/>
            <w:tcBorders>
              <w:bottom w:val="single" w:sz="8" w:color="0563C1"/>
            </w:tcBorders>
            <w:gridSpan w:val="8"/>
          </w:tcPr>
          <w:p>
            <w:pPr>
              <w:spacing w:after="0"/>
              <w:rPr>
                <w:sz w:val="20"/>
                <w:szCs w:val="20"/>
                <w:color w:val="auto"/>
              </w:rPr>
            </w:pPr>
            <w:r>
              <w:rPr>
                <w:rFonts w:ascii="Arial" w:cs="Arial" w:eastAsia="Arial" w:hAnsi="Arial"/>
                <w:sz w:val="18"/>
                <w:szCs w:val="18"/>
                <w:color w:val="0563C1"/>
                <w:w w:val="96"/>
              </w:rPr>
              <w:t>OTHER INFORMATION</w:t>
            </w:r>
          </w:p>
        </w:tc>
        <w:tc>
          <w:tcPr>
            <w:tcW w:w="7400" w:type="dxa"/>
            <w:vAlign w:val="bottom"/>
            <w:gridSpan w:val="13"/>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35</w:t>
            </w:r>
          </w:p>
        </w:tc>
        <w:tc>
          <w:tcPr>
            <w:tcW w:w="0" w:type="dxa"/>
            <w:vAlign w:val="bottom"/>
          </w:tcPr>
          <w:p>
            <w:pPr>
              <w:spacing w:after="0"/>
              <w:rPr>
                <w:sz w:val="1"/>
                <w:szCs w:val="1"/>
                <w:color w:val="auto"/>
              </w:rPr>
            </w:pPr>
          </w:p>
        </w:tc>
      </w:tr>
      <w:tr>
        <w:trPr>
          <w:trHeight w:val="385"/>
        </w:trPr>
        <w:tc>
          <w:tcPr>
            <w:tcW w:w="1160" w:type="dxa"/>
            <w:vAlign w:val="bottom"/>
          </w:tcPr>
          <w:p>
            <w:pPr>
              <w:ind w:left="20"/>
              <w:spacing w:after="0"/>
              <w:rPr>
                <w:sz w:val="20"/>
                <w:szCs w:val="20"/>
                <w:color w:val="auto"/>
              </w:rPr>
            </w:pPr>
            <w:r>
              <w:rPr>
                <w:rFonts w:ascii="Arial" w:cs="Arial" w:eastAsia="Arial" w:hAnsi="Arial"/>
                <w:sz w:val="18"/>
                <w:szCs w:val="18"/>
                <w:color w:val="auto"/>
              </w:rPr>
              <w:t>Item 1.</w:t>
            </w:r>
          </w:p>
        </w:tc>
        <w:tc>
          <w:tcPr>
            <w:tcW w:w="9300" w:type="dxa"/>
            <w:vAlign w:val="bottom"/>
            <w:gridSpan w:val="21"/>
          </w:tcPr>
          <w:p>
            <w:pPr>
              <w:spacing w:after="0"/>
              <w:rPr>
                <w:sz w:val="20"/>
                <w:szCs w:val="20"/>
                <w:color w:val="auto"/>
              </w:rPr>
            </w:pPr>
            <w:r>
              <w:rPr>
                <w:rFonts w:ascii="Arial" w:cs="Arial" w:eastAsia="Arial" w:hAnsi="Arial"/>
                <w:sz w:val="18"/>
                <w:szCs w:val="18"/>
                <w:color w:val="0563C1"/>
              </w:rPr>
              <w:t>Legal Proceedings</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35</w:t>
            </w:r>
          </w:p>
        </w:tc>
        <w:tc>
          <w:tcPr>
            <w:tcW w:w="0" w:type="dxa"/>
            <w:vAlign w:val="bottom"/>
          </w:tcPr>
          <w:p>
            <w:pPr>
              <w:spacing w:after="0"/>
              <w:rPr>
                <w:sz w:val="1"/>
                <w:szCs w:val="1"/>
                <w:color w:val="auto"/>
              </w:rPr>
            </w:pPr>
          </w:p>
        </w:tc>
      </w:tr>
      <w:tr>
        <w:trPr>
          <w:trHeight w:val="183"/>
        </w:trPr>
        <w:tc>
          <w:tcPr>
            <w:tcW w:w="1160" w:type="dxa"/>
            <w:vAlign w:val="bottom"/>
          </w:tcPr>
          <w:p>
            <w:pPr>
              <w:ind w:left="20"/>
              <w:spacing w:after="0" w:line="182" w:lineRule="exact"/>
              <w:rPr>
                <w:sz w:val="20"/>
                <w:szCs w:val="20"/>
                <w:color w:val="auto"/>
              </w:rPr>
            </w:pPr>
            <w:r>
              <w:rPr>
                <w:rFonts w:ascii="Arial" w:cs="Arial" w:eastAsia="Arial" w:hAnsi="Arial"/>
                <w:sz w:val="18"/>
                <w:szCs w:val="18"/>
                <w:color w:val="auto"/>
              </w:rPr>
              <w:t>Item 1A.</w:t>
            </w:r>
          </w:p>
        </w:tc>
        <w:tc>
          <w:tcPr>
            <w:tcW w:w="1340" w:type="dxa"/>
            <w:vAlign w:val="bottom"/>
            <w:tcBorders>
              <w:top w:val="single" w:sz="8" w:color="0563C1"/>
            </w:tcBorders>
            <w:gridSpan w:val="5"/>
          </w:tcPr>
          <w:p>
            <w:pPr>
              <w:spacing w:after="0" w:line="182" w:lineRule="exact"/>
              <w:rPr>
                <w:sz w:val="20"/>
                <w:szCs w:val="20"/>
                <w:color w:val="auto"/>
              </w:rPr>
            </w:pPr>
            <w:r>
              <w:rPr>
                <w:rFonts w:ascii="Arial" w:cs="Arial" w:eastAsia="Arial" w:hAnsi="Arial"/>
                <w:sz w:val="18"/>
                <w:szCs w:val="18"/>
                <w:color w:val="0563C1"/>
              </w:rPr>
              <w:t>Risk Factors</w:t>
            </w:r>
          </w:p>
        </w:tc>
        <w:tc>
          <w:tcPr>
            <w:tcW w:w="1000" w:type="dxa"/>
            <w:vAlign w:val="bottom"/>
            <w:gridSpan w:val="5"/>
          </w:tcPr>
          <w:p>
            <w:pPr>
              <w:spacing w:after="0"/>
              <w:rPr>
                <w:sz w:val="15"/>
                <w:szCs w:val="15"/>
                <w:color w:val="auto"/>
              </w:rPr>
            </w:pPr>
          </w:p>
        </w:tc>
        <w:tc>
          <w:tcPr>
            <w:tcW w:w="2020" w:type="dxa"/>
            <w:vAlign w:val="bottom"/>
            <w:gridSpan w:val="4"/>
          </w:tcPr>
          <w:p>
            <w:pPr>
              <w:spacing w:after="0"/>
              <w:rPr>
                <w:sz w:val="15"/>
                <w:szCs w:val="15"/>
                <w:color w:val="auto"/>
              </w:rPr>
            </w:pPr>
          </w:p>
        </w:tc>
        <w:tc>
          <w:tcPr>
            <w:tcW w:w="4940" w:type="dxa"/>
            <w:vAlign w:val="bottom"/>
            <w:gridSpan w:val="7"/>
          </w:tcPr>
          <w:p>
            <w:pPr>
              <w:spacing w:after="0"/>
              <w:rPr>
                <w:sz w:val="15"/>
                <w:szCs w:val="15"/>
                <w:color w:val="auto"/>
              </w:rPr>
            </w:pPr>
          </w:p>
        </w:tc>
        <w:tc>
          <w:tcPr>
            <w:tcW w:w="780" w:type="dxa"/>
            <w:vAlign w:val="bottom"/>
          </w:tcPr>
          <w:p>
            <w:pPr>
              <w:jc w:val="center"/>
              <w:spacing w:after="0" w:line="183" w:lineRule="exact"/>
              <w:rPr>
                <w:sz w:val="20"/>
                <w:szCs w:val="20"/>
                <w:color w:val="auto"/>
              </w:rPr>
            </w:pPr>
            <w:r>
              <w:rPr>
                <w:rFonts w:ascii="Arial" w:cs="Arial" w:eastAsia="Arial" w:hAnsi="Arial"/>
                <w:sz w:val="16"/>
                <w:szCs w:val="16"/>
                <w:color w:val="auto"/>
                <w:w w:val="89"/>
              </w:rPr>
              <w:t>35</w:t>
            </w:r>
          </w:p>
        </w:tc>
        <w:tc>
          <w:tcPr>
            <w:tcW w:w="0" w:type="dxa"/>
            <w:vAlign w:val="bottom"/>
          </w:tcPr>
          <w:p>
            <w:pPr>
              <w:spacing w:after="0"/>
              <w:rPr>
                <w:sz w:val="1"/>
                <w:szCs w:val="1"/>
                <w:color w:val="auto"/>
              </w:rPr>
            </w:pPr>
          </w:p>
        </w:tc>
      </w:tr>
      <w:tr>
        <w:trPr>
          <w:trHeight w:val="183"/>
        </w:trPr>
        <w:tc>
          <w:tcPr>
            <w:tcW w:w="1160" w:type="dxa"/>
            <w:vAlign w:val="bottom"/>
          </w:tcPr>
          <w:p>
            <w:pPr>
              <w:ind w:left="20"/>
              <w:spacing w:after="0" w:line="182" w:lineRule="exact"/>
              <w:rPr>
                <w:sz w:val="20"/>
                <w:szCs w:val="20"/>
                <w:color w:val="auto"/>
              </w:rPr>
            </w:pPr>
            <w:r>
              <w:rPr>
                <w:rFonts w:ascii="Arial" w:cs="Arial" w:eastAsia="Arial" w:hAnsi="Arial"/>
                <w:sz w:val="18"/>
                <w:szCs w:val="18"/>
                <w:color w:val="auto"/>
              </w:rPr>
              <w:t>Item 2.</w:t>
            </w:r>
          </w:p>
        </w:tc>
        <w:tc>
          <w:tcPr>
            <w:tcW w:w="920" w:type="dxa"/>
            <w:vAlign w:val="bottom"/>
            <w:tcBorders>
              <w:top w:val="single" w:sz="8" w:color="0563C1"/>
            </w:tcBorders>
            <w:gridSpan w:val="3"/>
          </w:tcPr>
          <w:p>
            <w:pPr>
              <w:spacing w:after="0" w:line="182" w:lineRule="exact"/>
              <w:rPr>
                <w:sz w:val="20"/>
                <w:szCs w:val="20"/>
                <w:color w:val="auto"/>
              </w:rPr>
            </w:pPr>
            <w:r>
              <w:rPr>
                <w:rFonts w:ascii="Arial" w:cs="Arial" w:eastAsia="Arial" w:hAnsi="Arial"/>
                <w:sz w:val="18"/>
                <w:szCs w:val="18"/>
                <w:color w:val="0563C1"/>
                <w:w w:val="87"/>
              </w:rPr>
              <w:t>Unregistered</w:t>
            </w:r>
          </w:p>
        </w:tc>
        <w:tc>
          <w:tcPr>
            <w:tcW w:w="8380" w:type="dxa"/>
            <w:vAlign w:val="bottom"/>
            <w:gridSpan w:val="18"/>
          </w:tcPr>
          <w:p>
            <w:pPr>
              <w:ind w:left="60"/>
              <w:spacing w:after="0" w:line="182" w:lineRule="exact"/>
              <w:rPr>
                <w:sz w:val="20"/>
                <w:szCs w:val="20"/>
                <w:color w:val="auto"/>
              </w:rPr>
            </w:pPr>
            <w:r>
              <w:rPr>
                <w:rFonts w:ascii="Arial" w:cs="Arial" w:eastAsia="Arial" w:hAnsi="Arial"/>
                <w:sz w:val="18"/>
                <w:szCs w:val="18"/>
                <w:color w:val="0563C1"/>
              </w:rPr>
              <w:t>Sales of Equity Securities and Use of Proceeds</w:t>
            </w:r>
          </w:p>
        </w:tc>
        <w:tc>
          <w:tcPr>
            <w:tcW w:w="780" w:type="dxa"/>
            <w:vAlign w:val="bottom"/>
          </w:tcPr>
          <w:p>
            <w:pPr>
              <w:jc w:val="center"/>
              <w:spacing w:after="0" w:line="183" w:lineRule="exact"/>
              <w:rPr>
                <w:sz w:val="20"/>
                <w:szCs w:val="20"/>
                <w:color w:val="auto"/>
              </w:rPr>
            </w:pPr>
            <w:r>
              <w:rPr>
                <w:rFonts w:ascii="Arial" w:cs="Arial" w:eastAsia="Arial" w:hAnsi="Arial"/>
                <w:sz w:val="16"/>
                <w:szCs w:val="16"/>
                <w:color w:val="auto"/>
                <w:w w:val="89"/>
              </w:rPr>
              <w:t>36</w:t>
            </w:r>
          </w:p>
        </w:tc>
        <w:tc>
          <w:tcPr>
            <w:tcW w:w="0" w:type="dxa"/>
            <w:vAlign w:val="bottom"/>
          </w:tcPr>
          <w:p>
            <w:pPr>
              <w:spacing w:after="0"/>
              <w:rPr>
                <w:sz w:val="1"/>
                <w:szCs w:val="1"/>
                <w:color w:val="auto"/>
              </w:rPr>
            </w:pPr>
          </w:p>
        </w:tc>
      </w:tr>
      <w:tr>
        <w:trPr>
          <w:trHeight w:val="183"/>
        </w:trPr>
        <w:tc>
          <w:tcPr>
            <w:tcW w:w="1160" w:type="dxa"/>
            <w:vAlign w:val="bottom"/>
          </w:tcPr>
          <w:p>
            <w:pPr>
              <w:ind w:left="20"/>
              <w:spacing w:after="0" w:line="182" w:lineRule="exact"/>
              <w:rPr>
                <w:sz w:val="20"/>
                <w:szCs w:val="20"/>
                <w:color w:val="auto"/>
              </w:rPr>
            </w:pPr>
            <w:r>
              <w:rPr>
                <w:rFonts w:ascii="Arial" w:cs="Arial" w:eastAsia="Arial" w:hAnsi="Arial"/>
                <w:sz w:val="18"/>
                <w:szCs w:val="18"/>
                <w:color w:val="auto"/>
              </w:rPr>
              <w:t>Item 3.</w:t>
            </w:r>
          </w:p>
        </w:tc>
        <w:tc>
          <w:tcPr>
            <w:tcW w:w="4360" w:type="dxa"/>
            <w:vAlign w:val="bottom"/>
            <w:tcBorders>
              <w:top w:val="single" w:sz="8" w:color="0563C1"/>
            </w:tcBorders>
            <w:gridSpan w:val="14"/>
          </w:tcPr>
          <w:p>
            <w:pPr>
              <w:spacing w:after="0" w:line="182" w:lineRule="exact"/>
              <w:rPr>
                <w:sz w:val="20"/>
                <w:szCs w:val="20"/>
                <w:color w:val="auto"/>
              </w:rPr>
            </w:pPr>
            <w:r>
              <w:rPr>
                <w:rFonts w:ascii="Arial" w:cs="Arial" w:eastAsia="Arial" w:hAnsi="Arial"/>
                <w:sz w:val="18"/>
                <w:szCs w:val="18"/>
                <w:color w:val="0563C1"/>
              </w:rPr>
              <w:t>Defaults Upon Senior Securities</w:t>
            </w:r>
          </w:p>
        </w:tc>
        <w:tc>
          <w:tcPr>
            <w:tcW w:w="4940" w:type="dxa"/>
            <w:vAlign w:val="bottom"/>
            <w:gridSpan w:val="7"/>
          </w:tcPr>
          <w:p>
            <w:pPr>
              <w:spacing w:after="0"/>
              <w:rPr>
                <w:sz w:val="15"/>
                <w:szCs w:val="15"/>
                <w:color w:val="auto"/>
              </w:rPr>
            </w:pPr>
          </w:p>
        </w:tc>
        <w:tc>
          <w:tcPr>
            <w:tcW w:w="780" w:type="dxa"/>
            <w:vAlign w:val="bottom"/>
          </w:tcPr>
          <w:p>
            <w:pPr>
              <w:jc w:val="center"/>
              <w:spacing w:after="0" w:line="183" w:lineRule="exact"/>
              <w:rPr>
                <w:sz w:val="20"/>
                <w:szCs w:val="20"/>
                <w:color w:val="auto"/>
              </w:rPr>
            </w:pPr>
            <w:r>
              <w:rPr>
                <w:rFonts w:ascii="Arial" w:cs="Arial" w:eastAsia="Arial" w:hAnsi="Arial"/>
                <w:sz w:val="16"/>
                <w:szCs w:val="16"/>
                <w:color w:val="auto"/>
                <w:w w:val="89"/>
              </w:rPr>
              <w:t>36</w:t>
            </w:r>
          </w:p>
        </w:tc>
        <w:tc>
          <w:tcPr>
            <w:tcW w:w="0" w:type="dxa"/>
            <w:vAlign w:val="bottom"/>
          </w:tcPr>
          <w:p>
            <w:pPr>
              <w:spacing w:after="0"/>
              <w:rPr>
                <w:sz w:val="1"/>
                <w:szCs w:val="1"/>
                <w:color w:val="auto"/>
              </w:rPr>
            </w:pPr>
          </w:p>
        </w:tc>
      </w:tr>
      <w:tr>
        <w:trPr>
          <w:trHeight w:val="183"/>
        </w:trPr>
        <w:tc>
          <w:tcPr>
            <w:tcW w:w="1160" w:type="dxa"/>
            <w:vAlign w:val="bottom"/>
          </w:tcPr>
          <w:p>
            <w:pPr>
              <w:ind w:left="20"/>
              <w:spacing w:after="0" w:line="182" w:lineRule="exact"/>
              <w:rPr>
                <w:sz w:val="20"/>
                <w:szCs w:val="20"/>
                <w:color w:val="auto"/>
              </w:rPr>
            </w:pPr>
            <w:r>
              <w:rPr>
                <w:rFonts w:ascii="Arial" w:cs="Arial" w:eastAsia="Arial" w:hAnsi="Arial"/>
                <w:sz w:val="18"/>
                <w:szCs w:val="18"/>
                <w:color w:val="auto"/>
              </w:rPr>
              <w:t>Item 4.</w:t>
            </w:r>
          </w:p>
        </w:tc>
        <w:tc>
          <w:tcPr>
            <w:tcW w:w="2340" w:type="dxa"/>
            <w:vAlign w:val="bottom"/>
            <w:tcBorders>
              <w:top w:val="single" w:sz="8" w:color="0563C1"/>
            </w:tcBorders>
            <w:gridSpan w:val="10"/>
          </w:tcPr>
          <w:p>
            <w:pPr>
              <w:spacing w:after="0" w:line="182" w:lineRule="exact"/>
              <w:rPr>
                <w:sz w:val="20"/>
                <w:szCs w:val="20"/>
                <w:color w:val="auto"/>
              </w:rPr>
            </w:pPr>
            <w:r>
              <w:rPr>
                <w:rFonts w:ascii="Arial" w:cs="Arial" w:eastAsia="Arial" w:hAnsi="Arial"/>
                <w:sz w:val="18"/>
                <w:szCs w:val="18"/>
                <w:color w:val="0563C1"/>
              </w:rPr>
              <w:t>Mine Safety Disclosures</w:t>
            </w:r>
          </w:p>
        </w:tc>
        <w:tc>
          <w:tcPr>
            <w:tcW w:w="6960" w:type="dxa"/>
            <w:vAlign w:val="bottom"/>
            <w:gridSpan w:val="11"/>
          </w:tcPr>
          <w:p>
            <w:pPr>
              <w:spacing w:after="0"/>
              <w:rPr>
                <w:sz w:val="15"/>
                <w:szCs w:val="15"/>
                <w:color w:val="auto"/>
              </w:rPr>
            </w:pPr>
          </w:p>
        </w:tc>
        <w:tc>
          <w:tcPr>
            <w:tcW w:w="780" w:type="dxa"/>
            <w:vAlign w:val="bottom"/>
          </w:tcPr>
          <w:p>
            <w:pPr>
              <w:jc w:val="center"/>
              <w:spacing w:after="0" w:line="183" w:lineRule="exact"/>
              <w:rPr>
                <w:sz w:val="20"/>
                <w:szCs w:val="20"/>
                <w:color w:val="auto"/>
              </w:rPr>
            </w:pPr>
            <w:r>
              <w:rPr>
                <w:rFonts w:ascii="Arial" w:cs="Arial" w:eastAsia="Arial" w:hAnsi="Arial"/>
                <w:sz w:val="16"/>
                <w:szCs w:val="16"/>
                <w:color w:val="auto"/>
                <w:w w:val="89"/>
              </w:rPr>
              <w:t>36</w:t>
            </w:r>
          </w:p>
        </w:tc>
        <w:tc>
          <w:tcPr>
            <w:tcW w:w="0" w:type="dxa"/>
            <w:vAlign w:val="bottom"/>
          </w:tcPr>
          <w:p>
            <w:pPr>
              <w:spacing w:after="0"/>
              <w:rPr>
                <w:sz w:val="1"/>
                <w:szCs w:val="1"/>
                <w:color w:val="auto"/>
              </w:rPr>
            </w:pPr>
          </w:p>
        </w:tc>
      </w:tr>
      <w:tr>
        <w:trPr>
          <w:trHeight w:val="183"/>
        </w:trPr>
        <w:tc>
          <w:tcPr>
            <w:tcW w:w="1160" w:type="dxa"/>
            <w:vAlign w:val="bottom"/>
          </w:tcPr>
          <w:p>
            <w:pPr>
              <w:ind w:left="20"/>
              <w:spacing w:after="0" w:line="182" w:lineRule="exact"/>
              <w:rPr>
                <w:sz w:val="20"/>
                <w:szCs w:val="20"/>
                <w:color w:val="auto"/>
              </w:rPr>
            </w:pPr>
            <w:r>
              <w:rPr>
                <w:rFonts w:ascii="Arial" w:cs="Arial" w:eastAsia="Arial" w:hAnsi="Arial"/>
                <w:sz w:val="18"/>
                <w:szCs w:val="18"/>
                <w:color w:val="auto"/>
              </w:rPr>
              <w:t>Item 5.</w:t>
            </w:r>
          </w:p>
        </w:tc>
        <w:tc>
          <w:tcPr>
            <w:tcW w:w="1780" w:type="dxa"/>
            <w:vAlign w:val="bottom"/>
            <w:tcBorders>
              <w:top w:val="single" w:sz="8" w:color="0563C1"/>
            </w:tcBorders>
            <w:gridSpan w:val="6"/>
          </w:tcPr>
          <w:p>
            <w:pPr>
              <w:spacing w:after="0" w:line="182" w:lineRule="exact"/>
              <w:rPr>
                <w:sz w:val="20"/>
                <w:szCs w:val="20"/>
                <w:color w:val="auto"/>
              </w:rPr>
            </w:pPr>
            <w:r>
              <w:rPr>
                <w:rFonts w:ascii="Arial" w:cs="Arial" w:eastAsia="Arial" w:hAnsi="Arial"/>
                <w:sz w:val="18"/>
                <w:szCs w:val="18"/>
                <w:color w:val="0563C1"/>
              </w:rPr>
              <w:t>Other Information</w:t>
            </w:r>
          </w:p>
        </w:tc>
        <w:tc>
          <w:tcPr>
            <w:tcW w:w="7520" w:type="dxa"/>
            <w:vAlign w:val="bottom"/>
            <w:gridSpan w:val="15"/>
          </w:tcPr>
          <w:p>
            <w:pPr>
              <w:spacing w:after="0"/>
              <w:rPr>
                <w:sz w:val="15"/>
                <w:szCs w:val="15"/>
                <w:color w:val="auto"/>
              </w:rPr>
            </w:pPr>
          </w:p>
        </w:tc>
        <w:tc>
          <w:tcPr>
            <w:tcW w:w="780" w:type="dxa"/>
            <w:vAlign w:val="bottom"/>
          </w:tcPr>
          <w:p>
            <w:pPr>
              <w:jc w:val="center"/>
              <w:spacing w:after="0" w:line="183" w:lineRule="exact"/>
              <w:rPr>
                <w:sz w:val="20"/>
                <w:szCs w:val="20"/>
                <w:color w:val="auto"/>
              </w:rPr>
            </w:pPr>
            <w:r>
              <w:rPr>
                <w:rFonts w:ascii="Arial" w:cs="Arial" w:eastAsia="Arial" w:hAnsi="Arial"/>
                <w:sz w:val="16"/>
                <w:szCs w:val="16"/>
                <w:color w:val="auto"/>
                <w:w w:val="89"/>
              </w:rPr>
              <w:t>36</w:t>
            </w:r>
          </w:p>
        </w:tc>
        <w:tc>
          <w:tcPr>
            <w:tcW w:w="0" w:type="dxa"/>
            <w:vAlign w:val="bottom"/>
          </w:tcPr>
          <w:p>
            <w:pPr>
              <w:spacing w:after="0"/>
              <w:rPr>
                <w:sz w:val="1"/>
                <w:szCs w:val="1"/>
                <w:color w:val="auto"/>
              </w:rPr>
            </w:pPr>
          </w:p>
        </w:tc>
      </w:tr>
      <w:tr>
        <w:trPr>
          <w:trHeight w:val="183"/>
        </w:trPr>
        <w:tc>
          <w:tcPr>
            <w:tcW w:w="1160" w:type="dxa"/>
            <w:vAlign w:val="bottom"/>
          </w:tcPr>
          <w:p>
            <w:pPr>
              <w:ind w:left="20"/>
              <w:spacing w:after="0" w:line="182" w:lineRule="exact"/>
              <w:rPr>
                <w:sz w:val="20"/>
                <w:szCs w:val="20"/>
                <w:color w:val="auto"/>
              </w:rPr>
            </w:pPr>
            <w:r>
              <w:rPr>
                <w:rFonts w:ascii="Arial" w:cs="Arial" w:eastAsia="Arial" w:hAnsi="Arial"/>
                <w:sz w:val="18"/>
                <w:szCs w:val="18"/>
                <w:color w:val="auto"/>
              </w:rPr>
              <w:t>Item 6.</w:t>
            </w:r>
          </w:p>
        </w:tc>
        <w:tc>
          <w:tcPr>
            <w:tcW w:w="1320" w:type="dxa"/>
            <w:vAlign w:val="bottom"/>
            <w:tcBorders>
              <w:top w:val="single" w:sz="8" w:color="0563C1"/>
            </w:tcBorders>
            <w:gridSpan w:val="4"/>
          </w:tcPr>
          <w:p>
            <w:pPr>
              <w:spacing w:after="0" w:line="182" w:lineRule="exact"/>
              <w:rPr>
                <w:sz w:val="20"/>
                <w:szCs w:val="20"/>
                <w:color w:val="auto"/>
              </w:rPr>
            </w:pPr>
            <w:r>
              <w:rPr>
                <w:rFonts w:ascii="Arial" w:cs="Arial" w:eastAsia="Arial" w:hAnsi="Arial"/>
                <w:sz w:val="18"/>
                <w:szCs w:val="18"/>
                <w:color w:val="0563C1"/>
              </w:rPr>
              <w:t>Exhibits</w:t>
            </w:r>
          </w:p>
        </w:tc>
        <w:tc>
          <w:tcPr>
            <w:tcW w:w="7980" w:type="dxa"/>
            <w:vAlign w:val="bottom"/>
            <w:gridSpan w:val="17"/>
          </w:tcPr>
          <w:p>
            <w:pPr>
              <w:spacing w:after="0"/>
              <w:rPr>
                <w:sz w:val="15"/>
                <w:szCs w:val="15"/>
                <w:color w:val="auto"/>
              </w:rPr>
            </w:pPr>
          </w:p>
        </w:tc>
        <w:tc>
          <w:tcPr>
            <w:tcW w:w="780" w:type="dxa"/>
            <w:vAlign w:val="bottom"/>
          </w:tcPr>
          <w:p>
            <w:pPr>
              <w:jc w:val="center"/>
              <w:spacing w:after="0" w:line="183" w:lineRule="exact"/>
              <w:rPr>
                <w:sz w:val="20"/>
                <w:szCs w:val="20"/>
                <w:color w:val="auto"/>
              </w:rPr>
            </w:pPr>
            <w:r>
              <w:rPr>
                <w:rFonts w:ascii="Arial" w:cs="Arial" w:eastAsia="Arial" w:hAnsi="Arial"/>
                <w:sz w:val="16"/>
                <w:szCs w:val="16"/>
                <w:color w:val="auto"/>
                <w:w w:val="89"/>
              </w:rPr>
              <w:t>37</w:t>
            </w: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600" w:type="dxa"/>
            <w:vAlign w:val="bottom"/>
            <w:tcBorders>
              <w:top w:val="single" w:sz="8" w:color="0563C1"/>
              <w:bottom w:val="single" w:sz="8" w:color="0563C1"/>
            </w:tcBorders>
          </w:tcPr>
          <w:p>
            <w:pPr>
              <w:spacing w:after="0" w:line="183" w:lineRule="exact"/>
              <w:rPr>
                <w:sz w:val="20"/>
                <w:szCs w:val="20"/>
                <w:color w:val="auto"/>
              </w:rPr>
            </w:pPr>
            <w:r>
              <w:rPr>
                <w:rFonts w:ascii="Arial" w:cs="Arial" w:eastAsia="Arial" w:hAnsi="Arial"/>
                <w:sz w:val="17"/>
                <w:szCs w:val="17"/>
                <w:color w:val="0563C1"/>
                <w:w w:val="71"/>
              </w:rPr>
              <w:t>Signatures</w:t>
            </w:r>
          </w:p>
        </w:tc>
        <w:tc>
          <w:tcPr>
            <w:tcW w:w="160" w:type="dxa"/>
            <w:vAlign w:val="bottom"/>
            <w:tcBorders>
              <w:bottom w:val="single" w:sz="8" w:color="0563C1"/>
            </w:tcBorders>
          </w:tcPr>
          <w:p>
            <w:pPr>
              <w:spacing w:after="0"/>
              <w:rPr>
                <w:sz w:val="15"/>
                <w:szCs w:val="15"/>
                <w:color w:val="auto"/>
              </w:rPr>
            </w:pPr>
          </w:p>
        </w:tc>
        <w:tc>
          <w:tcPr>
            <w:tcW w:w="8540" w:type="dxa"/>
            <w:vAlign w:val="bottom"/>
            <w:gridSpan w:val="19"/>
          </w:tcPr>
          <w:p>
            <w:pPr>
              <w:spacing w:after="0"/>
              <w:rPr>
                <w:sz w:val="15"/>
                <w:szCs w:val="15"/>
                <w:color w:val="auto"/>
              </w:rPr>
            </w:pPr>
          </w:p>
        </w:tc>
        <w:tc>
          <w:tcPr>
            <w:tcW w:w="780" w:type="dxa"/>
            <w:vAlign w:val="bottom"/>
          </w:tcPr>
          <w:p>
            <w:pPr>
              <w:jc w:val="center"/>
              <w:spacing w:after="0" w:line="183" w:lineRule="exact"/>
              <w:rPr>
                <w:sz w:val="20"/>
                <w:szCs w:val="20"/>
                <w:color w:val="auto"/>
              </w:rPr>
            </w:pPr>
            <w:r>
              <w:rPr>
                <w:rFonts w:ascii="Arial" w:cs="Arial" w:eastAsia="Arial" w:hAnsi="Arial"/>
                <w:sz w:val="16"/>
                <w:szCs w:val="16"/>
                <w:color w:val="auto"/>
                <w:w w:val="89"/>
              </w:rPr>
              <w:t>38</w:t>
            </w:r>
          </w:p>
        </w:tc>
        <w:tc>
          <w:tcPr>
            <w:tcW w:w="0" w:type="dxa"/>
            <w:vAlign w:val="bottom"/>
          </w:tcPr>
          <w:p>
            <w:pPr>
              <w:spacing w:after="0"/>
              <w:rPr>
                <w:sz w:val="1"/>
                <w:szCs w:val="1"/>
                <w:color w:val="auto"/>
              </w:rPr>
            </w:pPr>
          </w:p>
        </w:tc>
      </w:tr>
      <w:tr>
        <w:trPr>
          <w:trHeight w:val="655"/>
        </w:trPr>
        <w:tc>
          <w:tcPr>
            <w:tcW w:w="1160" w:type="dxa"/>
            <w:vAlign w:val="bottom"/>
          </w:tcPr>
          <w:p>
            <w:pPr>
              <w:spacing w:after="0"/>
              <w:rPr>
                <w:sz w:val="24"/>
                <w:szCs w:val="24"/>
                <w:color w:val="auto"/>
              </w:rPr>
            </w:pPr>
          </w:p>
        </w:tc>
        <w:tc>
          <w:tcPr>
            <w:tcW w:w="4640" w:type="dxa"/>
            <w:vAlign w:val="bottom"/>
            <w:gridSpan w:val="16"/>
          </w:tcPr>
          <w:p>
            <w:pPr>
              <w:ind w:left="442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116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5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5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16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21" w:lineRule="exact"/>
        <w:rPr>
          <w:sz w:val="20"/>
          <w:szCs w:val="20"/>
          <w:color w:val="auto"/>
        </w:rPr>
      </w:pPr>
    </w:p>
    <w:p>
      <w:pPr>
        <w:spacing w:after="0" w:line="261" w:lineRule="auto"/>
        <w:rPr>
          <w:sz w:val="20"/>
          <w:szCs w:val="20"/>
          <w:color w:val="auto"/>
        </w:rPr>
      </w:pPr>
      <w:r>
        <w:rPr>
          <w:rFonts w:ascii="Arial" w:cs="Arial" w:eastAsia="Arial" w:hAnsi="Arial"/>
          <w:sz w:val="18"/>
          <w:szCs w:val="18"/>
          <w:i w:val="1"/>
          <w:iCs w:val="1"/>
          <w:color w:val="auto"/>
        </w:rPr>
        <w:t>Unless the context otherwise requires, references in this Quarterly Report on Form 10-Q to the “Company,” “Sight Sciences,” “we,” “us” and “our” refer to Sight Sciences, Inc.</w:t>
      </w:r>
    </w:p>
    <w:p>
      <w:pPr>
        <w:spacing w:after="0" w:line="63" w:lineRule="exact"/>
        <w:rPr>
          <w:sz w:val="20"/>
          <w:szCs w:val="20"/>
          <w:color w:val="auto"/>
        </w:rPr>
      </w:pPr>
    </w:p>
    <w:p>
      <w:pPr>
        <w:ind w:right="120"/>
        <w:spacing w:after="0" w:line="260" w:lineRule="auto"/>
        <w:rPr>
          <w:sz w:val="20"/>
          <w:szCs w:val="20"/>
          <w:color w:val="auto"/>
        </w:rPr>
      </w:pPr>
      <w:r>
        <w:rPr>
          <w:rFonts w:ascii="Arial" w:cs="Arial" w:eastAsia="Arial" w:hAnsi="Arial"/>
          <w:sz w:val="17"/>
          <w:szCs w:val="17"/>
          <w:color w:val="auto"/>
        </w:rPr>
        <w:t>This Quarterly Report on Form 10-Q (the "Quarterly Report")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“hope,” “intend,” “may,” “might,” “objective,” “ongoing,” “plan,” “potential,” “predict,” “project,” “should,” “target,” “will,” or “would” or the negative of these words or other similar terms or expressions. These forward-looking statements include, but are not limited to, statements concerning the following:</w:t>
      </w:r>
    </w:p>
    <w:p>
      <w:pPr>
        <w:spacing w:after="0" w:line="65" w:lineRule="exact"/>
        <w:rPr>
          <w:sz w:val="20"/>
          <w:szCs w:val="20"/>
          <w:color w:val="auto"/>
        </w:rPr>
      </w:pPr>
    </w:p>
    <w:p>
      <w:pPr>
        <w:ind w:left="380" w:hanging="372"/>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estimates of our total addressable market, future revenue, expenses, capital requirements, and our needs for additional financing;</w:t>
      </w:r>
    </w:p>
    <w:p>
      <w:pPr>
        <w:spacing w:after="0" w:line="103" w:lineRule="exact"/>
        <w:rPr>
          <w:rFonts w:ascii="Arial" w:cs="Arial" w:eastAsia="Arial" w:hAnsi="Arial"/>
          <w:sz w:val="18"/>
          <w:szCs w:val="18"/>
          <w:color w:val="auto"/>
        </w:rPr>
      </w:pPr>
    </w:p>
    <w:p>
      <w:pPr>
        <w:ind w:left="380" w:hanging="372"/>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enter into and compete in new markets;</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COVID-19 pandemic on our business, our customers’ and suppliers’ businesses and the general economy;</w:t>
      </w:r>
    </w:p>
    <w:p>
      <w:pPr>
        <w:spacing w:after="0" w:line="103" w:lineRule="exact"/>
        <w:rPr>
          <w:rFonts w:ascii="Arial" w:cs="Arial" w:eastAsia="Arial" w:hAnsi="Arial"/>
          <w:sz w:val="18"/>
          <w:szCs w:val="18"/>
          <w:color w:val="auto"/>
        </w:rPr>
      </w:pPr>
    </w:p>
    <w:p>
      <w:pPr>
        <w:ind w:left="380" w:hanging="372"/>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effectively with existing competitors and new market entrants;</w:t>
      </w:r>
    </w:p>
    <w:p>
      <w:pPr>
        <w:spacing w:after="0" w:line="103" w:lineRule="exact"/>
        <w:rPr>
          <w:rFonts w:ascii="Arial" w:cs="Arial" w:eastAsia="Arial" w:hAnsi="Arial"/>
          <w:sz w:val="18"/>
          <w:szCs w:val="18"/>
          <w:color w:val="auto"/>
        </w:rPr>
      </w:pPr>
    </w:p>
    <w:p>
      <w:pPr>
        <w:ind w:left="380" w:hanging="372"/>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scale our infrastructure;</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manage and grow our business by expanding our sales to existing customers or introducing our products to new customers;</w:t>
      </w:r>
    </w:p>
    <w:p>
      <w:pPr>
        <w:spacing w:after="0" w:line="115" w:lineRule="exact"/>
        <w:rPr>
          <w:rFonts w:ascii="Arial" w:cs="Arial" w:eastAsia="Arial" w:hAnsi="Arial"/>
          <w:sz w:val="17"/>
          <w:szCs w:val="17"/>
          <w:color w:val="auto"/>
        </w:rPr>
      </w:pPr>
    </w:p>
    <w:p>
      <w:pPr>
        <w:ind w:left="380" w:hanging="372"/>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establish and maintain intellectual property protection for our products or avoid claims of infringement;</w:t>
      </w:r>
    </w:p>
    <w:p>
      <w:pPr>
        <w:spacing w:after="0" w:line="103" w:lineRule="exact"/>
        <w:rPr>
          <w:rFonts w:ascii="Arial" w:cs="Arial" w:eastAsia="Arial" w:hAnsi="Arial"/>
          <w:sz w:val="18"/>
          <w:szCs w:val="18"/>
          <w:color w:val="auto"/>
        </w:rPr>
      </w:pPr>
    </w:p>
    <w:p>
      <w:pPr>
        <w:ind w:left="380" w:hanging="372"/>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effects of extensive government regulation;</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sufficient reimbursement for our products;</w:t>
      </w:r>
    </w:p>
    <w:p>
      <w:pPr>
        <w:spacing w:after="0" w:line="103" w:lineRule="exact"/>
        <w:rPr>
          <w:rFonts w:ascii="Arial" w:cs="Arial" w:eastAsia="Arial" w:hAnsi="Arial"/>
          <w:sz w:val="18"/>
          <w:szCs w:val="18"/>
          <w:color w:val="auto"/>
        </w:rPr>
      </w:pPr>
    </w:p>
    <w:p>
      <w:pPr>
        <w:ind w:left="380" w:hanging="372"/>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abilities to protect and scale our intellectual property portfolio;</w:t>
      </w:r>
    </w:p>
    <w:p>
      <w:pPr>
        <w:spacing w:after="0" w:line="103" w:lineRule="exact"/>
        <w:rPr>
          <w:rFonts w:ascii="Arial" w:cs="Arial" w:eastAsia="Arial" w:hAnsi="Arial"/>
          <w:sz w:val="18"/>
          <w:szCs w:val="18"/>
          <w:color w:val="auto"/>
        </w:rPr>
      </w:pPr>
    </w:p>
    <w:p>
      <w:pPr>
        <w:ind w:left="380" w:hanging="372"/>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hire and retain key personnel;</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financing in future offerings;</w:t>
      </w:r>
    </w:p>
    <w:p>
      <w:pPr>
        <w:spacing w:after="0" w:line="103" w:lineRule="exact"/>
        <w:rPr>
          <w:rFonts w:ascii="Arial" w:cs="Arial" w:eastAsia="Arial" w:hAnsi="Arial"/>
          <w:sz w:val="18"/>
          <w:szCs w:val="18"/>
          <w:color w:val="auto"/>
        </w:rPr>
      </w:pPr>
    </w:p>
    <w:p>
      <w:pPr>
        <w:ind w:left="380" w:hanging="372"/>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volatility of the trading price of our common stock;</w:t>
      </w:r>
    </w:p>
    <w:p>
      <w:pPr>
        <w:spacing w:after="0" w:line="103" w:lineRule="exact"/>
        <w:rPr>
          <w:rFonts w:ascii="Arial" w:cs="Arial" w:eastAsia="Arial" w:hAnsi="Arial"/>
          <w:sz w:val="18"/>
          <w:szCs w:val="18"/>
          <w:color w:val="auto"/>
        </w:rPr>
      </w:pPr>
    </w:p>
    <w:p>
      <w:pPr>
        <w:ind w:left="380" w:right="80" w:hanging="372"/>
        <w:spacing w:after="0" w:line="261"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 regarding the time during which we will be an emerging growth company under the Jumpstart Our Business Startups Act (the “JOBS Act”); and</w:t>
      </w:r>
    </w:p>
    <w:p>
      <w:pPr>
        <w:spacing w:after="0" w:line="76" w:lineRule="exact"/>
        <w:rPr>
          <w:rFonts w:ascii="Arial" w:cs="Arial" w:eastAsia="Arial" w:hAnsi="Arial"/>
          <w:sz w:val="18"/>
          <w:szCs w:val="18"/>
          <w:color w:val="auto"/>
        </w:rPr>
      </w:pPr>
    </w:p>
    <w:p>
      <w:pPr>
        <w:ind w:left="380" w:hanging="372"/>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proper and effective internal controls.</w:t>
      </w:r>
    </w:p>
    <w:p>
      <w:pPr>
        <w:spacing w:after="0" w:line="212"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Actual events or results may differ from those expressed in forward-looking statements. As such, you should not rely on forward-looking statements as predictions of future events. We have based the forward-looking statements contained in this Quarterly Report primarily on our current expectations and projections about future events and trends that we believe may affect our business, financial condition, operating results, prospects, strategy, and financial needs. The outcome of the events described in these forward-looking statements is subject to risks, uncertainties, assumptions, and other factors described in the section titled “Risk Factors” in our Annual Report on Form 10-K for the year ended December 31, 2021 filed with the Securities and Exchange Commission (the "SEC") on March 24, 2022 (the "2021 Form 10-K") and elsewhere in this Quarterly Report. Moreover, we operate in a highly competitive and rapidly changing environment. New risks and uncertainties emerge from time to time, and it is not possible for us to predict all risks and uncertainties that could have an impact on the forward-looking statements contained in this Quarterly Report. The results, events and circumstances reflected in the forward-looking</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3" w:name="page4"/>
    <w:bookmarkEnd w:id="3"/>
    <w:p>
      <w:pPr>
        <w:ind w:right="280"/>
        <w:spacing w:after="0" w:line="277" w:lineRule="auto"/>
        <w:rPr>
          <w:sz w:val="20"/>
          <w:szCs w:val="20"/>
          <w:color w:val="auto"/>
        </w:rPr>
      </w:pPr>
      <w:r>
        <w:rPr>
          <w:rFonts w:ascii="Arial" w:cs="Arial" w:eastAsia="Arial" w:hAnsi="Arial"/>
          <w:sz w:val="18"/>
          <w:szCs w:val="18"/>
          <w:color w:val="auto"/>
        </w:rPr>
        <w:t>statements may not be achieved or occur, and actual results, events or circumstances could differ materially from those described in the forward-looking statements.</w:t>
      </w:r>
    </w:p>
    <w:p>
      <w:pPr>
        <w:spacing w:after="0" w:line="157"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The forward-looking statements in this Quarterly Report are based on information available to us as of the date of this Quarterly Report. While we believe that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81"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You should read this Quarterly Report and the documents that we reference in this Quarterly Report and have filed as exhibits to this Quarterly Report with the understanding that our actual future results, performance and achievements may be materially different from what we expect. We qualify all of our forward-looking statements by these cautionary statements. The forward-looking statements made in this Quarterly Report relate only to events as of the date on which the statements are made. We undertake no obligation to update any forward-looking statements made in this Quarterly Report to reflect events or circumstances after the date of this Quarterly Report or to reflect new information, actual results, revised expectations, or the occurrence of unanticipated events, except as required by law. We may not actually achieve the plans, intentions or expectations disclosed in our forward-looking statements, and you should not place undue reliance on our forward-looking statements.</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1. FINANCIAL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SIGHT SCIENCES,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jc w:val="center"/>
        <w:spacing w:after="0"/>
        <w:rPr>
          <w:sz w:val="20"/>
          <w:szCs w:val="20"/>
          <w:color w:val="auto"/>
        </w:rPr>
      </w:pPr>
      <w:r>
        <w:rPr>
          <w:rFonts w:ascii="Arial" w:cs="Arial" w:eastAsia="Arial" w:hAnsi="Arial"/>
          <w:sz w:val="18"/>
          <w:szCs w:val="18"/>
          <w:b w:val="1"/>
          <w:bCs w:val="1"/>
          <w:i w:val="1"/>
          <w:iCs w:val="1"/>
          <w:color w:val="auto"/>
        </w:rPr>
        <w:t>(in thousands, except share and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5"/>
                <w:szCs w:val="15"/>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December 31,</w:t>
            </w:r>
          </w:p>
        </w:tc>
      </w:tr>
      <w:tr>
        <w:trPr>
          <w:trHeight w:val="185"/>
        </w:trPr>
        <w:tc>
          <w:tcPr>
            <w:tcW w:w="80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209"/>
        </w:trPr>
        <w:tc>
          <w:tcPr>
            <w:tcW w:w="80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0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199,819</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260,687</w:t>
            </w:r>
          </w:p>
        </w:tc>
        <w:tc>
          <w:tcPr>
            <w:tcW w:w="100" w:type="dxa"/>
            <w:vAlign w:val="bottom"/>
            <w:shd w:val="clear" w:color="auto" w:fill="CFF0FC"/>
          </w:tcPr>
          <w:p>
            <w:pPr>
              <w:spacing w:after="0"/>
              <w:rPr>
                <w:sz w:val="18"/>
                <w:szCs w:val="18"/>
                <w:color w:val="auto"/>
              </w:rPr>
            </w:pPr>
          </w:p>
        </w:tc>
      </w:tr>
      <w:tr>
        <w:trPr>
          <w:trHeight w:val="216"/>
        </w:trPr>
        <w:tc>
          <w:tcPr>
            <w:tcW w:w="8040" w:type="dxa"/>
            <w:vAlign w:val="bottom"/>
          </w:tcPr>
          <w:p>
            <w:pPr>
              <w:ind w:left="200"/>
              <w:spacing w:after="0"/>
              <w:rPr>
                <w:sz w:val="20"/>
                <w:szCs w:val="20"/>
                <w:color w:val="auto"/>
              </w:rPr>
            </w:pPr>
            <w:r>
              <w:rPr>
                <w:rFonts w:ascii="Arial" w:cs="Arial" w:eastAsia="Arial" w:hAnsi="Arial"/>
                <w:sz w:val="18"/>
                <w:szCs w:val="18"/>
                <w:color w:val="auto"/>
              </w:rPr>
              <w:t>Accounts receivable, net</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12,593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8,709</w:t>
            </w:r>
          </w:p>
        </w:tc>
        <w:tc>
          <w:tcPr>
            <w:tcW w:w="100" w:type="dxa"/>
            <w:vAlign w:val="bottom"/>
          </w:tcPr>
          <w:p>
            <w:pPr>
              <w:spacing w:after="0"/>
              <w:rPr>
                <w:sz w:val="18"/>
                <w:szCs w:val="18"/>
                <w:color w:val="auto"/>
              </w:rPr>
            </w:pPr>
          </w:p>
        </w:tc>
      </w:tr>
      <w:tr>
        <w:trPr>
          <w:trHeight w:val="216"/>
        </w:trPr>
        <w:tc>
          <w:tcPr>
            <w:tcW w:w="80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Inventory, net</w:t>
            </w: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5,520</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3,475</w:t>
            </w:r>
          </w:p>
        </w:tc>
        <w:tc>
          <w:tcPr>
            <w:tcW w:w="100" w:type="dxa"/>
            <w:vAlign w:val="bottom"/>
            <w:shd w:val="clear" w:color="auto" w:fill="CFF0FC"/>
          </w:tcPr>
          <w:p>
            <w:pPr>
              <w:spacing w:after="0"/>
              <w:rPr>
                <w:sz w:val="18"/>
                <w:szCs w:val="18"/>
                <w:color w:val="auto"/>
              </w:rPr>
            </w:pPr>
          </w:p>
        </w:tc>
      </w:tr>
      <w:tr>
        <w:trPr>
          <w:trHeight w:val="216"/>
        </w:trPr>
        <w:tc>
          <w:tcPr>
            <w:tcW w:w="804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4,411</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4,164</w:t>
            </w:r>
          </w:p>
        </w:tc>
        <w:tc>
          <w:tcPr>
            <w:tcW w:w="100" w:type="dxa"/>
            <w:vAlign w:val="bottom"/>
          </w:tcPr>
          <w:p>
            <w:pPr>
              <w:spacing w:after="0"/>
              <w:rPr>
                <w:sz w:val="18"/>
                <w:szCs w:val="18"/>
                <w:color w:val="auto"/>
              </w:rPr>
            </w:pPr>
          </w:p>
        </w:tc>
      </w:tr>
      <w:tr>
        <w:trPr>
          <w:trHeight w:val="210"/>
        </w:trPr>
        <w:tc>
          <w:tcPr>
            <w:tcW w:w="80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222,343</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277,035</w:t>
            </w:r>
          </w:p>
        </w:tc>
        <w:tc>
          <w:tcPr>
            <w:tcW w:w="100" w:type="dxa"/>
            <w:vAlign w:val="bottom"/>
            <w:shd w:val="clear" w:color="auto" w:fill="CFF0FC"/>
          </w:tcPr>
          <w:p>
            <w:pPr>
              <w:spacing w:after="0"/>
              <w:rPr>
                <w:sz w:val="18"/>
                <w:szCs w:val="18"/>
                <w:color w:val="auto"/>
              </w:rPr>
            </w:pPr>
          </w:p>
        </w:tc>
      </w:tr>
      <w:tr>
        <w:trPr>
          <w:trHeight w:val="216"/>
        </w:trPr>
        <w:tc>
          <w:tcPr>
            <w:tcW w:w="804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1,568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1,454</w:t>
            </w:r>
          </w:p>
        </w:tc>
        <w:tc>
          <w:tcPr>
            <w:tcW w:w="100" w:type="dxa"/>
            <w:vAlign w:val="bottom"/>
          </w:tcPr>
          <w:p>
            <w:pPr>
              <w:spacing w:after="0"/>
              <w:rPr>
                <w:sz w:val="18"/>
                <w:szCs w:val="18"/>
                <w:color w:val="auto"/>
              </w:rPr>
            </w:pPr>
          </w:p>
        </w:tc>
      </w:tr>
      <w:tr>
        <w:trPr>
          <w:trHeight w:val="216"/>
        </w:trPr>
        <w:tc>
          <w:tcPr>
            <w:tcW w:w="8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right-of-use assets</w:t>
            </w: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1,121</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1,495</w:t>
            </w:r>
          </w:p>
        </w:tc>
        <w:tc>
          <w:tcPr>
            <w:tcW w:w="100" w:type="dxa"/>
            <w:vAlign w:val="bottom"/>
            <w:shd w:val="clear" w:color="auto" w:fill="CFF0FC"/>
          </w:tcPr>
          <w:p>
            <w:pPr>
              <w:spacing w:after="0"/>
              <w:rPr>
                <w:sz w:val="18"/>
                <w:szCs w:val="18"/>
                <w:color w:val="auto"/>
              </w:rPr>
            </w:pPr>
          </w:p>
        </w:tc>
      </w:tr>
      <w:tr>
        <w:trPr>
          <w:trHeight w:val="216"/>
        </w:trPr>
        <w:tc>
          <w:tcPr>
            <w:tcW w:w="804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18"/>
                <w:szCs w:val="18"/>
                <w:color w:val="auto"/>
              </w:rPr>
            </w:pPr>
          </w:p>
        </w:tc>
      </w:tr>
      <w:tr>
        <w:trPr>
          <w:trHeight w:val="250"/>
        </w:trPr>
        <w:tc>
          <w:tcPr>
            <w:tcW w:w="80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225,234</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280,186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6"/>
        </w:trPr>
        <w:tc>
          <w:tcPr>
            <w:tcW w:w="804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Liabilities, redeemable convertible preferred stock, and Stockholders’ equity</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04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3,239</w:t>
            </w:r>
          </w:p>
        </w:tc>
        <w:tc>
          <w:tcPr>
            <w:tcW w:w="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3,351</w:t>
            </w:r>
          </w:p>
        </w:tc>
        <w:tc>
          <w:tcPr>
            <w:tcW w:w="100" w:type="dxa"/>
            <w:vAlign w:val="bottom"/>
          </w:tcPr>
          <w:p>
            <w:pPr>
              <w:spacing w:after="0"/>
              <w:rPr>
                <w:sz w:val="18"/>
                <w:szCs w:val="18"/>
                <w:color w:val="auto"/>
              </w:rPr>
            </w:pPr>
          </w:p>
        </w:tc>
      </w:tr>
      <w:tr>
        <w:trPr>
          <w:trHeight w:val="216"/>
        </w:trPr>
        <w:tc>
          <w:tcPr>
            <w:tcW w:w="80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Accrued compensation</w:t>
            </w: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7,993</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5,987</w:t>
            </w:r>
          </w:p>
        </w:tc>
        <w:tc>
          <w:tcPr>
            <w:tcW w:w="100" w:type="dxa"/>
            <w:vAlign w:val="bottom"/>
            <w:shd w:val="clear" w:color="auto" w:fill="CFF0FC"/>
          </w:tcPr>
          <w:p>
            <w:pPr>
              <w:spacing w:after="0"/>
              <w:rPr>
                <w:sz w:val="18"/>
                <w:szCs w:val="18"/>
                <w:color w:val="auto"/>
              </w:rPr>
            </w:pPr>
          </w:p>
        </w:tc>
      </w:tr>
      <w:tr>
        <w:trPr>
          <w:trHeight w:val="216"/>
        </w:trPr>
        <w:tc>
          <w:tcPr>
            <w:tcW w:w="8040" w:type="dxa"/>
            <w:vAlign w:val="bottom"/>
          </w:tcPr>
          <w:p>
            <w:pPr>
              <w:ind w:left="200"/>
              <w:spacing w:after="0"/>
              <w:rPr>
                <w:sz w:val="20"/>
                <w:szCs w:val="20"/>
                <w:color w:val="auto"/>
              </w:rPr>
            </w:pPr>
            <w:r>
              <w:rPr>
                <w:rFonts w:ascii="Arial" w:cs="Arial" w:eastAsia="Arial" w:hAnsi="Arial"/>
                <w:sz w:val="18"/>
                <w:szCs w:val="18"/>
                <w:color w:val="auto"/>
              </w:rPr>
              <w:t>Accrued and other current liabilities</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6,154</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4,166</w:t>
            </w:r>
          </w:p>
        </w:tc>
        <w:tc>
          <w:tcPr>
            <w:tcW w:w="100" w:type="dxa"/>
            <w:vAlign w:val="bottom"/>
          </w:tcPr>
          <w:p>
            <w:pPr>
              <w:spacing w:after="0"/>
              <w:rPr>
                <w:sz w:val="18"/>
                <w:szCs w:val="18"/>
                <w:color w:val="auto"/>
              </w:rPr>
            </w:pPr>
          </w:p>
        </w:tc>
      </w:tr>
      <w:tr>
        <w:trPr>
          <w:trHeight w:val="209"/>
        </w:trPr>
        <w:tc>
          <w:tcPr>
            <w:tcW w:w="80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17,386</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13,504</w:t>
            </w:r>
          </w:p>
        </w:tc>
        <w:tc>
          <w:tcPr>
            <w:tcW w:w="100" w:type="dxa"/>
            <w:vAlign w:val="bottom"/>
            <w:shd w:val="clear" w:color="auto" w:fill="CFF0FC"/>
          </w:tcPr>
          <w:p>
            <w:pPr>
              <w:spacing w:after="0"/>
              <w:rPr>
                <w:sz w:val="18"/>
                <w:szCs w:val="18"/>
                <w:color w:val="auto"/>
              </w:rPr>
            </w:pPr>
          </w:p>
        </w:tc>
      </w:tr>
      <w:tr>
        <w:trPr>
          <w:trHeight w:val="216"/>
        </w:trPr>
        <w:tc>
          <w:tcPr>
            <w:tcW w:w="804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33,158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32,656</w:t>
            </w:r>
          </w:p>
        </w:tc>
        <w:tc>
          <w:tcPr>
            <w:tcW w:w="100" w:type="dxa"/>
            <w:vAlign w:val="bottom"/>
          </w:tcPr>
          <w:p>
            <w:pPr>
              <w:spacing w:after="0"/>
              <w:rPr>
                <w:sz w:val="18"/>
                <w:szCs w:val="18"/>
                <w:color w:val="auto"/>
              </w:rPr>
            </w:pPr>
          </w:p>
        </w:tc>
      </w:tr>
      <w:tr>
        <w:trPr>
          <w:trHeight w:val="216"/>
        </w:trPr>
        <w:tc>
          <w:tcPr>
            <w:tcW w:w="8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noncurrent liabilities</w:t>
            </w:r>
          </w:p>
        </w:tc>
        <w:tc>
          <w:tcPr>
            <w:tcW w:w="20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1,751</w:t>
            </w: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8040" w:type="dxa"/>
            <w:vAlign w:val="bottom"/>
          </w:tcPr>
          <w:p>
            <w:pPr>
              <w:ind w:left="20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52,295</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48,079</w:t>
            </w:r>
          </w:p>
        </w:tc>
        <w:tc>
          <w:tcPr>
            <w:tcW w:w="100" w:type="dxa"/>
            <w:vAlign w:val="bottom"/>
          </w:tcPr>
          <w:p>
            <w:pPr>
              <w:spacing w:after="0"/>
              <w:rPr>
                <w:sz w:val="18"/>
                <w:szCs w:val="18"/>
                <w:color w:val="auto"/>
              </w:rPr>
            </w:pPr>
          </w:p>
        </w:tc>
      </w:tr>
      <w:tr>
        <w:trPr>
          <w:trHeight w:val="210"/>
        </w:trPr>
        <w:tc>
          <w:tcPr>
            <w:tcW w:w="8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Commitments and contingencies (Note 6)</w:t>
            </w: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040" w:type="dxa"/>
            <w:vAlign w:val="bottom"/>
          </w:tcPr>
          <w:p>
            <w:pPr>
              <w:ind w:left="20"/>
              <w:spacing w:after="0"/>
              <w:rPr>
                <w:sz w:val="20"/>
                <w:szCs w:val="20"/>
                <w:color w:val="auto"/>
              </w:rPr>
            </w:pPr>
            <w:r>
              <w:rPr>
                <w:rFonts w:ascii="Arial" w:cs="Arial" w:eastAsia="Arial" w:hAnsi="Arial"/>
                <w:sz w:val="18"/>
                <w:szCs w:val="18"/>
                <w:color w:val="auto"/>
              </w:rPr>
              <w:t>Redeemable convertible preferred stock:</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75"/>
        </w:trPr>
        <w:tc>
          <w:tcPr>
            <w:tcW w:w="8040" w:type="dxa"/>
            <w:vAlign w:val="bottom"/>
            <w:shd w:val="clear" w:color="auto" w:fill="CFF0FC"/>
          </w:tcPr>
          <w:p>
            <w:pPr>
              <w:ind w:left="200"/>
              <w:spacing w:after="0" w:line="175" w:lineRule="exact"/>
              <w:rPr>
                <w:sz w:val="20"/>
                <w:szCs w:val="20"/>
                <w:color w:val="auto"/>
              </w:rPr>
            </w:pPr>
            <w:r>
              <w:rPr>
                <w:rFonts w:ascii="Arial" w:cs="Arial" w:eastAsia="Arial" w:hAnsi="Arial"/>
                <w:sz w:val="18"/>
                <w:szCs w:val="18"/>
                <w:color w:val="auto"/>
                <w:w w:val="91"/>
              </w:rPr>
              <w:t>Convertible preferred stock par value of $0.001 per share; 10,000,000 shares authorized; no shares issued</w:t>
            </w:r>
          </w:p>
        </w:tc>
        <w:tc>
          <w:tcPr>
            <w:tcW w:w="20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30"/>
        </w:trPr>
        <w:tc>
          <w:tcPr>
            <w:tcW w:w="80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and outstanding as of September 30, 2022 and December 31, 2021, respectively</w:t>
            </w:r>
          </w:p>
        </w:tc>
        <w:tc>
          <w:tcPr>
            <w:tcW w:w="20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804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75"/>
        </w:trPr>
        <w:tc>
          <w:tcPr>
            <w:tcW w:w="8040" w:type="dxa"/>
            <w:vAlign w:val="bottom"/>
            <w:shd w:val="clear" w:color="auto" w:fill="CFF0FC"/>
          </w:tcPr>
          <w:p>
            <w:pPr>
              <w:ind w:left="200"/>
              <w:spacing w:after="0" w:line="175" w:lineRule="exact"/>
              <w:rPr>
                <w:sz w:val="20"/>
                <w:szCs w:val="20"/>
                <w:color w:val="auto"/>
              </w:rPr>
            </w:pPr>
            <w:r>
              <w:rPr>
                <w:rFonts w:ascii="Arial" w:cs="Arial" w:eastAsia="Arial" w:hAnsi="Arial"/>
                <w:sz w:val="18"/>
                <w:szCs w:val="18"/>
                <w:color w:val="auto"/>
                <w:w w:val="98"/>
              </w:rPr>
              <w:t>Preferred stock par value of $0.001 per share; 10,000,000 shares authorized; no shares issued and</w:t>
            </w:r>
          </w:p>
        </w:tc>
        <w:tc>
          <w:tcPr>
            <w:tcW w:w="20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30"/>
        </w:trPr>
        <w:tc>
          <w:tcPr>
            <w:tcW w:w="80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outstanding as of September 30, 2022 and December 31, 2021, respectively</w:t>
            </w:r>
          </w:p>
        </w:tc>
        <w:tc>
          <w:tcPr>
            <w:tcW w:w="20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175"/>
        </w:trPr>
        <w:tc>
          <w:tcPr>
            <w:tcW w:w="8040" w:type="dxa"/>
            <w:vAlign w:val="bottom"/>
          </w:tcPr>
          <w:p>
            <w:pPr>
              <w:ind w:left="200"/>
              <w:spacing w:after="0" w:line="175" w:lineRule="exact"/>
              <w:rPr>
                <w:sz w:val="20"/>
                <w:szCs w:val="20"/>
                <w:color w:val="auto"/>
              </w:rPr>
            </w:pPr>
            <w:r>
              <w:rPr>
                <w:rFonts w:ascii="Arial" w:cs="Arial" w:eastAsia="Arial" w:hAnsi="Arial"/>
                <w:sz w:val="18"/>
                <w:szCs w:val="18"/>
                <w:color w:val="auto"/>
                <w:w w:val="94"/>
              </w:rPr>
              <w:t>Common stock par value of $0.001 per share; 200,000,000 shares authorized as of September 30, 2022</w:t>
            </w: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9"/>
        </w:trPr>
        <w:tc>
          <w:tcPr>
            <w:tcW w:w="8040" w:type="dxa"/>
            <w:vAlign w:val="bottom"/>
          </w:tcPr>
          <w:p>
            <w:pPr>
              <w:ind w:left="200"/>
              <w:spacing w:after="0" w:line="189" w:lineRule="exact"/>
              <w:rPr>
                <w:sz w:val="20"/>
                <w:szCs w:val="20"/>
                <w:color w:val="auto"/>
              </w:rPr>
            </w:pPr>
            <w:r>
              <w:rPr>
                <w:rFonts w:ascii="Arial" w:cs="Arial" w:eastAsia="Arial" w:hAnsi="Arial"/>
                <w:sz w:val="18"/>
                <w:szCs w:val="18"/>
                <w:color w:val="auto"/>
                <w:w w:val="95"/>
              </w:rPr>
              <w:t>and December 31, 2021, respectively; 48,083,292 and 47,504,704 shares issued and outstanding as of</w:t>
            </w: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8040" w:type="dxa"/>
            <w:vAlign w:val="bottom"/>
          </w:tcPr>
          <w:p>
            <w:pPr>
              <w:ind w:left="200"/>
              <w:spacing w:after="0"/>
              <w:rPr>
                <w:sz w:val="20"/>
                <w:szCs w:val="20"/>
                <w:color w:val="auto"/>
              </w:rPr>
            </w:pPr>
            <w:r>
              <w:rPr>
                <w:rFonts w:ascii="Arial" w:cs="Arial" w:eastAsia="Arial" w:hAnsi="Arial"/>
                <w:sz w:val="18"/>
                <w:szCs w:val="18"/>
                <w:color w:val="auto"/>
              </w:rPr>
              <w:t>September 30, 2022 and December 31, 2021, respectively</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48</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0"/>
                <w:szCs w:val="20"/>
                <w:color w:val="auto"/>
              </w:rPr>
            </w:pPr>
          </w:p>
        </w:tc>
      </w:tr>
      <w:tr>
        <w:trPr>
          <w:trHeight w:val="216"/>
        </w:trPr>
        <w:tc>
          <w:tcPr>
            <w:tcW w:w="80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Additional paid-in-capital</w:t>
            </w: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395,227</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385,060</w:t>
            </w:r>
          </w:p>
        </w:tc>
        <w:tc>
          <w:tcPr>
            <w:tcW w:w="100" w:type="dxa"/>
            <w:vAlign w:val="bottom"/>
            <w:shd w:val="clear" w:color="auto" w:fill="CFF0FC"/>
          </w:tcPr>
          <w:p>
            <w:pPr>
              <w:spacing w:after="0"/>
              <w:rPr>
                <w:sz w:val="18"/>
                <w:szCs w:val="18"/>
                <w:color w:val="auto"/>
              </w:rPr>
            </w:pPr>
          </w:p>
        </w:tc>
      </w:tr>
      <w:tr>
        <w:trPr>
          <w:trHeight w:val="216"/>
        </w:trPr>
        <w:tc>
          <w:tcPr>
            <w:tcW w:w="8040" w:type="dxa"/>
            <w:vAlign w:val="bottom"/>
          </w:tcPr>
          <w:p>
            <w:pPr>
              <w:ind w:left="20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(222,336 )</w:t>
            </w:r>
          </w:p>
        </w:tc>
        <w:tc>
          <w:tcPr>
            <w:tcW w:w="1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(153,001 )</w:t>
            </w:r>
          </w:p>
        </w:tc>
      </w:tr>
      <w:tr>
        <w:trPr>
          <w:trHeight w:val="210"/>
        </w:trPr>
        <w:tc>
          <w:tcPr>
            <w:tcW w:w="80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172,939</w:t>
            </w: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232,107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8040" w:type="dxa"/>
            <w:vAlign w:val="bottom"/>
          </w:tcPr>
          <w:p>
            <w:pPr>
              <w:ind w:left="380"/>
              <w:spacing w:after="0"/>
              <w:rPr>
                <w:sz w:val="20"/>
                <w:szCs w:val="20"/>
                <w:color w:val="auto"/>
              </w:rPr>
            </w:pPr>
            <w:r>
              <w:rPr>
                <w:rFonts w:ascii="Arial" w:cs="Arial" w:eastAsia="Arial" w:hAnsi="Arial"/>
                <w:sz w:val="18"/>
                <w:szCs w:val="18"/>
                <w:color w:val="auto"/>
              </w:rPr>
              <w:t>Total liabilities, redeemable convertible preferred stock and stockholders’ equity</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225,234</w:t>
            </w:r>
          </w:p>
        </w:tc>
        <w:tc>
          <w:tcPr>
            <w:tcW w:w="2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280,186</w:t>
            </w:r>
          </w:p>
        </w:tc>
        <w:tc>
          <w:tcPr>
            <w:tcW w:w="100" w:type="dxa"/>
            <w:vAlign w:val="bottom"/>
          </w:tcPr>
          <w:p>
            <w:pPr>
              <w:spacing w:after="0"/>
              <w:rPr>
                <w:sz w:val="18"/>
                <w:szCs w:val="18"/>
                <w:color w:val="auto"/>
              </w:rPr>
            </w:pPr>
          </w:p>
        </w:tc>
      </w:tr>
      <w:tr>
        <w:trPr>
          <w:trHeight w:val="20"/>
        </w:trPr>
        <w:tc>
          <w:tcPr>
            <w:tcW w:w="8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-3179445</wp:posOffset>
            </wp:positionV>
            <wp:extent cx="1097280" cy="1625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97280" cy="16256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-2047875</wp:posOffset>
            </wp:positionV>
            <wp:extent cx="6858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-2047875</wp:posOffset>
            </wp:positionV>
            <wp:extent cx="6858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-170815</wp:posOffset>
            </wp:positionV>
            <wp:extent cx="6858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 w:name="page6"/>
    <w:bookmarkEnd w:id="5"/>
    <w:p>
      <w:pPr>
        <w:ind w:left="4640"/>
        <w:spacing w:after="0"/>
        <w:rPr>
          <w:sz w:val="20"/>
          <w:szCs w:val="20"/>
          <w:color w:val="auto"/>
        </w:rPr>
      </w:pPr>
      <w:r>
        <w:rPr>
          <w:rFonts w:ascii="Arial" w:cs="Arial" w:eastAsia="Arial" w:hAnsi="Arial"/>
          <w:sz w:val="18"/>
          <w:szCs w:val="18"/>
          <w:b w:val="1"/>
          <w:bCs w:val="1"/>
          <w:color w:val="auto"/>
        </w:rPr>
        <w:t>SIGHT SCIENCES, INC.</w:t>
      </w:r>
    </w:p>
    <w:p>
      <w:pPr>
        <w:spacing w:after="0" w:line="25"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Condensed Consolidated Statements of Operations and Comprehensive Loss (Unaudited)</w:t>
      </w:r>
    </w:p>
    <w:p>
      <w:pPr>
        <w:jc w:val="center"/>
        <w:spacing w:after="0"/>
        <w:rPr>
          <w:sz w:val="20"/>
          <w:szCs w:val="20"/>
          <w:color w:val="auto"/>
        </w:rPr>
      </w:pPr>
      <w:r>
        <w:rPr>
          <w:rFonts w:ascii="Arial" w:cs="Arial" w:eastAsia="Arial" w:hAnsi="Arial"/>
          <w:sz w:val="18"/>
          <w:szCs w:val="18"/>
          <w:b w:val="1"/>
          <w:bCs w:val="1"/>
          <w:i w:val="1"/>
          <w:iCs w:val="1"/>
          <w:color w:val="auto"/>
        </w:rPr>
        <w:t>(in thousands, except share and per share data)</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60" w:type="dxa"/>
            <w:vAlign w:val="bottom"/>
            <w:gridSpan w:val="5"/>
          </w:tcPr>
          <w:p>
            <w:pPr>
              <w:jc w:val="right"/>
              <w:ind w:right="83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460" w:type="dxa"/>
            <w:vAlign w:val="bottom"/>
            <w:gridSpan w:val="5"/>
          </w:tcPr>
          <w:p>
            <w:pPr>
              <w:jc w:val="right"/>
              <w:ind w:right="72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5"/>
        </w:trPr>
        <w:tc>
          <w:tcPr>
            <w:tcW w:w="56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6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18,677</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13,101</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50,788</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34,271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2,928</w:t>
            </w:r>
          </w:p>
        </w:tc>
        <w:tc>
          <w:tcPr>
            <w:tcW w:w="2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2,062</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8,696</w:t>
            </w:r>
          </w:p>
        </w:tc>
        <w:tc>
          <w:tcPr>
            <w:tcW w:w="2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15,749</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11,039</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42,092</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27,603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6,053</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4,279</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17,626</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11,265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31,541</w:t>
            </w:r>
          </w:p>
        </w:tc>
        <w:tc>
          <w:tcPr>
            <w:tcW w:w="2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20,790</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91,367</w:t>
            </w:r>
          </w:p>
        </w:tc>
        <w:tc>
          <w:tcPr>
            <w:tcW w:w="2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37,594</w:t>
            </w:r>
          </w:p>
        </w:tc>
        <w:tc>
          <w:tcPr>
            <w:tcW w:w="2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25,069</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108,993</w:t>
            </w:r>
          </w:p>
        </w:tc>
        <w:tc>
          <w:tcPr>
            <w:tcW w:w="2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64,365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6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240" w:type="dxa"/>
            <w:vAlign w:val="bottom"/>
          </w:tcPr>
          <w:p>
            <w:pPr>
              <w:spacing w:after="0"/>
              <w:rPr>
                <w:sz w:val="18"/>
                <w:szCs w:val="18"/>
                <w:color w:val="auto"/>
              </w:rPr>
            </w:pPr>
          </w:p>
        </w:tc>
        <w:tc>
          <w:tcPr>
            <w:tcW w:w="1200" w:type="dxa"/>
            <w:vAlign w:val="bottom"/>
            <w:gridSpan w:val="2"/>
          </w:tcPr>
          <w:p>
            <w:pPr>
              <w:jc w:val="right"/>
              <w:ind w:right="101"/>
              <w:spacing w:after="0"/>
              <w:rPr>
                <w:sz w:val="20"/>
                <w:szCs w:val="20"/>
                <w:color w:val="auto"/>
              </w:rPr>
            </w:pPr>
            <w:r>
              <w:rPr>
                <w:rFonts w:ascii="Arial" w:cs="Arial" w:eastAsia="Arial" w:hAnsi="Arial"/>
                <w:sz w:val="18"/>
                <w:szCs w:val="18"/>
                <w:color w:val="auto"/>
              </w:rPr>
              <w:t>(21,845 )</w:t>
            </w:r>
          </w:p>
        </w:tc>
        <w:tc>
          <w:tcPr>
            <w:tcW w:w="360" w:type="dxa"/>
            <w:vAlign w:val="bottom"/>
          </w:tcPr>
          <w:p>
            <w:pPr>
              <w:spacing w:after="0"/>
              <w:rPr>
                <w:sz w:val="18"/>
                <w:szCs w:val="18"/>
                <w:color w:val="auto"/>
              </w:rPr>
            </w:pPr>
          </w:p>
        </w:tc>
        <w:tc>
          <w:tcPr>
            <w:tcW w:w="1100" w:type="dxa"/>
            <w:vAlign w:val="bottom"/>
            <w:gridSpan w:val="2"/>
          </w:tcPr>
          <w:p>
            <w:pPr>
              <w:jc w:val="right"/>
              <w:ind w:right="70"/>
              <w:spacing w:after="0"/>
              <w:rPr>
                <w:sz w:val="20"/>
                <w:szCs w:val="20"/>
                <w:color w:val="auto"/>
              </w:rPr>
            </w:pPr>
            <w:r>
              <w:rPr>
                <w:rFonts w:ascii="Arial" w:cs="Arial" w:eastAsia="Arial" w:hAnsi="Arial"/>
                <w:sz w:val="18"/>
                <w:szCs w:val="18"/>
                <w:color w:val="auto"/>
              </w:rPr>
              <w:t>(14,030 )</w:t>
            </w:r>
          </w:p>
        </w:tc>
        <w:tc>
          <w:tcPr>
            <w:tcW w:w="22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Arial" w:cs="Arial" w:eastAsia="Arial" w:hAnsi="Arial"/>
                <w:sz w:val="18"/>
                <w:szCs w:val="18"/>
                <w:color w:val="auto"/>
              </w:rPr>
              <w:t>(66,901 )</w:t>
            </w:r>
          </w:p>
        </w:tc>
        <w:tc>
          <w:tcPr>
            <w:tcW w:w="3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(36,762 )</w:t>
            </w:r>
          </w:p>
        </w:tc>
        <w:tc>
          <w:tcPr>
            <w:tcW w:w="0" w:type="dxa"/>
            <w:vAlign w:val="bottom"/>
          </w:tcPr>
          <w:p>
            <w:pPr>
              <w:spacing w:after="0"/>
              <w:rPr>
                <w:sz w:val="1"/>
                <w:szCs w:val="1"/>
                <w:color w:val="auto"/>
              </w:rPr>
            </w:pPr>
          </w:p>
        </w:tc>
      </w:tr>
      <w:tr>
        <w:trPr>
          <w:trHeight w:val="216"/>
        </w:trPr>
        <w:tc>
          <w:tcPr>
            <w:tcW w:w="5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(1,131 )</w:t>
            </w:r>
          </w:p>
        </w:tc>
        <w:tc>
          <w:tcPr>
            <w:tcW w:w="3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(1,122 )</w:t>
            </w:r>
          </w:p>
        </w:tc>
        <w:tc>
          <w:tcPr>
            <w:tcW w:w="2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(3,243 )</w:t>
            </w:r>
          </w:p>
        </w:tc>
        <w:tc>
          <w:tcPr>
            <w:tcW w:w="3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(3,288 )</w:t>
            </w:r>
          </w:p>
        </w:tc>
        <w:tc>
          <w:tcPr>
            <w:tcW w:w="0" w:type="dxa"/>
            <w:vAlign w:val="bottom"/>
          </w:tcPr>
          <w:p>
            <w:pPr>
              <w:spacing w:after="0"/>
              <w:rPr>
                <w:sz w:val="1"/>
                <w:szCs w:val="1"/>
                <w:color w:val="auto"/>
              </w:rPr>
            </w:pPr>
          </w:p>
        </w:tc>
      </w:tr>
      <w:tr>
        <w:trPr>
          <w:trHeight w:val="216"/>
        </w:trPr>
        <w:tc>
          <w:tcPr>
            <w:tcW w:w="566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766</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2"/>
          </w:tcPr>
          <w:p>
            <w:pPr>
              <w:jc w:val="right"/>
              <w:ind w:right="70"/>
              <w:spacing w:after="0"/>
              <w:rPr>
                <w:sz w:val="20"/>
                <w:szCs w:val="20"/>
                <w:color w:val="auto"/>
              </w:rPr>
            </w:pPr>
            <w:r>
              <w:rPr>
                <w:rFonts w:ascii="Arial" w:cs="Arial" w:eastAsia="Arial" w:hAnsi="Arial"/>
                <w:sz w:val="18"/>
                <w:szCs w:val="18"/>
                <w:color w:val="auto"/>
              </w:rPr>
              <w:t>(2,001 )</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846</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(6,884 )</w:t>
            </w:r>
          </w:p>
        </w:tc>
        <w:tc>
          <w:tcPr>
            <w:tcW w:w="0" w:type="dxa"/>
            <w:vAlign w:val="bottom"/>
          </w:tcPr>
          <w:p>
            <w:pPr>
              <w:spacing w:after="0"/>
              <w:rPr>
                <w:sz w:val="1"/>
                <w:szCs w:val="1"/>
                <w:color w:val="auto"/>
              </w:rPr>
            </w:pPr>
          </w:p>
        </w:tc>
      </w:tr>
      <w:tr>
        <w:trPr>
          <w:trHeight w:val="209"/>
        </w:trPr>
        <w:tc>
          <w:tcPr>
            <w:tcW w:w="5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before income taxes</w:t>
            </w:r>
          </w:p>
        </w:tc>
        <w:tc>
          <w:tcPr>
            <w:tcW w:w="24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(22,210</w:t>
            </w:r>
          </w:p>
        </w:tc>
        <w:tc>
          <w:tcPr>
            <w:tcW w:w="24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36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(17,153</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(69,298</w:t>
            </w:r>
          </w:p>
        </w:tc>
        <w:tc>
          <w:tcPr>
            <w:tcW w:w="220" w:type="dxa"/>
            <w:vAlign w:val="bottom"/>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36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(46,934</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566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 and comprehensive loss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(22,229</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(17,169</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(69,335</w:t>
            </w:r>
          </w:p>
        </w:tc>
        <w:tc>
          <w:tcPr>
            <w:tcW w:w="22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(47,024</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9"/>
        </w:trPr>
        <w:tc>
          <w:tcPr>
            <w:tcW w:w="5660" w:type="dxa"/>
            <w:vAlign w:val="bottom"/>
          </w:tcPr>
          <w:p>
            <w:pPr>
              <w:ind w:left="20"/>
              <w:spacing w:after="0"/>
              <w:rPr>
                <w:sz w:val="20"/>
                <w:szCs w:val="20"/>
                <w:color w:val="auto"/>
              </w:rPr>
            </w:pPr>
            <w:r>
              <w:rPr>
                <w:rFonts w:ascii="Arial" w:cs="Arial" w:eastAsia="Arial" w:hAnsi="Arial"/>
                <w:sz w:val="18"/>
                <w:szCs w:val="18"/>
                <w:color w:val="auto"/>
                <w:w w:val="96"/>
              </w:rPr>
              <w:t>Net loss per share attributable to common stockholders, basic and diluted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01"/>
              <w:spacing w:after="0"/>
              <w:rPr>
                <w:sz w:val="20"/>
                <w:szCs w:val="20"/>
                <w:color w:val="auto"/>
              </w:rPr>
            </w:pPr>
            <w:r>
              <w:rPr>
                <w:rFonts w:ascii="Arial" w:cs="Arial" w:eastAsia="Arial" w:hAnsi="Arial"/>
                <w:sz w:val="18"/>
                <w:szCs w:val="18"/>
                <w:color w:val="auto"/>
              </w:rPr>
              <w:t>(0.46 )</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70"/>
              <w:spacing w:after="0"/>
              <w:rPr>
                <w:sz w:val="20"/>
                <w:szCs w:val="20"/>
                <w:color w:val="auto"/>
              </w:rPr>
            </w:pPr>
            <w:r>
              <w:rPr>
                <w:rFonts w:ascii="Arial" w:cs="Arial" w:eastAsia="Arial" w:hAnsi="Arial"/>
                <w:sz w:val="18"/>
                <w:szCs w:val="18"/>
                <w:color w:val="auto"/>
              </w:rPr>
              <w:t>(0.43 )</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81"/>
              <w:spacing w:after="0"/>
              <w:rPr>
                <w:sz w:val="20"/>
                <w:szCs w:val="20"/>
                <w:color w:val="auto"/>
              </w:rPr>
            </w:pPr>
            <w:r>
              <w:rPr>
                <w:rFonts w:ascii="Arial" w:cs="Arial" w:eastAsia="Arial" w:hAnsi="Arial"/>
                <w:sz w:val="18"/>
                <w:szCs w:val="18"/>
                <w:color w:val="auto"/>
              </w:rPr>
              <w:t>(1.45 )</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(2.38 )</w:t>
            </w:r>
          </w:p>
        </w:tc>
        <w:tc>
          <w:tcPr>
            <w:tcW w:w="0" w:type="dxa"/>
            <w:vAlign w:val="bottom"/>
          </w:tcPr>
          <w:p>
            <w:pPr>
              <w:spacing w:after="0"/>
              <w:rPr>
                <w:sz w:val="1"/>
                <w:szCs w:val="1"/>
                <w:color w:val="auto"/>
              </w:rPr>
            </w:pPr>
          </w:p>
        </w:tc>
      </w:tr>
      <w:tr>
        <w:trPr>
          <w:trHeight w:val="168"/>
        </w:trPr>
        <w:tc>
          <w:tcPr>
            <w:tcW w:w="5660" w:type="dxa"/>
            <w:vAlign w:val="bottom"/>
            <w:shd w:val="clear" w:color="auto" w:fill="CFF0FC"/>
          </w:tcPr>
          <w:p>
            <w:pPr>
              <w:ind w:left="20"/>
              <w:spacing w:after="0" w:line="168" w:lineRule="exact"/>
              <w:rPr>
                <w:sz w:val="20"/>
                <w:szCs w:val="20"/>
                <w:color w:val="auto"/>
              </w:rPr>
            </w:pPr>
            <w:r>
              <w:rPr>
                <w:rFonts w:ascii="Arial" w:cs="Arial" w:eastAsia="Arial" w:hAnsi="Arial"/>
                <w:sz w:val="18"/>
                <w:szCs w:val="18"/>
                <w:color w:val="auto"/>
                <w:w w:val="93"/>
              </w:rPr>
              <w:t>Weighted-average shares used in computing net loss per share attributable</w:t>
            </w:r>
          </w:p>
        </w:tc>
        <w:tc>
          <w:tcPr>
            <w:tcW w:w="240" w:type="dxa"/>
            <w:vAlign w:val="bottom"/>
            <w:tcBorders>
              <w:top w:val="single" w:sz="8" w:color="auto"/>
            </w:tcBorders>
            <w:shd w:val="clear" w:color="auto" w:fill="CFF0FC"/>
          </w:tcPr>
          <w:p>
            <w:pPr>
              <w:spacing w:after="0"/>
              <w:rPr>
                <w:sz w:val="14"/>
                <w:szCs w:val="14"/>
                <w:color w:val="auto"/>
              </w:rPr>
            </w:pPr>
          </w:p>
        </w:tc>
        <w:tc>
          <w:tcPr>
            <w:tcW w:w="96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47,910,541</w:t>
            </w:r>
          </w:p>
        </w:tc>
        <w:tc>
          <w:tcPr>
            <w:tcW w:w="240" w:type="dxa"/>
            <w:vAlign w:val="bottom"/>
            <w:shd w:val="clear" w:color="auto" w:fill="CFF0FC"/>
          </w:tcPr>
          <w:p>
            <w:pPr>
              <w:spacing w:after="0"/>
              <w:rPr>
                <w:sz w:val="14"/>
                <w:szCs w:val="14"/>
                <w:color w:val="auto"/>
              </w:rPr>
            </w:pPr>
          </w:p>
        </w:tc>
        <w:tc>
          <w:tcPr>
            <w:tcW w:w="360" w:type="dxa"/>
            <w:vAlign w:val="bottom"/>
            <w:tcBorders>
              <w:top w:val="single" w:sz="8" w:color="auto"/>
            </w:tcBorders>
            <w:shd w:val="clear" w:color="auto" w:fill="CFF0FC"/>
          </w:tcPr>
          <w:p>
            <w:pPr>
              <w:spacing w:after="0"/>
              <w:rPr>
                <w:sz w:val="14"/>
                <w:szCs w:val="14"/>
                <w:color w:val="auto"/>
              </w:rPr>
            </w:pPr>
          </w:p>
        </w:tc>
        <w:tc>
          <w:tcPr>
            <w:tcW w:w="86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w w:val="93"/>
              </w:rPr>
              <w:t>39,849,769</w:t>
            </w:r>
          </w:p>
        </w:tc>
        <w:tc>
          <w:tcPr>
            <w:tcW w:w="240" w:type="dxa"/>
            <w:vAlign w:val="bottom"/>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94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w w:val="99"/>
              </w:rPr>
              <w:t>47,728,845</w:t>
            </w:r>
          </w:p>
        </w:tc>
        <w:tc>
          <w:tcPr>
            <w:tcW w:w="220" w:type="dxa"/>
            <w:vAlign w:val="bottom"/>
            <w:shd w:val="clear" w:color="auto" w:fill="CFF0FC"/>
          </w:tcPr>
          <w:p>
            <w:pPr>
              <w:spacing w:after="0"/>
              <w:rPr>
                <w:sz w:val="14"/>
                <w:szCs w:val="14"/>
                <w:color w:val="auto"/>
              </w:rPr>
            </w:pPr>
          </w:p>
        </w:tc>
        <w:tc>
          <w:tcPr>
            <w:tcW w:w="360" w:type="dxa"/>
            <w:vAlign w:val="bottom"/>
            <w:tcBorders>
              <w:top w:val="single" w:sz="8" w:color="auto"/>
            </w:tcBorders>
            <w:shd w:val="clear" w:color="auto" w:fill="CFF0FC"/>
          </w:tcPr>
          <w:p>
            <w:pPr>
              <w:spacing w:after="0"/>
              <w:rPr>
                <w:sz w:val="14"/>
                <w:szCs w:val="14"/>
                <w:color w:val="auto"/>
              </w:rPr>
            </w:pPr>
          </w:p>
        </w:tc>
        <w:tc>
          <w:tcPr>
            <w:tcW w:w="84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w w:val="88"/>
              </w:rPr>
              <w:t>19,772,145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660" w:type="dxa"/>
            <w:vAlign w:val="bottom"/>
            <w:tcBorders>
              <w:bottom w:val="single" w:sz="8" w:color="CFF0FC"/>
            </w:tcBorders>
            <w:shd w:val="clear" w:color="auto" w:fill="CFF0FC"/>
          </w:tcPr>
          <w:p>
            <w:pPr>
              <w:ind w:left="20"/>
              <w:spacing w:after="0" w:line="190" w:lineRule="exact"/>
              <w:rPr>
                <w:sz w:val="20"/>
                <w:szCs w:val="20"/>
                <w:color w:val="auto"/>
              </w:rPr>
            </w:pPr>
            <w:r>
              <w:rPr>
                <w:rFonts w:ascii="Arial" w:cs="Arial" w:eastAsia="Arial" w:hAnsi="Arial"/>
                <w:sz w:val="18"/>
                <w:szCs w:val="18"/>
                <w:color w:val="auto"/>
              </w:rPr>
              <w:t>to common stockholders, basic and diluted</w:t>
            </w:r>
          </w:p>
        </w:tc>
        <w:tc>
          <w:tcPr>
            <w:tcW w:w="2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vMerge w:val="continue"/>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vMerge w:val="continue"/>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vMerge w:val="continue"/>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-1259205</wp:posOffset>
            </wp:positionV>
            <wp:extent cx="76835"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-1259205</wp:posOffset>
            </wp:positionV>
            <wp:extent cx="6858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-1259205</wp:posOffset>
            </wp:positionV>
            <wp:extent cx="6858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-1259205</wp:posOffset>
            </wp:positionV>
            <wp:extent cx="6858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-410845</wp:posOffset>
            </wp:positionV>
            <wp:extent cx="76835"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-410845</wp:posOffset>
            </wp:positionV>
            <wp:extent cx="6858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-410845</wp:posOffset>
            </wp:positionV>
            <wp:extent cx="6858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-410845</wp:posOffset>
            </wp:positionV>
            <wp:extent cx="68580"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-24765</wp:posOffset>
            </wp:positionV>
            <wp:extent cx="768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-7620</wp:posOffset>
            </wp:positionV>
            <wp:extent cx="768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-24765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-7620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-24765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-7620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 w:name="page7"/>
    <w:bookmarkEnd w:id="6"/>
    <w:p>
      <w:pPr>
        <w:ind w:left="4640"/>
        <w:spacing w:after="0"/>
        <w:rPr>
          <w:sz w:val="20"/>
          <w:szCs w:val="20"/>
          <w:color w:val="auto"/>
        </w:rPr>
      </w:pPr>
      <w:r>
        <w:rPr>
          <w:rFonts w:ascii="Arial" w:cs="Arial" w:eastAsia="Arial" w:hAnsi="Arial"/>
          <w:sz w:val="18"/>
          <w:szCs w:val="18"/>
          <w:b w:val="1"/>
          <w:bCs w:val="1"/>
          <w:color w:val="auto"/>
        </w:rPr>
        <w:t>SIGHT SCIENCES, INC.</w:t>
      </w:r>
    </w:p>
    <w:p>
      <w:pPr>
        <w:spacing w:after="0" w:line="27" w:lineRule="exact"/>
        <w:rPr>
          <w:sz w:val="20"/>
          <w:szCs w:val="20"/>
          <w:color w:val="auto"/>
        </w:rPr>
      </w:pPr>
    </w:p>
    <w:p>
      <w:pPr>
        <w:ind w:left="1040"/>
        <w:spacing w:after="0"/>
        <w:rPr>
          <w:sz w:val="20"/>
          <w:szCs w:val="20"/>
          <w:color w:val="auto"/>
        </w:rPr>
      </w:pPr>
      <w:r>
        <w:rPr>
          <w:rFonts w:ascii="Arial" w:cs="Arial" w:eastAsia="Arial" w:hAnsi="Arial"/>
          <w:sz w:val="17"/>
          <w:szCs w:val="17"/>
          <w:b w:val="1"/>
          <w:bCs w:val="1"/>
          <w:color w:val="auto"/>
        </w:rPr>
        <w:t>Condensed Consolidated Statements of Redeemable Convertible Preferred Stock and Stockholders’ Equity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data)</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gridSpan w:val="8"/>
          </w:tcPr>
          <w:p>
            <w:pPr>
              <w:ind w:left="100"/>
              <w:spacing w:after="0"/>
              <w:rPr>
                <w:sz w:val="20"/>
                <w:szCs w:val="20"/>
                <w:color w:val="auto"/>
              </w:rPr>
            </w:pPr>
            <w:r>
              <w:rPr>
                <w:rFonts w:ascii="Arial" w:cs="Arial" w:eastAsia="Arial" w:hAnsi="Arial"/>
                <w:sz w:val="18"/>
                <w:szCs w:val="18"/>
                <w:b w:val="1"/>
                <w:bCs w:val="1"/>
                <w:color w:val="auto"/>
                <w:w w:val="94"/>
              </w:rPr>
              <w:t>Three Months Ended September 30, 2022</w:t>
            </w: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3480" w:type="dxa"/>
            <w:vAlign w:val="bottom"/>
          </w:tcPr>
          <w:p>
            <w:pPr>
              <w:spacing w:after="0"/>
              <w:rPr>
                <w:sz w:val="12"/>
                <w:szCs w:val="12"/>
                <w:color w:val="auto"/>
              </w:rPr>
            </w:pPr>
          </w:p>
        </w:tc>
        <w:tc>
          <w:tcPr>
            <w:tcW w:w="1880" w:type="dxa"/>
            <w:vAlign w:val="bottom"/>
            <w:gridSpan w:val="3"/>
          </w:tcPr>
          <w:p>
            <w:pPr>
              <w:ind w:left="300"/>
              <w:spacing w:after="0" w:line="142" w:lineRule="exact"/>
              <w:rPr>
                <w:sz w:val="20"/>
                <w:szCs w:val="20"/>
                <w:color w:val="auto"/>
              </w:rPr>
            </w:pPr>
            <w:r>
              <w:rPr>
                <w:rFonts w:ascii="Arial" w:cs="Arial" w:eastAsia="Arial" w:hAnsi="Arial"/>
                <w:sz w:val="14"/>
                <w:szCs w:val="14"/>
                <w:b w:val="1"/>
                <w:bCs w:val="1"/>
                <w:color w:val="auto"/>
                <w:w w:val="95"/>
              </w:rPr>
              <w:t>Redeemable Convertible</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80" w:type="dxa"/>
            <w:vAlign w:val="bottom"/>
            <w:gridSpan w:val="4"/>
            <w:vMerge w:val="restart"/>
          </w:tcPr>
          <w:p>
            <w:pPr>
              <w:jc w:val="right"/>
              <w:ind w:right="433"/>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2"/>
                <w:szCs w:val="12"/>
                <w:color w:val="auto"/>
              </w:rPr>
            </w:pPr>
          </w:p>
        </w:tc>
        <w:tc>
          <w:tcPr>
            <w:tcW w:w="98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96"/>
              </w:rPr>
              <w:t>Additional</w:t>
            </w:r>
          </w:p>
        </w:tc>
        <w:tc>
          <w:tcPr>
            <w:tcW w:w="1020" w:type="dxa"/>
            <w:vAlign w:val="bottom"/>
            <w:gridSpan w:val="3"/>
          </w:tcPr>
          <w:p>
            <w:pPr>
              <w:jc w:val="center"/>
              <w:ind w:right="240"/>
              <w:spacing w:after="0" w:line="142" w:lineRule="exact"/>
              <w:rPr>
                <w:sz w:val="20"/>
                <w:szCs w:val="20"/>
                <w:color w:val="auto"/>
              </w:rPr>
            </w:pPr>
            <w:r>
              <w:rPr>
                <w:rFonts w:ascii="Arial" w:cs="Arial" w:eastAsia="Arial" w:hAnsi="Arial"/>
                <w:sz w:val="14"/>
                <w:szCs w:val="14"/>
                <w:b w:val="1"/>
                <w:bCs w:val="1"/>
                <w:color w:val="auto"/>
                <w:w w:val="93"/>
              </w:rPr>
              <w:t>Accumulate</w:t>
            </w:r>
          </w:p>
        </w:tc>
        <w:tc>
          <w:tcPr>
            <w:tcW w:w="100" w:type="dxa"/>
            <w:vAlign w:val="bottom"/>
          </w:tcPr>
          <w:p>
            <w:pPr>
              <w:spacing w:after="0"/>
              <w:rPr>
                <w:sz w:val="12"/>
                <w:szCs w:val="12"/>
                <w:color w:val="auto"/>
              </w:rPr>
            </w:pPr>
          </w:p>
        </w:tc>
        <w:tc>
          <w:tcPr>
            <w:tcW w:w="106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6"/>
        </w:trPr>
        <w:tc>
          <w:tcPr>
            <w:tcW w:w="3480" w:type="dxa"/>
            <w:vAlign w:val="bottom"/>
          </w:tcPr>
          <w:p>
            <w:pPr>
              <w:spacing w:after="0"/>
              <w:rPr>
                <w:sz w:val="15"/>
                <w:szCs w:val="15"/>
                <w:color w:val="auto"/>
              </w:rPr>
            </w:pPr>
          </w:p>
        </w:tc>
        <w:tc>
          <w:tcPr>
            <w:tcW w:w="1880" w:type="dxa"/>
            <w:vAlign w:val="bottom"/>
            <w:tcBorders>
              <w:bottom w:val="single" w:sz="8" w:color="auto"/>
            </w:tcBorders>
            <w:gridSpan w:val="3"/>
          </w:tcPr>
          <w:p>
            <w:pPr>
              <w:ind w:left="580"/>
              <w:spacing w:after="0"/>
              <w:rPr>
                <w:sz w:val="20"/>
                <w:szCs w:val="20"/>
                <w:color w:val="auto"/>
              </w:rPr>
            </w:pPr>
            <w:r>
              <w:rPr>
                <w:rFonts w:ascii="Arial" w:cs="Arial" w:eastAsia="Arial" w:hAnsi="Arial"/>
                <w:sz w:val="14"/>
                <w:szCs w:val="14"/>
                <w:b w:val="1"/>
                <w:bCs w:val="1"/>
                <w:color w:val="auto"/>
              </w:rPr>
              <w:t>Preferred Stock</w:t>
            </w:r>
          </w:p>
        </w:tc>
        <w:tc>
          <w:tcPr>
            <w:tcW w:w="2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980" w:type="dxa"/>
            <w:vAlign w:val="bottom"/>
            <w:tcBorders>
              <w:bottom w:val="single" w:sz="8" w:color="auto"/>
            </w:tcBorders>
            <w:gridSpan w:val="4"/>
            <w:vMerge w:val="continue"/>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15"/>
                <w:szCs w:val="15"/>
                <w:color w:val="auto"/>
              </w:rPr>
            </w:pPr>
          </w:p>
        </w:tc>
        <w:tc>
          <w:tcPr>
            <w:tcW w:w="8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d</w:t>
            </w:r>
          </w:p>
        </w:tc>
        <w:tc>
          <w:tcPr>
            <w:tcW w:w="10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69"/>
        </w:trPr>
        <w:tc>
          <w:tcPr>
            <w:tcW w:w="3480" w:type="dxa"/>
            <w:vAlign w:val="bottom"/>
          </w:tcPr>
          <w:p>
            <w:pPr>
              <w:spacing w:after="0"/>
              <w:rPr>
                <w:sz w:val="14"/>
                <w:szCs w:val="14"/>
                <w:color w:val="auto"/>
              </w:rPr>
            </w:pPr>
          </w:p>
        </w:tc>
        <w:tc>
          <w:tcPr>
            <w:tcW w:w="1040" w:type="dxa"/>
            <w:vAlign w:val="bottom"/>
          </w:tcPr>
          <w:p>
            <w:pPr>
              <w:ind w:left="320"/>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4"/>
                <w:szCs w:val="14"/>
                <w:color w:val="auto"/>
              </w:rPr>
            </w:pPr>
          </w:p>
        </w:tc>
        <w:tc>
          <w:tcPr>
            <w:tcW w:w="840" w:type="dxa"/>
            <w:vAlign w:val="bottom"/>
            <w:gridSpan w:val="2"/>
          </w:tcPr>
          <w:p>
            <w:pPr>
              <w:ind w:left="160"/>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4"/>
                <w:szCs w:val="14"/>
                <w:color w:val="auto"/>
              </w:rPr>
            </w:pPr>
          </w:p>
        </w:tc>
        <w:tc>
          <w:tcPr>
            <w:tcW w:w="980" w:type="dxa"/>
            <w:vAlign w:val="bottom"/>
          </w:tcPr>
          <w:p>
            <w:pPr>
              <w:jc w:val="right"/>
              <w:ind w:right="199"/>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ind w:right="33"/>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4"/>
                <w:szCs w:val="14"/>
                <w:color w:val="auto"/>
              </w:rPr>
            </w:pPr>
          </w:p>
        </w:tc>
        <w:tc>
          <w:tcPr>
            <w:tcW w:w="8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Deficit</w:t>
            </w:r>
          </w:p>
        </w:tc>
        <w:tc>
          <w:tcPr>
            <w:tcW w:w="10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68"/>
        </w:trPr>
        <w:tc>
          <w:tcPr>
            <w:tcW w:w="3480" w:type="dxa"/>
            <w:vAlign w:val="bottom"/>
            <w:shd w:val="clear" w:color="auto" w:fill="CFF0FC"/>
          </w:tcPr>
          <w:p>
            <w:pPr>
              <w:ind w:left="20"/>
              <w:spacing w:after="0" w:line="168" w:lineRule="exact"/>
              <w:rPr>
                <w:sz w:val="20"/>
                <w:szCs w:val="20"/>
                <w:color w:val="auto"/>
              </w:rPr>
            </w:pPr>
            <w:r>
              <w:rPr>
                <w:rFonts w:ascii="Arial" w:cs="Arial" w:eastAsia="Arial" w:hAnsi="Arial"/>
                <w:sz w:val="18"/>
                <w:szCs w:val="18"/>
                <w:b w:val="1"/>
                <w:bCs w:val="1"/>
                <w:color w:val="auto"/>
              </w:rPr>
              <w:t>Balance at June 30, 2022</w:t>
            </w:r>
          </w:p>
        </w:tc>
        <w:tc>
          <w:tcPr>
            <w:tcW w:w="1040" w:type="dxa"/>
            <w:vAlign w:val="bottom"/>
            <w:tcBorders>
              <w:top w:val="single" w:sz="8" w:color="auto"/>
            </w:tcBorders>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auto"/>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80" w:type="dxa"/>
            <w:vAlign w:val="bottom"/>
            <w:tcBorders>
              <w:top w:val="single" w:sz="8" w:color="auto"/>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640" w:type="dxa"/>
            <w:vAlign w:val="bottom"/>
            <w:tcBorders>
              <w:top w:val="single" w:sz="8" w:color="auto"/>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640" w:type="dxa"/>
            <w:vAlign w:val="bottom"/>
            <w:tcBorders>
              <w:top w:val="single" w:sz="8" w:color="auto"/>
            </w:tcBorders>
            <w:shd w:val="clear" w:color="auto" w:fill="CFF0FC"/>
          </w:tcPr>
          <w:p>
            <w:pPr>
              <w:jc w:val="right"/>
              <w:spacing w:after="0" w:line="168" w:lineRule="exact"/>
              <w:rPr>
                <w:sz w:val="20"/>
                <w:szCs w:val="20"/>
                <w:color w:val="auto"/>
              </w:rPr>
            </w:pPr>
            <w:r>
              <w:rPr>
                <w:rFonts w:ascii="Arial" w:cs="Arial" w:eastAsia="Arial" w:hAnsi="Arial"/>
                <w:sz w:val="18"/>
                <w:szCs w:val="18"/>
                <w:color w:val="auto"/>
                <w:w w:val="98"/>
              </w:rPr>
              <w:t>(200,10</w:t>
            </w:r>
          </w:p>
        </w:tc>
        <w:tc>
          <w:tcPr>
            <w:tcW w:w="24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96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480" w:type="dxa"/>
            <w:vAlign w:val="bottom"/>
            <w:shd w:val="clear" w:color="auto" w:fill="CFF0FC"/>
          </w:tcPr>
          <w:p>
            <w:pPr>
              <w:spacing w:after="0"/>
              <w:rPr>
                <w:sz w:val="20"/>
                <w:szCs w:val="20"/>
                <w:color w:val="auto"/>
              </w:rPr>
            </w:pPr>
          </w:p>
        </w:tc>
        <w:tc>
          <w:tcPr>
            <w:tcW w:w="1040" w:type="dxa"/>
            <w:vAlign w:val="bottom"/>
            <w:shd w:val="clear" w:color="auto" w:fill="CFF0FC"/>
          </w:tcPr>
          <w:p>
            <w:pPr>
              <w:ind w:left="84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FF0FC"/>
          </w:tcPr>
          <w:p>
            <w:pPr>
              <w:jc w:val="right"/>
              <w:ind w:right="388"/>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47,819,706</w:t>
            </w:r>
          </w:p>
        </w:tc>
        <w:tc>
          <w:tcPr>
            <w:tcW w:w="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$ 391,818</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7 )</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191,759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3480" w:type="dxa"/>
            <w:vAlign w:val="bottom"/>
          </w:tcPr>
          <w:p>
            <w:pPr>
              <w:ind w:left="20"/>
              <w:spacing w:after="0" w:line="175" w:lineRule="exact"/>
              <w:rPr>
                <w:sz w:val="20"/>
                <w:szCs w:val="20"/>
                <w:color w:val="auto"/>
              </w:rPr>
            </w:pPr>
            <w:r>
              <w:rPr>
                <w:rFonts w:ascii="Arial" w:cs="Arial" w:eastAsia="Arial" w:hAnsi="Arial"/>
                <w:sz w:val="18"/>
                <w:szCs w:val="18"/>
                <w:color w:val="auto"/>
                <w:w w:val="98"/>
              </w:rPr>
              <w:t>Issuance of common stock upon exercise of</w:t>
            </w: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480" w:type="dxa"/>
            <w:vAlign w:val="bottom"/>
          </w:tcPr>
          <w:p>
            <w:pPr>
              <w:ind w:left="20"/>
              <w:spacing w:after="0"/>
              <w:rPr>
                <w:sz w:val="20"/>
                <w:szCs w:val="20"/>
                <w:color w:val="auto"/>
              </w:rPr>
            </w:pPr>
            <w:r>
              <w:rPr>
                <w:rFonts w:ascii="Arial" w:cs="Arial" w:eastAsia="Arial" w:hAnsi="Arial"/>
                <w:sz w:val="18"/>
                <w:szCs w:val="18"/>
                <w:color w:val="auto"/>
              </w:rPr>
              <w:t>stock options</w:t>
            </w:r>
          </w:p>
        </w:tc>
        <w:tc>
          <w:tcPr>
            <w:tcW w:w="1040" w:type="dxa"/>
            <w:vAlign w:val="bottom"/>
          </w:tcPr>
          <w:p>
            <w:pPr>
              <w:ind w:left="84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258,871</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186</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3480" w:type="dxa"/>
            <w:vAlign w:val="bottom"/>
            <w:shd w:val="clear" w:color="auto" w:fill="CFF0FC"/>
          </w:tcPr>
          <w:p>
            <w:pPr>
              <w:ind w:left="20"/>
              <w:spacing w:after="0" w:line="175" w:lineRule="exact"/>
              <w:rPr>
                <w:sz w:val="20"/>
                <w:szCs w:val="20"/>
                <w:color w:val="auto"/>
              </w:rPr>
            </w:pPr>
            <w:r>
              <w:rPr>
                <w:rFonts w:ascii="Arial" w:cs="Arial" w:eastAsia="Arial" w:hAnsi="Arial"/>
                <w:sz w:val="18"/>
                <w:szCs w:val="18"/>
                <w:color w:val="auto"/>
              </w:rPr>
              <w:t>Issuance of common stock upon vesting of</w:t>
            </w:r>
          </w:p>
        </w:tc>
        <w:tc>
          <w:tcPr>
            <w:tcW w:w="10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restricted stock units</w:t>
            </w:r>
          </w:p>
        </w:tc>
        <w:tc>
          <w:tcPr>
            <w:tcW w:w="1040" w:type="dxa"/>
            <w:vAlign w:val="bottom"/>
            <w:shd w:val="clear" w:color="auto" w:fill="CFF0FC"/>
          </w:tcPr>
          <w:p>
            <w:pPr>
              <w:ind w:left="84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4,715</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8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1040" w:type="dxa"/>
            <w:vAlign w:val="bottom"/>
          </w:tcPr>
          <w:p>
            <w:pPr>
              <w:ind w:left="84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3,223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1040" w:type="dxa"/>
            <w:vAlign w:val="bottom"/>
            <w:shd w:val="clear" w:color="auto" w:fill="CFF0FC"/>
          </w:tcPr>
          <w:p>
            <w:pPr>
              <w:ind w:left="84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94"/>
              </w:rPr>
              <w:t>(22,229 )</w:t>
            </w:r>
          </w:p>
        </w:tc>
        <w:tc>
          <w:tcPr>
            <w:tcW w:w="1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(22,229 )</w:t>
            </w:r>
          </w:p>
        </w:tc>
        <w:tc>
          <w:tcPr>
            <w:tcW w:w="0" w:type="dxa"/>
            <w:vAlign w:val="bottom"/>
          </w:tcPr>
          <w:p>
            <w:pPr>
              <w:spacing w:after="0"/>
              <w:rPr>
                <w:sz w:val="1"/>
                <w:szCs w:val="1"/>
                <w:color w:val="auto"/>
              </w:rPr>
            </w:pPr>
          </w:p>
        </w:tc>
      </w:tr>
      <w:tr>
        <w:trPr>
          <w:trHeight w:val="168"/>
        </w:trPr>
        <w:tc>
          <w:tcPr>
            <w:tcW w:w="3480" w:type="dxa"/>
            <w:vAlign w:val="bottom"/>
            <w:tcBorders>
              <w:top w:val="single" w:sz="8" w:color="CFF0FC"/>
            </w:tcBorders>
          </w:tcPr>
          <w:p>
            <w:pPr>
              <w:ind w:left="20"/>
              <w:spacing w:after="0" w:line="168" w:lineRule="exact"/>
              <w:rPr>
                <w:sz w:val="20"/>
                <w:szCs w:val="20"/>
                <w:color w:val="auto"/>
              </w:rPr>
            </w:pPr>
            <w:r>
              <w:rPr>
                <w:rFonts w:ascii="Arial" w:cs="Arial" w:eastAsia="Arial" w:hAnsi="Arial"/>
                <w:sz w:val="18"/>
                <w:szCs w:val="18"/>
                <w:b w:val="1"/>
                <w:bCs w:val="1"/>
                <w:color w:val="auto"/>
              </w:rPr>
              <w:t>Balance at September 30, 2022</w:t>
            </w:r>
          </w:p>
        </w:tc>
        <w:tc>
          <w:tcPr>
            <w:tcW w:w="1040" w:type="dxa"/>
            <w:vAlign w:val="bottom"/>
            <w:tcBorders>
              <w:top w:val="single" w:sz="8" w:color="auto"/>
            </w:tcBorders>
          </w:tcPr>
          <w:p>
            <w:pPr>
              <w:spacing w:after="0"/>
              <w:rPr>
                <w:sz w:val="14"/>
                <w:szCs w:val="14"/>
                <w:color w:val="auto"/>
              </w:rPr>
            </w:pPr>
          </w:p>
        </w:tc>
        <w:tc>
          <w:tcPr>
            <w:tcW w:w="260" w:type="dxa"/>
            <w:vAlign w:val="bottom"/>
            <w:tcBorders>
              <w:top w:val="single" w:sz="8" w:color="CFF0FC"/>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240" w:type="dxa"/>
            <w:vAlign w:val="bottom"/>
            <w:tcBorders>
              <w:top w:val="single" w:sz="8" w:color="CFF0FC"/>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4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40" w:type="dxa"/>
            <w:vAlign w:val="bottom"/>
            <w:tcBorders>
              <w:top w:val="single" w:sz="8" w:color="CFF0FC"/>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40" w:type="dxa"/>
            <w:vAlign w:val="bottom"/>
            <w:tcBorders>
              <w:top w:val="single" w:sz="8" w:color="CFF0FC"/>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line="168" w:lineRule="exact"/>
              <w:rPr>
                <w:sz w:val="20"/>
                <w:szCs w:val="20"/>
                <w:color w:val="auto"/>
              </w:rPr>
            </w:pPr>
            <w:r>
              <w:rPr>
                <w:rFonts w:ascii="Arial" w:cs="Arial" w:eastAsia="Arial" w:hAnsi="Arial"/>
                <w:sz w:val="18"/>
                <w:szCs w:val="18"/>
                <w:color w:val="auto"/>
                <w:w w:val="98"/>
              </w:rPr>
              <w:t>(222,33</w:t>
            </w:r>
          </w:p>
        </w:tc>
        <w:tc>
          <w:tcPr>
            <w:tcW w:w="240" w:type="dxa"/>
            <w:vAlign w:val="bottom"/>
            <w:tcBorders>
              <w:top w:val="single" w:sz="8" w:color="CFF0F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480" w:type="dxa"/>
            <w:vAlign w:val="bottom"/>
          </w:tcPr>
          <w:p>
            <w:pPr>
              <w:spacing w:after="0"/>
              <w:rPr>
                <w:sz w:val="20"/>
                <w:szCs w:val="20"/>
                <w:color w:val="auto"/>
              </w:rPr>
            </w:pPr>
          </w:p>
        </w:tc>
        <w:tc>
          <w:tcPr>
            <w:tcW w:w="1040" w:type="dxa"/>
            <w:vAlign w:val="bottom"/>
          </w:tcPr>
          <w:p>
            <w:pPr>
              <w:ind w:left="84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48,083,292</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395,227</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6 )</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172,939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-290830</wp:posOffset>
            </wp:positionV>
            <wp:extent cx="76835" cy="2914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29146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-290830</wp:posOffset>
            </wp:positionV>
            <wp:extent cx="77470" cy="2914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29146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-290830</wp:posOffset>
            </wp:positionV>
            <wp:extent cx="68580" cy="2914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29146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-290830</wp:posOffset>
            </wp:positionV>
            <wp:extent cx="68580" cy="2914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29146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-290830</wp:posOffset>
            </wp:positionV>
            <wp:extent cx="68580" cy="2914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29146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-290830</wp:posOffset>
            </wp:positionV>
            <wp:extent cx="68580" cy="2914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29146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-290830</wp:posOffset>
            </wp:positionV>
            <wp:extent cx="68580" cy="2914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291465"/>
                    </a:xfrm>
                    <a:prstGeom prst="rect">
                      <a:avLst/>
                    </a:prstGeom>
                    <a:noFill/>
                  </pic:spPr>
                </pic:pic>
              </a:graphicData>
            </a:graphic>
          </wp:anchor>
        </w:drawing>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gridSpan w:val="8"/>
          </w:tcPr>
          <w:p>
            <w:pPr>
              <w:ind w:left="140"/>
              <w:spacing w:after="0"/>
              <w:rPr>
                <w:sz w:val="20"/>
                <w:szCs w:val="20"/>
                <w:color w:val="auto"/>
              </w:rPr>
            </w:pPr>
            <w:r>
              <w:rPr>
                <w:rFonts w:ascii="Arial" w:cs="Arial" w:eastAsia="Arial" w:hAnsi="Arial"/>
                <w:sz w:val="18"/>
                <w:szCs w:val="18"/>
                <w:b w:val="1"/>
                <w:bCs w:val="1"/>
                <w:color w:val="auto"/>
                <w:w w:val="96"/>
              </w:rPr>
              <w:t>Nine Months Ended September 30, 2022</w:t>
            </w: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3480" w:type="dxa"/>
            <w:vAlign w:val="bottom"/>
          </w:tcPr>
          <w:p>
            <w:pPr>
              <w:spacing w:after="0"/>
              <w:rPr>
                <w:sz w:val="12"/>
                <w:szCs w:val="12"/>
                <w:color w:val="auto"/>
              </w:rPr>
            </w:pPr>
          </w:p>
        </w:tc>
        <w:tc>
          <w:tcPr>
            <w:tcW w:w="1880" w:type="dxa"/>
            <w:vAlign w:val="bottom"/>
            <w:gridSpan w:val="3"/>
          </w:tcPr>
          <w:p>
            <w:pPr>
              <w:ind w:left="300"/>
              <w:spacing w:after="0" w:line="142" w:lineRule="exact"/>
              <w:rPr>
                <w:sz w:val="20"/>
                <w:szCs w:val="20"/>
                <w:color w:val="auto"/>
              </w:rPr>
            </w:pPr>
            <w:r>
              <w:rPr>
                <w:rFonts w:ascii="Arial" w:cs="Arial" w:eastAsia="Arial" w:hAnsi="Arial"/>
                <w:sz w:val="14"/>
                <w:szCs w:val="14"/>
                <w:b w:val="1"/>
                <w:bCs w:val="1"/>
                <w:color w:val="auto"/>
                <w:w w:val="95"/>
              </w:rPr>
              <w:t>Redeemable Convertible</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80" w:type="dxa"/>
            <w:vAlign w:val="bottom"/>
            <w:gridSpan w:val="4"/>
            <w:vMerge w:val="restart"/>
          </w:tcPr>
          <w:p>
            <w:pPr>
              <w:jc w:val="right"/>
              <w:ind w:right="433"/>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2"/>
                <w:szCs w:val="12"/>
                <w:color w:val="auto"/>
              </w:rPr>
            </w:pPr>
          </w:p>
        </w:tc>
        <w:tc>
          <w:tcPr>
            <w:tcW w:w="98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96"/>
              </w:rPr>
              <w:t>Additional</w:t>
            </w:r>
          </w:p>
        </w:tc>
        <w:tc>
          <w:tcPr>
            <w:tcW w:w="1020" w:type="dxa"/>
            <w:vAlign w:val="bottom"/>
            <w:gridSpan w:val="3"/>
          </w:tcPr>
          <w:p>
            <w:pPr>
              <w:jc w:val="center"/>
              <w:ind w:right="240"/>
              <w:spacing w:after="0" w:line="142" w:lineRule="exact"/>
              <w:rPr>
                <w:sz w:val="20"/>
                <w:szCs w:val="20"/>
                <w:color w:val="auto"/>
              </w:rPr>
            </w:pPr>
            <w:r>
              <w:rPr>
                <w:rFonts w:ascii="Arial" w:cs="Arial" w:eastAsia="Arial" w:hAnsi="Arial"/>
                <w:sz w:val="14"/>
                <w:szCs w:val="14"/>
                <w:b w:val="1"/>
                <w:bCs w:val="1"/>
                <w:color w:val="auto"/>
                <w:w w:val="93"/>
              </w:rPr>
              <w:t>Accumulate</w:t>
            </w:r>
          </w:p>
        </w:tc>
        <w:tc>
          <w:tcPr>
            <w:tcW w:w="100" w:type="dxa"/>
            <w:vAlign w:val="bottom"/>
          </w:tcPr>
          <w:p>
            <w:pPr>
              <w:spacing w:after="0"/>
              <w:rPr>
                <w:sz w:val="12"/>
                <w:szCs w:val="12"/>
                <w:color w:val="auto"/>
              </w:rPr>
            </w:pPr>
          </w:p>
        </w:tc>
        <w:tc>
          <w:tcPr>
            <w:tcW w:w="106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6"/>
        </w:trPr>
        <w:tc>
          <w:tcPr>
            <w:tcW w:w="3480" w:type="dxa"/>
            <w:vAlign w:val="bottom"/>
          </w:tcPr>
          <w:p>
            <w:pPr>
              <w:spacing w:after="0"/>
              <w:rPr>
                <w:sz w:val="15"/>
                <w:szCs w:val="15"/>
                <w:color w:val="auto"/>
              </w:rPr>
            </w:pPr>
          </w:p>
        </w:tc>
        <w:tc>
          <w:tcPr>
            <w:tcW w:w="1880" w:type="dxa"/>
            <w:vAlign w:val="bottom"/>
            <w:tcBorders>
              <w:bottom w:val="single" w:sz="8" w:color="auto"/>
            </w:tcBorders>
            <w:gridSpan w:val="3"/>
          </w:tcPr>
          <w:p>
            <w:pPr>
              <w:ind w:left="580"/>
              <w:spacing w:after="0"/>
              <w:rPr>
                <w:sz w:val="20"/>
                <w:szCs w:val="20"/>
                <w:color w:val="auto"/>
              </w:rPr>
            </w:pPr>
            <w:r>
              <w:rPr>
                <w:rFonts w:ascii="Arial" w:cs="Arial" w:eastAsia="Arial" w:hAnsi="Arial"/>
                <w:sz w:val="14"/>
                <w:szCs w:val="14"/>
                <w:b w:val="1"/>
                <w:bCs w:val="1"/>
                <w:color w:val="auto"/>
              </w:rPr>
              <w:t>Preferred Stock</w:t>
            </w:r>
          </w:p>
        </w:tc>
        <w:tc>
          <w:tcPr>
            <w:tcW w:w="2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980" w:type="dxa"/>
            <w:vAlign w:val="bottom"/>
            <w:tcBorders>
              <w:bottom w:val="single" w:sz="8" w:color="auto"/>
            </w:tcBorders>
            <w:gridSpan w:val="4"/>
            <w:vMerge w:val="continue"/>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15"/>
                <w:szCs w:val="15"/>
                <w:color w:val="auto"/>
              </w:rPr>
            </w:pPr>
          </w:p>
        </w:tc>
        <w:tc>
          <w:tcPr>
            <w:tcW w:w="8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d</w:t>
            </w:r>
          </w:p>
        </w:tc>
        <w:tc>
          <w:tcPr>
            <w:tcW w:w="10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69"/>
        </w:trPr>
        <w:tc>
          <w:tcPr>
            <w:tcW w:w="3480" w:type="dxa"/>
            <w:vAlign w:val="bottom"/>
          </w:tcPr>
          <w:p>
            <w:pPr>
              <w:spacing w:after="0"/>
              <w:rPr>
                <w:sz w:val="14"/>
                <w:szCs w:val="14"/>
                <w:color w:val="auto"/>
              </w:rPr>
            </w:pPr>
          </w:p>
        </w:tc>
        <w:tc>
          <w:tcPr>
            <w:tcW w:w="1040" w:type="dxa"/>
            <w:vAlign w:val="bottom"/>
          </w:tcPr>
          <w:p>
            <w:pPr>
              <w:ind w:left="320"/>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4"/>
                <w:szCs w:val="14"/>
                <w:color w:val="auto"/>
              </w:rPr>
            </w:pPr>
          </w:p>
        </w:tc>
        <w:tc>
          <w:tcPr>
            <w:tcW w:w="840" w:type="dxa"/>
            <w:vAlign w:val="bottom"/>
            <w:gridSpan w:val="2"/>
          </w:tcPr>
          <w:p>
            <w:pPr>
              <w:ind w:left="160"/>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4"/>
                <w:szCs w:val="14"/>
                <w:color w:val="auto"/>
              </w:rPr>
            </w:pPr>
          </w:p>
        </w:tc>
        <w:tc>
          <w:tcPr>
            <w:tcW w:w="980" w:type="dxa"/>
            <w:vAlign w:val="bottom"/>
          </w:tcPr>
          <w:p>
            <w:pPr>
              <w:jc w:val="right"/>
              <w:ind w:right="199"/>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ind w:right="33"/>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4"/>
                <w:szCs w:val="14"/>
                <w:color w:val="auto"/>
              </w:rPr>
            </w:pPr>
          </w:p>
        </w:tc>
        <w:tc>
          <w:tcPr>
            <w:tcW w:w="8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Deficit</w:t>
            </w:r>
          </w:p>
        </w:tc>
        <w:tc>
          <w:tcPr>
            <w:tcW w:w="10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68"/>
        </w:trPr>
        <w:tc>
          <w:tcPr>
            <w:tcW w:w="3480" w:type="dxa"/>
            <w:vAlign w:val="bottom"/>
            <w:shd w:val="clear" w:color="auto" w:fill="CFF0FC"/>
          </w:tcPr>
          <w:p>
            <w:pPr>
              <w:ind w:left="20"/>
              <w:spacing w:after="0" w:line="168" w:lineRule="exact"/>
              <w:rPr>
                <w:sz w:val="20"/>
                <w:szCs w:val="20"/>
                <w:color w:val="auto"/>
              </w:rPr>
            </w:pPr>
            <w:r>
              <w:rPr>
                <w:rFonts w:ascii="Arial" w:cs="Arial" w:eastAsia="Arial" w:hAnsi="Arial"/>
                <w:sz w:val="18"/>
                <w:szCs w:val="18"/>
                <w:b w:val="1"/>
                <w:bCs w:val="1"/>
                <w:color w:val="auto"/>
              </w:rPr>
              <w:t>Balance at December 31, 2021</w:t>
            </w:r>
          </w:p>
        </w:tc>
        <w:tc>
          <w:tcPr>
            <w:tcW w:w="1040" w:type="dxa"/>
            <w:vAlign w:val="bottom"/>
            <w:tcBorders>
              <w:top w:val="single" w:sz="8" w:color="auto"/>
            </w:tcBorders>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auto"/>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80" w:type="dxa"/>
            <w:vAlign w:val="bottom"/>
            <w:tcBorders>
              <w:top w:val="single" w:sz="8" w:color="auto"/>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640" w:type="dxa"/>
            <w:vAlign w:val="bottom"/>
            <w:tcBorders>
              <w:top w:val="single" w:sz="8" w:color="auto"/>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640" w:type="dxa"/>
            <w:vAlign w:val="bottom"/>
            <w:tcBorders>
              <w:top w:val="single" w:sz="8" w:color="auto"/>
            </w:tcBorders>
            <w:shd w:val="clear" w:color="auto" w:fill="CFF0FC"/>
          </w:tcPr>
          <w:p>
            <w:pPr>
              <w:jc w:val="right"/>
              <w:spacing w:after="0" w:line="168" w:lineRule="exact"/>
              <w:rPr>
                <w:sz w:val="20"/>
                <w:szCs w:val="20"/>
                <w:color w:val="auto"/>
              </w:rPr>
            </w:pPr>
            <w:r>
              <w:rPr>
                <w:rFonts w:ascii="Arial" w:cs="Arial" w:eastAsia="Arial" w:hAnsi="Arial"/>
                <w:sz w:val="18"/>
                <w:szCs w:val="18"/>
                <w:color w:val="auto"/>
                <w:w w:val="98"/>
              </w:rPr>
              <w:t>(153,00</w:t>
            </w:r>
          </w:p>
        </w:tc>
        <w:tc>
          <w:tcPr>
            <w:tcW w:w="24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96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480" w:type="dxa"/>
            <w:vAlign w:val="bottom"/>
            <w:shd w:val="clear" w:color="auto" w:fill="CFF0FC"/>
          </w:tcPr>
          <w:p>
            <w:pPr>
              <w:spacing w:after="0"/>
              <w:rPr>
                <w:sz w:val="20"/>
                <w:szCs w:val="20"/>
                <w:color w:val="auto"/>
              </w:rPr>
            </w:pPr>
          </w:p>
        </w:tc>
        <w:tc>
          <w:tcPr>
            <w:tcW w:w="1040" w:type="dxa"/>
            <w:vAlign w:val="bottom"/>
            <w:shd w:val="clear" w:color="auto" w:fill="CFF0FC"/>
          </w:tcPr>
          <w:p>
            <w:pPr>
              <w:ind w:left="84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FF0FC"/>
          </w:tcPr>
          <w:p>
            <w:pPr>
              <w:jc w:val="right"/>
              <w:ind w:right="388"/>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47,504,704</w:t>
            </w:r>
          </w:p>
        </w:tc>
        <w:tc>
          <w:tcPr>
            <w:tcW w:w="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$ 385,060</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1 )</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232,107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3480" w:type="dxa"/>
            <w:vAlign w:val="bottom"/>
          </w:tcPr>
          <w:p>
            <w:pPr>
              <w:ind w:left="20"/>
              <w:spacing w:after="0" w:line="175" w:lineRule="exact"/>
              <w:rPr>
                <w:sz w:val="20"/>
                <w:szCs w:val="20"/>
                <w:color w:val="auto"/>
              </w:rPr>
            </w:pPr>
            <w:r>
              <w:rPr>
                <w:rFonts w:ascii="Arial" w:cs="Arial" w:eastAsia="Arial" w:hAnsi="Arial"/>
                <w:sz w:val="18"/>
                <w:szCs w:val="18"/>
                <w:color w:val="auto"/>
                <w:w w:val="98"/>
              </w:rPr>
              <w:t>Issuance of common stock upon exercise of</w:t>
            </w: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480" w:type="dxa"/>
            <w:vAlign w:val="bottom"/>
          </w:tcPr>
          <w:p>
            <w:pPr>
              <w:ind w:left="20"/>
              <w:spacing w:after="0"/>
              <w:rPr>
                <w:sz w:val="20"/>
                <w:szCs w:val="20"/>
                <w:color w:val="auto"/>
              </w:rPr>
            </w:pPr>
            <w:r>
              <w:rPr>
                <w:rFonts w:ascii="Arial" w:cs="Arial" w:eastAsia="Arial" w:hAnsi="Arial"/>
                <w:sz w:val="18"/>
                <w:szCs w:val="18"/>
                <w:color w:val="auto"/>
              </w:rPr>
              <w:t>stock options</w:t>
            </w:r>
          </w:p>
        </w:tc>
        <w:tc>
          <w:tcPr>
            <w:tcW w:w="1040" w:type="dxa"/>
            <w:vAlign w:val="bottom"/>
          </w:tcPr>
          <w:p>
            <w:pPr>
              <w:ind w:left="84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573,873</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438</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3480" w:type="dxa"/>
            <w:vAlign w:val="bottom"/>
            <w:shd w:val="clear" w:color="auto" w:fill="CFF0FC"/>
          </w:tcPr>
          <w:p>
            <w:pPr>
              <w:ind w:left="20"/>
              <w:spacing w:after="0" w:line="175" w:lineRule="exact"/>
              <w:rPr>
                <w:sz w:val="20"/>
                <w:szCs w:val="20"/>
                <w:color w:val="auto"/>
              </w:rPr>
            </w:pPr>
            <w:r>
              <w:rPr>
                <w:rFonts w:ascii="Arial" w:cs="Arial" w:eastAsia="Arial" w:hAnsi="Arial"/>
                <w:sz w:val="18"/>
                <w:szCs w:val="18"/>
                <w:color w:val="auto"/>
              </w:rPr>
              <w:t>Issuance of common stock upon vesting of</w:t>
            </w:r>
          </w:p>
        </w:tc>
        <w:tc>
          <w:tcPr>
            <w:tcW w:w="10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restricted stock units</w:t>
            </w:r>
          </w:p>
        </w:tc>
        <w:tc>
          <w:tcPr>
            <w:tcW w:w="1040" w:type="dxa"/>
            <w:vAlign w:val="bottom"/>
            <w:shd w:val="clear" w:color="auto" w:fill="CFF0FC"/>
          </w:tcPr>
          <w:p>
            <w:pPr>
              <w:ind w:left="84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4,715</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8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1040" w:type="dxa"/>
            <w:vAlign w:val="bottom"/>
          </w:tcPr>
          <w:p>
            <w:pPr>
              <w:ind w:left="84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9,729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9,729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1040" w:type="dxa"/>
            <w:vAlign w:val="bottom"/>
            <w:shd w:val="clear" w:color="auto" w:fill="CFF0FC"/>
          </w:tcPr>
          <w:p>
            <w:pPr>
              <w:ind w:left="84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94"/>
              </w:rPr>
              <w:t>(69,335 )</w:t>
            </w:r>
          </w:p>
        </w:tc>
        <w:tc>
          <w:tcPr>
            <w:tcW w:w="1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(69,335 )</w:t>
            </w:r>
          </w:p>
        </w:tc>
        <w:tc>
          <w:tcPr>
            <w:tcW w:w="0" w:type="dxa"/>
            <w:vAlign w:val="bottom"/>
          </w:tcPr>
          <w:p>
            <w:pPr>
              <w:spacing w:after="0"/>
              <w:rPr>
                <w:sz w:val="1"/>
                <w:szCs w:val="1"/>
                <w:color w:val="auto"/>
              </w:rPr>
            </w:pPr>
          </w:p>
        </w:tc>
      </w:tr>
      <w:tr>
        <w:trPr>
          <w:trHeight w:val="168"/>
        </w:trPr>
        <w:tc>
          <w:tcPr>
            <w:tcW w:w="3480" w:type="dxa"/>
            <w:vAlign w:val="bottom"/>
            <w:tcBorders>
              <w:top w:val="single" w:sz="8" w:color="CFF0FC"/>
            </w:tcBorders>
          </w:tcPr>
          <w:p>
            <w:pPr>
              <w:ind w:left="20"/>
              <w:spacing w:after="0" w:line="168" w:lineRule="exact"/>
              <w:rPr>
                <w:sz w:val="20"/>
                <w:szCs w:val="20"/>
                <w:color w:val="auto"/>
              </w:rPr>
            </w:pPr>
            <w:r>
              <w:rPr>
                <w:rFonts w:ascii="Arial" w:cs="Arial" w:eastAsia="Arial" w:hAnsi="Arial"/>
                <w:sz w:val="18"/>
                <w:szCs w:val="18"/>
                <w:b w:val="1"/>
                <w:bCs w:val="1"/>
                <w:color w:val="auto"/>
              </w:rPr>
              <w:t>Balance at September 30, 2022</w:t>
            </w:r>
          </w:p>
        </w:tc>
        <w:tc>
          <w:tcPr>
            <w:tcW w:w="1040" w:type="dxa"/>
            <w:vAlign w:val="bottom"/>
            <w:tcBorders>
              <w:top w:val="single" w:sz="8" w:color="auto"/>
            </w:tcBorders>
          </w:tcPr>
          <w:p>
            <w:pPr>
              <w:spacing w:after="0"/>
              <w:rPr>
                <w:sz w:val="14"/>
                <w:szCs w:val="14"/>
                <w:color w:val="auto"/>
              </w:rPr>
            </w:pPr>
          </w:p>
        </w:tc>
        <w:tc>
          <w:tcPr>
            <w:tcW w:w="260" w:type="dxa"/>
            <w:vAlign w:val="bottom"/>
            <w:tcBorders>
              <w:top w:val="single" w:sz="8" w:color="CFF0FC"/>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240" w:type="dxa"/>
            <w:vAlign w:val="bottom"/>
            <w:tcBorders>
              <w:top w:val="single" w:sz="8" w:color="CFF0FC"/>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4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40" w:type="dxa"/>
            <w:vAlign w:val="bottom"/>
            <w:tcBorders>
              <w:top w:val="single" w:sz="8" w:color="CFF0FC"/>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40" w:type="dxa"/>
            <w:vAlign w:val="bottom"/>
            <w:tcBorders>
              <w:top w:val="single" w:sz="8" w:color="CFF0FC"/>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line="168" w:lineRule="exact"/>
              <w:rPr>
                <w:sz w:val="20"/>
                <w:szCs w:val="20"/>
                <w:color w:val="auto"/>
              </w:rPr>
            </w:pPr>
            <w:r>
              <w:rPr>
                <w:rFonts w:ascii="Arial" w:cs="Arial" w:eastAsia="Arial" w:hAnsi="Arial"/>
                <w:sz w:val="18"/>
                <w:szCs w:val="18"/>
                <w:color w:val="auto"/>
                <w:w w:val="98"/>
              </w:rPr>
              <w:t>(222,33</w:t>
            </w:r>
          </w:p>
        </w:tc>
        <w:tc>
          <w:tcPr>
            <w:tcW w:w="240" w:type="dxa"/>
            <w:vAlign w:val="bottom"/>
            <w:tcBorders>
              <w:top w:val="single" w:sz="8" w:color="CFF0F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480" w:type="dxa"/>
            <w:vAlign w:val="bottom"/>
          </w:tcPr>
          <w:p>
            <w:pPr>
              <w:spacing w:after="0"/>
              <w:rPr>
                <w:sz w:val="20"/>
                <w:szCs w:val="20"/>
                <w:color w:val="auto"/>
              </w:rPr>
            </w:pPr>
          </w:p>
        </w:tc>
        <w:tc>
          <w:tcPr>
            <w:tcW w:w="1040" w:type="dxa"/>
            <w:vAlign w:val="bottom"/>
          </w:tcPr>
          <w:p>
            <w:pPr>
              <w:ind w:left="84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48,083,292</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395,227</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6 )</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172,939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-290830</wp:posOffset>
            </wp:positionV>
            <wp:extent cx="76835" cy="2914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29146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-290830</wp:posOffset>
            </wp:positionV>
            <wp:extent cx="77470" cy="2914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29146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-290830</wp:posOffset>
            </wp:positionV>
            <wp:extent cx="68580" cy="2914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29146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-290830</wp:posOffset>
            </wp:positionV>
            <wp:extent cx="68580" cy="2914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29146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-290830</wp:posOffset>
            </wp:positionV>
            <wp:extent cx="68580" cy="2914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29146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-290830</wp:posOffset>
            </wp:positionV>
            <wp:extent cx="68580" cy="2914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29146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-290830</wp:posOffset>
            </wp:positionV>
            <wp:extent cx="68580" cy="2914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29146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 w:name="page8"/>
    <w:bookmarkEnd w:id="7"/>
    <w:p>
      <w:pPr>
        <w:ind w:left="4620"/>
        <w:spacing w:after="0"/>
        <w:rPr>
          <w:sz w:val="20"/>
          <w:szCs w:val="20"/>
          <w:color w:val="auto"/>
        </w:rPr>
      </w:pPr>
      <w:r>
        <w:rPr>
          <w:rFonts w:ascii="Arial" w:cs="Arial" w:eastAsia="Arial" w:hAnsi="Arial"/>
          <w:sz w:val="18"/>
          <w:szCs w:val="18"/>
          <w:b w:val="1"/>
          <w:bCs w:val="1"/>
          <w:color w:val="auto"/>
        </w:rPr>
        <w:t>SIGHT SCIENCES, INC.</w:t>
      </w:r>
    </w:p>
    <w:p>
      <w:pPr>
        <w:spacing w:after="0" w:line="27" w:lineRule="exact"/>
        <w:rPr>
          <w:sz w:val="20"/>
          <w:szCs w:val="20"/>
          <w:color w:val="auto"/>
        </w:rPr>
      </w:pPr>
    </w:p>
    <w:p>
      <w:pPr>
        <w:ind w:left="1020"/>
        <w:spacing w:after="0"/>
        <w:rPr>
          <w:sz w:val="20"/>
          <w:szCs w:val="20"/>
          <w:color w:val="auto"/>
        </w:rPr>
      </w:pPr>
      <w:r>
        <w:rPr>
          <w:rFonts w:ascii="Arial" w:cs="Arial" w:eastAsia="Arial" w:hAnsi="Arial"/>
          <w:sz w:val="17"/>
          <w:szCs w:val="17"/>
          <w:b w:val="1"/>
          <w:bCs w:val="1"/>
          <w:color w:val="auto"/>
        </w:rPr>
        <w:t>Condensed Consolidated Statements of Redeemable Convertible Preferred Stock and Stockholders’ Equity (Unaudited)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(in thousands, except share data)</w:t>
      </w:r>
    </w:p>
    <w:p>
      <w:pPr>
        <w:spacing w:after="0" w:line="192"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Three Months Ended September 30, 2021</w:t>
      </w:r>
    </w:p>
    <w:p>
      <w:pPr>
        <w:spacing w:after="0" w:line="27" w:lineRule="exact"/>
        <w:rPr>
          <w:sz w:val="20"/>
          <w:szCs w:val="20"/>
          <w:color w:val="auto"/>
        </w:rPr>
      </w:pPr>
    </w:p>
    <w:tbl>
      <w:tblPr>
        <w:tblLayout w:type="fixed"/>
        <w:tblInd w:w="3460" w:type="dxa"/>
        <w:tblCellMar>
          <w:top w:w="0" w:type="dxa"/>
          <w:left w:w="0" w:type="dxa"/>
          <w:bottom w:w="0" w:type="dxa"/>
          <w:right w:w="0" w:type="dxa"/>
        </w:tblCellMar>
      </w:tblPr>
      <w:tr>
        <w:trPr>
          <w:trHeight w:val="142"/>
        </w:trPr>
        <w:tc>
          <w:tcPr>
            <w:tcW w:w="210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1"/>
              </w:rPr>
              <w:t>Redeemable Convertible</w:t>
            </w:r>
          </w:p>
        </w:tc>
        <w:tc>
          <w:tcPr>
            <w:tcW w:w="240" w:type="dxa"/>
            <w:vAlign w:val="bottom"/>
            <w:tcBorders>
              <w:top w:val="single" w:sz="8" w:color="auto"/>
            </w:tcBorders>
          </w:tcPr>
          <w:p>
            <w:pPr>
              <w:spacing w:after="0"/>
              <w:rPr>
                <w:sz w:val="12"/>
                <w:szCs w:val="12"/>
                <w:color w:val="auto"/>
              </w:rPr>
            </w:pPr>
          </w:p>
        </w:tc>
        <w:tc>
          <w:tcPr>
            <w:tcW w:w="2000" w:type="dxa"/>
            <w:vAlign w:val="bottom"/>
            <w:tcBorders>
              <w:top w:val="single" w:sz="8" w:color="auto"/>
            </w:tcBorders>
            <w:gridSpan w:val="2"/>
            <w:vMerge w:val="restart"/>
          </w:tcPr>
          <w:p>
            <w:pPr>
              <w:ind w:left="540"/>
              <w:spacing w:after="0"/>
              <w:rPr>
                <w:sz w:val="20"/>
                <w:szCs w:val="20"/>
                <w:color w:val="auto"/>
              </w:rPr>
            </w:pPr>
            <w:r>
              <w:rPr>
                <w:rFonts w:ascii="Arial" w:cs="Arial" w:eastAsia="Arial" w:hAnsi="Arial"/>
                <w:sz w:val="14"/>
                <w:szCs w:val="14"/>
                <w:b w:val="1"/>
                <w:bCs w:val="1"/>
                <w:color w:val="auto"/>
              </w:rPr>
              <w:t>Common Stock</w:t>
            </w:r>
          </w:p>
        </w:tc>
        <w:tc>
          <w:tcPr>
            <w:tcW w:w="1120" w:type="dxa"/>
            <w:vAlign w:val="bottom"/>
            <w:tcBorders>
              <w:top w:val="single" w:sz="8" w:color="auto"/>
            </w:tcBorders>
          </w:tcPr>
          <w:p>
            <w:pPr>
              <w:jc w:val="center"/>
              <w:ind w:left="68"/>
              <w:spacing w:after="0" w:line="142" w:lineRule="exact"/>
              <w:rPr>
                <w:sz w:val="20"/>
                <w:szCs w:val="20"/>
                <w:color w:val="auto"/>
              </w:rPr>
            </w:pPr>
            <w:r>
              <w:rPr>
                <w:rFonts w:ascii="Arial" w:cs="Arial" w:eastAsia="Arial" w:hAnsi="Arial"/>
                <w:sz w:val="14"/>
                <w:szCs w:val="14"/>
                <w:b w:val="1"/>
                <w:bCs w:val="1"/>
                <w:color w:val="auto"/>
                <w:w w:val="96"/>
              </w:rPr>
              <w:t>Additional</w:t>
            </w:r>
          </w:p>
        </w:tc>
        <w:tc>
          <w:tcPr>
            <w:tcW w:w="10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Accumulate</w:t>
            </w:r>
          </w:p>
        </w:tc>
        <w:tc>
          <w:tcPr>
            <w:tcW w:w="11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6"/>
        </w:trPr>
        <w:tc>
          <w:tcPr>
            <w:tcW w:w="21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Preferred Stock</w:t>
            </w:r>
          </w:p>
        </w:tc>
        <w:tc>
          <w:tcPr>
            <w:tcW w:w="240" w:type="dxa"/>
            <w:vAlign w:val="bottom"/>
          </w:tcPr>
          <w:p>
            <w:pPr>
              <w:spacing w:after="0"/>
              <w:rPr>
                <w:sz w:val="15"/>
                <w:szCs w:val="15"/>
                <w:color w:val="auto"/>
              </w:rPr>
            </w:pPr>
          </w:p>
        </w:tc>
        <w:tc>
          <w:tcPr>
            <w:tcW w:w="2000" w:type="dxa"/>
            <w:vAlign w:val="bottom"/>
            <w:tcBorders>
              <w:bottom w:val="single" w:sz="8" w:color="auto"/>
            </w:tcBorders>
            <w:gridSpan w:val="2"/>
            <w:vMerge w:val="continue"/>
          </w:tcPr>
          <w:p>
            <w:pPr>
              <w:spacing w:after="0"/>
              <w:rPr>
                <w:sz w:val="15"/>
                <w:szCs w:val="15"/>
                <w:color w:val="auto"/>
              </w:rPr>
            </w:pPr>
          </w:p>
        </w:tc>
        <w:tc>
          <w:tcPr>
            <w:tcW w:w="1120" w:type="dxa"/>
            <w:vAlign w:val="bottom"/>
          </w:tcPr>
          <w:p>
            <w:pPr>
              <w:jc w:val="center"/>
              <w:ind w:left="68"/>
              <w:spacing w:after="0"/>
              <w:rPr>
                <w:sz w:val="20"/>
                <w:szCs w:val="20"/>
                <w:color w:val="auto"/>
              </w:rPr>
            </w:pPr>
            <w:r>
              <w:rPr>
                <w:rFonts w:ascii="Arial" w:cs="Arial" w:eastAsia="Arial" w:hAnsi="Arial"/>
                <w:sz w:val="14"/>
                <w:szCs w:val="14"/>
                <w:b w:val="1"/>
                <w:bCs w:val="1"/>
                <w:color w:val="auto"/>
                <w:w w:val="98"/>
              </w:rPr>
              <w:t>Paid-In</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2"/>
              </w:rPr>
              <w:t>d</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69"/>
        </w:trPr>
        <w:tc>
          <w:tcPr>
            <w:tcW w:w="1100" w:type="dxa"/>
            <w:vAlign w:val="bottom"/>
          </w:tcPr>
          <w:p>
            <w:pPr>
              <w:ind w:left="320"/>
              <w:spacing w:after="0"/>
              <w:rPr>
                <w:sz w:val="20"/>
                <w:szCs w:val="20"/>
                <w:color w:val="auto"/>
              </w:rPr>
            </w:pPr>
            <w:r>
              <w:rPr>
                <w:rFonts w:ascii="Arial" w:cs="Arial" w:eastAsia="Arial" w:hAnsi="Arial"/>
                <w:sz w:val="14"/>
                <w:szCs w:val="14"/>
                <w:b w:val="1"/>
                <w:bCs w:val="1"/>
                <w:color w:val="auto"/>
              </w:rPr>
              <w:t>Shares</w:t>
            </w:r>
          </w:p>
        </w:tc>
        <w:tc>
          <w:tcPr>
            <w:tcW w:w="1000" w:type="dxa"/>
            <w:vAlign w:val="bottom"/>
          </w:tcPr>
          <w:p>
            <w:pPr>
              <w:ind w:left="360"/>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4"/>
                <w:szCs w:val="14"/>
                <w:color w:val="auto"/>
              </w:rPr>
            </w:pPr>
          </w:p>
        </w:tc>
        <w:tc>
          <w:tcPr>
            <w:tcW w:w="1040" w:type="dxa"/>
            <w:vAlign w:val="bottom"/>
          </w:tcPr>
          <w:p>
            <w:pPr>
              <w:ind w:left="300"/>
              <w:spacing w:after="0"/>
              <w:rPr>
                <w:sz w:val="20"/>
                <w:szCs w:val="20"/>
                <w:color w:val="auto"/>
              </w:rPr>
            </w:pPr>
            <w:r>
              <w:rPr>
                <w:rFonts w:ascii="Arial" w:cs="Arial" w:eastAsia="Arial" w:hAnsi="Arial"/>
                <w:sz w:val="14"/>
                <w:szCs w:val="14"/>
                <w:b w:val="1"/>
                <w:bCs w:val="1"/>
                <w:color w:val="auto"/>
              </w:rPr>
              <w:t>Shares</w:t>
            </w:r>
          </w:p>
        </w:tc>
        <w:tc>
          <w:tcPr>
            <w:tcW w:w="960" w:type="dxa"/>
            <w:vAlign w:val="bottom"/>
          </w:tcPr>
          <w:p>
            <w:pPr>
              <w:ind w:left="340"/>
              <w:spacing w:after="0"/>
              <w:rPr>
                <w:sz w:val="20"/>
                <w:szCs w:val="20"/>
                <w:color w:val="auto"/>
              </w:rPr>
            </w:pPr>
            <w:r>
              <w:rPr>
                <w:rFonts w:ascii="Arial" w:cs="Arial" w:eastAsia="Arial" w:hAnsi="Arial"/>
                <w:sz w:val="14"/>
                <w:szCs w:val="14"/>
                <w:b w:val="1"/>
                <w:bCs w:val="1"/>
                <w:color w:val="auto"/>
              </w:rPr>
              <w:t>Amount</w:t>
            </w:r>
          </w:p>
        </w:tc>
        <w:tc>
          <w:tcPr>
            <w:tcW w:w="1120" w:type="dxa"/>
            <w:vAlign w:val="bottom"/>
          </w:tcPr>
          <w:p>
            <w:pPr>
              <w:jc w:val="center"/>
              <w:ind w:left="68"/>
              <w:spacing w:after="0"/>
              <w:rPr>
                <w:sz w:val="20"/>
                <w:szCs w:val="20"/>
                <w:color w:val="auto"/>
              </w:rPr>
            </w:pPr>
            <w:r>
              <w:rPr>
                <w:rFonts w:ascii="Arial" w:cs="Arial" w:eastAsia="Arial" w:hAnsi="Arial"/>
                <w:sz w:val="14"/>
                <w:szCs w:val="14"/>
                <w:b w:val="1"/>
                <w:bCs w:val="1"/>
                <w:color w:val="auto"/>
                <w:w w:val="98"/>
              </w:rPr>
              <w:t>Capital</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3"/>
              </w:rPr>
              <w:t>Deficit</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wp:posOffset>
            </wp:positionV>
            <wp:extent cx="7132320" cy="2571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ectPr>
          <w:pgSz w:w="11900" w:h="16838" w:orient="portrait"/>
          <w:cols w:equalWidth="0" w:num="1">
            <w:col w:w="11180"/>
          </w:cols>
          <w:pgMar w:left="340" w:top="324" w:right="379" w:bottom="1440" w:gutter="0" w:footer="0" w:header="0"/>
        </w:sectPr>
      </w:pPr>
    </w:p>
    <w:tbl>
      <w:tblPr>
        <w:tblLayout w:type="fixed"/>
        <w:tblInd w:w="0" w:type="dxa"/>
        <w:tblCellMar>
          <w:top w:w="0" w:type="dxa"/>
          <w:left w:w="0" w:type="dxa"/>
          <w:bottom w:w="0" w:type="dxa"/>
          <w:right w:w="0" w:type="dxa"/>
        </w:tblCellMar>
      </w:tblPr>
      <w:tr>
        <w:trPr>
          <w:trHeight w:val="254"/>
        </w:trPr>
        <w:tc>
          <w:tcPr>
            <w:tcW w:w="3460" w:type="dxa"/>
            <w:vAlign w:val="bottom"/>
          </w:tcPr>
          <w:p>
            <w:pPr>
              <w:spacing w:after="0"/>
              <w:rPr>
                <w:sz w:val="20"/>
                <w:szCs w:val="20"/>
                <w:color w:val="auto"/>
              </w:rPr>
            </w:pPr>
            <w:r>
              <w:rPr>
                <w:rFonts w:ascii="Arial" w:cs="Arial" w:eastAsia="Arial" w:hAnsi="Arial"/>
                <w:sz w:val="18"/>
                <w:szCs w:val="18"/>
                <w:b w:val="1"/>
                <w:bCs w:val="1"/>
                <w:color w:val="auto"/>
              </w:rPr>
              <w:t>Balance at June 30, 2021</w:t>
            </w:r>
          </w:p>
        </w:tc>
        <w:tc>
          <w:tcPr>
            <w:tcW w:w="10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12,767,202</w:t>
            </w:r>
          </w:p>
        </w:tc>
        <w:tc>
          <w:tcPr>
            <w:tcW w:w="280" w:type="dxa"/>
            <w:vAlign w:val="bottom"/>
          </w:tcPr>
          <w:p>
            <w:pPr>
              <w:spacing w:after="0"/>
              <w:rPr>
                <w:sz w:val="22"/>
                <w:szCs w:val="22"/>
                <w:color w:val="auto"/>
              </w:rPr>
            </w:pP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2"/>
              </w:rPr>
              <w:t>$ 117,331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4"/>
        </w:trPr>
        <w:tc>
          <w:tcPr>
            <w:tcW w:w="3460" w:type="dxa"/>
            <w:vAlign w:val="bottom"/>
            <w:vMerge w:val="restart"/>
          </w:tcPr>
          <w:p>
            <w:pPr>
              <w:spacing w:after="0"/>
              <w:rPr>
                <w:sz w:val="20"/>
                <w:szCs w:val="20"/>
                <w:color w:val="auto"/>
              </w:rPr>
            </w:pPr>
            <w:r>
              <w:rPr>
                <w:rFonts w:ascii="Arial" w:cs="Arial" w:eastAsia="Arial" w:hAnsi="Arial"/>
                <w:sz w:val="18"/>
                <w:szCs w:val="18"/>
                <w:color w:val="auto"/>
              </w:rPr>
              <w:t>Conversion of redeemable convertible</w:t>
            </w:r>
          </w:p>
        </w:tc>
        <w:tc>
          <w:tcPr>
            <w:tcW w:w="10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460" w:type="dxa"/>
            <w:vAlign w:val="bottom"/>
            <w:vMerge w:val="continue"/>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460" w:type="dxa"/>
            <w:vAlign w:val="bottom"/>
          </w:tcPr>
          <w:p>
            <w:pPr>
              <w:spacing w:after="0" w:line="189" w:lineRule="exact"/>
              <w:rPr>
                <w:sz w:val="20"/>
                <w:szCs w:val="20"/>
                <w:color w:val="auto"/>
              </w:rPr>
            </w:pPr>
            <w:r>
              <w:rPr>
                <w:rFonts w:ascii="Arial" w:cs="Arial" w:eastAsia="Arial" w:hAnsi="Arial"/>
                <w:sz w:val="18"/>
                <w:szCs w:val="18"/>
                <w:color w:val="auto"/>
                <w:w w:val="97"/>
              </w:rPr>
              <w:t>preferred stock to common stock upon initial</w:t>
            </w: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(117,33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public offering</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(12,767,202 )</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189"/>
        </w:trPr>
        <w:tc>
          <w:tcPr>
            <w:tcW w:w="3460" w:type="dxa"/>
            <w:vAlign w:val="bottom"/>
          </w:tcPr>
          <w:p>
            <w:pPr>
              <w:spacing w:after="0" w:line="189" w:lineRule="exact"/>
              <w:rPr>
                <w:sz w:val="20"/>
                <w:szCs w:val="20"/>
                <w:color w:val="auto"/>
              </w:rPr>
            </w:pPr>
            <w:r>
              <w:rPr>
                <w:rFonts w:ascii="Arial" w:cs="Arial" w:eastAsia="Arial" w:hAnsi="Arial"/>
                <w:sz w:val="18"/>
                <w:szCs w:val="18"/>
                <w:color w:val="auto"/>
                <w:w w:val="95"/>
              </w:rPr>
              <w:t>Issuance of common stock in connection with</w:t>
            </w: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60" w:type="dxa"/>
            <w:vAlign w:val="bottom"/>
          </w:tcPr>
          <w:p>
            <w:pPr>
              <w:spacing w:after="0" w:line="189" w:lineRule="exact"/>
              <w:rPr>
                <w:sz w:val="20"/>
                <w:szCs w:val="20"/>
                <w:color w:val="auto"/>
              </w:rPr>
            </w:pPr>
            <w:r>
              <w:rPr>
                <w:rFonts w:ascii="Arial" w:cs="Arial" w:eastAsia="Arial" w:hAnsi="Arial"/>
                <w:sz w:val="18"/>
                <w:szCs w:val="18"/>
                <w:color w:val="auto"/>
              </w:rPr>
              <w:t>initial public offering, net of underwriting</w:t>
            </w: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60" w:type="dxa"/>
            <w:vAlign w:val="bottom"/>
          </w:tcPr>
          <w:p>
            <w:pPr>
              <w:spacing w:after="0" w:line="189" w:lineRule="exact"/>
              <w:rPr>
                <w:sz w:val="20"/>
                <w:szCs w:val="20"/>
                <w:color w:val="auto"/>
              </w:rPr>
            </w:pPr>
            <w:r>
              <w:rPr>
                <w:rFonts w:ascii="Arial" w:cs="Arial" w:eastAsia="Arial" w:hAnsi="Arial"/>
                <w:sz w:val="18"/>
                <w:szCs w:val="18"/>
                <w:color w:val="auto"/>
                <w:w w:val="93"/>
              </w:rPr>
              <w:t>discounts and commissions and other offering</w:t>
            </w: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costs of $23.8 million</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3460" w:type="dxa"/>
            <w:vAlign w:val="bottom"/>
          </w:tcPr>
          <w:p>
            <w:pPr>
              <w:spacing w:after="0" w:line="189" w:lineRule="exact"/>
              <w:rPr>
                <w:sz w:val="20"/>
                <w:szCs w:val="20"/>
                <w:color w:val="auto"/>
              </w:rPr>
            </w:pPr>
            <w:r>
              <w:rPr>
                <w:rFonts w:ascii="Arial" w:cs="Arial" w:eastAsia="Arial" w:hAnsi="Arial"/>
                <w:sz w:val="18"/>
                <w:szCs w:val="18"/>
                <w:color w:val="auto"/>
              </w:rPr>
              <w:t>Conversion of redeemable convertible</w:t>
            </w: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60" w:type="dxa"/>
            <w:vAlign w:val="bottom"/>
          </w:tcPr>
          <w:p>
            <w:pPr>
              <w:spacing w:after="0" w:line="189" w:lineRule="exact"/>
              <w:rPr>
                <w:sz w:val="20"/>
                <w:szCs w:val="20"/>
                <w:color w:val="auto"/>
              </w:rPr>
            </w:pPr>
            <w:r>
              <w:rPr>
                <w:rFonts w:ascii="Arial" w:cs="Arial" w:eastAsia="Arial" w:hAnsi="Arial"/>
                <w:sz w:val="18"/>
                <w:szCs w:val="18"/>
                <w:color w:val="auto"/>
              </w:rPr>
              <w:t>preferred stock warrants to common stock</w:t>
            </w: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warrants upon initial public offering</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Exercise of common stock warrants</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Net loss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3460" w:type="dxa"/>
            <w:vAlign w:val="bottom"/>
          </w:tcPr>
          <w:p>
            <w:pPr>
              <w:spacing w:after="0"/>
              <w:rPr>
                <w:sz w:val="20"/>
                <w:szCs w:val="20"/>
                <w:color w:val="auto"/>
              </w:rPr>
            </w:pPr>
            <w:r>
              <w:rPr>
                <w:rFonts w:ascii="Arial" w:cs="Arial" w:eastAsia="Arial" w:hAnsi="Arial"/>
                <w:sz w:val="18"/>
                <w:szCs w:val="18"/>
                <w:b w:val="1"/>
                <w:bCs w:val="1"/>
                <w:color w:val="auto"/>
              </w:rPr>
              <w:t>Balance at September 30, 2021</w:t>
            </w:r>
          </w:p>
        </w:tc>
        <w:tc>
          <w:tcPr>
            <w:tcW w:w="134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4"/>
        </w:trPr>
        <w:tc>
          <w:tcPr>
            <w:tcW w:w="346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-1713865</wp:posOffset>
            </wp:positionV>
            <wp:extent cx="7132320" cy="4972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49720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-839470</wp:posOffset>
            </wp:positionV>
            <wp:extent cx="713232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-565150</wp:posOffset>
            </wp:positionV>
            <wp:extent cx="713232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-281940</wp:posOffset>
            </wp:positionV>
            <wp:extent cx="7132320" cy="2825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2825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8"/>
        </w:trPr>
        <w:tc>
          <w:tcPr>
            <w:tcW w:w="10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line="168" w:lineRule="exact"/>
              <w:rPr>
                <w:sz w:val="20"/>
                <w:szCs w:val="20"/>
                <w:color w:val="auto"/>
              </w:rPr>
            </w:pPr>
            <w:r>
              <w:rPr>
                <w:rFonts w:ascii="Arial" w:cs="Arial" w:eastAsia="Arial" w:hAnsi="Arial"/>
                <w:sz w:val="18"/>
                <w:szCs w:val="18"/>
                <w:color w:val="auto"/>
                <w:w w:val="94"/>
              </w:rPr>
              <w:t>(119,89</w:t>
            </w:r>
          </w:p>
        </w:tc>
        <w:tc>
          <w:tcPr>
            <w:tcW w:w="26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230"/>
        </w:trPr>
        <w:tc>
          <w:tcPr>
            <w:tcW w:w="1000" w:type="dxa"/>
            <w:vAlign w:val="bottom"/>
          </w:tcPr>
          <w:p>
            <w:pPr>
              <w:jc w:val="right"/>
              <w:spacing w:after="0"/>
              <w:rPr>
                <w:sz w:val="20"/>
                <w:szCs w:val="20"/>
                <w:color w:val="auto"/>
              </w:rPr>
            </w:pPr>
            <w:r>
              <w:rPr>
                <w:rFonts w:ascii="Arial" w:cs="Arial" w:eastAsia="Arial" w:hAnsi="Arial"/>
                <w:sz w:val="18"/>
                <w:szCs w:val="18"/>
                <w:color w:val="auto"/>
              </w:rPr>
              <w:t>9,732,032</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9</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   2,598</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6 )  $</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(117,289 )</w:t>
            </w:r>
          </w:p>
        </w:tc>
      </w:tr>
      <w:tr>
        <w:trPr>
          <w:trHeight w:val="594"/>
        </w:trPr>
        <w:tc>
          <w:tcPr>
            <w:tcW w:w="1000" w:type="dxa"/>
            <w:vAlign w:val="bottom"/>
          </w:tcPr>
          <w:p>
            <w:pPr>
              <w:jc w:val="right"/>
              <w:spacing w:after="0"/>
              <w:rPr>
                <w:sz w:val="20"/>
                <w:szCs w:val="20"/>
                <w:color w:val="auto"/>
              </w:rPr>
            </w:pPr>
            <w:r>
              <w:rPr>
                <w:rFonts w:ascii="Arial" w:cs="Arial" w:eastAsia="Arial" w:hAnsi="Arial"/>
                <w:sz w:val="18"/>
                <w:szCs w:val="18"/>
                <w:color w:val="auto"/>
              </w:rPr>
              <w:t>25,534,404</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117,304</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117,331</w:t>
            </w:r>
          </w:p>
        </w:tc>
        <w:tc>
          <w:tcPr>
            <w:tcW w:w="60" w:type="dxa"/>
            <w:vAlign w:val="bottom"/>
          </w:tcPr>
          <w:p>
            <w:pPr>
              <w:spacing w:after="0"/>
              <w:rPr>
                <w:sz w:val="24"/>
                <w:szCs w:val="24"/>
                <w:color w:val="auto"/>
              </w:rPr>
            </w:pPr>
          </w:p>
        </w:tc>
      </w:tr>
      <w:tr>
        <w:trPr>
          <w:trHeight w:val="783"/>
        </w:trPr>
        <w:tc>
          <w:tcPr>
            <w:tcW w:w="1000" w:type="dxa"/>
            <w:vAlign w:val="bottom"/>
          </w:tcPr>
          <w:p>
            <w:pPr>
              <w:jc w:val="right"/>
              <w:spacing w:after="0"/>
              <w:rPr>
                <w:sz w:val="20"/>
                <w:szCs w:val="20"/>
                <w:color w:val="auto"/>
              </w:rPr>
            </w:pPr>
            <w:r>
              <w:rPr>
                <w:rFonts w:ascii="Arial" w:cs="Arial" w:eastAsia="Arial" w:hAnsi="Arial"/>
                <w:sz w:val="18"/>
                <w:szCs w:val="18"/>
                <w:color w:val="auto"/>
              </w:rPr>
              <w:t>11,500,000</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252,162</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252,174</w:t>
            </w:r>
          </w:p>
        </w:tc>
        <w:tc>
          <w:tcPr>
            <w:tcW w:w="60" w:type="dxa"/>
            <w:vAlign w:val="bottom"/>
          </w:tcPr>
          <w:p>
            <w:pPr>
              <w:spacing w:after="0"/>
              <w:rPr>
                <w:sz w:val="24"/>
                <w:szCs w:val="24"/>
                <w:color w:val="auto"/>
              </w:rPr>
            </w:pPr>
          </w:p>
        </w:tc>
      </w:tr>
      <w:tr>
        <w:trPr>
          <w:trHeight w:val="580"/>
        </w:trPr>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8,973</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8,973</w:t>
            </w:r>
          </w:p>
        </w:tc>
        <w:tc>
          <w:tcPr>
            <w:tcW w:w="60" w:type="dxa"/>
            <w:vAlign w:val="bottom"/>
          </w:tcPr>
          <w:p>
            <w:pPr>
              <w:spacing w:after="0"/>
              <w:rPr>
                <w:sz w:val="24"/>
                <w:szCs w:val="24"/>
                <w:color w:val="auto"/>
              </w:rPr>
            </w:pPr>
          </w:p>
        </w:tc>
      </w:tr>
      <w:tr>
        <w:trPr>
          <w:trHeight w:val="216"/>
        </w:trPr>
        <w:tc>
          <w:tcPr>
            <w:tcW w:w="1000" w:type="dxa"/>
            <w:vAlign w:val="bottom"/>
          </w:tcPr>
          <w:p>
            <w:pPr>
              <w:jc w:val="right"/>
              <w:spacing w:after="0"/>
              <w:rPr>
                <w:sz w:val="20"/>
                <w:szCs w:val="20"/>
                <w:color w:val="auto"/>
              </w:rPr>
            </w:pPr>
            <w:r>
              <w:rPr>
                <w:rFonts w:ascii="Arial" w:cs="Arial" w:eastAsia="Arial" w:hAnsi="Arial"/>
                <w:sz w:val="18"/>
                <w:szCs w:val="18"/>
                <w:color w:val="auto"/>
              </w:rPr>
              <w:t>483,554</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(1 )</w:t>
            </w:r>
          </w:p>
        </w:tc>
        <w:tc>
          <w:tcPr>
            <w:tcW w:w="160" w:type="dxa"/>
            <w:vAlign w:val="bottom"/>
          </w:tcPr>
          <w:p>
            <w:pPr>
              <w:spacing w:after="0"/>
              <w:rPr>
                <w:sz w:val="18"/>
                <w:szCs w:val="18"/>
                <w:color w:val="auto"/>
              </w:rPr>
            </w:pPr>
          </w:p>
        </w:tc>
        <w:tc>
          <w:tcPr>
            <w:tcW w:w="110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1000" w:type="dxa"/>
            <w:vAlign w:val="bottom"/>
          </w:tcPr>
          <w:p>
            <w:pPr>
              <w:jc w:val="right"/>
              <w:spacing w:after="0"/>
              <w:rPr>
                <w:sz w:val="20"/>
                <w:szCs w:val="20"/>
                <w:color w:val="auto"/>
              </w:rPr>
            </w:pPr>
            <w:r>
              <w:rPr>
                <w:rFonts w:ascii="Arial" w:cs="Arial" w:eastAsia="Arial" w:hAnsi="Arial"/>
                <w:sz w:val="18"/>
                <w:szCs w:val="18"/>
                <w:color w:val="auto"/>
              </w:rPr>
              <w:t>42,032</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57</w:t>
            </w:r>
          </w:p>
        </w:tc>
        <w:tc>
          <w:tcPr>
            <w:tcW w:w="60" w:type="dxa"/>
            <w:vAlign w:val="bottom"/>
          </w:tcPr>
          <w:p>
            <w:pPr>
              <w:spacing w:after="0"/>
              <w:rPr>
                <w:sz w:val="18"/>
                <w:szCs w:val="18"/>
                <w:color w:val="auto"/>
              </w:rPr>
            </w:pPr>
          </w:p>
        </w:tc>
      </w:tr>
      <w:tr>
        <w:trPr>
          <w:trHeight w:val="216"/>
        </w:trPr>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1,899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1,899</w:t>
            </w:r>
          </w:p>
        </w:tc>
        <w:tc>
          <w:tcPr>
            <w:tcW w:w="60" w:type="dxa"/>
            <w:vAlign w:val="bottom"/>
          </w:tcPr>
          <w:p>
            <w:pPr>
              <w:spacing w:after="0"/>
              <w:rPr>
                <w:sz w:val="18"/>
                <w:szCs w:val="18"/>
                <w:color w:val="auto"/>
              </w:rPr>
            </w:pPr>
          </w:p>
        </w:tc>
      </w:tr>
      <w:tr>
        <w:trPr>
          <w:trHeight w:val="230"/>
        </w:trPr>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w w:val="91"/>
              </w:rPr>
              <w:t>(17,169 )</w:t>
            </w:r>
          </w:p>
        </w:tc>
        <w:tc>
          <w:tcPr>
            <w:tcW w:w="24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(17,169 )</w:t>
            </w:r>
          </w:p>
        </w:tc>
      </w:tr>
      <w:tr>
        <w:trPr>
          <w:trHeight w:val="168"/>
        </w:trPr>
        <w:tc>
          <w:tcPr>
            <w:tcW w:w="10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line="168" w:lineRule="exact"/>
              <w:rPr>
                <w:sz w:val="20"/>
                <w:szCs w:val="20"/>
                <w:color w:val="auto"/>
              </w:rPr>
            </w:pPr>
            <w:r>
              <w:rPr>
                <w:rFonts w:ascii="Arial" w:cs="Arial" w:eastAsia="Arial" w:hAnsi="Arial"/>
                <w:sz w:val="18"/>
                <w:szCs w:val="18"/>
                <w:color w:val="auto"/>
                <w:w w:val="94"/>
              </w:rPr>
              <w:t>(137,06</w:t>
            </w:r>
          </w:p>
        </w:tc>
        <w:tc>
          <w:tcPr>
            <w:tcW w:w="26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230"/>
        </w:trPr>
        <w:tc>
          <w:tcPr>
            <w:tcW w:w="1000" w:type="dxa"/>
            <w:vAlign w:val="bottom"/>
          </w:tcPr>
          <w:p>
            <w:pPr>
              <w:jc w:val="right"/>
              <w:spacing w:after="0"/>
              <w:rPr>
                <w:sz w:val="20"/>
                <w:szCs w:val="20"/>
                <w:color w:val="auto"/>
              </w:rPr>
            </w:pPr>
            <w:r>
              <w:rPr>
                <w:rFonts w:ascii="Arial" w:cs="Arial" w:eastAsia="Arial" w:hAnsi="Arial"/>
                <w:sz w:val="18"/>
                <w:szCs w:val="18"/>
                <w:color w:val="auto"/>
              </w:rPr>
              <w:t>47,292,022</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49</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382,992</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5 )</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245,976</w:t>
            </w:r>
          </w:p>
        </w:tc>
        <w:tc>
          <w:tcPr>
            <w:tcW w:w="60" w:type="dxa"/>
            <w:vAlign w:val="bottom"/>
          </w:tcPr>
          <w:p>
            <w:pPr>
              <w:spacing w:after="0"/>
              <w:rPr>
                <w:sz w:val="20"/>
                <w:szCs w:val="20"/>
                <w:color w:val="auto"/>
              </w:rPr>
            </w:pPr>
          </w:p>
        </w:tc>
      </w:tr>
      <w:tr>
        <w:trPr>
          <w:trHeight w:val="20"/>
        </w:trPr>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640" w:space="160"/>
            <w:col w:w="5380"/>
          </w:cols>
          <w:pgMar w:left="340" w:top="324" w:right="379" w:bottom="1440" w:gutter="0" w:footer="0" w:header="0"/>
          <w:type w:val="continuous"/>
        </w:sect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98425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40" w:top="324" w:right="379" w:bottom="1440" w:gutter="0" w:footer="0" w:header="0"/>
          <w:type w:val="continuous"/>
        </w:sectPr>
      </w:pPr>
    </w:p>
    <w:bookmarkStart w:id="8" w:name="page9"/>
    <w:bookmarkEnd w:id="8"/>
    <w:p>
      <w:pPr>
        <w:ind w:left="4620"/>
        <w:spacing w:after="0"/>
        <w:rPr>
          <w:sz w:val="20"/>
          <w:szCs w:val="20"/>
          <w:color w:val="auto"/>
        </w:rPr>
      </w:pPr>
      <w:r>
        <w:rPr>
          <w:rFonts w:ascii="Arial" w:cs="Arial" w:eastAsia="Arial" w:hAnsi="Arial"/>
          <w:sz w:val="18"/>
          <w:szCs w:val="18"/>
          <w:b w:val="1"/>
          <w:bCs w:val="1"/>
          <w:color w:val="auto"/>
        </w:rPr>
        <w:t>SIGHT SCIENCES, INC.</w:t>
      </w:r>
    </w:p>
    <w:p>
      <w:pPr>
        <w:spacing w:after="0" w:line="27" w:lineRule="exact"/>
        <w:rPr>
          <w:sz w:val="20"/>
          <w:szCs w:val="20"/>
          <w:color w:val="auto"/>
        </w:rPr>
      </w:pPr>
    </w:p>
    <w:p>
      <w:pPr>
        <w:ind w:left="1020"/>
        <w:spacing w:after="0"/>
        <w:rPr>
          <w:sz w:val="20"/>
          <w:szCs w:val="20"/>
          <w:color w:val="auto"/>
        </w:rPr>
      </w:pPr>
      <w:r>
        <w:rPr>
          <w:rFonts w:ascii="Arial" w:cs="Arial" w:eastAsia="Arial" w:hAnsi="Arial"/>
          <w:sz w:val="17"/>
          <w:szCs w:val="17"/>
          <w:b w:val="1"/>
          <w:bCs w:val="1"/>
          <w:color w:val="auto"/>
        </w:rPr>
        <w:t>Condensed Consolidated Statements of Redeemable Convertible Preferred Stock and Stockholders’ Equity (Unaudited)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(in thousands, except share data)</w:t>
      </w:r>
    </w:p>
    <w:p>
      <w:pPr>
        <w:spacing w:after="0" w:line="192"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Nine Months Ended September 30, 2021</w:t>
      </w:r>
    </w:p>
    <w:p>
      <w:pPr>
        <w:spacing w:after="0" w:line="27" w:lineRule="exact"/>
        <w:rPr>
          <w:sz w:val="20"/>
          <w:szCs w:val="20"/>
          <w:color w:val="auto"/>
        </w:rPr>
      </w:pPr>
    </w:p>
    <w:tbl>
      <w:tblPr>
        <w:tblLayout w:type="fixed"/>
        <w:tblInd w:w="3460" w:type="dxa"/>
        <w:tblCellMar>
          <w:top w:w="0" w:type="dxa"/>
          <w:left w:w="0" w:type="dxa"/>
          <w:bottom w:w="0" w:type="dxa"/>
          <w:right w:w="0" w:type="dxa"/>
        </w:tblCellMar>
      </w:tblPr>
      <w:tr>
        <w:trPr>
          <w:trHeight w:val="142"/>
        </w:trPr>
        <w:tc>
          <w:tcPr>
            <w:tcW w:w="208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3"/>
              </w:rPr>
              <w:t>Redeemable Convertible</w:t>
            </w:r>
          </w:p>
        </w:tc>
        <w:tc>
          <w:tcPr>
            <w:tcW w:w="260" w:type="dxa"/>
            <w:vAlign w:val="bottom"/>
            <w:tcBorders>
              <w:top w:val="single" w:sz="8" w:color="auto"/>
            </w:tcBorders>
          </w:tcPr>
          <w:p>
            <w:pPr>
              <w:spacing w:after="0"/>
              <w:rPr>
                <w:sz w:val="12"/>
                <w:szCs w:val="12"/>
                <w:color w:val="auto"/>
              </w:rPr>
            </w:pPr>
          </w:p>
        </w:tc>
        <w:tc>
          <w:tcPr>
            <w:tcW w:w="2000" w:type="dxa"/>
            <w:vAlign w:val="bottom"/>
            <w:tcBorders>
              <w:top w:val="single" w:sz="8" w:color="auto"/>
            </w:tcBorders>
            <w:gridSpan w:val="2"/>
            <w:vMerge w:val="restart"/>
          </w:tcPr>
          <w:p>
            <w:pPr>
              <w:ind w:left="520"/>
              <w:spacing w:after="0"/>
              <w:rPr>
                <w:sz w:val="20"/>
                <w:szCs w:val="20"/>
                <w:color w:val="auto"/>
              </w:rPr>
            </w:pPr>
            <w:r>
              <w:rPr>
                <w:rFonts w:ascii="Arial" w:cs="Arial" w:eastAsia="Arial" w:hAnsi="Arial"/>
                <w:sz w:val="14"/>
                <w:szCs w:val="14"/>
                <w:b w:val="1"/>
                <w:bCs w:val="1"/>
                <w:color w:val="auto"/>
              </w:rPr>
              <w:t>Common Stock</w:t>
            </w:r>
          </w:p>
        </w:tc>
        <w:tc>
          <w:tcPr>
            <w:tcW w:w="1100" w:type="dxa"/>
            <w:vAlign w:val="bottom"/>
            <w:tcBorders>
              <w:top w:val="single" w:sz="8" w:color="auto"/>
            </w:tcBorders>
          </w:tcPr>
          <w:p>
            <w:pPr>
              <w:jc w:val="center"/>
              <w:ind w:left="68"/>
              <w:spacing w:after="0" w:line="142" w:lineRule="exact"/>
              <w:rPr>
                <w:sz w:val="20"/>
                <w:szCs w:val="20"/>
                <w:color w:val="auto"/>
              </w:rPr>
            </w:pPr>
            <w:r>
              <w:rPr>
                <w:rFonts w:ascii="Arial" w:cs="Arial" w:eastAsia="Arial" w:hAnsi="Arial"/>
                <w:sz w:val="14"/>
                <w:szCs w:val="14"/>
                <w:b w:val="1"/>
                <w:bCs w:val="1"/>
                <w:color w:val="auto"/>
                <w:w w:val="93"/>
              </w:rPr>
              <w:t>Additional</w:t>
            </w:r>
          </w:p>
        </w:tc>
        <w:tc>
          <w:tcPr>
            <w:tcW w:w="10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Accumulate</w:t>
            </w:r>
          </w:p>
        </w:tc>
        <w:tc>
          <w:tcPr>
            <w:tcW w:w="11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6"/>
        </w:trPr>
        <w:tc>
          <w:tcPr>
            <w:tcW w:w="20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Preferred Stock</w:t>
            </w:r>
          </w:p>
        </w:tc>
        <w:tc>
          <w:tcPr>
            <w:tcW w:w="260" w:type="dxa"/>
            <w:vAlign w:val="bottom"/>
          </w:tcPr>
          <w:p>
            <w:pPr>
              <w:spacing w:after="0"/>
              <w:rPr>
                <w:sz w:val="15"/>
                <w:szCs w:val="15"/>
                <w:color w:val="auto"/>
              </w:rPr>
            </w:pPr>
          </w:p>
        </w:tc>
        <w:tc>
          <w:tcPr>
            <w:tcW w:w="2000" w:type="dxa"/>
            <w:vAlign w:val="bottom"/>
            <w:tcBorders>
              <w:bottom w:val="single" w:sz="8" w:color="auto"/>
            </w:tcBorders>
            <w:gridSpan w:val="2"/>
            <w:vMerge w:val="continue"/>
          </w:tcPr>
          <w:p>
            <w:pPr>
              <w:spacing w:after="0"/>
              <w:rPr>
                <w:sz w:val="15"/>
                <w:szCs w:val="15"/>
                <w:color w:val="auto"/>
              </w:rPr>
            </w:pPr>
          </w:p>
        </w:tc>
        <w:tc>
          <w:tcPr>
            <w:tcW w:w="1100" w:type="dxa"/>
            <w:vAlign w:val="bottom"/>
          </w:tcPr>
          <w:p>
            <w:pPr>
              <w:jc w:val="center"/>
              <w:ind w:left="68"/>
              <w:spacing w:after="0"/>
              <w:rPr>
                <w:sz w:val="20"/>
                <w:szCs w:val="20"/>
                <w:color w:val="auto"/>
              </w:rPr>
            </w:pPr>
            <w:r>
              <w:rPr>
                <w:rFonts w:ascii="Arial" w:cs="Arial" w:eastAsia="Arial" w:hAnsi="Arial"/>
                <w:sz w:val="14"/>
                <w:szCs w:val="14"/>
                <w:b w:val="1"/>
                <w:bCs w:val="1"/>
                <w:color w:val="auto"/>
              </w:rPr>
              <w:t>Paid-In</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2"/>
              </w:rPr>
              <w:t>d</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69"/>
        </w:trPr>
        <w:tc>
          <w:tcPr>
            <w:tcW w:w="1100" w:type="dxa"/>
            <w:vAlign w:val="bottom"/>
          </w:tcPr>
          <w:p>
            <w:pPr>
              <w:ind w:left="320"/>
              <w:spacing w:after="0"/>
              <w:rPr>
                <w:sz w:val="20"/>
                <w:szCs w:val="20"/>
                <w:color w:val="auto"/>
              </w:rPr>
            </w:pPr>
            <w:r>
              <w:rPr>
                <w:rFonts w:ascii="Arial" w:cs="Arial" w:eastAsia="Arial" w:hAnsi="Arial"/>
                <w:sz w:val="14"/>
                <w:szCs w:val="14"/>
                <w:b w:val="1"/>
                <w:bCs w:val="1"/>
                <w:color w:val="auto"/>
              </w:rPr>
              <w:t>Shares</w:t>
            </w:r>
          </w:p>
        </w:tc>
        <w:tc>
          <w:tcPr>
            <w:tcW w:w="980" w:type="dxa"/>
            <w:vAlign w:val="bottom"/>
          </w:tcPr>
          <w:p>
            <w:pPr>
              <w:ind w:left="360"/>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4"/>
                <w:szCs w:val="14"/>
                <w:color w:val="auto"/>
              </w:rPr>
            </w:pPr>
          </w:p>
        </w:tc>
        <w:tc>
          <w:tcPr>
            <w:tcW w:w="104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960" w:type="dxa"/>
            <w:vAlign w:val="bottom"/>
          </w:tcPr>
          <w:p>
            <w:pPr>
              <w:ind w:left="320"/>
              <w:spacing w:after="0"/>
              <w:rPr>
                <w:sz w:val="20"/>
                <w:szCs w:val="20"/>
                <w:color w:val="auto"/>
              </w:rPr>
            </w:pPr>
            <w:r>
              <w:rPr>
                <w:rFonts w:ascii="Arial" w:cs="Arial" w:eastAsia="Arial" w:hAnsi="Arial"/>
                <w:sz w:val="14"/>
                <w:szCs w:val="14"/>
                <w:b w:val="1"/>
                <w:bCs w:val="1"/>
                <w:color w:val="auto"/>
              </w:rPr>
              <w:t>Amount</w:t>
            </w:r>
          </w:p>
        </w:tc>
        <w:tc>
          <w:tcPr>
            <w:tcW w:w="1100" w:type="dxa"/>
            <w:vAlign w:val="bottom"/>
          </w:tcPr>
          <w:p>
            <w:pPr>
              <w:jc w:val="center"/>
              <w:ind w:left="68"/>
              <w:spacing w:after="0"/>
              <w:rPr>
                <w:sz w:val="20"/>
                <w:szCs w:val="20"/>
                <w:color w:val="auto"/>
              </w:rPr>
            </w:pPr>
            <w:r>
              <w:rPr>
                <w:rFonts w:ascii="Arial" w:cs="Arial" w:eastAsia="Arial" w:hAnsi="Arial"/>
                <w:sz w:val="14"/>
                <w:szCs w:val="14"/>
                <w:b w:val="1"/>
                <w:bCs w:val="1"/>
                <w:color w:val="auto"/>
                <w:w w:val="94"/>
              </w:rPr>
              <w:t>Capital</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8"/>
              </w:rPr>
              <w:t>Deficit</w:t>
            </w:r>
          </w:p>
        </w:tc>
        <w:tc>
          <w:tcPr>
            <w:tcW w:w="1140" w:type="dxa"/>
            <w:vAlign w:val="bottom"/>
          </w:tcPr>
          <w:p>
            <w:pPr>
              <w:jc w:val="center"/>
              <w:ind w:left="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wp:posOffset>
            </wp:positionV>
            <wp:extent cx="713232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180"/>
          </w:cols>
          <w:pgMar w:left="340" w:top="324" w:right="379" w:bottom="1440" w:gutter="0" w:footer="0" w:header="0"/>
        </w:sectPr>
      </w:pPr>
    </w:p>
    <w:tbl>
      <w:tblPr>
        <w:tblLayout w:type="fixed"/>
        <w:tblInd w:w="0" w:type="dxa"/>
        <w:tblCellMar>
          <w:top w:w="0" w:type="dxa"/>
          <w:left w:w="0" w:type="dxa"/>
          <w:bottom w:w="0" w:type="dxa"/>
          <w:right w:w="0" w:type="dxa"/>
        </w:tblCellMar>
      </w:tblPr>
      <w:tr>
        <w:trPr>
          <w:trHeight w:val="195"/>
        </w:trPr>
        <w:tc>
          <w:tcPr>
            <w:tcW w:w="3460" w:type="dxa"/>
            <w:vAlign w:val="bottom"/>
          </w:tcPr>
          <w:p>
            <w:pPr>
              <w:spacing w:after="0" w:line="195" w:lineRule="exact"/>
              <w:rPr>
                <w:sz w:val="20"/>
                <w:szCs w:val="20"/>
                <w:color w:val="auto"/>
              </w:rPr>
            </w:pPr>
            <w:r>
              <w:rPr>
                <w:rFonts w:ascii="Arial" w:cs="Arial" w:eastAsia="Arial" w:hAnsi="Arial"/>
                <w:sz w:val="18"/>
                <w:szCs w:val="18"/>
                <w:b w:val="1"/>
                <w:bCs w:val="1"/>
                <w:color w:val="auto"/>
              </w:rPr>
              <w:t>Balance at December 31, 2020</w:t>
            </w:r>
          </w:p>
        </w:tc>
        <w:tc>
          <w:tcPr>
            <w:tcW w:w="10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12,767,202</w:t>
            </w:r>
          </w:p>
        </w:tc>
        <w:tc>
          <w:tcPr>
            <w:tcW w:w="280" w:type="dxa"/>
            <w:vAlign w:val="bottom"/>
          </w:tcPr>
          <w:p>
            <w:pPr>
              <w:spacing w:after="0"/>
              <w:rPr>
                <w:sz w:val="16"/>
                <w:szCs w:val="16"/>
                <w:color w:val="auto"/>
              </w:rPr>
            </w:pPr>
          </w:p>
        </w:tc>
        <w:tc>
          <w:tcPr>
            <w:tcW w:w="7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89"/>
              </w:rPr>
              <w:t>$ 117,331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60" w:type="dxa"/>
            <w:vAlign w:val="bottom"/>
          </w:tcPr>
          <w:p>
            <w:pPr>
              <w:spacing w:after="0" w:line="189" w:lineRule="exact"/>
              <w:rPr>
                <w:sz w:val="20"/>
                <w:szCs w:val="20"/>
                <w:color w:val="auto"/>
              </w:rPr>
            </w:pPr>
            <w:r>
              <w:rPr>
                <w:rFonts w:ascii="Arial" w:cs="Arial" w:eastAsia="Arial" w:hAnsi="Arial"/>
                <w:sz w:val="18"/>
                <w:szCs w:val="18"/>
                <w:color w:val="auto"/>
              </w:rPr>
              <w:t>Conversion of redeemable convertible</w:t>
            </w: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60" w:type="dxa"/>
            <w:vAlign w:val="bottom"/>
          </w:tcPr>
          <w:p>
            <w:pPr>
              <w:spacing w:after="0" w:line="189" w:lineRule="exact"/>
              <w:rPr>
                <w:sz w:val="20"/>
                <w:szCs w:val="20"/>
                <w:color w:val="auto"/>
              </w:rPr>
            </w:pPr>
            <w:r>
              <w:rPr>
                <w:rFonts w:ascii="Arial" w:cs="Arial" w:eastAsia="Arial" w:hAnsi="Arial"/>
                <w:sz w:val="18"/>
                <w:szCs w:val="18"/>
                <w:color w:val="auto"/>
                <w:w w:val="97"/>
              </w:rPr>
              <w:t>preferred stock to common stock upon initial</w:t>
            </w: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jc w:val="right"/>
              <w:spacing w:after="0" w:line="189" w:lineRule="exact"/>
              <w:rPr>
                <w:sz w:val="20"/>
                <w:szCs w:val="20"/>
                <w:color w:val="auto"/>
              </w:rPr>
            </w:pPr>
            <w:r>
              <w:rPr>
                <w:rFonts w:ascii="Arial" w:cs="Arial" w:eastAsia="Arial" w:hAnsi="Arial"/>
                <w:sz w:val="18"/>
                <w:szCs w:val="18"/>
                <w:color w:val="auto"/>
              </w:rPr>
              <w:t>(117,33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public offering</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(12,767,202 )</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189"/>
        </w:trPr>
        <w:tc>
          <w:tcPr>
            <w:tcW w:w="3460" w:type="dxa"/>
            <w:vAlign w:val="bottom"/>
          </w:tcPr>
          <w:p>
            <w:pPr>
              <w:spacing w:after="0" w:line="189" w:lineRule="exact"/>
              <w:rPr>
                <w:sz w:val="20"/>
                <w:szCs w:val="20"/>
                <w:color w:val="auto"/>
              </w:rPr>
            </w:pPr>
            <w:r>
              <w:rPr>
                <w:rFonts w:ascii="Arial" w:cs="Arial" w:eastAsia="Arial" w:hAnsi="Arial"/>
                <w:sz w:val="18"/>
                <w:szCs w:val="18"/>
                <w:color w:val="auto"/>
                <w:w w:val="95"/>
              </w:rPr>
              <w:t>Issuance of common stock in connection with</w:t>
            </w: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60" w:type="dxa"/>
            <w:vAlign w:val="bottom"/>
          </w:tcPr>
          <w:p>
            <w:pPr>
              <w:spacing w:after="0" w:line="189" w:lineRule="exact"/>
              <w:rPr>
                <w:sz w:val="20"/>
                <w:szCs w:val="20"/>
                <w:color w:val="auto"/>
              </w:rPr>
            </w:pPr>
            <w:r>
              <w:rPr>
                <w:rFonts w:ascii="Arial" w:cs="Arial" w:eastAsia="Arial" w:hAnsi="Arial"/>
                <w:sz w:val="18"/>
                <w:szCs w:val="18"/>
                <w:color w:val="auto"/>
              </w:rPr>
              <w:t>initial public offering, net of underwriting</w:t>
            </w: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60" w:type="dxa"/>
            <w:vAlign w:val="bottom"/>
          </w:tcPr>
          <w:p>
            <w:pPr>
              <w:spacing w:after="0" w:line="189" w:lineRule="exact"/>
              <w:rPr>
                <w:sz w:val="20"/>
                <w:szCs w:val="20"/>
                <w:color w:val="auto"/>
              </w:rPr>
            </w:pPr>
            <w:r>
              <w:rPr>
                <w:rFonts w:ascii="Arial" w:cs="Arial" w:eastAsia="Arial" w:hAnsi="Arial"/>
                <w:sz w:val="18"/>
                <w:szCs w:val="18"/>
                <w:color w:val="auto"/>
                <w:w w:val="93"/>
              </w:rPr>
              <w:t>discounts and commissions and other offering</w:t>
            </w: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costs of $23.8 million</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3460" w:type="dxa"/>
            <w:vAlign w:val="bottom"/>
          </w:tcPr>
          <w:p>
            <w:pPr>
              <w:spacing w:after="0" w:line="189" w:lineRule="exact"/>
              <w:rPr>
                <w:sz w:val="20"/>
                <w:szCs w:val="20"/>
                <w:color w:val="auto"/>
              </w:rPr>
            </w:pPr>
            <w:r>
              <w:rPr>
                <w:rFonts w:ascii="Arial" w:cs="Arial" w:eastAsia="Arial" w:hAnsi="Arial"/>
                <w:sz w:val="18"/>
                <w:szCs w:val="18"/>
                <w:color w:val="auto"/>
              </w:rPr>
              <w:t>Conversion of redeemable convertible</w:t>
            </w: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60" w:type="dxa"/>
            <w:vAlign w:val="bottom"/>
          </w:tcPr>
          <w:p>
            <w:pPr>
              <w:spacing w:after="0" w:line="189" w:lineRule="exact"/>
              <w:rPr>
                <w:sz w:val="20"/>
                <w:szCs w:val="20"/>
                <w:color w:val="auto"/>
              </w:rPr>
            </w:pPr>
            <w:r>
              <w:rPr>
                <w:rFonts w:ascii="Arial" w:cs="Arial" w:eastAsia="Arial" w:hAnsi="Arial"/>
                <w:sz w:val="18"/>
                <w:szCs w:val="18"/>
                <w:color w:val="auto"/>
              </w:rPr>
              <w:t>preferred stock warrants to common stock</w:t>
            </w: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warrants upon initial public offering</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Exercise of common stock warrants</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Net loss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3460" w:type="dxa"/>
            <w:vAlign w:val="bottom"/>
          </w:tcPr>
          <w:p>
            <w:pPr>
              <w:spacing w:after="0"/>
              <w:rPr>
                <w:sz w:val="20"/>
                <w:szCs w:val="20"/>
                <w:color w:val="auto"/>
              </w:rPr>
            </w:pPr>
            <w:r>
              <w:rPr>
                <w:rFonts w:ascii="Arial" w:cs="Arial" w:eastAsia="Arial" w:hAnsi="Arial"/>
                <w:sz w:val="18"/>
                <w:szCs w:val="18"/>
                <w:b w:val="1"/>
                <w:bCs w:val="1"/>
                <w:color w:val="auto"/>
              </w:rPr>
              <w:t>Balance at September 30, 2021</w:t>
            </w:r>
          </w:p>
        </w:tc>
        <w:tc>
          <w:tcPr>
            <w:tcW w:w="134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4"/>
        </w:trPr>
        <w:tc>
          <w:tcPr>
            <w:tcW w:w="346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-1713865</wp:posOffset>
            </wp:positionV>
            <wp:extent cx="7132320" cy="4972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49720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-839470</wp:posOffset>
            </wp:positionV>
            <wp:extent cx="713232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-565150</wp:posOffset>
            </wp:positionV>
            <wp:extent cx="713232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-282575</wp:posOffset>
            </wp:positionV>
            <wp:extent cx="7132320" cy="2832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2832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
        </w:trPr>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1000" w:type="dxa"/>
            <w:vAlign w:val="bottom"/>
          </w:tcPr>
          <w:p>
            <w:pPr>
              <w:jc w:val="right"/>
              <w:spacing w:after="0"/>
              <w:rPr>
                <w:sz w:val="20"/>
                <w:szCs w:val="20"/>
                <w:color w:val="auto"/>
              </w:rPr>
            </w:pPr>
            <w:r>
              <w:rPr>
                <w:rFonts w:ascii="Arial" w:cs="Arial" w:eastAsia="Arial" w:hAnsi="Arial"/>
                <w:sz w:val="18"/>
                <w:szCs w:val="18"/>
                <w:color w:val="auto"/>
              </w:rPr>
              <w:t>9,509,182</w:t>
            </w:r>
          </w:p>
        </w:tc>
        <w:tc>
          <w:tcPr>
            <w:tcW w:w="24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   1,183</w:t>
            </w:r>
          </w:p>
        </w:tc>
        <w:tc>
          <w:tcPr>
            <w:tcW w:w="240" w:type="dxa"/>
            <w:vAlign w:val="bottom"/>
          </w:tcPr>
          <w:p>
            <w:pPr>
              <w:spacing w:after="0"/>
              <w:rPr>
                <w:sz w:val="18"/>
                <w:szCs w:val="18"/>
                <w:color w:val="auto"/>
              </w:rPr>
            </w:pPr>
          </w:p>
        </w:tc>
        <w:tc>
          <w:tcPr>
            <w:tcW w:w="1300" w:type="dxa"/>
            <w:vAlign w:val="bottom"/>
            <w:gridSpan w:val="3"/>
          </w:tcPr>
          <w:p>
            <w:pPr>
              <w:jc w:val="right"/>
              <w:ind w:right="180"/>
              <w:spacing w:after="0"/>
              <w:rPr>
                <w:sz w:val="20"/>
                <w:szCs w:val="20"/>
                <w:color w:val="auto"/>
              </w:rPr>
            </w:pPr>
            <w:r>
              <w:rPr>
                <w:rFonts w:ascii="Arial" w:cs="Arial" w:eastAsia="Arial" w:hAnsi="Arial"/>
                <w:sz w:val="18"/>
                <w:szCs w:val="18"/>
                <w:color w:val="auto"/>
              </w:rPr>
              <w:t>$ (90,041 )  $</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(88,849 )</w:t>
            </w:r>
          </w:p>
        </w:tc>
      </w:tr>
      <w:tr>
        <w:trPr>
          <w:trHeight w:val="573"/>
        </w:trPr>
        <w:tc>
          <w:tcPr>
            <w:tcW w:w="1000" w:type="dxa"/>
            <w:vAlign w:val="bottom"/>
          </w:tcPr>
          <w:p>
            <w:pPr>
              <w:jc w:val="right"/>
              <w:spacing w:after="0"/>
              <w:rPr>
                <w:sz w:val="20"/>
                <w:szCs w:val="20"/>
                <w:color w:val="auto"/>
              </w:rPr>
            </w:pPr>
            <w:r>
              <w:rPr>
                <w:rFonts w:ascii="Arial" w:cs="Arial" w:eastAsia="Arial" w:hAnsi="Arial"/>
                <w:sz w:val="18"/>
                <w:szCs w:val="18"/>
                <w:color w:val="auto"/>
              </w:rPr>
              <w:t>25,534,404</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27</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117,304</w:t>
            </w:r>
          </w:p>
        </w:tc>
        <w:tc>
          <w:tcPr>
            <w:tcW w:w="240" w:type="dxa"/>
            <w:vAlign w:val="bottom"/>
          </w:tcPr>
          <w:p>
            <w:pPr>
              <w:spacing w:after="0"/>
              <w:rPr>
                <w:sz w:val="24"/>
                <w:szCs w:val="24"/>
                <w:color w:val="auto"/>
              </w:rPr>
            </w:pPr>
          </w:p>
        </w:tc>
        <w:tc>
          <w:tcPr>
            <w:tcW w:w="130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117,331</w:t>
            </w:r>
          </w:p>
        </w:tc>
        <w:tc>
          <w:tcPr>
            <w:tcW w:w="60" w:type="dxa"/>
            <w:vAlign w:val="bottom"/>
          </w:tcPr>
          <w:p>
            <w:pPr>
              <w:spacing w:after="0"/>
              <w:rPr>
                <w:sz w:val="24"/>
                <w:szCs w:val="24"/>
                <w:color w:val="auto"/>
              </w:rPr>
            </w:pPr>
          </w:p>
        </w:tc>
      </w:tr>
      <w:tr>
        <w:trPr>
          <w:trHeight w:val="783"/>
        </w:trPr>
        <w:tc>
          <w:tcPr>
            <w:tcW w:w="1000" w:type="dxa"/>
            <w:vAlign w:val="bottom"/>
          </w:tcPr>
          <w:p>
            <w:pPr>
              <w:jc w:val="right"/>
              <w:spacing w:after="0"/>
              <w:rPr>
                <w:sz w:val="20"/>
                <w:szCs w:val="20"/>
                <w:color w:val="auto"/>
              </w:rPr>
            </w:pPr>
            <w:r>
              <w:rPr>
                <w:rFonts w:ascii="Arial" w:cs="Arial" w:eastAsia="Arial" w:hAnsi="Arial"/>
                <w:sz w:val="18"/>
                <w:szCs w:val="18"/>
                <w:color w:val="auto"/>
              </w:rPr>
              <w:t>11,500,000</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252,162</w:t>
            </w:r>
          </w:p>
        </w:tc>
        <w:tc>
          <w:tcPr>
            <w:tcW w:w="240" w:type="dxa"/>
            <w:vAlign w:val="bottom"/>
          </w:tcPr>
          <w:p>
            <w:pPr>
              <w:spacing w:after="0"/>
              <w:rPr>
                <w:sz w:val="24"/>
                <w:szCs w:val="24"/>
                <w:color w:val="auto"/>
              </w:rPr>
            </w:pPr>
          </w:p>
        </w:tc>
        <w:tc>
          <w:tcPr>
            <w:tcW w:w="130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252,174</w:t>
            </w:r>
          </w:p>
        </w:tc>
        <w:tc>
          <w:tcPr>
            <w:tcW w:w="60" w:type="dxa"/>
            <w:vAlign w:val="bottom"/>
          </w:tcPr>
          <w:p>
            <w:pPr>
              <w:spacing w:after="0"/>
              <w:rPr>
                <w:sz w:val="24"/>
                <w:szCs w:val="24"/>
                <w:color w:val="auto"/>
              </w:rPr>
            </w:pPr>
          </w:p>
        </w:tc>
      </w:tr>
      <w:tr>
        <w:trPr>
          <w:trHeight w:val="580"/>
        </w:trPr>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8,973</w:t>
            </w:r>
          </w:p>
        </w:tc>
        <w:tc>
          <w:tcPr>
            <w:tcW w:w="240" w:type="dxa"/>
            <w:vAlign w:val="bottom"/>
          </w:tcPr>
          <w:p>
            <w:pPr>
              <w:spacing w:after="0"/>
              <w:rPr>
                <w:sz w:val="24"/>
                <w:szCs w:val="24"/>
                <w:color w:val="auto"/>
              </w:rPr>
            </w:pPr>
          </w:p>
        </w:tc>
        <w:tc>
          <w:tcPr>
            <w:tcW w:w="130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8,973</w:t>
            </w:r>
          </w:p>
        </w:tc>
        <w:tc>
          <w:tcPr>
            <w:tcW w:w="60" w:type="dxa"/>
            <w:vAlign w:val="bottom"/>
          </w:tcPr>
          <w:p>
            <w:pPr>
              <w:spacing w:after="0"/>
              <w:rPr>
                <w:sz w:val="24"/>
                <w:szCs w:val="24"/>
                <w:color w:val="auto"/>
              </w:rPr>
            </w:pPr>
          </w:p>
        </w:tc>
      </w:tr>
      <w:tr>
        <w:trPr>
          <w:trHeight w:val="216"/>
        </w:trPr>
        <w:tc>
          <w:tcPr>
            <w:tcW w:w="1000" w:type="dxa"/>
            <w:vAlign w:val="bottom"/>
          </w:tcPr>
          <w:p>
            <w:pPr>
              <w:jc w:val="right"/>
              <w:spacing w:after="0"/>
              <w:rPr>
                <w:sz w:val="20"/>
                <w:szCs w:val="20"/>
                <w:color w:val="auto"/>
              </w:rPr>
            </w:pPr>
            <w:r>
              <w:rPr>
                <w:rFonts w:ascii="Arial" w:cs="Arial" w:eastAsia="Arial" w:hAnsi="Arial"/>
                <w:sz w:val="18"/>
                <w:szCs w:val="18"/>
                <w:color w:val="auto"/>
              </w:rPr>
              <w:t>483,554</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(1 )</w:t>
            </w:r>
          </w:p>
        </w:tc>
        <w:tc>
          <w:tcPr>
            <w:tcW w:w="130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1000" w:type="dxa"/>
            <w:vAlign w:val="bottom"/>
          </w:tcPr>
          <w:p>
            <w:pPr>
              <w:jc w:val="right"/>
              <w:spacing w:after="0"/>
              <w:rPr>
                <w:sz w:val="20"/>
                <w:szCs w:val="20"/>
                <w:color w:val="auto"/>
              </w:rPr>
            </w:pPr>
            <w:r>
              <w:rPr>
                <w:rFonts w:ascii="Arial" w:cs="Arial" w:eastAsia="Arial" w:hAnsi="Arial"/>
                <w:sz w:val="18"/>
                <w:szCs w:val="18"/>
                <w:color w:val="auto"/>
              </w:rPr>
              <w:t>264,882</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264</w:t>
            </w:r>
          </w:p>
        </w:tc>
        <w:tc>
          <w:tcPr>
            <w:tcW w:w="240" w:type="dxa"/>
            <w:vAlign w:val="bottom"/>
          </w:tcPr>
          <w:p>
            <w:pPr>
              <w:spacing w:after="0"/>
              <w:rPr>
                <w:sz w:val="18"/>
                <w:szCs w:val="18"/>
                <w:color w:val="auto"/>
              </w:rPr>
            </w:pPr>
          </w:p>
        </w:tc>
        <w:tc>
          <w:tcPr>
            <w:tcW w:w="130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264</w:t>
            </w:r>
          </w:p>
        </w:tc>
        <w:tc>
          <w:tcPr>
            <w:tcW w:w="60" w:type="dxa"/>
            <w:vAlign w:val="bottom"/>
          </w:tcPr>
          <w:p>
            <w:pPr>
              <w:spacing w:after="0"/>
              <w:rPr>
                <w:sz w:val="18"/>
                <w:szCs w:val="18"/>
                <w:color w:val="auto"/>
              </w:rPr>
            </w:pPr>
          </w:p>
        </w:tc>
      </w:tr>
      <w:tr>
        <w:trPr>
          <w:trHeight w:val="216"/>
        </w:trPr>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3,107</w:t>
            </w:r>
          </w:p>
        </w:tc>
        <w:tc>
          <w:tcPr>
            <w:tcW w:w="240" w:type="dxa"/>
            <w:vAlign w:val="bottom"/>
          </w:tcPr>
          <w:p>
            <w:pPr>
              <w:spacing w:after="0"/>
              <w:rPr>
                <w:sz w:val="18"/>
                <w:szCs w:val="18"/>
                <w:color w:val="auto"/>
              </w:rPr>
            </w:pPr>
          </w:p>
        </w:tc>
        <w:tc>
          <w:tcPr>
            <w:tcW w:w="130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3,107</w:t>
            </w:r>
          </w:p>
        </w:tc>
        <w:tc>
          <w:tcPr>
            <w:tcW w:w="60" w:type="dxa"/>
            <w:vAlign w:val="bottom"/>
          </w:tcPr>
          <w:p>
            <w:pPr>
              <w:spacing w:after="0"/>
              <w:rPr>
                <w:sz w:val="18"/>
                <w:szCs w:val="18"/>
                <w:color w:val="auto"/>
              </w:rPr>
            </w:pPr>
          </w:p>
        </w:tc>
      </w:tr>
      <w:tr>
        <w:trPr>
          <w:trHeight w:val="230"/>
        </w:trPr>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(47,024 )</w:t>
            </w:r>
          </w:p>
        </w:tc>
        <w:tc>
          <w:tcPr>
            <w:tcW w:w="28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(47,024 )</w:t>
            </w:r>
          </w:p>
        </w:tc>
      </w:tr>
      <w:tr>
        <w:trPr>
          <w:trHeight w:val="168"/>
        </w:trPr>
        <w:tc>
          <w:tcPr>
            <w:tcW w:w="10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Borders>
              <w:top w:val="single" w:sz="8" w:color="auto"/>
            </w:tcBorders>
          </w:tcPr>
          <w:p>
            <w:pPr>
              <w:jc w:val="right"/>
              <w:spacing w:after="0" w:line="168" w:lineRule="exact"/>
              <w:rPr>
                <w:sz w:val="20"/>
                <w:szCs w:val="20"/>
                <w:color w:val="auto"/>
              </w:rPr>
            </w:pPr>
            <w:r>
              <w:rPr>
                <w:rFonts w:ascii="Arial" w:cs="Arial" w:eastAsia="Arial" w:hAnsi="Arial"/>
                <w:sz w:val="18"/>
                <w:szCs w:val="18"/>
                <w:color w:val="auto"/>
              </w:rPr>
              <w:t>(137,06</w:t>
            </w:r>
          </w:p>
        </w:tc>
        <w:tc>
          <w:tcPr>
            <w:tcW w:w="24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230"/>
        </w:trPr>
        <w:tc>
          <w:tcPr>
            <w:tcW w:w="1000" w:type="dxa"/>
            <w:vAlign w:val="bottom"/>
          </w:tcPr>
          <w:p>
            <w:pPr>
              <w:jc w:val="right"/>
              <w:spacing w:after="0"/>
              <w:rPr>
                <w:sz w:val="20"/>
                <w:szCs w:val="20"/>
                <w:color w:val="auto"/>
              </w:rPr>
            </w:pPr>
            <w:r>
              <w:rPr>
                <w:rFonts w:ascii="Arial" w:cs="Arial" w:eastAsia="Arial" w:hAnsi="Arial"/>
                <w:sz w:val="18"/>
                <w:szCs w:val="18"/>
                <w:color w:val="auto"/>
              </w:rPr>
              <w:t>47,292,022</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49</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382,992</w:t>
            </w:r>
          </w:p>
        </w:tc>
        <w:tc>
          <w:tcPr>
            <w:tcW w:w="24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5 )</w:t>
            </w: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245,976</w:t>
            </w:r>
          </w:p>
        </w:tc>
        <w:tc>
          <w:tcPr>
            <w:tcW w:w="60" w:type="dxa"/>
            <w:vAlign w:val="bottom"/>
          </w:tcPr>
          <w:p>
            <w:pPr>
              <w:spacing w:after="0"/>
              <w:rPr>
                <w:sz w:val="20"/>
                <w:szCs w:val="20"/>
                <w:color w:val="auto"/>
              </w:rPr>
            </w:pPr>
          </w:p>
        </w:tc>
      </w:tr>
      <w:tr>
        <w:trPr>
          <w:trHeight w:val="20"/>
        </w:trPr>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620" w:space="180"/>
            <w:col w:w="5380"/>
          </w:cols>
          <w:pgMar w:left="340" w:top="324" w:right="379" w:bottom="1440" w:gutter="0" w:footer="0" w:header="0"/>
          <w:type w:val="continuous"/>
        </w:sectPr>
      </w:pP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62230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40" w:top="324" w:right="379" w:bottom="1440" w:gutter="0" w:footer="0" w:header="0"/>
          <w:type w:val="continuous"/>
        </w:sectPr>
      </w:pPr>
    </w:p>
    <w:bookmarkStart w:id="9" w:name="page10"/>
    <w:bookmarkEnd w:id="9"/>
    <w:p>
      <w:pPr>
        <w:ind w:left="4640"/>
        <w:spacing w:after="0"/>
        <w:rPr>
          <w:sz w:val="20"/>
          <w:szCs w:val="20"/>
          <w:color w:val="auto"/>
        </w:rPr>
      </w:pPr>
      <w:r>
        <w:rPr>
          <w:rFonts w:ascii="Arial" w:cs="Arial" w:eastAsia="Arial" w:hAnsi="Arial"/>
          <w:sz w:val="18"/>
          <w:szCs w:val="18"/>
          <w:b w:val="1"/>
          <w:bCs w:val="1"/>
          <w:color w:val="auto"/>
        </w:rPr>
        <w:t>SIGHT SCIENCES, INC.</w:t>
      </w:r>
    </w:p>
    <w:p>
      <w:pPr>
        <w:spacing w:after="0" w:line="25"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Condensed Consolidated Statements of Cash Flows (Unaudited)</w:t>
      </w: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56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Nine Months Ended</w:t>
            </w: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8"/>
        </w:trPr>
        <w:tc>
          <w:tcPr>
            <w:tcW w:w="728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rPr>
              <w:t>September 30,</w:t>
            </w:r>
          </w:p>
        </w:tc>
        <w:tc>
          <w:tcPr>
            <w:tcW w:w="1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7280" w:type="dxa"/>
            <w:vAlign w:val="bottom"/>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6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r>
      <w:tr>
        <w:trPr>
          <w:trHeight w:val="209"/>
        </w:trPr>
        <w:tc>
          <w:tcPr>
            <w:tcW w:w="72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280" w:type="dxa"/>
            <w:vAlign w:val="bottom"/>
          </w:tcPr>
          <w:p>
            <w:pPr>
              <w:ind w:left="20"/>
              <w:spacing w:after="0"/>
              <w:rPr>
                <w:sz w:val="20"/>
                <w:szCs w:val="20"/>
                <w:color w:val="auto"/>
              </w:rPr>
            </w:pPr>
            <w:r>
              <w:rPr>
                <w:rFonts w:ascii="Arial" w:cs="Arial" w:eastAsia="Arial" w:hAnsi="Arial"/>
                <w:sz w:val="18"/>
                <w:szCs w:val="18"/>
                <w:color w:val="auto"/>
              </w:rPr>
              <w:t>Net loss</w:t>
            </w:r>
          </w:p>
        </w:tc>
        <w:tc>
          <w:tcPr>
            <w:tcW w:w="1120" w:type="dxa"/>
            <w:vAlign w:val="bottom"/>
          </w:tcPr>
          <w:p>
            <w:pPr>
              <w:jc w:val="right"/>
              <w:ind w:right="936"/>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30"/>
              <w:spacing w:after="0"/>
              <w:rPr>
                <w:sz w:val="20"/>
                <w:szCs w:val="20"/>
                <w:color w:val="auto"/>
              </w:rPr>
            </w:pPr>
            <w:r>
              <w:rPr>
                <w:rFonts w:ascii="Arial" w:cs="Arial" w:eastAsia="Arial" w:hAnsi="Arial"/>
                <w:sz w:val="18"/>
                <w:szCs w:val="18"/>
                <w:color w:val="auto"/>
                <w:w w:val="99"/>
              </w:rPr>
              <w:t>(69,335 )</w:t>
            </w: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(47,024 )</w:t>
            </w:r>
          </w:p>
        </w:tc>
      </w:tr>
      <w:tr>
        <w:trPr>
          <w:trHeight w:val="216"/>
        </w:trPr>
        <w:tc>
          <w:tcPr>
            <w:tcW w:w="72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28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1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557</w:t>
            </w: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457</w:t>
            </w:r>
          </w:p>
        </w:tc>
        <w:tc>
          <w:tcPr>
            <w:tcW w:w="100" w:type="dxa"/>
            <w:vAlign w:val="bottom"/>
          </w:tcPr>
          <w:p>
            <w:pPr>
              <w:spacing w:after="0"/>
              <w:rPr>
                <w:sz w:val="18"/>
                <w:szCs w:val="18"/>
                <w:color w:val="auto"/>
              </w:rPr>
            </w:pPr>
          </w:p>
        </w:tc>
      </w:tr>
      <w:tr>
        <w:trPr>
          <w:trHeight w:val="216"/>
        </w:trPr>
        <w:tc>
          <w:tcPr>
            <w:tcW w:w="72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Accretion of debt discount and amortization of debt issuance costs</w:t>
            </w:r>
          </w:p>
        </w:tc>
        <w:tc>
          <w:tcPr>
            <w:tcW w:w="11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w:t>
            </w:r>
          </w:p>
        </w:tc>
        <w:tc>
          <w:tcPr>
            <w:tcW w:w="3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531</w:t>
            </w:r>
          </w:p>
        </w:tc>
        <w:tc>
          <w:tcPr>
            <w:tcW w:w="100" w:type="dxa"/>
            <w:vAlign w:val="bottom"/>
            <w:shd w:val="clear" w:color="auto" w:fill="CFF0FC"/>
          </w:tcPr>
          <w:p>
            <w:pPr>
              <w:spacing w:after="0"/>
              <w:rPr>
                <w:sz w:val="18"/>
                <w:szCs w:val="18"/>
                <w:color w:val="auto"/>
              </w:rPr>
            </w:pPr>
          </w:p>
        </w:tc>
      </w:tr>
      <w:tr>
        <w:trPr>
          <w:trHeight w:val="216"/>
        </w:trPr>
        <w:tc>
          <w:tcPr>
            <w:tcW w:w="7280" w:type="dxa"/>
            <w:vAlign w:val="bottom"/>
          </w:tcPr>
          <w:p>
            <w:pPr>
              <w:ind w:left="200"/>
              <w:spacing w:after="0"/>
              <w:rPr>
                <w:sz w:val="20"/>
                <w:szCs w:val="20"/>
                <w:color w:val="auto"/>
              </w:rPr>
            </w:pPr>
            <w:r>
              <w:rPr>
                <w:rFonts w:ascii="Arial" w:cs="Arial" w:eastAsia="Arial" w:hAnsi="Arial"/>
                <w:sz w:val="18"/>
                <w:szCs w:val="18"/>
                <w:color w:val="auto"/>
              </w:rPr>
              <w:t>Stock-based compensation expense</w:t>
            </w:r>
          </w:p>
        </w:tc>
        <w:tc>
          <w:tcPr>
            <w:tcW w:w="1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9,729</w:t>
            </w: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3,107</w:t>
            </w:r>
          </w:p>
        </w:tc>
        <w:tc>
          <w:tcPr>
            <w:tcW w:w="100" w:type="dxa"/>
            <w:vAlign w:val="bottom"/>
          </w:tcPr>
          <w:p>
            <w:pPr>
              <w:spacing w:after="0"/>
              <w:rPr>
                <w:sz w:val="18"/>
                <w:szCs w:val="18"/>
                <w:color w:val="auto"/>
              </w:rPr>
            </w:pPr>
          </w:p>
        </w:tc>
      </w:tr>
      <w:tr>
        <w:trPr>
          <w:trHeight w:val="216"/>
        </w:trPr>
        <w:tc>
          <w:tcPr>
            <w:tcW w:w="72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Provision for doubtful accounts receivable</w:t>
            </w:r>
          </w:p>
        </w:tc>
        <w:tc>
          <w:tcPr>
            <w:tcW w:w="11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w:t>
            </w:r>
          </w:p>
        </w:tc>
        <w:tc>
          <w:tcPr>
            <w:tcW w:w="3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FF0FC"/>
          </w:tcPr>
          <w:p>
            <w:pPr>
              <w:spacing w:after="0"/>
              <w:rPr>
                <w:sz w:val="18"/>
                <w:szCs w:val="18"/>
                <w:color w:val="auto"/>
              </w:rPr>
            </w:pPr>
          </w:p>
        </w:tc>
      </w:tr>
      <w:tr>
        <w:trPr>
          <w:trHeight w:val="216"/>
        </w:trPr>
        <w:tc>
          <w:tcPr>
            <w:tcW w:w="7280" w:type="dxa"/>
            <w:vAlign w:val="bottom"/>
          </w:tcPr>
          <w:p>
            <w:pPr>
              <w:ind w:left="200"/>
              <w:spacing w:after="0"/>
              <w:rPr>
                <w:sz w:val="20"/>
                <w:szCs w:val="20"/>
                <w:color w:val="auto"/>
              </w:rPr>
            </w:pPr>
            <w:r>
              <w:rPr>
                <w:rFonts w:ascii="Arial" w:cs="Arial" w:eastAsia="Arial" w:hAnsi="Arial"/>
                <w:sz w:val="18"/>
                <w:szCs w:val="18"/>
                <w:color w:val="auto"/>
              </w:rPr>
              <w:t>Provision for excess and obsolete inventories</w:t>
            </w:r>
          </w:p>
        </w:tc>
        <w:tc>
          <w:tcPr>
            <w:tcW w:w="1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124</w:t>
            </w: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18"/>
                <w:szCs w:val="18"/>
                <w:color w:val="auto"/>
              </w:rPr>
            </w:pPr>
          </w:p>
        </w:tc>
      </w:tr>
      <w:tr>
        <w:trPr>
          <w:trHeight w:val="216"/>
        </w:trPr>
        <w:tc>
          <w:tcPr>
            <w:tcW w:w="72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Noncash operating lease expense</w:t>
            </w:r>
          </w:p>
        </w:tc>
        <w:tc>
          <w:tcPr>
            <w:tcW w:w="11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w:t>
            </w:r>
          </w:p>
        </w:tc>
        <w:tc>
          <w:tcPr>
            <w:tcW w:w="3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w:t>
            </w:r>
          </w:p>
        </w:tc>
        <w:tc>
          <w:tcPr>
            <w:tcW w:w="100" w:type="dxa"/>
            <w:vAlign w:val="bottom"/>
            <w:shd w:val="clear" w:color="auto" w:fill="CFF0FC"/>
          </w:tcPr>
          <w:p>
            <w:pPr>
              <w:spacing w:after="0"/>
              <w:rPr>
                <w:sz w:val="18"/>
                <w:szCs w:val="18"/>
                <w:color w:val="auto"/>
              </w:rPr>
            </w:pPr>
          </w:p>
        </w:tc>
      </w:tr>
      <w:tr>
        <w:trPr>
          <w:trHeight w:val="216"/>
        </w:trPr>
        <w:tc>
          <w:tcPr>
            <w:tcW w:w="7280" w:type="dxa"/>
            <w:vAlign w:val="bottom"/>
          </w:tcPr>
          <w:p>
            <w:pPr>
              <w:ind w:left="200"/>
              <w:spacing w:after="0"/>
              <w:rPr>
                <w:sz w:val="20"/>
                <w:szCs w:val="20"/>
                <w:color w:val="auto"/>
              </w:rPr>
            </w:pPr>
            <w:r>
              <w:rPr>
                <w:rFonts w:ascii="Arial" w:cs="Arial" w:eastAsia="Arial" w:hAnsi="Arial"/>
                <w:sz w:val="18"/>
                <w:szCs w:val="18"/>
                <w:color w:val="auto"/>
              </w:rPr>
              <w:t>Change in fair value of redeemable convertible preferred stock warrant</w:t>
            </w:r>
          </w:p>
        </w:tc>
        <w:tc>
          <w:tcPr>
            <w:tcW w:w="1120" w:type="dxa"/>
            <w:vAlign w:val="bottom"/>
          </w:tcPr>
          <w:p>
            <w:pPr>
              <w:spacing w:after="0"/>
              <w:rPr>
                <w:sz w:val="18"/>
                <w:szCs w:val="18"/>
                <w:color w:val="auto"/>
              </w:rPr>
            </w:pPr>
          </w:p>
        </w:tc>
        <w:tc>
          <w:tcPr>
            <w:tcW w:w="96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6,861</w:t>
            </w:r>
          </w:p>
        </w:tc>
        <w:tc>
          <w:tcPr>
            <w:tcW w:w="100" w:type="dxa"/>
            <w:vAlign w:val="bottom"/>
          </w:tcPr>
          <w:p>
            <w:pPr>
              <w:spacing w:after="0"/>
              <w:rPr>
                <w:sz w:val="18"/>
                <w:szCs w:val="18"/>
                <w:color w:val="auto"/>
              </w:rPr>
            </w:pPr>
          </w:p>
        </w:tc>
      </w:tr>
      <w:tr>
        <w:trPr>
          <w:trHeight w:val="216"/>
        </w:trPr>
        <w:tc>
          <w:tcPr>
            <w:tcW w:w="72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Loss on disposal of property and equipment</w:t>
            </w:r>
          </w:p>
        </w:tc>
        <w:tc>
          <w:tcPr>
            <w:tcW w:w="11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3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FF0FC"/>
          </w:tcPr>
          <w:p>
            <w:pPr>
              <w:spacing w:after="0"/>
              <w:rPr>
                <w:sz w:val="18"/>
                <w:szCs w:val="18"/>
                <w:color w:val="auto"/>
              </w:rPr>
            </w:pPr>
          </w:p>
        </w:tc>
      </w:tr>
      <w:tr>
        <w:trPr>
          <w:trHeight w:val="216"/>
        </w:trPr>
        <w:tc>
          <w:tcPr>
            <w:tcW w:w="7280" w:type="dxa"/>
            <w:vAlign w:val="bottom"/>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receivable</w:t>
            </w:r>
          </w:p>
        </w:tc>
        <w:tc>
          <w:tcPr>
            <w:tcW w:w="11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(4,280 )</w:t>
            </w:r>
          </w:p>
        </w:tc>
        <w:tc>
          <w:tcPr>
            <w:tcW w:w="6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(3,707 )</w:t>
            </w:r>
          </w:p>
        </w:tc>
      </w:tr>
      <w:tr>
        <w:trPr>
          <w:trHeight w:val="216"/>
        </w:trPr>
        <w:tc>
          <w:tcPr>
            <w:tcW w:w="7280" w:type="dxa"/>
            <w:vAlign w:val="bottom"/>
          </w:tcPr>
          <w:p>
            <w:pPr>
              <w:ind w:left="200"/>
              <w:spacing w:after="0"/>
              <w:rPr>
                <w:sz w:val="20"/>
                <w:szCs w:val="20"/>
                <w:color w:val="auto"/>
              </w:rPr>
            </w:pPr>
            <w:r>
              <w:rPr>
                <w:rFonts w:ascii="Arial" w:cs="Arial" w:eastAsia="Arial" w:hAnsi="Arial"/>
                <w:sz w:val="18"/>
                <w:szCs w:val="18"/>
                <w:color w:val="auto"/>
              </w:rPr>
              <w:t>Inventory</w:t>
            </w:r>
          </w:p>
        </w:tc>
        <w:tc>
          <w:tcPr>
            <w:tcW w:w="1120" w:type="dxa"/>
            <w:vAlign w:val="bottom"/>
          </w:tcPr>
          <w:p>
            <w:pPr>
              <w:spacing w:after="0"/>
              <w:rPr>
                <w:sz w:val="18"/>
                <w:szCs w:val="18"/>
                <w:color w:val="auto"/>
              </w:rPr>
            </w:pPr>
          </w:p>
        </w:tc>
        <w:tc>
          <w:tcPr>
            <w:tcW w:w="960" w:type="dxa"/>
            <w:vAlign w:val="bottom"/>
            <w:gridSpan w:val="2"/>
          </w:tcPr>
          <w:p>
            <w:pPr>
              <w:jc w:val="right"/>
              <w:ind w:right="130"/>
              <w:spacing w:after="0"/>
              <w:rPr>
                <w:sz w:val="20"/>
                <w:szCs w:val="20"/>
                <w:color w:val="auto"/>
              </w:rPr>
            </w:pPr>
            <w:r>
              <w:rPr>
                <w:rFonts w:ascii="Arial" w:cs="Arial" w:eastAsia="Arial" w:hAnsi="Arial"/>
                <w:sz w:val="18"/>
                <w:szCs w:val="18"/>
                <w:color w:val="auto"/>
              </w:rPr>
              <w:t>(2,169 )</w:t>
            </w:r>
          </w:p>
        </w:tc>
        <w:tc>
          <w:tcPr>
            <w:tcW w:w="6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(648 )</w:t>
            </w:r>
          </w:p>
        </w:tc>
      </w:tr>
      <w:tr>
        <w:trPr>
          <w:trHeight w:val="216"/>
        </w:trPr>
        <w:tc>
          <w:tcPr>
            <w:tcW w:w="72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1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(245 )</w:t>
            </w:r>
          </w:p>
        </w:tc>
        <w:tc>
          <w:tcPr>
            <w:tcW w:w="6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(3,331 )</w:t>
            </w:r>
          </w:p>
        </w:tc>
      </w:tr>
      <w:tr>
        <w:trPr>
          <w:trHeight w:val="216"/>
        </w:trPr>
        <w:tc>
          <w:tcPr>
            <w:tcW w:w="7280" w:type="dxa"/>
            <w:vAlign w:val="bottom"/>
          </w:tcPr>
          <w:p>
            <w:pPr>
              <w:ind w:left="200"/>
              <w:spacing w:after="0"/>
              <w:rPr>
                <w:sz w:val="20"/>
                <w:szCs w:val="20"/>
                <w:color w:val="auto"/>
              </w:rPr>
            </w:pPr>
            <w:r>
              <w:rPr>
                <w:rFonts w:ascii="Arial" w:cs="Arial" w:eastAsia="Arial" w:hAnsi="Arial"/>
                <w:sz w:val="18"/>
                <w:szCs w:val="18"/>
                <w:color w:val="auto"/>
              </w:rPr>
              <w:t>Other noncurrent assets</w:t>
            </w:r>
          </w:p>
        </w:tc>
        <w:tc>
          <w:tcPr>
            <w:tcW w:w="1120" w:type="dxa"/>
            <w:vAlign w:val="bottom"/>
          </w:tcPr>
          <w:p>
            <w:pPr>
              <w:spacing w:after="0"/>
              <w:rPr>
                <w:sz w:val="18"/>
                <w:szCs w:val="18"/>
                <w:color w:val="auto"/>
              </w:rPr>
            </w:pPr>
          </w:p>
        </w:tc>
        <w:tc>
          <w:tcPr>
            <w:tcW w:w="96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18"/>
                <w:szCs w:val="18"/>
                <w:color w:val="auto"/>
              </w:rPr>
            </w:pPr>
          </w:p>
        </w:tc>
      </w:tr>
      <w:tr>
        <w:trPr>
          <w:trHeight w:val="216"/>
        </w:trPr>
        <w:tc>
          <w:tcPr>
            <w:tcW w:w="72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payable</w:t>
            </w:r>
          </w:p>
        </w:tc>
        <w:tc>
          <w:tcPr>
            <w:tcW w:w="11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(77 )</w:t>
            </w:r>
          </w:p>
        </w:tc>
        <w:tc>
          <w:tcPr>
            <w:tcW w:w="6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(319 )</w:t>
            </w:r>
          </w:p>
        </w:tc>
      </w:tr>
      <w:tr>
        <w:trPr>
          <w:trHeight w:val="216"/>
        </w:trPr>
        <w:tc>
          <w:tcPr>
            <w:tcW w:w="7280" w:type="dxa"/>
            <w:vAlign w:val="bottom"/>
          </w:tcPr>
          <w:p>
            <w:pPr>
              <w:ind w:left="200"/>
              <w:spacing w:after="0"/>
              <w:rPr>
                <w:sz w:val="20"/>
                <w:szCs w:val="20"/>
                <w:color w:val="auto"/>
              </w:rPr>
            </w:pPr>
            <w:r>
              <w:rPr>
                <w:rFonts w:ascii="Arial" w:cs="Arial" w:eastAsia="Arial" w:hAnsi="Arial"/>
                <w:sz w:val="18"/>
                <w:szCs w:val="18"/>
                <w:color w:val="auto"/>
              </w:rPr>
              <w:t>Accrued compensation</w:t>
            </w:r>
          </w:p>
        </w:tc>
        <w:tc>
          <w:tcPr>
            <w:tcW w:w="1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2,006</w:t>
            </w: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569</w:t>
            </w:r>
          </w:p>
        </w:tc>
        <w:tc>
          <w:tcPr>
            <w:tcW w:w="100" w:type="dxa"/>
            <w:vAlign w:val="bottom"/>
          </w:tcPr>
          <w:p>
            <w:pPr>
              <w:spacing w:after="0"/>
              <w:rPr>
                <w:sz w:val="18"/>
                <w:szCs w:val="18"/>
                <w:color w:val="auto"/>
              </w:rPr>
            </w:pPr>
          </w:p>
        </w:tc>
      </w:tr>
      <w:tr>
        <w:trPr>
          <w:trHeight w:val="216"/>
        </w:trPr>
        <w:tc>
          <w:tcPr>
            <w:tcW w:w="72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Accrued and other current liabilities</w:t>
            </w:r>
          </w:p>
        </w:tc>
        <w:tc>
          <w:tcPr>
            <w:tcW w:w="11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1,631</w:t>
            </w:r>
          </w:p>
        </w:tc>
        <w:tc>
          <w:tcPr>
            <w:tcW w:w="3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FF0FC"/>
          </w:tcPr>
          <w:p>
            <w:pPr>
              <w:spacing w:after="0"/>
              <w:rPr>
                <w:sz w:val="18"/>
                <w:szCs w:val="18"/>
                <w:color w:val="auto"/>
              </w:rPr>
            </w:pPr>
          </w:p>
        </w:tc>
      </w:tr>
      <w:tr>
        <w:trPr>
          <w:trHeight w:val="216"/>
        </w:trPr>
        <w:tc>
          <w:tcPr>
            <w:tcW w:w="7280" w:type="dxa"/>
            <w:vAlign w:val="bottom"/>
          </w:tcPr>
          <w:p>
            <w:pPr>
              <w:ind w:left="200"/>
              <w:spacing w:after="0"/>
              <w:rPr>
                <w:sz w:val="20"/>
                <w:szCs w:val="20"/>
                <w:color w:val="auto"/>
              </w:rPr>
            </w:pPr>
            <w:r>
              <w:rPr>
                <w:rFonts w:ascii="Arial" w:cs="Arial" w:eastAsia="Arial" w:hAnsi="Arial"/>
                <w:sz w:val="18"/>
                <w:szCs w:val="18"/>
                <w:color w:val="auto"/>
              </w:rPr>
              <w:t>Other noncurrent liabilities</w:t>
            </w:r>
          </w:p>
        </w:tc>
        <w:tc>
          <w:tcPr>
            <w:tcW w:w="1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30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18"/>
                <w:szCs w:val="18"/>
                <w:color w:val="auto"/>
              </w:rPr>
            </w:pPr>
          </w:p>
        </w:tc>
      </w:tr>
      <w:tr>
        <w:trPr>
          <w:trHeight w:val="210"/>
        </w:trPr>
        <w:tc>
          <w:tcPr>
            <w:tcW w:w="72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b w:val="1"/>
                <w:bCs w:val="1"/>
                <w:color w:val="auto"/>
              </w:rPr>
              <w:t>Net cash used in operating activities</w:t>
            </w:r>
          </w:p>
        </w:tc>
        <w:tc>
          <w:tcPr>
            <w:tcW w:w="112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(60,463</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(41,818</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09"/>
        </w:trPr>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Purchases of property and equipment</w:t>
            </w:r>
          </w:p>
        </w:tc>
        <w:tc>
          <w:tcPr>
            <w:tcW w:w="11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(841 )</w:t>
            </w:r>
          </w:p>
        </w:tc>
        <w:tc>
          <w:tcPr>
            <w:tcW w:w="6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(656 )</w:t>
            </w:r>
          </w:p>
        </w:tc>
      </w:tr>
      <w:tr>
        <w:trPr>
          <w:trHeight w:val="20"/>
        </w:trPr>
        <w:tc>
          <w:tcPr>
            <w:tcW w:w="728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280" w:type="dxa"/>
            <w:vAlign w:val="bottom"/>
          </w:tcPr>
          <w:p>
            <w:pPr>
              <w:ind w:left="200"/>
              <w:spacing w:after="0"/>
              <w:rPr>
                <w:sz w:val="20"/>
                <w:szCs w:val="20"/>
                <w:color w:val="auto"/>
              </w:rPr>
            </w:pPr>
            <w:r>
              <w:rPr>
                <w:rFonts w:ascii="Arial" w:cs="Arial" w:eastAsia="Arial" w:hAnsi="Arial"/>
                <w:sz w:val="18"/>
                <w:szCs w:val="18"/>
                <w:b w:val="1"/>
                <w:bCs w:val="1"/>
                <w:color w:val="auto"/>
              </w:rPr>
              <w:t>Net cash used in investing activities</w:t>
            </w:r>
          </w:p>
        </w:tc>
        <w:tc>
          <w:tcPr>
            <w:tcW w:w="1120" w:type="dxa"/>
            <w:vAlign w:val="bottom"/>
          </w:tcPr>
          <w:p>
            <w:pPr>
              <w:spacing w:after="0"/>
              <w:rPr>
                <w:sz w:val="18"/>
                <w:szCs w:val="18"/>
                <w:color w:val="auto"/>
              </w:rPr>
            </w:pPr>
          </w:p>
        </w:tc>
        <w:tc>
          <w:tcPr>
            <w:tcW w:w="960" w:type="dxa"/>
            <w:vAlign w:val="bottom"/>
            <w:gridSpan w:val="2"/>
          </w:tcPr>
          <w:p>
            <w:pPr>
              <w:jc w:val="right"/>
              <w:ind w:right="130"/>
              <w:spacing w:after="0"/>
              <w:rPr>
                <w:sz w:val="20"/>
                <w:szCs w:val="20"/>
                <w:color w:val="auto"/>
              </w:rPr>
            </w:pPr>
            <w:r>
              <w:rPr>
                <w:rFonts w:ascii="Arial" w:cs="Arial" w:eastAsia="Arial" w:hAnsi="Arial"/>
                <w:sz w:val="18"/>
                <w:szCs w:val="18"/>
                <w:color w:val="auto"/>
              </w:rPr>
              <w:t>(841 )</w:t>
            </w:r>
          </w:p>
        </w:tc>
        <w:tc>
          <w:tcPr>
            <w:tcW w:w="6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(656 )</w:t>
            </w:r>
          </w:p>
        </w:tc>
      </w:tr>
      <w:tr>
        <w:trPr>
          <w:trHeight w:val="209"/>
        </w:trPr>
        <w:tc>
          <w:tcPr>
            <w:tcW w:w="72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12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75"/>
        </w:trPr>
        <w:tc>
          <w:tcPr>
            <w:tcW w:w="7280" w:type="dxa"/>
            <w:vAlign w:val="bottom"/>
          </w:tcPr>
          <w:p>
            <w:pPr>
              <w:ind w:left="20"/>
              <w:spacing w:after="0" w:line="175" w:lineRule="exact"/>
              <w:rPr>
                <w:sz w:val="20"/>
                <w:szCs w:val="20"/>
                <w:color w:val="auto"/>
              </w:rPr>
            </w:pPr>
            <w:r>
              <w:rPr>
                <w:rFonts w:ascii="Arial" w:cs="Arial" w:eastAsia="Arial" w:hAnsi="Arial"/>
                <w:sz w:val="18"/>
                <w:szCs w:val="18"/>
                <w:color w:val="auto"/>
              </w:rPr>
              <w:t>Proceeds from issuance of common stock upon initial public offering, net of underwriting</w:t>
            </w:r>
          </w:p>
        </w:tc>
        <w:tc>
          <w:tcPr>
            <w:tcW w:w="1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0"/>
        </w:trPr>
        <w:tc>
          <w:tcPr>
            <w:tcW w:w="7280" w:type="dxa"/>
            <w:vAlign w:val="bottom"/>
          </w:tcPr>
          <w:p>
            <w:pPr>
              <w:ind w:left="20"/>
              <w:spacing w:after="0"/>
              <w:rPr>
                <w:sz w:val="20"/>
                <w:szCs w:val="20"/>
                <w:color w:val="auto"/>
              </w:rPr>
            </w:pPr>
            <w:r>
              <w:rPr>
                <w:rFonts w:ascii="Arial" w:cs="Arial" w:eastAsia="Arial" w:hAnsi="Arial"/>
                <w:sz w:val="18"/>
                <w:szCs w:val="18"/>
                <w:color w:val="auto"/>
              </w:rPr>
              <w:t>discounts and commissions</w:t>
            </w:r>
          </w:p>
        </w:tc>
        <w:tc>
          <w:tcPr>
            <w:tcW w:w="1120" w:type="dxa"/>
            <w:vAlign w:val="bottom"/>
          </w:tcPr>
          <w:p>
            <w:pPr>
              <w:spacing w:after="0"/>
              <w:rPr>
                <w:sz w:val="20"/>
                <w:szCs w:val="20"/>
                <w:color w:val="auto"/>
              </w:rPr>
            </w:pPr>
          </w:p>
        </w:tc>
        <w:tc>
          <w:tcPr>
            <w:tcW w:w="96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256,680</w:t>
            </w:r>
          </w:p>
        </w:tc>
        <w:tc>
          <w:tcPr>
            <w:tcW w:w="100" w:type="dxa"/>
            <w:vAlign w:val="bottom"/>
          </w:tcPr>
          <w:p>
            <w:pPr>
              <w:spacing w:after="0"/>
              <w:rPr>
                <w:sz w:val="20"/>
                <w:szCs w:val="20"/>
                <w:color w:val="auto"/>
              </w:rPr>
            </w:pPr>
          </w:p>
        </w:tc>
      </w:tr>
      <w:tr>
        <w:trPr>
          <w:trHeight w:val="216"/>
        </w:trPr>
        <w:tc>
          <w:tcPr>
            <w:tcW w:w="7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Payment of other offering costs related to the initial public offering</w:t>
            </w:r>
          </w:p>
        </w:tc>
        <w:tc>
          <w:tcPr>
            <w:tcW w:w="11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(4,506 )</w:t>
            </w:r>
          </w:p>
        </w:tc>
      </w:tr>
      <w:tr>
        <w:trPr>
          <w:trHeight w:val="216"/>
        </w:trPr>
        <w:tc>
          <w:tcPr>
            <w:tcW w:w="7280" w:type="dxa"/>
            <w:vAlign w:val="bottom"/>
          </w:tcPr>
          <w:p>
            <w:pPr>
              <w:ind w:left="20"/>
              <w:spacing w:after="0"/>
              <w:rPr>
                <w:sz w:val="20"/>
                <w:szCs w:val="20"/>
                <w:color w:val="auto"/>
              </w:rPr>
            </w:pPr>
            <w:r>
              <w:rPr>
                <w:rFonts w:ascii="Arial" w:cs="Arial" w:eastAsia="Arial" w:hAnsi="Arial"/>
                <w:sz w:val="18"/>
                <w:szCs w:val="18"/>
                <w:color w:val="auto"/>
              </w:rPr>
              <w:t>Proceeds from exercise of common stock options</w:t>
            </w:r>
          </w:p>
        </w:tc>
        <w:tc>
          <w:tcPr>
            <w:tcW w:w="1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w:t>
            </w:r>
          </w:p>
        </w:tc>
        <w:tc>
          <w:tcPr>
            <w:tcW w:w="30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18"/>
                <w:szCs w:val="18"/>
                <w:color w:val="auto"/>
              </w:rPr>
            </w:pPr>
          </w:p>
        </w:tc>
      </w:tr>
      <w:tr>
        <w:trPr>
          <w:trHeight w:val="210"/>
        </w:trPr>
        <w:tc>
          <w:tcPr>
            <w:tcW w:w="72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b w:val="1"/>
                <w:bCs w:val="1"/>
                <w:color w:val="auto"/>
              </w:rPr>
              <w:t>Net cash provided by financing activities</w:t>
            </w:r>
          </w:p>
        </w:tc>
        <w:tc>
          <w:tcPr>
            <w:tcW w:w="112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436</w:t>
            </w:r>
          </w:p>
        </w:tc>
        <w:tc>
          <w:tcPr>
            <w:tcW w:w="30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252,438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Net change in cash and cash equivalents</w:t>
            </w:r>
          </w:p>
        </w:tc>
        <w:tc>
          <w:tcPr>
            <w:tcW w:w="1120" w:type="dxa"/>
            <w:vAlign w:val="bottom"/>
          </w:tcPr>
          <w:p>
            <w:pPr>
              <w:spacing w:after="0"/>
              <w:rPr>
                <w:sz w:val="18"/>
                <w:szCs w:val="18"/>
                <w:color w:val="auto"/>
              </w:rPr>
            </w:pPr>
          </w:p>
        </w:tc>
        <w:tc>
          <w:tcPr>
            <w:tcW w:w="960" w:type="dxa"/>
            <w:vAlign w:val="bottom"/>
            <w:gridSpan w:val="2"/>
          </w:tcPr>
          <w:p>
            <w:pPr>
              <w:jc w:val="right"/>
              <w:ind w:right="130"/>
              <w:spacing w:after="0"/>
              <w:rPr>
                <w:sz w:val="20"/>
                <w:szCs w:val="20"/>
                <w:color w:val="auto"/>
              </w:rPr>
            </w:pPr>
            <w:r>
              <w:rPr>
                <w:rFonts w:ascii="Arial" w:cs="Arial" w:eastAsia="Arial" w:hAnsi="Arial"/>
                <w:sz w:val="18"/>
                <w:szCs w:val="18"/>
                <w:color w:val="auto"/>
                <w:w w:val="99"/>
              </w:rPr>
              <w:t>(60,868 )</w:t>
            </w:r>
          </w:p>
        </w:tc>
        <w:tc>
          <w:tcPr>
            <w:tcW w:w="6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209,964</w:t>
            </w:r>
          </w:p>
        </w:tc>
        <w:tc>
          <w:tcPr>
            <w:tcW w:w="100" w:type="dxa"/>
            <w:vAlign w:val="bottom"/>
          </w:tcPr>
          <w:p>
            <w:pPr>
              <w:spacing w:after="0"/>
              <w:rPr>
                <w:sz w:val="18"/>
                <w:szCs w:val="18"/>
                <w:color w:val="auto"/>
              </w:rPr>
            </w:pPr>
          </w:p>
        </w:tc>
      </w:tr>
      <w:tr>
        <w:trPr>
          <w:trHeight w:val="216"/>
        </w:trPr>
        <w:tc>
          <w:tcPr>
            <w:tcW w:w="72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112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260,687</w:t>
            </w:r>
          </w:p>
        </w:tc>
        <w:tc>
          <w:tcPr>
            <w:tcW w:w="30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61,511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280" w:type="dxa"/>
            <w:vAlign w:val="bottom"/>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1120" w:type="dxa"/>
            <w:vAlign w:val="bottom"/>
            <w:tcBorders>
              <w:bottom w:val="single" w:sz="8" w:color="auto"/>
            </w:tcBorders>
          </w:tcPr>
          <w:p>
            <w:pPr>
              <w:jc w:val="right"/>
              <w:ind w:right="936"/>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199,819</w:t>
            </w:r>
          </w:p>
        </w:tc>
        <w:tc>
          <w:tcPr>
            <w:tcW w:w="300" w:type="dxa"/>
            <w:vAlign w:val="bottom"/>
          </w:tcPr>
          <w:p>
            <w:pPr>
              <w:spacing w:after="0"/>
              <w:rPr>
                <w:sz w:val="18"/>
                <w:szCs w:val="18"/>
                <w:color w:val="auto"/>
              </w:rPr>
            </w:pP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271,475</w:t>
            </w:r>
          </w:p>
        </w:tc>
        <w:tc>
          <w:tcPr>
            <w:tcW w:w="100" w:type="dxa"/>
            <w:vAlign w:val="bottom"/>
          </w:tcPr>
          <w:p>
            <w:pPr>
              <w:spacing w:after="0"/>
              <w:rPr>
                <w:sz w:val="18"/>
                <w:szCs w:val="18"/>
                <w:color w:val="auto"/>
              </w:rPr>
            </w:pPr>
          </w:p>
        </w:tc>
      </w:tr>
      <w:tr>
        <w:trPr>
          <w:trHeight w:val="20"/>
        </w:trPr>
        <w:tc>
          <w:tcPr>
            <w:tcW w:w="72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-1704975</wp:posOffset>
            </wp:positionV>
            <wp:extent cx="68580" cy="1454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-1704975</wp:posOffset>
            </wp:positionV>
            <wp:extent cx="68580" cy="1454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-1422400</wp:posOffset>
            </wp:positionV>
            <wp:extent cx="68580" cy="1543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-1422400</wp:posOffset>
            </wp:positionV>
            <wp:extent cx="68580" cy="1543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-453390</wp:posOffset>
            </wp:positionV>
            <wp:extent cx="68580" cy="1454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1454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-170815</wp:posOffset>
            </wp:positionV>
            <wp:extent cx="68580" cy="3086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30861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3086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308610"/>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p>
      <w:pPr>
        <w:spacing w:after="0" w:line="198" w:lineRule="exact"/>
        <w:rPr>
          <w:sz w:val="20"/>
          <w:szCs w:val="20"/>
          <w:color w:val="auto"/>
        </w:rPr>
      </w:pPr>
    </w:p>
    <w:p>
      <w:pPr>
        <w:ind w:left="20" w:right="3200"/>
        <w:spacing w:after="0" w:line="261" w:lineRule="auto"/>
        <w:rPr>
          <w:sz w:val="20"/>
          <w:szCs w:val="20"/>
          <w:color w:val="auto"/>
        </w:rPr>
      </w:pPr>
      <w:r>
        <w:rPr>
          <w:rFonts w:ascii="Arial" w:cs="Arial" w:eastAsia="Arial" w:hAnsi="Arial"/>
          <w:sz w:val="18"/>
          <w:szCs w:val="18"/>
          <w:b w:val="1"/>
          <w:bCs w:val="1"/>
          <w:color w:val="auto"/>
        </w:rPr>
        <w:t xml:space="preserve">Supplemental disclosure of cash flow information </w:t>
      </w:r>
      <w:r>
        <w:rPr>
          <w:rFonts w:ascii="Arial" w:cs="Arial" w:eastAsia="Arial" w:hAnsi="Arial"/>
          <w:sz w:val="18"/>
          <w:szCs w:val="18"/>
          <w:color w:val="auto"/>
        </w:rPr>
        <w:t>Cash paid for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b w:val="1"/>
          <w:bCs w:val="1"/>
          <w:color w:val="auto"/>
        </w:rPr>
        <w:t>Supplemental noncash disclosure</w:t>
      </w:r>
    </w:p>
    <w:p>
      <w:pPr>
        <w:spacing w:after="0" w:line="9" w:lineRule="exact"/>
        <w:rPr>
          <w:sz w:val="20"/>
          <w:szCs w:val="20"/>
          <w:color w:val="auto"/>
        </w:rPr>
      </w:pPr>
    </w:p>
    <w:p>
      <w:pPr>
        <w:ind w:left="20" w:right="440"/>
        <w:spacing w:after="0" w:line="250" w:lineRule="auto"/>
        <w:rPr>
          <w:sz w:val="20"/>
          <w:szCs w:val="20"/>
          <w:color w:val="auto"/>
        </w:rPr>
      </w:pPr>
      <w:r>
        <w:rPr>
          <w:rFonts w:ascii="Arial" w:cs="Arial" w:eastAsia="Arial" w:hAnsi="Arial"/>
          <w:sz w:val="18"/>
          <w:szCs w:val="18"/>
          <w:color w:val="auto"/>
        </w:rPr>
        <w:t>Acquisition of property and equipment included in accounts payable and accrued liabilities Common Stock issued on conversion of convertible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132320"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
        <w:spacing w:after="0" w:line="234" w:lineRule="auto"/>
        <w:rPr>
          <w:sz w:val="20"/>
          <w:szCs w:val="20"/>
          <w:color w:val="auto"/>
        </w:rPr>
      </w:pPr>
      <w:r>
        <w:rPr>
          <w:rFonts w:ascii="Arial" w:cs="Arial" w:eastAsia="Arial" w:hAnsi="Arial"/>
          <w:sz w:val="18"/>
          <w:szCs w:val="18"/>
          <w:color w:val="auto"/>
        </w:rPr>
        <w:t>Common stock warrants issued on conversion of preferred stock warrants and the reclassification of the warrant liability</w:t>
      </w:r>
    </w:p>
    <w:p>
      <w:pPr>
        <w:spacing w:after="0" w:line="20" w:lineRule="exact"/>
        <w:rPr>
          <w:sz w:val="20"/>
          <w:szCs w:val="20"/>
          <w:color w:val="auto"/>
        </w:rPr>
      </w:pPr>
      <w:r>
        <w:rPr>
          <w:sz w:val="20"/>
          <w:szCs w:val="20"/>
          <w:color w:val="auto"/>
        </w:rPr>
        <w:br w:type="column"/>
      </w:r>
    </w:p>
    <w:p>
      <w:pPr>
        <w:spacing w:after="0" w:line="398"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283"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81"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20" w:lineRule="exact"/>
        <w:rPr>
          <w:sz w:val="20"/>
          <w:szCs w:val="20"/>
          <w:color w:val="auto"/>
        </w:rPr>
      </w:pPr>
      <w:r>
        <w:rPr>
          <w:sz w:val="20"/>
          <w:szCs w:val="20"/>
          <w:color w:val="auto"/>
        </w:rPr>
        <w:br w:type="column"/>
      </w:r>
    </w:p>
    <w:p>
      <w:pPr>
        <w:spacing w:after="0" w:line="3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jc w:val="right"/>
              <w:ind w:right="70"/>
              <w:spacing w:after="0"/>
              <w:rPr>
                <w:sz w:val="20"/>
                <w:szCs w:val="20"/>
                <w:color w:val="auto"/>
              </w:rPr>
            </w:pPr>
            <w:r>
              <w:rPr>
                <w:rFonts w:ascii="Arial" w:cs="Arial" w:eastAsia="Arial" w:hAnsi="Arial"/>
                <w:sz w:val="18"/>
                <w:szCs w:val="18"/>
                <w:color w:val="auto"/>
                <w:w w:val="88"/>
              </w:rPr>
              <w:t>2,350</w:t>
            </w:r>
          </w:p>
        </w:tc>
        <w:tc>
          <w:tcPr>
            <w:tcW w:w="78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2,331</w:t>
            </w:r>
          </w:p>
        </w:tc>
        <w:tc>
          <w:tcPr>
            <w:tcW w:w="0" w:type="dxa"/>
            <w:vAlign w:val="bottom"/>
          </w:tcPr>
          <w:p>
            <w:pPr>
              <w:spacing w:after="0"/>
              <w:rPr>
                <w:sz w:val="1"/>
                <w:szCs w:val="1"/>
                <w:color w:val="auto"/>
              </w:rPr>
            </w:pPr>
          </w:p>
        </w:tc>
      </w:tr>
      <w:tr>
        <w:trPr>
          <w:trHeight w:val="418"/>
        </w:trPr>
        <w:tc>
          <w:tcPr>
            <w:tcW w:w="580" w:type="dxa"/>
            <w:vAlign w:val="bottom"/>
          </w:tcPr>
          <w:p>
            <w:pPr>
              <w:jc w:val="right"/>
              <w:ind w:right="70"/>
              <w:spacing w:after="0"/>
              <w:rPr>
                <w:sz w:val="20"/>
                <w:szCs w:val="20"/>
                <w:color w:val="auto"/>
              </w:rPr>
            </w:pPr>
            <w:r>
              <w:rPr>
                <w:rFonts w:ascii="Arial" w:cs="Arial" w:eastAsia="Arial" w:hAnsi="Arial"/>
                <w:sz w:val="18"/>
                <w:szCs w:val="18"/>
                <w:color w:val="auto"/>
              </w:rPr>
              <w:t>46</w:t>
            </w:r>
          </w:p>
        </w:tc>
        <w:tc>
          <w:tcPr>
            <w:tcW w:w="78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30"/>
        </w:trPr>
        <w:tc>
          <w:tcPr>
            <w:tcW w:w="5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117,331</w:t>
            </w:r>
          </w:p>
        </w:tc>
        <w:tc>
          <w:tcPr>
            <w:tcW w:w="0" w:type="dxa"/>
            <w:vAlign w:val="bottom"/>
          </w:tcPr>
          <w:p>
            <w:pPr>
              <w:spacing w:after="0"/>
              <w:rPr>
                <w:sz w:val="1"/>
                <w:szCs w:val="1"/>
                <w:color w:val="auto"/>
              </w:rPr>
            </w:pPr>
          </w:p>
        </w:tc>
      </w:tr>
      <w:tr>
        <w:trPr>
          <w:trHeight w:val="310"/>
        </w:trPr>
        <w:tc>
          <w:tcPr>
            <w:tcW w:w="5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ind w:right="450"/>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8,973</w:t>
            </w: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3">
            <w:col w:w="7020" w:space="280"/>
            <w:col w:w="620" w:space="720"/>
            <w:col w:w="2600"/>
          </w:cols>
          <w:pgMar w:left="320" w:top="324" w:right="339" w:bottom="1440" w:gutter="0" w:footer="0" w:header="0"/>
          <w:type w:val="continuous"/>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type w:val="continuous"/>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SIGHT SCIENCES,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1. Company and Nature of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Description of Business</w:t>
      </w:r>
    </w:p>
    <w:p>
      <w:pPr>
        <w:spacing w:after="0" w:line="212" w:lineRule="exact"/>
        <w:rPr>
          <w:sz w:val="20"/>
          <w:szCs w:val="20"/>
          <w:color w:val="auto"/>
        </w:rPr>
      </w:pPr>
    </w:p>
    <w:p>
      <w:pPr>
        <w:ind w:right="220" w:firstLine="509"/>
        <w:spacing w:after="0" w:line="248" w:lineRule="auto"/>
        <w:rPr>
          <w:sz w:val="20"/>
          <w:szCs w:val="20"/>
          <w:color w:val="auto"/>
        </w:rPr>
      </w:pPr>
      <w:r>
        <w:rPr>
          <w:rFonts w:ascii="Arial" w:cs="Arial" w:eastAsia="Arial" w:hAnsi="Arial"/>
          <w:sz w:val="18"/>
          <w:szCs w:val="18"/>
          <w:color w:val="auto"/>
        </w:rPr>
        <w:t>Sight Sciences, Inc. (the “Company”) was incorporated in the State of Delaware in 2010 and is headquartered in Menlo Park, California. The Company is an ophthalmic medical device company focused on the development and commercialization of surgical and nonsurgical technologies for the treatment of prevalent eye diseases.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04" w:lineRule="exact"/>
        <w:rPr>
          <w:sz w:val="20"/>
          <w:szCs w:val="20"/>
          <w:color w:val="auto"/>
        </w:rPr>
      </w:pPr>
    </w:p>
    <w:p>
      <w:pPr>
        <w:ind w:firstLine="509"/>
        <w:spacing w:after="0" w:line="290" w:lineRule="auto"/>
        <w:rPr>
          <w:sz w:val="20"/>
          <w:szCs w:val="20"/>
          <w:color w:val="auto"/>
        </w:rPr>
      </w:pPr>
      <w:r>
        <w:rPr>
          <w:rFonts w:ascii="Arial" w:cs="Arial" w:eastAsia="Arial" w:hAnsi="Arial"/>
          <w:sz w:val="16"/>
          <w:szCs w:val="16"/>
          <w:color w:val="auto"/>
        </w:rPr>
        <w:t>In July 2021, the Company closed its initial public offering (“IPO”) of its common stock in which the Company issued and sold 10,000,000 shares of its common stock, and sold an additional 1,500,000 shares of common stock upon the full exercise of the underwriters’ option to purchase additional shares of the Company's common stock. These sales occurred at the initial public offering price of $24.00 per share. The Company received net proceeds of approximately $252.2 million from the IPO, after deducting underwriting discounts and commissions of $19.3 million and offering costs of $4.5 million.</w:t>
      </w:r>
    </w:p>
    <w:p>
      <w:pPr>
        <w:spacing w:after="0" w:line="150" w:lineRule="exact"/>
        <w:rPr>
          <w:sz w:val="20"/>
          <w:szCs w:val="20"/>
          <w:color w:val="auto"/>
        </w:rPr>
      </w:pPr>
    </w:p>
    <w:p>
      <w:pPr>
        <w:ind w:right="40" w:firstLine="509"/>
        <w:spacing w:after="0" w:line="303" w:lineRule="auto"/>
        <w:rPr>
          <w:sz w:val="20"/>
          <w:szCs w:val="20"/>
          <w:color w:val="auto"/>
        </w:rPr>
      </w:pPr>
      <w:r>
        <w:rPr>
          <w:rFonts w:ascii="Arial" w:cs="Arial" w:eastAsia="Arial" w:hAnsi="Arial"/>
          <w:sz w:val="16"/>
          <w:szCs w:val="16"/>
          <w:color w:val="auto"/>
        </w:rPr>
        <w:t>Immediately prior to the closing of the IPO, all then-outstanding shares of redeemable convertible preferred stock were converted into 25,534,404 shares of common stock. Further, all outstanding redeemable convertible preferred stock warrants were converted into warrants to purchase 659,028 shares of common stock, which resulted in the reclassification of the convertible preferred stock warrant liability to additional paid-in capital.</w:t>
      </w:r>
    </w:p>
    <w:p>
      <w:pPr>
        <w:spacing w:after="0" w:line="140" w:lineRule="exact"/>
        <w:rPr>
          <w:sz w:val="20"/>
          <w:szCs w:val="20"/>
          <w:color w:val="auto"/>
        </w:rPr>
      </w:pPr>
    </w:p>
    <w:p>
      <w:pPr>
        <w:ind w:right="100" w:firstLine="509"/>
        <w:spacing w:after="0" w:line="256" w:lineRule="auto"/>
        <w:rPr>
          <w:sz w:val="20"/>
          <w:szCs w:val="20"/>
          <w:color w:val="auto"/>
        </w:rPr>
      </w:pPr>
      <w:r>
        <w:rPr>
          <w:rFonts w:ascii="Arial" w:cs="Arial" w:eastAsia="Arial" w:hAnsi="Arial"/>
          <w:sz w:val="18"/>
          <w:szCs w:val="18"/>
          <w:color w:val="auto"/>
        </w:rPr>
        <w:t>In connection with the Company’s IPO, in July 2021, the Company’s certificate of incorporation was amended and restated to provide for 200,000,000 authorized shares of common stock with a par value of $0.001 per share and 10,000,000 authorized shares of preferred stock with a par value of $0.001 per share.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Significant Risks and Uncertainties</w:t>
      </w:r>
    </w:p>
    <w:p>
      <w:pPr>
        <w:spacing w:after="0" w:line="117"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Since inception, the Company has incurred losses and negative cash flows from operations. As of September 30, 2022, the Company had an accumulated deficit of $222.3 million and recorded a net loss of $69.3 million for the nine months then ended and expects to incur future additional losses. If the Company’s revenue levels from its products are not sufficient or if the Company is unable to secure additional funding when desired, the Company may need to delay the development of its products and scale back its business and operations.</w:t>
      </w:r>
    </w:p>
    <w:p>
      <w:pPr>
        <w:spacing w:after="0" w:line="201" w:lineRule="exact"/>
        <w:rPr>
          <w:sz w:val="20"/>
          <w:szCs w:val="20"/>
          <w:color w:val="auto"/>
        </w:rPr>
      </w:pPr>
    </w:p>
    <w:p>
      <w:pPr>
        <w:ind w:right="60" w:firstLine="509"/>
        <w:spacing w:after="0" w:line="263" w:lineRule="auto"/>
        <w:rPr>
          <w:sz w:val="20"/>
          <w:szCs w:val="20"/>
          <w:color w:val="auto"/>
        </w:rPr>
      </w:pPr>
      <w:r>
        <w:rPr>
          <w:rFonts w:ascii="Arial" w:cs="Arial" w:eastAsia="Arial" w:hAnsi="Arial"/>
          <w:sz w:val="17"/>
          <w:szCs w:val="17"/>
          <w:color w:val="auto"/>
        </w:rPr>
        <w:t>The Company believes that its existing sources of liquidity will satisfy its working capital and capital requirements for at least 12 months from the issuance of its financial statements. Any failure to generate sufficient revenues, achieve planned gross margins, or control operating costs could require the Company to raise additional capital through equity or debt financing. Such additional financing may not be available on acceptable terms, or at all, and could require the Company to modify, delay, or abandon some of its planned future expansion or expenditures or reduce some of its ongoing operating costs, which could harm its business, operating results, financial condition, and ability to achieve its intended business objectives.</w:t>
      </w:r>
    </w:p>
    <w:p>
      <w:pPr>
        <w:spacing w:after="0" w:line="171" w:lineRule="exact"/>
        <w:rPr>
          <w:sz w:val="20"/>
          <w:szCs w:val="20"/>
          <w:color w:val="auto"/>
        </w:rPr>
      </w:pPr>
    </w:p>
    <w:p>
      <w:pPr>
        <w:ind w:right="140" w:firstLine="509"/>
        <w:spacing w:after="0" w:line="280" w:lineRule="auto"/>
        <w:rPr>
          <w:sz w:val="20"/>
          <w:szCs w:val="20"/>
          <w:color w:val="auto"/>
        </w:rPr>
      </w:pPr>
      <w:r>
        <w:rPr>
          <w:rFonts w:ascii="Arial" w:cs="Arial" w:eastAsia="Arial" w:hAnsi="Arial"/>
          <w:sz w:val="16"/>
          <w:szCs w:val="16"/>
          <w:color w:val="auto"/>
        </w:rPr>
        <w:t>The COVID-19 pandemic has impacted, and may in the future impact, demand for the Company's products, which are used in procedures and therapies that are considered elective. COVID-19 may also, directly or indirectly, have an unfavorable impact on other areas of the Company's business including, but not limited to, supply chain, sales, third party manufacturing, research and development costs and clinical studies. The full effect of the COVID-19 pandemic on the Company's financial condition and results of operations remains highly uncertain and cannot be predicted with confidence, and will depend on certain developments, including the duration and severity of the COVID-19 pandemic and its potential variants. As occurred in earlier stages of the COVID-19 pandemic, the Company may, among other things, experience reduced customer demand or constrained supply that could materially adversely impact business, financial condition, results of operations, liquidity and cash flows in future periods.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21" w:lineRule="exact"/>
        <w:rPr>
          <w:sz w:val="20"/>
          <w:szCs w:val="20"/>
          <w:color w:val="auto"/>
        </w:rPr>
      </w:pPr>
    </w:p>
    <w:p>
      <w:pPr>
        <w:jc w:val="both"/>
        <w:ind w:right="340" w:firstLine="509"/>
        <w:spacing w:after="0" w:line="248" w:lineRule="auto"/>
        <w:rPr>
          <w:sz w:val="20"/>
          <w:szCs w:val="20"/>
          <w:color w:val="auto"/>
        </w:rPr>
      </w:pPr>
      <w:r>
        <w:rPr>
          <w:rFonts w:ascii="Arial" w:cs="Arial" w:eastAsia="Arial" w:hAnsi="Arial"/>
          <w:sz w:val="18"/>
          <w:szCs w:val="18"/>
          <w:color w:val="auto"/>
        </w:rPr>
        <w:t>There have been no significant changes in the Company's significant accounting policies during the nine months ended September 30, 2022, as compared with those disclosed in the 2021 Form 10-K for the year ended December 31, 2021 filed with the U.S. Securities and Exchange Commission (SEC) on March 24, 2022.</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Basis of Presentation</w:t>
      </w:r>
    </w:p>
    <w:p>
      <w:pPr>
        <w:spacing w:after="0" w:line="10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accompanying condensed consolidated financial statements are unaudited and have been prepared in accordance with generally accepted</w:t>
      </w:r>
    </w:p>
    <w:p>
      <w:pPr>
        <w:spacing w:after="0" w:line="23"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accounting principles in the United States of America (“GAAP”) applicable to interim periods and pursuant to the instructions to Form 10-Q and Article 10 of Regulation S-X.</w:t>
      </w:r>
    </w:p>
    <w:p>
      <w:pPr>
        <w:spacing w:after="0" w:line="65"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The unaudited consolidated financial statements have been prepared on a basis consistent with the audited financial statements. In the opinion of management, the unaudited consolidated financial statements reflect all adjustments, which include only normal recurring adjustments, necessary for the fair presentation of the Company's financial information contained herein. The condensed consolidated balance sheet as of December 31, 2021 has been derived from the audited financial statements at that date. These interim consolidated financial statements do not include all disclosures required by GAAP and should be read in conjunction with the Company's financial statements and accompanying notes for the fiscal year ended December 31, 2021, which are contained in the Company's 2021 Form 10-K filed with the SEC on March 24, 2022. The Company's results of operations for the three- and nine-months ended September 30, 2022 are not necessarily indicative of the results to be expected for the year ending December 31, 2022 or for any other interim period.</w:t>
      </w:r>
    </w:p>
    <w:p>
      <w:pPr>
        <w:spacing w:after="0" w:line="186" w:lineRule="exact"/>
        <w:rPr>
          <w:sz w:val="20"/>
          <w:szCs w:val="20"/>
          <w:color w:val="auto"/>
        </w:rPr>
      </w:pPr>
    </w:p>
    <w:p>
      <w:pPr>
        <w:ind w:right="500" w:firstLine="509"/>
        <w:spacing w:after="0" w:line="277" w:lineRule="auto"/>
        <w:rPr>
          <w:sz w:val="20"/>
          <w:szCs w:val="20"/>
          <w:color w:val="auto"/>
        </w:rPr>
      </w:pPr>
      <w:r>
        <w:rPr>
          <w:rFonts w:ascii="Arial" w:cs="Arial" w:eastAsia="Arial" w:hAnsi="Arial"/>
          <w:sz w:val="18"/>
          <w:szCs w:val="18"/>
          <w:color w:val="auto"/>
        </w:rPr>
        <w:t>The accompanying condensed consolidated financial statements reflect the operations of the Company and its wholly-owned subsidiaries. All intercompany accounts and transactions have been eliminated.</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Use of Estimates</w:t>
      </w:r>
    </w:p>
    <w:p>
      <w:pPr>
        <w:spacing w:after="0" w:line="104"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color w:val="231F20"/>
        </w:rPr>
        <w:t>The preparation of financial statements in conformity with GAAP requires management to make estimates and assumptions that affect the reported amounts of assets and liabilities, disclosure of contingent liabilities at the date of the financial statements, and the reported amounts of revenues and expenses during the reporting period. The most significant estimates related to inventory excess and obsolescence, the selection of useful lives of property and equipment, determination of the fair value of stock option grants, the fair value of the redeemable convertible preferred stock warrants, and provisions for income taxes and contingencies. Management evaluates its estimates and assumptions on an ongoing basis using historical experience and other factors, including the current economic environment, and makes adjustments when facts and circumstances dictate. These estimates are based on information available as of the date of the financial statements. Actual results could differ from these estimates and such differences could be material to the Company’s financial position and results of operations.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104" w:lineRule="exact"/>
        <w:rPr>
          <w:sz w:val="20"/>
          <w:szCs w:val="20"/>
          <w:color w:val="auto"/>
        </w:rPr>
      </w:pPr>
    </w:p>
    <w:p>
      <w:pPr>
        <w:jc w:val="both"/>
        <w:ind w:right="360" w:firstLine="509"/>
        <w:spacing w:after="0" w:line="256" w:lineRule="auto"/>
        <w:rPr>
          <w:sz w:val="20"/>
          <w:szCs w:val="20"/>
          <w:color w:val="auto"/>
        </w:rPr>
      </w:pPr>
      <w:r>
        <w:rPr>
          <w:rFonts w:ascii="Arial" w:cs="Arial" w:eastAsia="Arial" w:hAnsi="Arial"/>
          <w:sz w:val="18"/>
          <w:szCs w:val="18"/>
          <w:color w:val="auto"/>
        </w:rPr>
        <w:t>During the three and nine-month period ended September 30, 2022, there were no significant Accounting Standard Updates (ASU's) issued that were adopted. As of September 30, 2022, there are no significant ASU's issued and not yet adopted, that are expected to have a material impact on the Company's financial statements and related disclosures.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Fair Value Measurements</w:t>
      </w:r>
    </w:p>
    <w:p>
      <w:pPr>
        <w:spacing w:after="0" w:line="108" w:lineRule="exact"/>
        <w:rPr>
          <w:sz w:val="20"/>
          <w:szCs w:val="20"/>
          <w:color w:val="auto"/>
        </w:rPr>
      </w:pPr>
    </w:p>
    <w:p>
      <w:pPr>
        <w:ind w:firstLine="509"/>
        <w:spacing w:after="0" w:line="246" w:lineRule="auto"/>
        <w:rPr>
          <w:sz w:val="20"/>
          <w:szCs w:val="20"/>
          <w:color w:val="auto"/>
        </w:rPr>
      </w:pPr>
      <w:r>
        <w:rPr>
          <w:rFonts w:ascii="Arial" w:cs="Arial" w:eastAsia="Arial" w:hAnsi="Arial"/>
          <w:sz w:val="18"/>
          <w:szCs w:val="18"/>
          <w:color w:val="auto"/>
        </w:rPr>
        <w:t>The Company reports all financial assets and liabilities and nonfinancial assets and liabilities that are recognized or disclosed at fair value in the financial statements on a recurring basis. Valuation techniques used to measure fair value must maximize the use of observable inputs and minimize the use of unobservable inputs. The authoritative guidance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measurements involving significant unobservable inputs (Level 3 measurements). The three levels of the fair value hierarchy are as follows: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8" w:right="359" w:bottom="1440" w:gutter="0" w:footer="0" w:header="0"/>
        </w:sectPr>
      </w:pPr>
    </w:p>
    <w:bookmarkStart w:id="12" w:name="page13"/>
    <w:bookmarkEnd w:id="12"/>
    <w:p>
      <w:pPr>
        <w:ind w:right="220" w:firstLine="509"/>
        <w:spacing w:after="0" w:line="277" w:lineRule="auto"/>
        <w:rPr>
          <w:sz w:val="20"/>
          <w:szCs w:val="20"/>
          <w:color w:val="auto"/>
        </w:rPr>
      </w:pPr>
      <w:r>
        <w:rPr>
          <w:rFonts w:ascii="Arial" w:cs="Arial" w:eastAsia="Arial" w:hAnsi="Arial"/>
          <w:sz w:val="18"/>
          <w:szCs w:val="18"/>
          <w:color w:val="auto"/>
        </w:rPr>
        <w:t>Level 1—Inputs are quoted prices (unadjusted) in active markets for identical assets or liabilities that the Company has the ability to access at the measurement date.</w:t>
      </w:r>
    </w:p>
    <w:p>
      <w:pPr>
        <w:spacing w:after="0" w:line="49" w:lineRule="exact"/>
        <w:rPr>
          <w:sz w:val="20"/>
          <w:szCs w:val="20"/>
          <w:color w:val="auto"/>
        </w:rPr>
      </w:pPr>
    </w:p>
    <w:p>
      <w:pPr>
        <w:ind w:right="100" w:firstLine="509"/>
        <w:spacing w:after="0" w:line="256" w:lineRule="auto"/>
        <w:rPr>
          <w:sz w:val="20"/>
          <w:szCs w:val="20"/>
          <w:color w:val="auto"/>
        </w:rPr>
      </w:pPr>
      <w:r>
        <w:rPr>
          <w:rFonts w:ascii="Arial" w:cs="Arial" w:eastAsia="Arial" w:hAnsi="Arial"/>
          <w:sz w:val="18"/>
          <w:szCs w:val="18"/>
          <w:color w:val="auto"/>
        </w:rPr>
        <w:t>Level 2—Inputs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w:t>
      </w:r>
    </w:p>
    <w:p>
      <w:pPr>
        <w:spacing w:after="0" w:line="67" w:lineRule="exact"/>
        <w:rPr>
          <w:sz w:val="20"/>
          <w:szCs w:val="20"/>
          <w:color w:val="auto"/>
        </w:rPr>
      </w:pPr>
    </w:p>
    <w:p>
      <w:pPr>
        <w:ind w:right="140" w:firstLine="509"/>
        <w:spacing w:after="0" w:line="261" w:lineRule="auto"/>
        <w:rPr>
          <w:sz w:val="20"/>
          <w:szCs w:val="20"/>
          <w:color w:val="auto"/>
        </w:rPr>
      </w:pPr>
      <w:r>
        <w:rPr>
          <w:rFonts w:ascii="Arial" w:cs="Arial" w:eastAsia="Arial" w:hAnsi="Arial"/>
          <w:sz w:val="18"/>
          <w:szCs w:val="18"/>
          <w:color w:val="auto"/>
        </w:rPr>
        <w:t>Level 3—Inputs are unobservable inputs for the asset or liability. The level in the fair value hierarchy within which a fair value measurement in its entirety is based on the lowest-level input that is significant to the fair value measurement in its entirety.</w:t>
      </w:r>
    </w:p>
    <w:p>
      <w:pPr>
        <w:spacing w:after="0" w:line="184"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The Company's cash and cash equivalents included $174.4 million of treasury bills as of September 30, 2022. These securities are classified as held-to-maturity and all have been purchased with original maturities of 90 days or less. Held-to-maturity debt securities are recorded at amortized cost in the financial statements.</w:t>
      </w:r>
    </w:p>
    <w:p>
      <w:pPr>
        <w:spacing w:after="0" w:line="200" w:lineRule="exact"/>
        <w:rPr>
          <w:sz w:val="20"/>
          <w:szCs w:val="20"/>
          <w:color w:val="auto"/>
        </w:rPr>
      </w:pPr>
    </w:p>
    <w:p>
      <w:pPr>
        <w:spacing w:after="0" w:line="203"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36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3"/>
          </w:tcPr>
          <w:p>
            <w:pPr>
              <w:jc w:val="right"/>
              <w:ind w:right="859"/>
              <w:spacing w:after="0"/>
              <w:rPr>
                <w:sz w:val="20"/>
                <w:szCs w:val="20"/>
                <w:color w:val="auto"/>
              </w:rPr>
            </w:pPr>
            <w:r>
              <w:rPr>
                <w:rFonts w:ascii="Arial" w:cs="Arial" w:eastAsia="Arial" w:hAnsi="Arial"/>
                <w:sz w:val="14"/>
                <w:szCs w:val="14"/>
                <w:b w:val="1"/>
                <w:bCs w:val="1"/>
                <w:color w:val="auto"/>
              </w:rPr>
              <w:t>September 30, 2022</w:t>
            </w: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69"/>
        </w:trPr>
        <w:tc>
          <w:tcPr>
            <w:tcW w:w="36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Amortized Cost</w:t>
            </w:r>
          </w:p>
        </w:tc>
        <w:tc>
          <w:tcPr>
            <w:tcW w:w="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Unrealized Gains</w:t>
            </w:r>
          </w:p>
        </w:tc>
        <w:tc>
          <w:tcPr>
            <w:tcW w:w="100" w:type="dxa"/>
            <w:vAlign w:val="bottom"/>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Unrealized Losses</w:t>
            </w: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w w:val="94"/>
              </w:rPr>
              <w:t>Aggregate Fair Value</w:t>
            </w:r>
          </w:p>
        </w:tc>
        <w:tc>
          <w:tcPr>
            <w:tcW w:w="120" w:type="dxa"/>
            <w:vAlign w:val="bottom"/>
          </w:tcPr>
          <w:p>
            <w:pPr>
              <w:spacing w:after="0"/>
              <w:rPr>
                <w:sz w:val="14"/>
                <w:szCs w:val="14"/>
                <w:color w:val="auto"/>
              </w:rPr>
            </w:pPr>
          </w:p>
        </w:tc>
      </w:tr>
      <w:tr>
        <w:trPr>
          <w:trHeight w:val="210"/>
        </w:trPr>
        <w:tc>
          <w:tcPr>
            <w:tcW w:w="3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U.S. treasury securities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174,435</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1259"/>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(18</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174,433</w:t>
            </w:r>
          </w:p>
        </w:tc>
        <w:tc>
          <w:tcPr>
            <w:tcW w:w="120" w:type="dxa"/>
            <w:vAlign w:val="bottom"/>
            <w:shd w:val="clear" w:color="auto" w:fill="CFF0FC"/>
          </w:tcPr>
          <w:p>
            <w:pPr>
              <w:spacing w:after="0"/>
              <w:rPr>
                <w:sz w:val="18"/>
                <w:szCs w:val="18"/>
                <w:color w:val="auto"/>
              </w:rPr>
            </w:pPr>
          </w:p>
        </w:tc>
      </w:tr>
    </w:tbl>
    <w:p>
      <w:pPr>
        <w:spacing w:after="0" w:line="202"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The Company measures the fair value of outstanding debt for disclosure purposes on a recurring basis. As of September 30, 2022 and December 31, 2021, total debt of $33.2 million and $32.7 million is reported at amortized cost, respectively. This outstanding debt is classified as Level 2 as it is not actively traded. The amortized cost of the outstanding debt approximates the fair value.</w:t>
      </w:r>
    </w:p>
    <w:p>
      <w:pPr>
        <w:spacing w:after="0" w:line="195" w:lineRule="exact"/>
        <w:rPr>
          <w:sz w:val="20"/>
          <w:szCs w:val="20"/>
          <w:color w:val="auto"/>
        </w:rPr>
      </w:pPr>
    </w:p>
    <w:p>
      <w:pPr>
        <w:ind w:right="80" w:firstLine="509"/>
        <w:spacing w:after="0" w:line="260" w:lineRule="auto"/>
        <w:rPr>
          <w:sz w:val="20"/>
          <w:szCs w:val="20"/>
          <w:color w:val="auto"/>
        </w:rPr>
      </w:pPr>
      <w:r>
        <w:rPr>
          <w:rFonts w:ascii="Arial" w:cs="Arial" w:eastAsia="Arial" w:hAnsi="Arial"/>
          <w:sz w:val="17"/>
          <w:szCs w:val="17"/>
          <w:color w:val="auto"/>
        </w:rPr>
        <w:t>The Company measured the redeemable convertible preferred stock warrants using Level 3 unobservable inputs within the Black-Scholes option-pricing model. The key assumptions included the fair value of redeemable convertible preferred stock, volatility, the risk-free interest rate, expected term (remaining contractual term of the warrants) and dividend yield. The Company had limited historical volatility information available, and the expected volatility was based on actual volatility for comparable public companies projected over the expected terms of the warrants. The Company did not apply a forfeiture rate to the warrants as there was not enough historical information available to estimate such a rate. The risk-free rate was based on the U.S. Treasury yield curve at the time of the grant over the expected term of the warrants.</w:t>
      </w:r>
    </w:p>
    <w:p>
      <w:pPr>
        <w:spacing w:after="0" w:line="187" w:lineRule="exact"/>
        <w:rPr>
          <w:sz w:val="20"/>
          <w:szCs w:val="20"/>
          <w:color w:val="auto"/>
        </w:rPr>
      </w:pPr>
    </w:p>
    <w:p>
      <w:pPr>
        <w:ind w:right="300" w:firstLine="509"/>
        <w:spacing w:after="0" w:line="249" w:lineRule="auto"/>
        <w:rPr>
          <w:sz w:val="20"/>
          <w:szCs w:val="20"/>
          <w:color w:val="auto"/>
        </w:rPr>
      </w:pPr>
      <w:r>
        <w:rPr>
          <w:rFonts w:ascii="Arial" w:cs="Arial" w:eastAsia="Arial" w:hAnsi="Arial"/>
          <w:sz w:val="18"/>
          <w:szCs w:val="18"/>
          <w:color w:val="auto"/>
        </w:rPr>
        <w:t>The Company determined the fair value of the redeemable convertible preferred stock warrants quarterly, with subsequent gains and losses from remeasurement of Level 3 financial liabilities recorded through other income (expense), net in condensed consolidated statements of operations and comprehensive loss. The redeemable convertible preferred stock warrants were converted to common stock warrants upon the closing of the IPO and subsequently settled during the third quarter of the year ended December 31, 2021.</w:t>
      </w: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13" w:name="page14"/>
    <w:bookmarkEnd w:id="13"/>
    <w:p>
      <w:pPr>
        <w:ind w:right="420" w:firstLine="509"/>
        <w:spacing w:after="0" w:line="277" w:lineRule="auto"/>
        <w:rPr>
          <w:sz w:val="20"/>
          <w:szCs w:val="20"/>
          <w:color w:val="auto"/>
        </w:rPr>
      </w:pPr>
      <w:r>
        <w:rPr>
          <w:rFonts w:ascii="Arial" w:cs="Arial" w:eastAsia="Arial" w:hAnsi="Arial"/>
          <w:sz w:val="18"/>
          <w:szCs w:val="18"/>
          <w:color w:val="auto"/>
        </w:rPr>
        <w:t>A summary of the changes in the fair value of the Company’s Level 3 financial instruments for the three and nine months ended September 30, 2021, is as follows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Redeemable convertible</w:t>
            </w:r>
          </w:p>
        </w:tc>
      </w:tr>
      <w:tr>
        <w:trPr>
          <w:trHeight w:val="162"/>
        </w:trPr>
        <w:tc>
          <w:tcPr>
            <w:tcW w:w="9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preferred stock warrants</w:t>
            </w:r>
          </w:p>
        </w:tc>
      </w:tr>
      <w:tr>
        <w:trPr>
          <w:trHeight w:val="185"/>
        </w:trPr>
        <w:tc>
          <w:tcPr>
            <w:tcW w:w="9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liabilities</w:t>
            </w:r>
          </w:p>
        </w:tc>
      </w:tr>
      <w:tr>
        <w:trPr>
          <w:trHeight w:val="209"/>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 December 31, 2020</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2,112</w:t>
            </w:r>
          </w:p>
        </w:tc>
        <w:tc>
          <w:tcPr>
            <w:tcW w:w="100" w:type="dxa"/>
            <w:vAlign w:val="bottom"/>
            <w:shd w:val="clear" w:color="auto" w:fill="CFF0FC"/>
          </w:tcPr>
          <w:p>
            <w:pPr>
              <w:spacing w:after="0"/>
              <w:rPr>
                <w:sz w:val="18"/>
                <w:szCs w:val="18"/>
                <w:color w:val="auto"/>
              </w:rPr>
            </w:pPr>
          </w:p>
        </w:tc>
      </w:tr>
      <w:tr>
        <w:trPr>
          <w:trHeight w:val="216"/>
        </w:trPr>
        <w:tc>
          <w:tcPr>
            <w:tcW w:w="9180" w:type="dxa"/>
            <w:vAlign w:val="bottom"/>
          </w:tcPr>
          <w:p>
            <w:pPr>
              <w:ind w:left="20"/>
              <w:spacing w:after="0"/>
              <w:rPr>
                <w:sz w:val="20"/>
                <w:szCs w:val="20"/>
                <w:color w:val="auto"/>
              </w:rPr>
            </w:pPr>
            <w:r>
              <w:rPr>
                <w:rFonts w:ascii="Arial" w:cs="Arial" w:eastAsia="Arial" w:hAnsi="Arial"/>
                <w:sz w:val="18"/>
                <w:szCs w:val="18"/>
                <w:color w:val="auto"/>
              </w:rPr>
              <w:t>Change in fair value</w:t>
            </w:r>
          </w:p>
        </w:tc>
        <w:tc>
          <w:tcPr>
            <w:tcW w:w="140" w:type="dxa"/>
            <w:vAlign w:val="bottom"/>
          </w:tcPr>
          <w:p>
            <w:pPr>
              <w:spacing w:after="0"/>
              <w:rPr>
                <w:sz w:val="18"/>
                <w:szCs w:val="18"/>
                <w:color w:val="auto"/>
              </w:rPr>
            </w:pPr>
          </w:p>
        </w:tc>
        <w:tc>
          <w:tcPr>
            <w:tcW w:w="1920" w:type="dxa"/>
            <w:vAlign w:val="bottom"/>
            <w:gridSpan w:val="2"/>
          </w:tcPr>
          <w:p>
            <w:pPr>
              <w:jc w:val="right"/>
              <w:ind w:right="40"/>
              <w:spacing w:after="0"/>
              <w:rPr>
                <w:sz w:val="20"/>
                <w:szCs w:val="20"/>
                <w:color w:val="auto"/>
              </w:rPr>
            </w:pPr>
            <w:r>
              <w:rPr>
                <w:rFonts w:ascii="Arial" w:cs="Arial" w:eastAsia="Arial" w:hAnsi="Arial"/>
                <w:sz w:val="18"/>
                <w:szCs w:val="18"/>
                <w:color w:val="auto"/>
              </w:rPr>
              <w:t>(555 )</w:t>
            </w:r>
          </w:p>
        </w:tc>
      </w:tr>
      <w:tr>
        <w:trPr>
          <w:trHeight w:val="209"/>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 March 31, 2021</w:t>
            </w:r>
          </w:p>
        </w:tc>
        <w:tc>
          <w:tcPr>
            <w:tcW w:w="140" w:type="dxa"/>
            <w:vAlign w:val="bottom"/>
            <w:tcBorders>
              <w:top w:val="single" w:sz="8" w:color="auto"/>
            </w:tcBorders>
            <w:shd w:val="clear" w:color="auto" w:fill="CFF0FC"/>
          </w:tcPr>
          <w:p>
            <w:pPr>
              <w:spacing w:after="0"/>
              <w:rPr>
                <w:sz w:val="18"/>
                <w:szCs w:val="18"/>
                <w:color w:val="auto"/>
              </w:rPr>
            </w:pPr>
          </w:p>
        </w:tc>
        <w:tc>
          <w:tcPr>
            <w:tcW w:w="1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1,557</w:t>
            </w:r>
          </w:p>
        </w:tc>
        <w:tc>
          <w:tcPr>
            <w:tcW w:w="100" w:type="dxa"/>
            <w:vAlign w:val="bottom"/>
            <w:shd w:val="clear" w:color="auto" w:fill="CFF0FC"/>
          </w:tcPr>
          <w:p>
            <w:pPr>
              <w:spacing w:after="0"/>
              <w:rPr>
                <w:sz w:val="18"/>
                <w:szCs w:val="18"/>
                <w:color w:val="auto"/>
              </w:rPr>
            </w:pPr>
          </w:p>
        </w:tc>
      </w:tr>
      <w:tr>
        <w:trPr>
          <w:trHeight w:val="216"/>
        </w:trPr>
        <w:tc>
          <w:tcPr>
            <w:tcW w:w="9180" w:type="dxa"/>
            <w:vAlign w:val="bottom"/>
          </w:tcPr>
          <w:p>
            <w:pPr>
              <w:ind w:left="20"/>
              <w:spacing w:after="0"/>
              <w:rPr>
                <w:sz w:val="20"/>
                <w:szCs w:val="20"/>
                <w:color w:val="auto"/>
              </w:rPr>
            </w:pPr>
            <w:r>
              <w:rPr>
                <w:rFonts w:ascii="Arial" w:cs="Arial" w:eastAsia="Arial" w:hAnsi="Arial"/>
                <w:sz w:val="18"/>
                <w:szCs w:val="18"/>
                <w:color w:val="auto"/>
              </w:rPr>
              <w:t>Change in fair value</w:t>
            </w:r>
          </w:p>
        </w:tc>
        <w:tc>
          <w:tcPr>
            <w:tcW w:w="1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5,427</w:t>
            </w:r>
          </w:p>
        </w:tc>
        <w:tc>
          <w:tcPr>
            <w:tcW w:w="100" w:type="dxa"/>
            <w:vAlign w:val="bottom"/>
          </w:tcPr>
          <w:p>
            <w:pPr>
              <w:spacing w:after="0"/>
              <w:rPr>
                <w:sz w:val="18"/>
                <w:szCs w:val="18"/>
                <w:color w:val="auto"/>
              </w:rPr>
            </w:pPr>
          </w:p>
        </w:tc>
      </w:tr>
      <w:tr>
        <w:trPr>
          <w:trHeight w:val="209"/>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 June 30, 2021</w:t>
            </w:r>
          </w:p>
        </w:tc>
        <w:tc>
          <w:tcPr>
            <w:tcW w:w="140" w:type="dxa"/>
            <w:vAlign w:val="bottom"/>
            <w:shd w:val="clear" w:color="auto" w:fill="CFF0FC"/>
          </w:tcPr>
          <w:p>
            <w:pPr>
              <w:spacing w:after="0"/>
              <w:rPr>
                <w:sz w:val="18"/>
                <w:szCs w:val="18"/>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6,984</w:t>
            </w:r>
          </w:p>
        </w:tc>
        <w:tc>
          <w:tcPr>
            <w:tcW w:w="100" w:type="dxa"/>
            <w:vAlign w:val="bottom"/>
            <w:shd w:val="clear" w:color="auto" w:fill="CFF0FC"/>
          </w:tcPr>
          <w:p>
            <w:pPr>
              <w:spacing w:after="0"/>
              <w:rPr>
                <w:sz w:val="18"/>
                <w:szCs w:val="18"/>
                <w:color w:val="auto"/>
              </w:rPr>
            </w:pPr>
          </w:p>
        </w:tc>
      </w:tr>
      <w:tr>
        <w:trPr>
          <w:trHeight w:val="216"/>
        </w:trPr>
        <w:tc>
          <w:tcPr>
            <w:tcW w:w="9180" w:type="dxa"/>
            <w:vAlign w:val="bottom"/>
          </w:tcPr>
          <w:p>
            <w:pPr>
              <w:ind w:left="20"/>
              <w:spacing w:after="0"/>
              <w:rPr>
                <w:sz w:val="20"/>
                <w:szCs w:val="20"/>
                <w:color w:val="auto"/>
              </w:rPr>
            </w:pPr>
            <w:r>
              <w:rPr>
                <w:rFonts w:ascii="Arial" w:cs="Arial" w:eastAsia="Arial" w:hAnsi="Arial"/>
                <w:sz w:val="18"/>
                <w:szCs w:val="18"/>
                <w:color w:val="auto"/>
              </w:rPr>
              <w:t>Change in fair value</w:t>
            </w:r>
          </w:p>
        </w:tc>
        <w:tc>
          <w:tcPr>
            <w:tcW w:w="14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1,989</w:t>
            </w:r>
          </w:p>
        </w:tc>
        <w:tc>
          <w:tcPr>
            <w:tcW w:w="100" w:type="dxa"/>
            <w:vAlign w:val="bottom"/>
          </w:tcPr>
          <w:p>
            <w:pPr>
              <w:spacing w:after="0"/>
              <w:rPr>
                <w:sz w:val="18"/>
                <w:szCs w:val="18"/>
                <w:color w:val="auto"/>
              </w:rPr>
            </w:pPr>
          </w:p>
        </w:tc>
      </w:tr>
      <w:tr>
        <w:trPr>
          <w:trHeight w:val="216"/>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Conversion of preferred stock warrants to common stock warrants upon the closing of the IPO</w:t>
            </w:r>
          </w:p>
        </w:tc>
        <w:tc>
          <w:tcPr>
            <w:tcW w:w="140" w:type="dxa"/>
            <w:vAlign w:val="bottom"/>
            <w:shd w:val="clear" w:color="auto" w:fill="CFF0FC"/>
          </w:tcPr>
          <w:p>
            <w:pPr>
              <w:spacing w:after="0"/>
              <w:rPr>
                <w:sz w:val="18"/>
                <w:szCs w:val="18"/>
                <w:color w:val="auto"/>
              </w:rPr>
            </w:pPr>
          </w:p>
        </w:tc>
        <w:tc>
          <w:tcPr>
            <w:tcW w:w="1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(8,973 )</w:t>
            </w:r>
          </w:p>
        </w:tc>
      </w:tr>
      <w:tr>
        <w:trPr>
          <w:trHeight w:val="210"/>
        </w:trPr>
        <w:tc>
          <w:tcPr>
            <w:tcW w:w="918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Balance – September 30, 2021</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tcPr>
          <w:p>
            <w:pPr>
              <w:spacing w:after="0"/>
              <w:rPr>
                <w:sz w:val="18"/>
                <w:szCs w:val="18"/>
                <w:color w:val="auto"/>
              </w:rPr>
            </w:pPr>
          </w:p>
        </w:tc>
      </w:tr>
      <w:tr>
        <w:trPr>
          <w:trHeight w:val="20"/>
        </w:trPr>
        <w:tc>
          <w:tcPr>
            <w:tcW w:w="9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82" w:lineRule="exact"/>
        <w:rPr>
          <w:sz w:val="20"/>
          <w:szCs w:val="20"/>
          <w:color w:val="auto"/>
        </w:rPr>
      </w:pPr>
    </w:p>
    <w:p>
      <w:pPr>
        <w:ind w:right="80" w:firstLine="509"/>
        <w:spacing w:after="0" w:line="277" w:lineRule="auto"/>
        <w:rPr>
          <w:sz w:val="20"/>
          <w:szCs w:val="20"/>
          <w:color w:val="auto"/>
        </w:rPr>
      </w:pPr>
      <w:r>
        <w:rPr>
          <w:rFonts w:ascii="Arial" w:cs="Arial" w:eastAsia="Arial" w:hAnsi="Arial"/>
          <w:sz w:val="18"/>
          <w:szCs w:val="18"/>
          <w:color w:val="auto"/>
        </w:rPr>
        <w:t>The financial statements as of September 30, 2022 and December 31, 2021, do not include any assets or liabilities that are measured at fair value on a nonrecurring basis.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Balance Sheet Components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Property and Equipment, Net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net consist of the following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3"/>
              </w:rPr>
              <w:t>As of September 30,</w:t>
            </w:r>
          </w:p>
        </w:tc>
        <w:tc>
          <w:tcPr>
            <w:tcW w:w="200" w:type="dxa"/>
            <w:vAlign w:val="bottom"/>
          </w:tcPr>
          <w:p>
            <w:pPr>
              <w:spacing w:after="0"/>
              <w:rPr>
                <w:sz w:val="15"/>
                <w:szCs w:val="15"/>
                <w:color w:val="auto"/>
              </w:rPr>
            </w:pPr>
          </w:p>
        </w:tc>
        <w:tc>
          <w:tcPr>
            <w:tcW w:w="17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8"/>
              </w:rPr>
              <w:t>As of December 31,</w:t>
            </w:r>
          </w:p>
        </w:tc>
      </w:tr>
      <w:tr>
        <w:trPr>
          <w:trHeight w:val="185"/>
        </w:trPr>
        <w:tc>
          <w:tcPr>
            <w:tcW w:w="74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209"/>
        </w:trPr>
        <w:tc>
          <w:tcPr>
            <w:tcW w:w="7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Tools and equipment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2,154</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1,685</w:t>
            </w:r>
          </w:p>
        </w:tc>
        <w:tc>
          <w:tcPr>
            <w:tcW w:w="100" w:type="dxa"/>
            <w:vAlign w:val="bottom"/>
            <w:shd w:val="clear" w:color="auto" w:fill="CFF0FC"/>
          </w:tcPr>
          <w:p>
            <w:pPr>
              <w:spacing w:after="0"/>
              <w:rPr>
                <w:sz w:val="18"/>
                <w:szCs w:val="18"/>
                <w:color w:val="auto"/>
              </w:rPr>
            </w:pPr>
          </w:p>
        </w:tc>
      </w:tr>
      <w:tr>
        <w:trPr>
          <w:trHeight w:val="216"/>
        </w:trPr>
        <w:tc>
          <w:tcPr>
            <w:tcW w:w="7400" w:type="dxa"/>
            <w:vAlign w:val="bottom"/>
          </w:tcPr>
          <w:p>
            <w:pPr>
              <w:ind w:left="20"/>
              <w:spacing w:after="0"/>
              <w:rPr>
                <w:sz w:val="20"/>
                <w:szCs w:val="20"/>
                <w:color w:val="auto"/>
              </w:rPr>
            </w:pPr>
            <w:r>
              <w:rPr>
                <w:rFonts w:ascii="Arial" w:cs="Arial" w:eastAsia="Arial" w:hAnsi="Arial"/>
                <w:sz w:val="18"/>
                <w:szCs w:val="18"/>
                <w:color w:val="auto"/>
              </w:rPr>
              <w:t>Computer equipment and software</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r>
      <w:tr>
        <w:trPr>
          <w:trHeight w:val="216"/>
        </w:trPr>
        <w:tc>
          <w:tcPr>
            <w:tcW w:w="7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Furniture and fixtures</w:t>
            </w: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w:t>
            </w:r>
          </w:p>
        </w:tc>
        <w:tc>
          <w:tcPr>
            <w:tcW w:w="100" w:type="dxa"/>
            <w:vAlign w:val="bottom"/>
            <w:shd w:val="clear" w:color="auto" w:fill="CFF0FC"/>
          </w:tcPr>
          <w:p>
            <w:pPr>
              <w:spacing w:after="0"/>
              <w:rPr>
                <w:sz w:val="18"/>
                <w:szCs w:val="18"/>
                <w:color w:val="auto"/>
              </w:rPr>
            </w:pPr>
          </w:p>
        </w:tc>
      </w:tr>
      <w:tr>
        <w:trPr>
          <w:trHeight w:val="216"/>
        </w:trPr>
        <w:tc>
          <w:tcPr>
            <w:tcW w:w="740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r>
      <w:tr>
        <w:trPr>
          <w:trHeight w:val="216"/>
        </w:trPr>
        <w:tc>
          <w:tcPr>
            <w:tcW w:w="7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Construction in process</w:t>
            </w:r>
          </w:p>
        </w:tc>
        <w:tc>
          <w:tcPr>
            <w:tcW w:w="16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406</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2,931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2,658</w:t>
            </w:r>
          </w:p>
        </w:tc>
        <w:tc>
          <w:tcPr>
            <w:tcW w:w="100" w:type="dxa"/>
            <w:vAlign w:val="bottom"/>
          </w:tcPr>
          <w:p>
            <w:pPr>
              <w:spacing w:after="0"/>
              <w:rPr>
                <w:sz w:val="18"/>
                <w:szCs w:val="18"/>
                <w:color w:val="auto"/>
              </w:rPr>
            </w:pPr>
          </w:p>
        </w:tc>
      </w:tr>
      <w:tr>
        <w:trPr>
          <w:trHeight w:val="216"/>
        </w:trPr>
        <w:tc>
          <w:tcPr>
            <w:tcW w:w="7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Less: Accumulated depreciation</w:t>
            </w:r>
          </w:p>
        </w:tc>
        <w:tc>
          <w:tcPr>
            <w:tcW w:w="16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(1,363 )</w:t>
            </w:r>
          </w:p>
        </w:tc>
        <w:tc>
          <w:tcPr>
            <w:tcW w:w="20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(1,204 )</w:t>
            </w:r>
          </w:p>
        </w:tc>
      </w:tr>
      <w:tr>
        <w:trPr>
          <w:trHeight w:val="210"/>
        </w:trPr>
        <w:tc>
          <w:tcPr>
            <w:tcW w:w="7400" w:type="dxa"/>
            <w:vAlign w:val="bottom"/>
            <w:tcBorders>
              <w:top w:val="single" w:sz="8" w:color="CFF0FC"/>
            </w:tcBorders>
          </w:tcPr>
          <w:p>
            <w:pPr>
              <w:ind w:left="200"/>
              <w:spacing w:after="0"/>
              <w:rPr>
                <w:sz w:val="20"/>
                <w:szCs w:val="20"/>
                <w:color w:val="auto"/>
              </w:rPr>
            </w:pPr>
            <w:r>
              <w:rPr>
                <w:rFonts w:ascii="Arial" w:cs="Arial" w:eastAsia="Arial" w:hAnsi="Arial"/>
                <w:sz w:val="18"/>
                <w:szCs w:val="18"/>
                <w:color w:val="auto"/>
              </w:rPr>
              <w:t>Property and equipment, net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1,568</w:t>
            </w:r>
          </w:p>
        </w:tc>
        <w:tc>
          <w:tcPr>
            <w:tcW w:w="26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1,454</w:t>
            </w:r>
          </w:p>
        </w:tc>
        <w:tc>
          <w:tcPr>
            <w:tcW w:w="100" w:type="dxa"/>
            <w:vAlign w:val="bottom"/>
            <w:tcBorders>
              <w:top w:val="single" w:sz="8" w:color="CFF0FC"/>
            </w:tcBorders>
          </w:tcPr>
          <w:p>
            <w:pPr>
              <w:spacing w:after="0"/>
              <w:rPr>
                <w:sz w:val="18"/>
                <w:szCs w:val="18"/>
                <w:color w:val="auto"/>
              </w:rPr>
            </w:pPr>
          </w:p>
        </w:tc>
      </w:tr>
      <w:tr>
        <w:trPr>
          <w:trHeight w:val="20"/>
        </w:trPr>
        <w:tc>
          <w:tcPr>
            <w:tcW w:w="7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-453390</wp:posOffset>
            </wp:positionV>
            <wp:extent cx="68580" cy="146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146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-170815</wp:posOffset>
            </wp:positionV>
            <wp:extent cx="68580" cy="171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276" w:lineRule="exact"/>
        <w:rPr>
          <w:sz w:val="20"/>
          <w:szCs w:val="20"/>
          <w:color w:val="auto"/>
        </w:rPr>
      </w:pPr>
    </w:p>
    <w:p>
      <w:pPr>
        <w:ind w:right="600" w:firstLine="509"/>
        <w:spacing w:after="0" w:line="277" w:lineRule="auto"/>
        <w:rPr>
          <w:sz w:val="20"/>
          <w:szCs w:val="20"/>
          <w:color w:val="auto"/>
        </w:rPr>
      </w:pPr>
      <w:r>
        <w:rPr>
          <w:rFonts w:ascii="Arial" w:cs="Arial" w:eastAsia="Arial" w:hAnsi="Arial"/>
          <w:sz w:val="18"/>
          <w:szCs w:val="18"/>
          <w:color w:val="auto"/>
        </w:rPr>
        <w:t>Depreciation expense was $0.2 million and $0.6 million for the three and nine months ended September 30, 2022, respectively. Depreciation expense was $0.2 million and $0.5 million for the three and nine months ended September 30, 2021, respectively.</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Accrued and Other Current Liabilities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and other current liabilities consist of the following (in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34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jc w:val="right"/>
              <w:ind w:right="115"/>
              <w:spacing w:after="0"/>
              <w:rPr>
                <w:sz w:val="20"/>
                <w:szCs w:val="20"/>
                <w:color w:val="auto"/>
              </w:rPr>
            </w:pPr>
            <w:r>
              <w:rPr>
                <w:rFonts w:ascii="Arial" w:cs="Arial" w:eastAsia="Arial" w:hAnsi="Arial"/>
                <w:sz w:val="14"/>
                <w:szCs w:val="14"/>
                <w:b w:val="1"/>
                <w:bCs w:val="1"/>
                <w:color w:val="auto"/>
                <w:w w:val="92"/>
              </w:rPr>
              <w:t>As of September 30,</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40" w:type="dxa"/>
            <w:vAlign w:val="bottom"/>
          </w:tcPr>
          <w:p>
            <w:pPr>
              <w:jc w:val="right"/>
              <w:ind w:right="315"/>
              <w:spacing w:after="0"/>
              <w:rPr>
                <w:sz w:val="20"/>
                <w:szCs w:val="20"/>
                <w:color w:val="auto"/>
              </w:rPr>
            </w:pPr>
            <w:r>
              <w:rPr>
                <w:rFonts w:ascii="Arial" w:cs="Arial" w:eastAsia="Arial" w:hAnsi="Arial"/>
                <w:sz w:val="14"/>
                <w:szCs w:val="14"/>
                <w:b w:val="1"/>
                <w:bCs w:val="1"/>
                <w:color w:val="auto"/>
              </w:rPr>
              <w:t>As of December 31,</w:t>
            </w:r>
          </w:p>
        </w:tc>
        <w:tc>
          <w:tcPr>
            <w:tcW w:w="100" w:type="dxa"/>
            <w:vAlign w:val="bottom"/>
          </w:tcPr>
          <w:p>
            <w:pPr>
              <w:spacing w:after="0"/>
              <w:rPr>
                <w:sz w:val="15"/>
                <w:szCs w:val="15"/>
                <w:color w:val="auto"/>
              </w:rPr>
            </w:pPr>
          </w:p>
        </w:tc>
      </w:tr>
      <w:tr>
        <w:trPr>
          <w:trHeight w:val="185"/>
        </w:trPr>
        <w:tc>
          <w:tcPr>
            <w:tcW w:w="434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77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210"/>
        </w:trPr>
        <w:tc>
          <w:tcPr>
            <w:tcW w:w="4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expenses</w:t>
            </w:r>
          </w:p>
        </w:tc>
        <w:tc>
          <w:tcPr>
            <w:tcW w:w="29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4,350</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2,726</w:t>
            </w:r>
          </w:p>
        </w:tc>
        <w:tc>
          <w:tcPr>
            <w:tcW w:w="100" w:type="dxa"/>
            <w:vAlign w:val="bottom"/>
            <w:shd w:val="clear" w:color="auto" w:fill="CFF0FC"/>
          </w:tcPr>
          <w:p>
            <w:pPr>
              <w:spacing w:after="0"/>
              <w:rPr>
                <w:sz w:val="18"/>
                <w:szCs w:val="18"/>
                <w:color w:val="auto"/>
              </w:rPr>
            </w:pPr>
          </w:p>
        </w:tc>
      </w:tr>
      <w:tr>
        <w:trPr>
          <w:trHeight w:val="216"/>
        </w:trPr>
        <w:tc>
          <w:tcPr>
            <w:tcW w:w="4340" w:type="dxa"/>
            <w:vAlign w:val="bottom"/>
          </w:tcPr>
          <w:p>
            <w:pPr>
              <w:ind w:left="20"/>
              <w:spacing w:after="0"/>
              <w:rPr>
                <w:sz w:val="20"/>
                <w:szCs w:val="20"/>
                <w:color w:val="auto"/>
              </w:rPr>
            </w:pPr>
            <w:r>
              <w:rPr>
                <w:rFonts w:ascii="Arial" w:cs="Arial" w:eastAsia="Arial" w:hAnsi="Arial"/>
                <w:sz w:val="18"/>
                <w:szCs w:val="18"/>
                <w:color w:val="auto"/>
              </w:rPr>
              <w:t>Current portion of lease liabilities</w:t>
            </w:r>
          </w:p>
        </w:tc>
        <w:tc>
          <w:tcPr>
            <w:tcW w:w="2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578</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18"/>
                <w:szCs w:val="18"/>
                <w:color w:val="auto"/>
              </w:rPr>
            </w:pPr>
          </w:p>
        </w:tc>
      </w:tr>
      <w:tr>
        <w:trPr>
          <w:trHeight w:val="216"/>
        </w:trPr>
        <w:tc>
          <w:tcPr>
            <w:tcW w:w="4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Short term interest payable</w:t>
            </w:r>
          </w:p>
        </w:tc>
        <w:tc>
          <w:tcPr>
            <w:tcW w:w="2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FF0FC"/>
          </w:tcPr>
          <w:p>
            <w:pPr>
              <w:spacing w:after="0"/>
              <w:rPr>
                <w:sz w:val="18"/>
                <w:szCs w:val="18"/>
                <w:color w:val="auto"/>
              </w:rPr>
            </w:pPr>
          </w:p>
        </w:tc>
      </w:tr>
      <w:tr>
        <w:trPr>
          <w:trHeight w:val="216"/>
        </w:trPr>
        <w:tc>
          <w:tcPr>
            <w:tcW w:w="4340" w:type="dxa"/>
            <w:vAlign w:val="bottom"/>
          </w:tcPr>
          <w:p>
            <w:pPr>
              <w:ind w:left="20"/>
              <w:spacing w:after="0"/>
              <w:rPr>
                <w:sz w:val="20"/>
                <w:szCs w:val="20"/>
                <w:color w:val="auto"/>
              </w:rPr>
            </w:pPr>
            <w:r>
              <w:rPr>
                <w:rFonts w:ascii="Arial" w:cs="Arial" w:eastAsia="Arial" w:hAnsi="Arial"/>
                <w:sz w:val="18"/>
                <w:szCs w:val="18"/>
                <w:color w:val="auto"/>
              </w:rPr>
              <w:t>Other accrued liabilities</w:t>
            </w:r>
          </w:p>
        </w:tc>
        <w:tc>
          <w:tcPr>
            <w:tcW w:w="29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w:t>
            </w:r>
          </w:p>
        </w:tc>
        <w:tc>
          <w:tcPr>
            <w:tcW w:w="100" w:type="dxa"/>
            <w:vAlign w:val="bottom"/>
          </w:tcPr>
          <w:p>
            <w:pPr>
              <w:spacing w:after="0"/>
              <w:rPr>
                <w:sz w:val="18"/>
                <w:szCs w:val="18"/>
                <w:color w:val="auto"/>
              </w:rPr>
            </w:pPr>
          </w:p>
        </w:tc>
      </w:tr>
      <w:tr>
        <w:trPr>
          <w:trHeight w:val="250"/>
        </w:trPr>
        <w:tc>
          <w:tcPr>
            <w:tcW w:w="43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accrued and other current liabilities</w:t>
            </w:r>
          </w:p>
        </w:tc>
        <w:tc>
          <w:tcPr>
            <w:tcW w:w="29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6,154</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4,166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615"/>
        </w:trPr>
        <w:tc>
          <w:tcPr>
            <w:tcW w:w="4340" w:type="dxa"/>
            <w:vAlign w:val="bottom"/>
          </w:tcPr>
          <w:p>
            <w:pPr>
              <w:spacing w:after="0"/>
              <w:rPr>
                <w:sz w:val="24"/>
                <w:szCs w:val="24"/>
                <w:color w:val="auto"/>
              </w:rPr>
            </w:pPr>
          </w:p>
        </w:tc>
        <w:tc>
          <w:tcPr>
            <w:tcW w:w="2940" w:type="dxa"/>
            <w:vAlign w:val="bottom"/>
          </w:tcPr>
          <w:p>
            <w:pPr>
              <w:jc w:val="right"/>
              <w:ind w:right="147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8"/>
        </w:trPr>
        <w:tc>
          <w:tcPr>
            <w:tcW w:w="4340" w:type="dxa"/>
            <w:vAlign w:val="bottom"/>
            <w:tcBorders>
              <w:bottom w:val="single" w:sz="8" w:color="9A9A9A"/>
            </w:tcBorders>
          </w:tcPr>
          <w:p>
            <w:pPr>
              <w:spacing w:after="0"/>
              <w:rPr>
                <w:sz w:val="7"/>
                <w:szCs w:val="7"/>
                <w:color w:val="auto"/>
              </w:rPr>
            </w:pPr>
          </w:p>
        </w:tc>
        <w:tc>
          <w:tcPr>
            <w:tcW w:w="29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4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7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5636895</wp:posOffset>
            </wp:positionH>
            <wp:positionV relativeFrom="paragraph">
              <wp:posOffset>-496570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-479425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-479425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67945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097" w:right="1440"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231F20"/>
        </w:rPr>
        <w:t>Other Noncurrent Liabilities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noncurrent liabilities consist of the following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jc w:val="right"/>
              <w:ind w:right="96"/>
              <w:spacing w:after="0"/>
              <w:rPr>
                <w:sz w:val="20"/>
                <w:szCs w:val="20"/>
                <w:color w:val="auto"/>
              </w:rPr>
            </w:pPr>
            <w:r>
              <w:rPr>
                <w:rFonts w:ascii="Arial" w:cs="Arial" w:eastAsia="Arial" w:hAnsi="Arial"/>
                <w:sz w:val="14"/>
                <w:szCs w:val="14"/>
                <w:b w:val="1"/>
                <w:bCs w:val="1"/>
                <w:color w:val="auto"/>
                <w:w w:val="92"/>
              </w:rPr>
              <w:t>As of September 30,</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tcPr>
          <w:p>
            <w:pPr>
              <w:jc w:val="right"/>
              <w:ind w:right="296"/>
              <w:spacing w:after="0"/>
              <w:rPr>
                <w:sz w:val="20"/>
                <w:szCs w:val="20"/>
                <w:color w:val="auto"/>
              </w:rPr>
            </w:pPr>
            <w:r>
              <w:rPr>
                <w:rFonts w:ascii="Arial" w:cs="Arial" w:eastAsia="Arial" w:hAnsi="Arial"/>
                <w:sz w:val="14"/>
                <w:szCs w:val="14"/>
                <w:b w:val="1"/>
                <w:bCs w:val="1"/>
                <w:color w:val="auto"/>
              </w:rPr>
              <w:t>As of December 31,</w:t>
            </w:r>
          </w:p>
        </w:tc>
        <w:tc>
          <w:tcPr>
            <w:tcW w:w="100" w:type="dxa"/>
            <w:vAlign w:val="bottom"/>
          </w:tcPr>
          <w:p>
            <w:pPr>
              <w:spacing w:after="0"/>
              <w:rPr>
                <w:sz w:val="15"/>
                <w:szCs w:val="15"/>
                <w:color w:val="auto"/>
              </w:rPr>
            </w:pPr>
          </w:p>
        </w:tc>
      </w:tr>
      <w:tr>
        <w:trPr>
          <w:trHeight w:val="185"/>
        </w:trPr>
        <w:tc>
          <w:tcPr>
            <w:tcW w:w="73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73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209"/>
        </w:trPr>
        <w:tc>
          <w:tcPr>
            <w:tcW w:w="7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 term interest payable</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1,111</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841</w:t>
            </w:r>
          </w:p>
        </w:tc>
        <w:tc>
          <w:tcPr>
            <w:tcW w:w="100" w:type="dxa"/>
            <w:vAlign w:val="bottom"/>
            <w:shd w:val="clear" w:color="auto" w:fill="CFF0FC"/>
          </w:tcPr>
          <w:p>
            <w:pPr>
              <w:spacing w:after="0"/>
              <w:rPr>
                <w:sz w:val="18"/>
                <w:szCs w:val="18"/>
                <w:color w:val="auto"/>
              </w:rPr>
            </w:pPr>
          </w:p>
        </w:tc>
      </w:tr>
      <w:tr>
        <w:trPr>
          <w:trHeight w:val="216"/>
        </w:trPr>
        <w:tc>
          <w:tcPr>
            <w:tcW w:w="7360" w:type="dxa"/>
            <w:vAlign w:val="bottom"/>
          </w:tcPr>
          <w:p>
            <w:pPr>
              <w:ind w:left="20"/>
              <w:spacing w:after="0"/>
              <w:rPr>
                <w:sz w:val="20"/>
                <w:szCs w:val="20"/>
                <w:color w:val="auto"/>
              </w:rPr>
            </w:pPr>
            <w:r>
              <w:rPr>
                <w:rFonts w:ascii="Arial" w:cs="Arial" w:eastAsia="Arial" w:hAnsi="Arial"/>
                <w:sz w:val="18"/>
                <w:szCs w:val="18"/>
                <w:color w:val="auto"/>
              </w:rPr>
              <w:t>Noncurrent portion of lease liabilities</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601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1,040</w:t>
            </w:r>
          </w:p>
        </w:tc>
        <w:tc>
          <w:tcPr>
            <w:tcW w:w="100" w:type="dxa"/>
            <w:vAlign w:val="bottom"/>
          </w:tcPr>
          <w:p>
            <w:pPr>
              <w:spacing w:after="0"/>
              <w:rPr>
                <w:sz w:val="18"/>
                <w:szCs w:val="18"/>
                <w:color w:val="auto"/>
              </w:rPr>
            </w:pPr>
          </w:p>
        </w:tc>
      </w:tr>
      <w:tr>
        <w:trPr>
          <w:trHeight w:val="216"/>
        </w:trPr>
        <w:tc>
          <w:tcPr>
            <w:tcW w:w="7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noncurrent liabilities</w:t>
            </w:r>
          </w:p>
        </w:tc>
        <w:tc>
          <w:tcPr>
            <w:tcW w:w="14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360" w:type="dxa"/>
            <w:vAlign w:val="bottom"/>
          </w:tcPr>
          <w:p>
            <w:pPr>
              <w:ind w:left="200"/>
              <w:spacing w:after="0"/>
              <w:rPr>
                <w:sz w:val="20"/>
                <w:szCs w:val="20"/>
                <w:color w:val="auto"/>
              </w:rPr>
            </w:pPr>
            <w:r>
              <w:rPr>
                <w:rFonts w:ascii="Arial" w:cs="Arial" w:eastAsia="Arial" w:hAnsi="Arial"/>
                <w:sz w:val="18"/>
                <w:szCs w:val="18"/>
                <w:color w:val="auto"/>
              </w:rPr>
              <w:t>Total other noncurrent liabilities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1,751</w:t>
            </w:r>
          </w:p>
        </w:tc>
        <w:tc>
          <w:tcPr>
            <w:tcW w:w="5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1,919</w:t>
            </w:r>
          </w:p>
        </w:tc>
        <w:tc>
          <w:tcPr>
            <w:tcW w:w="100" w:type="dxa"/>
            <w:vAlign w:val="bottom"/>
          </w:tcPr>
          <w:p>
            <w:pPr>
              <w:spacing w:after="0"/>
              <w:rPr>
                <w:sz w:val="18"/>
                <w:szCs w:val="18"/>
                <w:color w:val="auto"/>
              </w:rPr>
            </w:pPr>
          </w:p>
        </w:tc>
      </w:tr>
      <w:tr>
        <w:trPr>
          <w:trHeight w:val="20"/>
        </w:trPr>
        <w:tc>
          <w:tcPr>
            <w:tcW w:w="7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-170815</wp:posOffset>
            </wp:positionV>
            <wp:extent cx="76835" cy="1714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Debt</w:t>
      </w:r>
    </w:p>
    <w:p>
      <w:pPr>
        <w:spacing w:after="0" w:line="121" w:lineRule="exact"/>
        <w:rPr>
          <w:sz w:val="20"/>
          <w:szCs w:val="20"/>
          <w:color w:val="auto"/>
        </w:rPr>
      </w:pPr>
    </w:p>
    <w:p>
      <w:pPr>
        <w:ind w:right="100" w:firstLine="509"/>
        <w:spacing w:after="0" w:line="260" w:lineRule="auto"/>
        <w:rPr>
          <w:sz w:val="20"/>
          <w:szCs w:val="20"/>
          <w:color w:val="auto"/>
        </w:rPr>
      </w:pPr>
      <w:r>
        <w:rPr>
          <w:rFonts w:ascii="Arial" w:cs="Arial" w:eastAsia="Arial" w:hAnsi="Arial"/>
          <w:sz w:val="17"/>
          <w:szCs w:val="17"/>
          <w:color w:val="auto"/>
        </w:rPr>
        <w:t>In January 2019, the Company entered into credit and security agreements with MidCap Financial Services (the "Lender"), which provided a maximum of $25.0 million credit facility consisting of a $20.0 million senior secured term loan (the "2019 Term Loan") and a $5.0 million 2019 revolving loan (the "2019 Revolver" and collectively with the 2019 Term Loan, the “2019 MidCap Credit Facility”). In November 2020, the Company entered into amended and restated credit and security agreements with the same institution, which replaced the 2019 MidCap Credit Facility, and provided for a maximum of $40.0 million credit facility consisting of a $35.0 million senior secured term loan (the "2020 Term Loan") and a $5.0 million revolving loan (the "2020 Revolver and collectively with the 2020 Term Loan, the “2020 MidCap Credit Facility”).</w:t>
      </w:r>
    </w:p>
    <w:p>
      <w:pPr>
        <w:spacing w:after="0" w:line="66" w:lineRule="exact"/>
        <w:rPr>
          <w:sz w:val="20"/>
          <w:szCs w:val="20"/>
          <w:color w:val="auto"/>
        </w:rPr>
      </w:pPr>
    </w:p>
    <w:p>
      <w:pPr>
        <w:ind w:right="20" w:firstLine="509"/>
        <w:spacing w:after="0" w:line="263" w:lineRule="auto"/>
        <w:rPr>
          <w:sz w:val="20"/>
          <w:szCs w:val="20"/>
          <w:color w:val="auto"/>
        </w:rPr>
      </w:pPr>
      <w:r>
        <w:rPr>
          <w:rFonts w:ascii="Arial" w:cs="Arial" w:eastAsia="Arial" w:hAnsi="Arial"/>
          <w:sz w:val="17"/>
          <w:szCs w:val="17"/>
          <w:color w:val="231F20"/>
        </w:rPr>
        <w:t>The obligations under the MidCap Credit Facility are guaranteed by the Company's current and future subsidiaries, subject to exceptions for certain foreign subsidiaries. Obligations under the agreements are secured by substantially all assets of the Company, including material intellectual property. Additionally, the Company is subject to customary affirmative and negative covenants as defined in the credit agreements, including covenants that limit or restrict the ability to, among other things, incur indebtedness, grant liens, merge or consolidate, make investments, dispose of assets, make acquisitions, pay dividends or make distributions, repurchase stock and enter into certain transactions with affiliates, in each case subject to certain exceptions. As of September 30, 2022, the Company was in compliance with all financial and non-financial covenants.</w:t>
      </w:r>
    </w:p>
    <w:p>
      <w:pPr>
        <w:spacing w:after="0" w:line="65" w:lineRule="exact"/>
        <w:rPr>
          <w:sz w:val="20"/>
          <w:szCs w:val="20"/>
          <w:color w:val="auto"/>
        </w:rPr>
      </w:pPr>
    </w:p>
    <w:p>
      <w:pPr>
        <w:ind w:right="80" w:firstLine="509"/>
        <w:spacing w:after="0" w:line="277" w:lineRule="auto"/>
        <w:rPr>
          <w:sz w:val="20"/>
          <w:szCs w:val="20"/>
          <w:color w:val="auto"/>
        </w:rPr>
      </w:pPr>
      <w:r>
        <w:rPr>
          <w:rFonts w:ascii="Arial" w:cs="Arial" w:eastAsia="Arial" w:hAnsi="Arial"/>
          <w:sz w:val="18"/>
          <w:szCs w:val="18"/>
          <w:color w:val="231F20"/>
        </w:rPr>
        <w:t>The MidCap Credit Facility agreements each contain events of default that include, among others, non-payment of principal, interest or fees, breach of covenants, inaccuracy of representations and warranties, cross-defaults and bankruptcy and insolvency events.</w:t>
      </w:r>
    </w:p>
    <w:p>
      <w:pPr>
        <w:spacing w:after="0" w:line="4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As of September 30, 2022 and December 31, 2021, $5.0 million was available to be drawn under the 2020 Revolver, respectively. The 2020</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Revolver had not been drawn upon as of September 30, 2022 and December 31, 2021. Long-term and short-term debt was as follows (in thousands):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1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80" w:type="dxa"/>
            <w:vAlign w:val="bottom"/>
            <w:gridSpan w:val="2"/>
          </w:tcPr>
          <w:p>
            <w:pPr>
              <w:jc w:val="right"/>
              <w:ind w:right="421"/>
              <w:spacing w:after="0"/>
              <w:rPr>
                <w:sz w:val="20"/>
                <w:szCs w:val="20"/>
                <w:color w:val="auto"/>
              </w:rPr>
            </w:pPr>
            <w:r>
              <w:rPr>
                <w:rFonts w:ascii="Arial" w:cs="Arial" w:eastAsia="Arial" w:hAnsi="Arial"/>
                <w:sz w:val="14"/>
                <w:szCs w:val="14"/>
                <w:b w:val="1"/>
                <w:bCs w:val="1"/>
                <w:color w:val="auto"/>
                <w:w w:val="93"/>
              </w:rPr>
              <w:t>As of September 30,</w:t>
            </w:r>
          </w:p>
        </w:tc>
        <w:tc>
          <w:tcPr>
            <w:tcW w:w="200" w:type="dxa"/>
            <w:vAlign w:val="bottom"/>
          </w:tcPr>
          <w:p>
            <w:pPr>
              <w:spacing w:after="0"/>
              <w:rPr>
                <w:sz w:val="15"/>
                <w:szCs w:val="15"/>
                <w:color w:val="auto"/>
              </w:rPr>
            </w:pPr>
          </w:p>
        </w:tc>
        <w:tc>
          <w:tcPr>
            <w:tcW w:w="1740" w:type="dxa"/>
            <w:vAlign w:val="bottom"/>
            <w:gridSpan w:val="2"/>
          </w:tcPr>
          <w:p>
            <w:pPr>
              <w:jc w:val="right"/>
              <w:ind w:right="361"/>
              <w:spacing w:after="0"/>
              <w:rPr>
                <w:sz w:val="20"/>
                <w:szCs w:val="20"/>
                <w:color w:val="auto"/>
              </w:rPr>
            </w:pPr>
            <w:r>
              <w:rPr>
                <w:rFonts w:ascii="Arial" w:cs="Arial" w:eastAsia="Arial" w:hAnsi="Arial"/>
                <w:sz w:val="14"/>
                <w:szCs w:val="14"/>
                <w:b w:val="1"/>
                <w:bCs w:val="1"/>
                <w:color w:val="auto"/>
                <w:w w:val="98"/>
              </w:rPr>
              <w:t>As of December 31,</w:t>
            </w:r>
          </w:p>
        </w:tc>
        <w:tc>
          <w:tcPr>
            <w:tcW w:w="0" w:type="dxa"/>
            <w:vAlign w:val="bottom"/>
          </w:tcPr>
          <w:p>
            <w:pPr>
              <w:spacing w:after="0"/>
              <w:rPr>
                <w:sz w:val="1"/>
                <w:szCs w:val="1"/>
                <w:color w:val="auto"/>
              </w:rPr>
            </w:pPr>
          </w:p>
        </w:tc>
      </w:tr>
      <w:tr>
        <w:trPr>
          <w:trHeight w:val="185"/>
        </w:trPr>
        <w:tc>
          <w:tcPr>
            <w:tcW w:w="51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69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Term Loan</w:t>
            </w:r>
          </w:p>
        </w:tc>
        <w:tc>
          <w:tcPr>
            <w:tcW w:w="2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35,000</w:t>
            </w:r>
          </w:p>
        </w:tc>
        <w:tc>
          <w:tcPr>
            <w:tcW w:w="2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20" w:type="dxa"/>
            <w:vAlign w:val="bottom"/>
          </w:tcPr>
          <w:p>
            <w:pPr>
              <w:ind w:left="20"/>
              <w:spacing w:after="0"/>
              <w:rPr>
                <w:sz w:val="20"/>
                <w:szCs w:val="20"/>
                <w:color w:val="auto"/>
              </w:rPr>
            </w:pPr>
            <w:r>
              <w:rPr>
                <w:rFonts w:ascii="Arial" w:cs="Arial" w:eastAsia="Arial" w:hAnsi="Arial"/>
                <w:sz w:val="18"/>
                <w:szCs w:val="18"/>
                <w:color w:val="auto"/>
              </w:rPr>
              <w:t>Total principal payments due</w:t>
            </w:r>
          </w:p>
        </w:tc>
        <w:tc>
          <w:tcPr>
            <w:tcW w:w="2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35,000</w:t>
            </w: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20" w:type="dxa"/>
            <w:vAlign w:val="bottom"/>
            <w:shd w:val="clear" w:color="auto" w:fill="CFF0FC"/>
          </w:tcPr>
          <w:p>
            <w:pPr>
              <w:ind w:left="20"/>
              <w:spacing w:after="0"/>
              <w:rPr>
                <w:sz w:val="20"/>
                <w:szCs w:val="20"/>
                <w:color w:val="auto"/>
              </w:rPr>
            </w:pPr>
            <w:r>
              <w:rPr>
                <w:rFonts w:ascii="Arial" w:cs="Arial" w:eastAsia="Arial" w:hAnsi="Arial"/>
                <w:sz w:val="18"/>
                <w:szCs w:val="18"/>
                <w:color w:val="auto"/>
                <w:w w:val="98"/>
              </w:rPr>
              <w:t>Less: debt discount related to warrant liability and issuance costs</w:t>
            </w:r>
          </w:p>
        </w:tc>
        <w:tc>
          <w:tcPr>
            <w:tcW w:w="2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(1,842</w:t>
            </w:r>
          </w:p>
        </w:tc>
        <w:tc>
          <w:tcPr>
            <w:tcW w:w="280" w:type="dxa"/>
            <w:vAlign w:val="bottom"/>
            <w:shd w:val="clear" w:color="auto" w:fill="CFF0FC"/>
          </w:tcPr>
          <w:p>
            <w:pPr>
              <w:jc w:val="right"/>
              <w:ind w:right="141"/>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(2,344</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5120" w:type="dxa"/>
            <w:vAlign w:val="bottom"/>
          </w:tcPr>
          <w:p>
            <w:pPr>
              <w:ind w:left="20"/>
              <w:spacing w:after="0"/>
              <w:rPr>
                <w:sz w:val="20"/>
                <w:szCs w:val="20"/>
                <w:color w:val="auto"/>
              </w:rPr>
            </w:pPr>
            <w:r>
              <w:rPr>
                <w:rFonts w:ascii="Arial" w:cs="Arial" w:eastAsia="Arial" w:hAnsi="Arial"/>
                <w:sz w:val="18"/>
                <w:szCs w:val="18"/>
                <w:color w:val="auto"/>
              </w:rPr>
              <w:t>Total amounts outstanding</w:t>
            </w:r>
          </w:p>
        </w:tc>
        <w:tc>
          <w:tcPr>
            <w:tcW w:w="2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33,158</w:t>
            </w: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Less: Current portion</w:t>
            </w:r>
          </w:p>
        </w:tc>
        <w:tc>
          <w:tcPr>
            <w:tcW w:w="2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20" w:type="dxa"/>
            <w:vAlign w:val="bottom"/>
          </w:tcPr>
          <w:p>
            <w:pPr>
              <w:ind w:left="20"/>
              <w:spacing w:after="0"/>
              <w:rPr>
                <w:sz w:val="20"/>
                <w:szCs w:val="20"/>
                <w:color w:val="auto"/>
              </w:rPr>
            </w:pPr>
            <w:r>
              <w:rPr>
                <w:rFonts w:ascii="Arial" w:cs="Arial" w:eastAsia="Arial" w:hAnsi="Arial"/>
                <w:sz w:val="18"/>
                <w:szCs w:val="18"/>
                <w:color w:val="auto"/>
              </w:rPr>
              <w:t>Total accrued and other current liabilities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33,158</w:t>
            </w:r>
          </w:p>
        </w:tc>
        <w:tc>
          <w:tcPr>
            <w:tcW w:w="2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32,656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240" w:type="dxa"/>
            <w:vAlign w:val="bottom"/>
            <w:vMerge w:val="restart"/>
          </w:tcPr>
          <w:p>
            <w:pPr>
              <w:jc w:val="right"/>
              <w:ind w:right="1550"/>
              <w:spacing w:after="0"/>
              <w:rPr>
                <w:sz w:val="20"/>
                <w:szCs w:val="20"/>
                <w:color w:val="auto"/>
              </w:rPr>
            </w:pPr>
            <w:r>
              <w:rPr>
                <w:rFonts w:ascii="Arial" w:cs="Arial" w:eastAsia="Arial" w:hAnsi="Arial"/>
                <w:sz w:val="18"/>
                <w:szCs w:val="18"/>
                <w:color w:val="auto"/>
              </w:rPr>
              <w:t>16</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5120" w:type="dxa"/>
            <w:vAlign w:val="bottom"/>
          </w:tcPr>
          <w:p>
            <w:pPr>
              <w:spacing w:after="0"/>
              <w:rPr>
                <w:sz w:val="24"/>
                <w:szCs w:val="24"/>
                <w:color w:val="auto"/>
              </w:rPr>
            </w:pPr>
          </w:p>
        </w:tc>
        <w:tc>
          <w:tcPr>
            <w:tcW w:w="22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2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5722620</wp:posOffset>
            </wp:positionH>
            <wp:positionV relativeFrom="paragraph">
              <wp:posOffset>-1224915</wp:posOffset>
            </wp:positionV>
            <wp:extent cx="68580" cy="1543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-1224915</wp:posOffset>
            </wp:positionV>
            <wp:extent cx="68580" cy="1543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-650875</wp:posOffset>
            </wp:positionV>
            <wp:extent cx="68580" cy="1714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-650875</wp:posOffset>
            </wp:positionV>
            <wp:extent cx="68580" cy="1714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6" w:name="page17"/>
    <w:bookmarkEnd w:id="16"/>
    <w:p>
      <w:pPr>
        <w:ind w:left="520"/>
        <w:spacing w:after="0"/>
        <w:rPr>
          <w:sz w:val="20"/>
          <w:szCs w:val="20"/>
          <w:color w:val="auto"/>
        </w:rPr>
      </w:pPr>
      <w:r>
        <w:rPr>
          <w:rFonts w:ascii="Arial" w:cs="Arial" w:eastAsia="Arial" w:hAnsi="Arial"/>
          <w:sz w:val="18"/>
          <w:szCs w:val="18"/>
          <w:color w:val="auto"/>
        </w:rPr>
        <w:t>The repayment schedule relating to the Company’s debt as of September 30, 2022, is as follows (in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2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r>
      <w:tr>
        <w:trPr>
          <w:trHeight w:val="210"/>
        </w:trPr>
        <w:tc>
          <w:tcPr>
            <w:tcW w:w="9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2022 (remainder)</w:t>
            </w:r>
          </w:p>
        </w:tc>
        <w:tc>
          <w:tcPr>
            <w:tcW w:w="40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9260" w:type="dxa"/>
            <w:vAlign w:val="bottom"/>
          </w:tcPr>
          <w:p>
            <w:pPr>
              <w:ind w:left="20"/>
              <w:spacing w:after="0"/>
              <w:rPr>
                <w:sz w:val="20"/>
                <w:szCs w:val="20"/>
                <w:color w:val="auto"/>
              </w:rPr>
            </w:pPr>
            <w:r>
              <w:rPr>
                <w:rFonts w:ascii="Arial" w:cs="Arial" w:eastAsia="Arial" w:hAnsi="Arial"/>
                <w:sz w:val="18"/>
                <w:szCs w:val="18"/>
                <w:color w:val="auto"/>
              </w:rPr>
              <w:t>2023</w:t>
            </w:r>
          </w:p>
        </w:tc>
        <w:tc>
          <w:tcPr>
            <w:tcW w:w="4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1,458</w:t>
            </w:r>
          </w:p>
        </w:tc>
        <w:tc>
          <w:tcPr>
            <w:tcW w:w="100" w:type="dxa"/>
            <w:vAlign w:val="bottom"/>
          </w:tcPr>
          <w:p>
            <w:pPr>
              <w:spacing w:after="0"/>
              <w:rPr>
                <w:sz w:val="18"/>
                <w:szCs w:val="18"/>
                <w:color w:val="auto"/>
              </w:rPr>
            </w:pPr>
          </w:p>
        </w:tc>
      </w:tr>
      <w:tr>
        <w:trPr>
          <w:trHeight w:val="216"/>
        </w:trPr>
        <w:tc>
          <w:tcPr>
            <w:tcW w:w="9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2024</w:t>
            </w:r>
          </w:p>
        </w:tc>
        <w:tc>
          <w:tcPr>
            <w:tcW w:w="40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17,500</w:t>
            </w:r>
          </w:p>
        </w:tc>
        <w:tc>
          <w:tcPr>
            <w:tcW w:w="100" w:type="dxa"/>
            <w:vAlign w:val="bottom"/>
            <w:shd w:val="clear" w:color="auto" w:fill="CFF0FC"/>
          </w:tcPr>
          <w:p>
            <w:pPr>
              <w:spacing w:after="0"/>
              <w:rPr>
                <w:sz w:val="18"/>
                <w:szCs w:val="18"/>
                <w:color w:val="auto"/>
              </w:rPr>
            </w:pPr>
          </w:p>
        </w:tc>
      </w:tr>
      <w:tr>
        <w:trPr>
          <w:trHeight w:val="216"/>
        </w:trPr>
        <w:tc>
          <w:tcPr>
            <w:tcW w:w="9260" w:type="dxa"/>
            <w:vAlign w:val="bottom"/>
          </w:tcPr>
          <w:p>
            <w:pPr>
              <w:ind w:left="20"/>
              <w:spacing w:after="0"/>
              <w:rPr>
                <w:sz w:val="20"/>
                <w:szCs w:val="20"/>
                <w:color w:val="auto"/>
              </w:rPr>
            </w:pPr>
            <w:r>
              <w:rPr>
                <w:rFonts w:ascii="Arial" w:cs="Arial" w:eastAsia="Arial" w:hAnsi="Arial"/>
                <w:sz w:val="18"/>
                <w:szCs w:val="18"/>
                <w:color w:val="auto"/>
              </w:rPr>
              <w:t>2025</w:t>
            </w:r>
          </w:p>
        </w:tc>
        <w:tc>
          <w:tcPr>
            <w:tcW w:w="4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16,042</w:t>
            </w:r>
          </w:p>
        </w:tc>
        <w:tc>
          <w:tcPr>
            <w:tcW w:w="100" w:type="dxa"/>
            <w:vAlign w:val="bottom"/>
          </w:tcPr>
          <w:p>
            <w:pPr>
              <w:spacing w:after="0"/>
              <w:rPr>
                <w:sz w:val="18"/>
                <w:szCs w:val="18"/>
                <w:color w:val="auto"/>
              </w:rPr>
            </w:pPr>
          </w:p>
        </w:tc>
      </w:tr>
      <w:tr>
        <w:trPr>
          <w:trHeight w:val="216"/>
        </w:trPr>
        <w:tc>
          <w:tcPr>
            <w:tcW w:w="9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Thereafter</w:t>
            </w:r>
          </w:p>
        </w:tc>
        <w:tc>
          <w:tcPr>
            <w:tcW w:w="40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9260" w:type="dxa"/>
            <w:vAlign w:val="bottom"/>
          </w:tcPr>
          <w:p>
            <w:pPr>
              <w:ind w:left="20"/>
              <w:spacing w:after="0"/>
              <w:rPr>
                <w:sz w:val="20"/>
                <w:szCs w:val="20"/>
                <w:color w:val="auto"/>
              </w:rPr>
            </w:pPr>
            <w:r>
              <w:rPr>
                <w:rFonts w:ascii="Arial" w:cs="Arial" w:eastAsia="Arial" w:hAnsi="Arial"/>
                <w:sz w:val="18"/>
                <w:szCs w:val="18"/>
                <w:color w:val="auto"/>
              </w:rPr>
              <w:t>Total repayments</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tcPr>
          <w:p>
            <w:pPr>
              <w:spacing w:after="0"/>
              <w:rPr>
                <w:sz w:val="18"/>
                <w:szCs w:val="18"/>
                <w:color w:val="auto"/>
              </w:rPr>
            </w:pPr>
          </w:p>
        </w:tc>
      </w:tr>
      <w:tr>
        <w:trPr>
          <w:trHeight w:val="20"/>
        </w:trPr>
        <w:tc>
          <w:tcPr>
            <w:tcW w:w="9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Commitments and Contingencies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 Obligations</w:t>
      </w:r>
    </w:p>
    <w:p>
      <w:pPr>
        <w:spacing w:after="0" w:line="117"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The Company’s leases mainly include facility leases and storage leases. In determining the present value of lease payments, the Company uses its incremental borrowing rate based on the information available at the lease commencement date if the rate implicit in the lease is not readily determinable. The Company estimates its incremental borrowing rate based on qualitative factors including company specific credit offers, lease term, general economics, and the interest rate environment.</w:t>
      </w:r>
    </w:p>
    <w:p>
      <w:pPr>
        <w:spacing w:after="0" w:line="93" w:lineRule="exact"/>
        <w:rPr>
          <w:sz w:val="20"/>
          <w:szCs w:val="20"/>
          <w:color w:val="auto"/>
        </w:rPr>
      </w:pPr>
    </w:p>
    <w:p>
      <w:pPr>
        <w:ind w:right="160" w:firstLine="509"/>
        <w:spacing w:after="0" w:line="245" w:lineRule="auto"/>
        <w:rPr>
          <w:sz w:val="20"/>
          <w:szCs w:val="20"/>
          <w:color w:val="auto"/>
        </w:rPr>
      </w:pPr>
      <w:r>
        <w:rPr>
          <w:rFonts w:ascii="Arial" w:cs="Arial" w:eastAsia="Arial" w:hAnsi="Arial"/>
          <w:sz w:val="18"/>
          <w:szCs w:val="18"/>
          <w:color w:val="auto"/>
        </w:rPr>
        <w:t>On February 5, 2021, the Company renewed the lease of the corporate headquarters in Menlo Park, California. The lease is a noncancelable operating lease for approximately 11,000 square feet of primary office space. The operating lease commenced on August 1, 2021 and is for a term of 37 months from the commencement date. The Company recorded an aggregate right-of-use ("ROU") asset and lease liability of $1.5 million. The ROU asset and corresponding lease liability were estimated using a weighted-average incremental borrowing rate of 13.59%. Total base rent is approximately $1.6 million under the lease agreement.</w:t>
      </w:r>
    </w:p>
    <w:p>
      <w:pPr>
        <w:spacing w:after="0" w:line="186" w:lineRule="exact"/>
        <w:rPr>
          <w:sz w:val="20"/>
          <w:szCs w:val="20"/>
          <w:color w:val="auto"/>
        </w:rPr>
      </w:pPr>
    </w:p>
    <w:p>
      <w:pPr>
        <w:ind w:right="100" w:firstLine="509"/>
        <w:spacing w:after="0" w:line="278" w:lineRule="auto"/>
        <w:rPr>
          <w:sz w:val="20"/>
          <w:szCs w:val="20"/>
          <w:color w:val="auto"/>
        </w:rPr>
      </w:pPr>
      <w:r>
        <w:rPr>
          <w:rFonts w:ascii="Arial" w:cs="Arial" w:eastAsia="Arial" w:hAnsi="Arial"/>
          <w:sz w:val="17"/>
          <w:szCs w:val="17"/>
          <w:color w:val="auto"/>
        </w:rPr>
        <w:t>The Company recognizes rent expense on a straight-line basis over the noncancelable lease term. The Company’s rent expense was $0.5 million for both the nine months ended September 30, 2022 and 2021, respectively. The Company’s rent expense was $0.2 million for both the three months ended September 30, 2022 and 2021, respectively. As of September 30, 2022, the remaining lease term for the lease was 1.9 years.</w:t>
      </w:r>
    </w:p>
    <w:p>
      <w:pPr>
        <w:spacing w:after="0" w:line="158" w:lineRule="exact"/>
        <w:rPr>
          <w:sz w:val="20"/>
          <w:szCs w:val="20"/>
          <w:color w:val="auto"/>
        </w:rPr>
      </w:pPr>
    </w:p>
    <w:p>
      <w:pPr>
        <w:ind w:right="400" w:firstLine="509"/>
        <w:spacing w:after="0" w:line="277" w:lineRule="auto"/>
        <w:rPr>
          <w:sz w:val="20"/>
          <w:szCs w:val="20"/>
          <w:color w:val="auto"/>
        </w:rPr>
      </w:pPr>
      <w:r>
        <w:rPr>
          <w:rFonts w:ascii="Arial" w:cs="Arial" w:eastAsia="Arial" w:hAnsi="Arial"/>
          <w:sz w:val="18"/>
          <w:szCs w:val="18"/>
          <w:color w:val="auto"/>
        </w:rPr>
        <w:t>Operating lease expense and supplemental cash flow information related to operating leases for the three and nine months ended September 30, 2022 and 2021 were as follows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4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0" w:type="dxa"/>
            <w:vAlign w:val="bottom"/>
            <w:gridSpan w:val="4"/>
          </w:tcPr>
          <w:p>
            <w:pPr>
              <w:jc w:val="center"/>
              <w:ind w:right="215"/>
              <w:spacing w:after="0"/>
              <w:rPr>
                <w:sz w:val="20"/>
                <w:szCs w:val="20"/>
                <w:color w:val="auto"/>
              </w:rPr>
            </w:pPr>
            <w:r>
              <w:rPr>
                <w:rFonts w:ascii="Arial" w:cs="Arial" w:eastAsia="Arial" w:hAnsi="Arial"/>
                <w:sz w:val="14"/>
                <w:szCs w:val="14"/>
                <w:b w:val="1"/>
                <w:bCs w:val="1"/>
                <w:color w:val="auto"/>
                <w:w w:val="93"/>
              </w:rPr>
              <w:t>Nine Months Ended</w:t>
            </w:r>
          </w:p>
        </w:tc>
        <w:tc>
          <w:tcPr>
            <w:tcW w:w="100" w:type="dxa"/>
            <w:vAlign w:val="bottom"/>
          </w:tcPr>
          <w:p>
            <w:pPr>
              <w:spacing w:after="0"/>
              <w:rPr>
                <w:sz w:val="14"/>
                <w:szCs w:val="14"/>
                <w:color w:val="auto"/>
              </w:rPr>
            </w:pPr>
          </w:p>
        </w:tc>
      </w:tr>
      <w:tr>
        <w:trPr>
          <w:trHeight w:val="185"/>
        </w:trPr>
        <w:tc>
          <w:tcPr>
            <w:tcW w:w="46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7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ind w:left="419"/>
              <w:spacing w:after="0"/>
              <w:rPr>
                <w:sz w:val="20"/>
                <w:szCs w:val="20"/>
                <w:color w:val="auto"/>
              </w:rPr>
            </w:pPr>
            <w:r>
              <w:rPr>
                <w:rFonts w:ascii="Arial" w:cs="Arial" w:eastAsia="Arial" w:hAnsi="Arial"/>
                <w:sz w:val="14"/>
                <w:szCs w:val="14"/>
                <w:b w:val="1"/>
                <w:bCs w:val="1"/>
                <w:color w:val="auto"/>
                <w:w w:val="89"/>
              </w:rPr>
              <w:t>September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6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4"/>
                <w:szCs w:val="14"/>
                <w:color w:val="auto"/>
              </w:rPr>
            </w:pPr>
          </w:p>
        </w:tc>
      </w:tr>
      <w:tr>
        <w:trPr>
          <w:trHeight w:val="210"/>
        </w:trPr>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expense</w:t>
            </w:r>
          </w:p>
        </w:tc>
        <w:tc>
          <w:tcPr>
            <w:tcW w:w="134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562"/>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514</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528</w:t>
            </w:r>
          </w:p>
        </w:tc>
        <w:tc>
          <w:tcPr>
            <w:tcW w:w="100" w:type="dxa"/>
            <w:vAlign w:val="bottom"/>
            <w:shd w:val="clear" w:color="auto" w:fill="CFF0FC"/>
          </w:tcPr>
          <w:p>
            <w:pPr>
              <w:spacing w:after="0"/>
              <w:rPr>
                <w:sz w:val="18"/>
                <w:szCs w:val="18"/>
                <w:color w:val="auto"/>
              </w:rPr>
            </w:pPr>
          </w:p>
        </w:tc>
      </w:tr>
      <w:tr>
        <w:trPr>
          <w:trHeight w:val="216"/>
        </w:trPr>
        <w:tc>
          <w:tcPr>
            <w:tcW w:w="4660" w:type="dxa"/>
            <w:vAlign w:val="bottom"/>
          </w:tcPr>
          <w:p>
            <w:pPr>
              <w:ind w:left="20"/>
              <w:spacing w:after="0"/>
              <w:rPr>
                <w:sz w:val="20"/>
                <w:szCs w:val="20"/>
                <w:color w:val="auto"/>
              </w:rPr>
            </w:pPr>
            <w:r>
              <w:rPr>
                <w:rFonts w:ascii="Arial" w:cs="Arial" w:eastAsia="Arial" w:hAnsi="Arial"/>
                <w:sz w:val="18"/>
                <w:szCs w:val="18"/>
                <w:color w:val="auto"/>
              </w:rPr>
              <w:t>Cash paid for operating leases</w:t>
            </w:r>
          </w:p>
        </w:tc>
        <w:tc>
          <w:tcPr>
            <w:tcW w:w="1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168</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131</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509</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484</w:t>
            </w:r>
          </w:p>
        </w:tc>
        <w:tc>
          <w:tcPr>
            <w:tcW w:w="100" w:type="dxa"/>
            <w:vAlign w:val="bottom"/>
          </w:tcPr>
          <w:p>
            <w:pPr>
              <w:spacing w:after="0"/>
              <w:rPr>
                <w:sz w:val="18"/>
                <w:szCs w:val="18"/>
                <w:color w:val="auto"/>
              </w:rPr>
            </w:pPr>
          </w:p>
        </w:tc>
      </w:tr>
      <w:tr>
        <w:trPr>
          <w:trHeight w:val="175"/>
        </w:trPr>
        <w:tc>
          <w:tcPr>
            <w:tcW w:w="4660" w:type="dxa"/>
            <w:vAlign w:val="bottom"/>
            <w:shd w:val="clear" w:color="auto" w:fill="CFF0FC"/>
          </w:tcPr>
          <w:p>
            <w:pPr>
              <w:ind w:left="20"/>
              <w:spacing w:after="0" w:line="175" w:lineRule="exact"/>
              <w:rPr>
                <w:sz w:val="20"/>
                <w:szCs w:val="20"/>
                <w:color w:val="auto"/>
              </w:rPr>
            </w:pPr>
            <w:r>
              <w:rPr>
                <w:rFonts w:ascii="Arial" w:cs="Arial" w:eastAsia="Arial" w:hAnsi="Arial"/>
                <w:sz w:val="18"/>
                <w:szCs w:val="18"/>
                <w:color w:val="auto"/>
              </w:rPr>
              <w:t>New operating lease assets obtained in exchange for</w:t>
            </w:r>
          </w:p>
        </w:tc>
        <w:tc>
          <w:tcPr>
            <w:tcW w:w="134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30"/>
        </w:trPr>
        <w:tc>
          <w:tcPr>
            <w:tcW w:w="4660" w:type="dxa"/>
            <w:vAlign w:val="bottom"/>
            <w:shd w:val="clear" w:color="auto" w:fill="CFF0FC"/>
          </w:tcPr>
          <w:p>
            <w:pPr>
              <w:ind w:left="160"/>
              <w:spacing w:after="0"/>
              <w:rPr>
                <w:sz w:val="20"/>
                <w:szCs w:val="20"/>
                <w:color w:val="auto"/>
              </w:rPr>
            </w:pPr>
            <w:r>
              <w:rPr>
                <w:rFonts w:ascii="Arial" w:cs="Arial" w:eastAsia="Arial" w:hAnsi="Arial"/>
                <w:sz w:val="18"/>
                <w:szCs w:val="18"/>
                <w:color w:val="auto"/>
              </w:rPr>
              <w:t>operating lease liabilities</w:t>
            </w:r>
          </w:p>
        </w:tc>
        <w:tc>
          <w:tcPr>
            <w:tcW w:w="134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1,514</w:t>
            </w: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1,537</w:t>
            </w:r>
          </w:p>
        </w:tc>
        <w:tc>
          <w:tcPr>
            <w:tcW w:w="100" w:type="dxa"/>
            <w:vAlign w:val="bottom"/>
            <w:shd w:val="clear" w:color="auto" w:fill="CFF0FC"/>
          </w:tcPr>
          <w:p>
            <w:pPr>
              <w:spacing w:after="0"/>
              <w:rPr>
                <w:sz w:val="20"/>
                <w:szCs w:val="20"/>
                <w:color w:val="auto"/>
              </w:rPr>
            </w:pPr>
          </w:p>
        </w:tc>
      </w:tr>
      <w:tr>
        <w:trPr>
          <w:trHeight w:val="837"/>
        </w:trPr>
        <w:tc>
          <w:tcPr>
            <w:tcW w:w="4660" w:type="dxa"/>
            <w:vAlign w:val="bottom"/>
          </w:tcPr>
          <w:p>
            <w:pPr>
              <w:spacing w:after="0"/>
              <w:rPr>
                <w:sz w:val="24"/>
                <w:szCs w:val="24"/>
                <w:color w:val="auto"/>
              </w:rPr>
            </w:pP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17</w:t>
            </w: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8"/>
        </w:trPr>
        <w:tc>
          <w:tcPr>
            <w:tcW w:w="466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7" w:name="page18"/>
    <w:bookmarkEnd w:id="17"/>
    <w:p>
      <w:pPr>
        <w:jc w:val="center"/>
        <w:ind w:right="-39"/>
        <w:spacing w:after="0"/>
        <w:rPr>
          <w:sz w:val="20"/>
          <w:szCs w:val="20"/>
          <w:color w:val="auto"/>
        </w:rPr>
      </w:pPr>
      <w:r>
        <w:rPr>
          <w:rFonts w:ascii="Arial" w:cs="Arial" w:eastAsia="Arial" w:hAnsi="Arial"/>
          <w:sz w:val="17"/>
          <w:szCs w:val="17"/>
          <w:color w:val="auto"/>
        </w:rPr>
        <w:t>Aggregate future minimum lease payments at September 30, 2022, under these noncancelable operating leases were as follows (in thousands):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As of September 30,</w:t>
            </w:r>
          </w:p>
        </w:tc>
      </w:tr>
      <w:tr>
        <w:trPr>
          <w:trHeight w:val="185"/>
        </w:trPr>
        <w:tc>
          <w:tcPr>
            <w:tcW w:w="90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774"/>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6"/>
                <w:szCs w:val="16"/>
                <w:color w:val="auto"/>
              </w:rPr>
            </w:pPr>
          </w:p>
        </w:tc>
      </w:tr>
      <w:tr>
        <w:trPr>
          <w:trHeight w:val="209"/>
        </w:trPr>
        <w:tc>
          <w:tcPr>
            <w:tcW w:w="9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2022 (remainder)</w:t>
            </w:r>
          </w:p>
        </w:tc>
        <w:tc>
          <w:tcPr>
            <w:tcW w:w="24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w:t>
            </w:r>
          </w:p>
        </w:tc>
        <w:tc>
          <w:tcPr>
            <w:tcW w:w="240" w:type="dxa"/>
            <w:vAlign w:val="bottom"/>
            <w:shd w:val="clear" w:color="auto" w:fill="CFF0FC"/>
          </w:tcPr>
          <w:p>
            <w:pPr>
              <w:spacing w:after="0"/>
              <w:rPr>
                <w:sz w:val="18"/>
                <w:szCs w:val="18"/>
                <w:color w:val="auto"/>
              </w:rPr>
            </w:pPr>
          </w:p>
        </w:tc>
      </w:tr>
      <w:tr>
        <w:trPr>
          <w:trHeight w:val="216"/>
        </w:trPr>
        <w:tc>
          <w:tcPr>
            <w:tcW w:w="9000" w:type="dxa"/>
            <w:vAlign w:val="bottom"/>
          </w:tcPr>
          <w:p>
            <w:pPr>
              <w:ind w:left="20"/>
              <w:spacing w:after="0"/>
              <w:rPr>
                <w:sz w:val="20"/>
                <w:szCs w:val="20"/>
                <w:color w:val="auto"/>
              </w:rPr>
            </w:pPr>
            <w:r>
              <w:rPr>
                <w:rFonts w:ascii="Arial" w:cs="Arial" w:eastAsia="Arial" w:hAnsi="Arial"/>
                <w:sz w:val="18"/>
                <w:szCs w:val="18"/>
                <w:color w:val="auto"/>
              </w:rPr>
              <w:t>2023</w:t>
            </w:r>
          </w:p>
        </w:tc>
        <w:tc>
          <w:tcPr>
            <w:tcW w:w="2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705</w:t>
            </w:r>
          </w:p>
        </w:tc>
        <w:tc>
          <w:tcPr>
            <w:tcW w:w="240" w:type="dxa"/>
            <w:vAlign w:val="bottom"/>
          </w:tcPr>
          <w:p>
            <w:pPr>
              <w:spacing w:after="0"/>
              <w:rPr>
                <w:sz w:val="18"/>
                <w:szCs w:val="18"/>
                <w:color w:val="auto"/>
              </w:rPr>
            </w:pPr>
          </w:p>
        </w:tc>
      </w:tr>
      <w:tr>
        <w:trPr>
          <w:trHeight w:val="216"/>
        </w:trPr>
        <w:tc>
          <w:tcPr>
            <w:tcW w:w="90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2024</w:t>
            </w:r>
          </w:p>
        </w:tc>
        <w:tc>
          <w:tcPr>
            <w:tcW w:w="240" w:type="dxa"/>
            <w:vAlign w:val="bottom"/>
            <w:tcBorders>
              <w:bottom w:val="single" w:sz="8" w:color="auto"/>
            </w:tcBorders>
            <w:shd w:val="clear" w:color="auto" w:fill="CFF0FC"/>
          </w:tcPr>
          <w:p>
            <w:pPr>
              <w:spacing w:after="0"/>
              <w:rPr>
                <w:sz w:val="18"/>
                <w:szCs w:val="18"/>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462</w:t>
            </w:r>
          </w:p>
        </w:tc>
        <w:tc>
          <w:tcPr>
            <w:tcW w:w="240" w:type="dxa"/>
            <w:vAlign w:val="bottom"/>
            <w:tcBorders>
              <w:bottom w:val="single" w:sz="8" w:color="CFF0FC"/>
            </w:tcBorders>
            <w:shd w:val="clear" w:color="auto" w:fill="CFF0FC"/>
          </w:tcPr>
          <w:p>
            <w:pPr>
              <w:spacing w:after="0"/>
              <w:rPr>
                <w:sz w:val="18"/>
                <w:szCs w:val="18"/>
                <w:color w:val="auto"/>
              </w:rPr>
            </w:pPr>
          </w:p>
        </w:tc>
      </w:tr>
      <w:tr>
        <w:trPr>
          <w:trHeight w:val="210"/>
        </w:trPr>
        <w:tc>
          <w:tcPr>
            <w:tcW w:w="9000" w:type="dxa"/>
            <w:vAlign w:val="bottom"/>
          </w:tcPr>
          <w:p>
            <w:pPr>
              <w:ind w:left="20"/>
              <w:spacing w:after="0"/>
              <w:rPr>
                <w:sz w:val="20"/>
                <w:szCs w:val="20"/>
                <w:color w:val="auto"/>
              </w:rPr>
            </w:pPr>
            <w:r>
              <w:rPr>
                <w:rFonts w:ascii="Arial" w:cs="Arial" w:eastAsia="Arial" w:hAnsi="Arial"/>
                <w:sz w:val="18"/>
                <w:szCs w:val="18"/>
                <w:color w:val="auto"/>
              </w:rPr>
              <w:t>Total future minimum lease payments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1,344</w:t>
            </w:r>
          </w:p>
        </w:tc>
        <w:tc>
          <w:tcPr>
            <w:tcW w:w="240" w:type="dxa"/>
            <w:vAlign w:val="bottom"/>
          </w:tcPr>
          <w:p>
            <w:pPr>
              <w:spacing w:after="0"/>
              <w:rPr>
                <w:sz w:val="18"/>
                <w:szCs w:val="18"/>
                <w:color w:val="auto"/>
              </w:rPr>
            </w:pPr>
          </w:p>
        </w:tc>
      </w:tr>
      <w:tr>
        <w:trPr>
          <w:trHeight w:val="216"/>
        </w:trPr>
        <w:tc>
          <w:tcPr>
            <w:tcW w:w="9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Less: imputed interest</w:t>
            </w:r>
          </w:p>
        </w:tc>
        <w:tc>
          <w:tcPr>
            <w:tcW w:w="240" w:type="dxa"/>
            <w:vAlign w:val="bottom"/>
            <w:shd w:val="clear" w:color="auto" w:fill="CFF0FC"/>
          </w:tcPr>
          <w:p>
            <w:pPr>
              <w:spacing w:after="0"/>
              <w:rPr>
                <w:sz w:val="18"/>
                <w:szCs w:val="18"/>
                <w:color w:val="auto"/>
              </w:rPr>
            </w:pPr>
          </w:p>
        </w:tc>
        <w:tc>
          <w:tcPr>
            <w:tcW w:w="2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(165 )</w:t>
            </w:r>
          </w:p>
        </w:tc>
      </w:tr>
      <w:tr>
        <w:trPr>
          <w:trHeight w:val="209"/>
        </w:trPr>
        <w:tc>
          <w:tcPr>
            <w:tcW w:w="900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Present value of future minimum lease payments</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1,179</w:t>
            </w:r>
          </w:p>
        </w:tc>
        <w:tc>
          <w:tcPr>
            <w:tcW w:w="240" w:type="dxa"/>
            <w:vAlign w:val="bottom"/>
            <w:tcBorders>
              <w:top w:val="single" w:sz="8" w:color="CFF0FC"/>
            </w:tcBorders>
          </w:tcPr>
          <w:p>
            <w:pPr>
              <w:spacing w:after="0"/>
              <w:rPr>
                <w:sz w:val="18"/>
                <w:szCs w:val="18"/>
                <w:color w:val="auto"/>
              </w:rPr>
            </w:pPr>
          </w:p>
        </w:tc>
      </w:tr>
      <w:tr>
        <w:trPr>
          <w:trHeight w:val="216"/>
        </w:trPr>
        <w:tc>
          <w:tcPr>
            <w:tcW w:w="9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Less: current portion of operating lease liability</w:t>
            </w:r>
          </w:p>
        </w:tc>
        <w:tc>
          <w:tcPr>
            <w:tcW w:w="240" w:type="dxa"/>
            <w:vAlign w:val="bottom"/>
            <w:shd w:val="clear" w:color="auto" w:fill="CFF0FC"/>
          </w:tcPr>
          <w:p>
            <w:pPr>
              <w:spacing w:after="0"/>
              <w:rPr>
                <w:sz w:val="18"/>
                <w:szCs w:val="18"/>
                <w:color w:val="auto"/>
              </w:rPr>
            </w:pPr>
          </w:p>
        </w:tc>
        <w:tc>
          <w:tcPr>
            <w:tcW w:w="2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(578 )</w:t>
            </w:r>
          </w:p>
        </w:tc>
      </w:tr>
      <w:tr>
        <w:trPr>
          <w:trHeight w:val="209"/>
        </w:trPr>
        <w:tc>
          <w:tcPr>
            <w:tcW w:w="900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Operating lease liabilities – noncurrent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601</w:t>
            </w:r>
          </w:p>
        </w:tc>
        <w:tc>
          <w:tcPr>
            <w:tcW w:w="240" w:type="dxa"/>
            <w:vAlign w:val="bottom"/>
            <w:tcBorders>
              <w:top w:val="single" w:sz="8" w:color="CFF0FC"/>
            </w:tcBorders>
          </w:tcPr>
          <w:p>
            <w:pPr>
              <w:spacing w:after="0"/>
              <w:rPr>
                <w:sz w:val="18"/>
                <w:szCs w:val="18"/>
                <w:color w:val="auto"/>
              </w:rPr>
            </w:pPr>
          </w:p>
        </w:tc>
      </w:tr>
      <w:tr>
        <w:trPr>
          <w:trHeight w:val="20"/>
        </w:trPr>
        <w:tc>
          <w:tcPr>
            <w:tcW w:w="9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6983095</wp:posOffset>
            </wp:positionH>
            <wp:positionV relativeFrom="paragraph">
              <wp:posOffset>-736600</wp:posOffset>
            </wp:positionV>
            <wp:extent cx="68580" cy="146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-454025</wp:posOffset>
            </wp:positionV>
            <wp:extent cx="68580" cy="1454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-170815</wp:posOffset>
            </wp:positionV>
            <wp:extent cx="68580" cy="1714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Legal Proceedings</w:t>
      </w:r>
    </w:p>
    <w:p>
      <w:pPr>
        <w:spacing w:after="0" w:line="104" w:lineRule="exact"/>
        <w:rPr>
          <w:sz w:val="20"/>
          <w:szCs w:val="20"/>
          <w:color w:val="auto"/>
        </w:rPr>
      </w:pPr>
    </w:p>
    <w:p>
      <w:pPr>
        <w:ind w:right="20" w:firstLine="509"/>
        <w:spacing w:after="0" w:line="258" w:lineRule="auto"/>
        <w:rPr>
          <w:sz w:val="20"/>
          <w:szCs w:val="20"/>
          <w:color w:val="auto"/>
        </w:rPr>
      </w:pPr>
      <w:r>
        <w:rPr>
          <w:rFonts w:ascii="Arial" w:cs="Arial" w:eastAsia="Arial" w:hAnsi="Arial"/>
          <w:sz w:val="17"/>
          <w:szCs w:val="17"/>
          <w:color w:val="auto"/>
        </w:rPr>
        <w:t xml:space="preserve">On September 16, 2021, the Company filed suit in the U.S. District Court for the District of Delaware (C.A. No. 1:21-cv-01317) alleging that Ivantis, Inc. directly and indirectly infringes U.S. Patent Nos. 8,287,482, 9,370,443, 9,486,361, and 10,314,742 by making, using, selling, and offering for sale the Hydrus® Microstent. The Company’s Complaint seeks money damages and injunctive relief. On January 24, 2022, Ivantis asserted counterclaims requesting declaratory judgments that the Company's asserted patents-in-suit are not infringed and/or invalid. On August 1, 2022, the Company filed an amended complaint alleging that Alcon Inc., Alcon Vision, LLC and Alcon Research, LLC infringe the four originally asserted patents by making, using, selling, and offering for sale the Hydrus® Microstent, and that all defendants also infringe U.S. Patent No. 11,389,328. The defendants reasserted counterclaims requesting declaratory judgments that the Company’s asserted patents-in-suit are not infringed and/or invalid. A five-day jury trial is scheduled to commence on April 8, 2024. Ivantis and Alcon filed petitions with the U.S. Patent Office seeking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of U.S. Patent Nos. 8,287,482, 9,370,443, 9,486,361, and 10,314,742 (IPR2022-01529, IPR2022-01530, IPR2022-01533, IPR2022-01540). Around the end of March 2023, the U.S. Patent Office will determine whether to institute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proceedings. If any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is instituted, the U.S. Patent Office would make validity findings as to the affected patent(s) by the end of March 2024. The Company is presently unable to predict the outcome of this lawsuit or to reasonably estimate the potential financial impact of the lawsuit on the Company, if any.</w:t>
      </w:r>
    </w:p>
    <w:p>
      <w:pPr>
        <w:spacing w:after="0" w:line="70"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The Company is subject to claims and assessments from time to time in the ordinary course of business. Accruals for litigation and contingencies are reflected in the financial statements based on management’s assessment, including the advice of legal counsel, of the expected outcome of litigation or other dispute resolution proceedings, and/or the expected resolution of contingencies. Liabilities for estimated losses are accrued if the potential losses from any claims or legal proceedings are considered probable and the amounts can be reasonably estimated. Significant judgment is required in both the determination of probability of loss and the determination as to whether the amount can be reasonably estimated. Accruals are based only on information available at the time of the assessment due to the uncertain nature of such matters. As additional information becomes available, management reassesses potential liabilities related to pending claims and litigation and may revise its previous estimates, which could materially affect the Company’s results of operations in a given period. As of September 30, 2022 and December 31, 2021, the Company was not involved in any material legal proceedings except as described above.</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Indemnification</w:t>
      </w:r>
    </w:p>
    <w:p>
      <w:pPr>
        <w:spacing w:after="0" w:line="104" w:lineRule="exact"/>
        <w:rPr>
          <w:sz w:val="20"/>
          <w:szCs w:val="20"/>
          <w:color w:val="auto"/>
        </w:rPr>
      </w:pPr>
    </w:p>
    <w:p>
      <w:pPr>
        <w:ind w:right="100" w:firstLine="509"/>
        <w:spacing w:after="0" w:line="290" w:lineRule="auto"/>
        <w:rPr>
          <w:sz w:val="20"/>
          <w:szCs w:val="20"/>
          <w:color w:val="auto"/>
        </w:rPr>
      </w:pPr>
      <w:r>
        <w:rPr>
          <w:rFonts w:ascii="Arial" w:cs="Arial" w:eastAsia="Arial" w:hAnsi="Arial"/>
          <w:sz w:val="16"/>
          <w:szCs w:val="16"/>
          <w:color w:val="auto"/>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that have not yet been made. To date, the Company has not paid any claims or been required to defend any action related to its indemnification obligations. However, the Company may record charges in the future as a result of these indemnification obligations.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8" w:name="page19"/>
    <w:bookmarkEnd w:id="18"/>
    <w:p>
      <w:pPr>
        <w:ind w:right="40" w:firstLine="509"/>
        <w:spacing w:after="0" w:line="261" w:lineRule="auto"/>
        <w:rPr>
          <w:sz w:val="20"/>
          <w:szCs w:val="20"/>
          <w:color w:val="auto"/>
        </w:rPr>
      </w:pPr>
      <w:r>
        <w:rPr>
          <w:rFonts w:ascii="Arial" w:cs="Arial" w:eastAsia="Arial" w:hAnsi="Arial"/>
          <w:sz w:val="17"/>
          <w:szCs w:val="17"/>
          <w:color w:val="auto"/>
        </w:rPr>
        <w:t>The Company indemnifies each of its directors and officers for certain events or occurrences, subject to certain limits, while the director is or was serving at the Company’s request in such capacity, as permitted under Delaware law and in accordance with its certificate of incorporation and bylaws. The term of the indemnification period lasts as long as a director or officer may be subject to any proceeding arising out of acts or omissions of such director or officer in such capacity. The maximum amount of potential future indemnification is unlimited; however, the Company currently holds director and officer liability insurance. This insurance allows the transfer of risk associated with the Company’s exposure and may enable it to recover a portion of any future amounts paid. The Company believes that the fair value of these indemnification obligations is immaterial. Accordingly, the Company has not recognized any liabilities relating to these obligations as of September 30, 2022 and December 31, 2021.</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7. Stockholders'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04" w:lineRule="exact"/>
        <w:rPr>
          <w:sz w:val="20"/>
          <w:szCs w:val="20"/>
          <w:color w:val="auto"/>
        </w:rPr>
      </w:pPr>
    </w:p>
    <w:p>
      <w:pPr>
        <w:ind w:right="40" w:firstLine="509"/>
        <w:spacing w:after="0" w:line="290" w:lineRule="auto"/>
        <w:rPr>
          <w:sz w:val="20"/>
          <w:szCs w:val="20"/>
          <w:color w:val="auto"/>
        </w:rPr>
      </w:pPr>
      <w:r>
        <w:rPr>
          <w:rFonts w:ascii="Arial" w:cs="Arial" w:eastAsia="Arial" w:hAnsi="Arial"/>
          <w:sz w:val="16"/>
          <w:szCs w:val="16"/>
          <w:color w:val="auto"/>
        </w:rPr>
        <w:t>In connection with the Company’s IPO in July 2021, the Company’s certificate of incorporation was amended and restated to provide for 200,000,000 authorized shares of common stock with a par value of $0.001 per share and 10,000,000 authorized shares of preferred stock with a par value of $0.001 per share. The holders of common stock were also entitled to receive dividends whenever funds are legally available, when and if declared by the board of directors. As of September 30, 2022, no dividends have been declared to date. Each share of common stock is entitled to one vote.</w:t>
      </w:r>
    </w:p>
    <w:p>
      <w:pPr>
        <w:spacing w:after="0" w:line="15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At September 30, 2022 and December 31, 2021, the Company had reserved common stock for future issuances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20" w:type="dxa"/>
            <w:vAlign w:val="bottom"/>
          </w:tcPr>
          <w:p>
            <w:pPr>
              <w:spacing w:after="0"/>
              <w:rPr>
                <w:sz w:val="15"/>
                <w:szCs w:val="15"/>
                <w:color w:val="auto"/>
              </w:rPr>
            </w:pPr>
          </w:p>
        </w:tc>
        <w:tc>
          <w:tcPr>
            <w:tcW w:w="1600" w:type="dxa"/>
            <w:vAlign w:val="bottom"/>
          </w:tcPr>
          <w:p>
            <w:pPr>
              <w:jc w:val="right"/>
              <w:ind w:right="275"/>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5"/>
                <w:szCs w:val="15"/>
                <w:color w:val="auto"/>
              </w:rPr>
            </w:pPr>
          </w:p>
        </w:tc>
        <w:tc>
          <w:tcPr>
            <w:tcW w:w="1580" w:type="dxa"/>
            <w:vAlign w:val="bottom"/>
          </w:tcPr>
          <w:p>
            <w:pPr>
              <w:jc w:val="right"/>
              <w:ind w:right="296"/>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5"/>
                <w:szCs w:val="15"/>
                <w:color w:val="auto"/>
              </w:rPr>
            </w:pPr>
          </w:p>
        </w:tc>
      </w:tr>
      <w:tr>
        <w:trPr>
          <w:trHeight w:val="185"/>
        </w:trPr>
        <w:tc>
          <w:tcPr>
            <w:tcW w:w="7720" w:type="dxa"/>
            <w:vAlign w:val="bottom"/>
          </w:tcPr>
          <w:p>
            <w:pPr>
              <w:spacing w:after="0"/>
              <w:rPr>
                <w:sz w:val="16"/>
                <w:szCs w:val="16"/>
                <w:color w:val="auto"/>
              </w:rPr>
            </w:pPr>
          </w:p>
        </w:tc>
        <w:tc>
          <w:tcPr>
            <w:tcW w:w="1600" w:type="dxa"/>
            <w:vAlign w:val="bottom"/>
          </w:tcPr>
          <w:p>
            <w:pPr>
              <w:jc w:val="right"/>
              <w:ind w:right="575"/>
              <w:spacing w:after="0"/>
              <w:rPr>
                <w:sz w:val="20"/>
                <w:szCs w:val="20"/>
                <w:color w:val="auto"/>
              </w:rPr>
            </w:pPr>
            <w:r>
              <w:rPr>
                <w:rFonts w:ascii="Arial" w:cs="Arial" w:eastAsia="Arial" w:hAnsi="Arial"/>
                <w:sz w:val="14"/>
                <w:szCs w:val="14"/>
                <w:b w:val="1"/>
                <w:bCs w:val="1"/>
                <w:color w:val="auto"/>
              </w:rPr>
              <w:t>2022</w:t>
            </w:r>
          </w:p>
        </w:tc>
        <w:tc>
          <w:tcPr>
            <w:tcW w:w="1820" w:type="dxa"/>
            <w:vAlign w:val="bottom"/>
            <w:gridSpan w:val="2"/>
          </w:tcPr>
          <w:p>
            <w:pPr>
              <w:jc w:val="right"/>
              <w:ind w:right="57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Common stock options issued and outstanding</w:t>
            </w:r>
          </w:p>
        </w:tc>
        <w:tc>
          <w:tcPr>
            <w:tcW w:w="1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5,028,066</w:t>
            </w:r>
          </w:p>
        </w:tc>
        <w:tc>
          <w:tcPr>
            <w:tcW w:w="240" w:type="dxa"/>
            <w:vAlign w:val="bottom"/>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4,996,945</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Arial" w:cs="Arial" w:eastAsia="Arial" w:hAnsi="Arial"/>
                <w:sz w:val="18"/>
                <w:szCs w:val="18"/>
                <w:color w:val="auto"/>
              </w:rPr>
              <w:t>Common stock available for future grant</w:t>
            </w:r>
          </w:p>
        </w:tc>
        <w:tc>
          <w:tcPr>
            <w:tcW w:w="1600" w:type="dxa"/>
            <w:vAlign w:val="bottom"/>
          </w:tcPr>
          <w:p>
            <w:pPr>
              <w:jc w:val="right"/>
              <w:spacing w:after="0"/>
              <w:rPr>
                <w:sz w:val="20"/>
                <w:szCs w:val="20"/>
                <w:color w:val="auto"/>
              </w:rPr>
            </w:pPr>
            <w:r>
              <w:rPr>
                <w:rFonts w:ascii="Arial" w:cs="Arial" w:eastAsia="Arial" w:hAnsi="Arial"/>
                <w:sz w:val="18"/>
                <w:szCs w:val="18"/>
                <w:color w:val="auto"/>
              </w:rPr>
              <w:t>6,431,924</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5,321,687</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Restricted stock units outstanding</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700,873</w:t>
            </w:r>
          </w:p>
        </w:tc>
        <w:tc>
          <w:tcPr>
            <w:tcW w:w="1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53,250</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Arial" w:cs="Arial" w:eastAsia="Arial" w:hAnsi="Arial"/>
                <w:sz w:val="18"/>
                <w:szCs w:val="18"/>
                <w:color w:val="auto"/>
              </w:rPr>
              <w:t>Shares available for future purchase under ESPP</w:t>
            </w:r>
          </w:p>
        </w:tc>
        <w:tc>
          <w:tcPr>
            <w:tcW w:w="1600" w:type="dxa"/>
            <w:vAlign w:val="bottom"/>
          </w:tcPr>
          <w:p>
            <w:pPr>
              <w:jc w:val="right"/>
              <w:spacing w:after="0"/>
              <w:rPr>
                <w:sz w:val="20"/>
                <w:szCs w:val="20"/>
                <w:color w:val="auto"/>
              </w:rPr>
            </w:pPr>
            <w:r>
              <w:rPr>
                <w:rFonts w:ascii="Arial" w:cs="Arial" w:eastAsia="Arial" w:hAnsi="Arial"/>
                <w:sz w:val="18"/>
                <w:szCs w:val="18"/>
                <w:color w:val="auto"/>
              </w:rPr>
              <w:t>1,325,047</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850,000</w:t>
            </w:r>
          </w:p>
        </w:tc>
        <w:tc>
          <w:tcPr>
            <w:tcW w:w="100" w:type="dxa"/>
            <w:vAlign w:val="bottom"/>
          </w:tcPr>
          <w:p>
            <w:pPr>
              <w:spacing w:after="0"/>
              <w:rPr>
                <w:sz w:val="18"/>
                <w:szCs w:val="18"/>
                <w:color w:val="auto"/>
              </w:rPr>
            </w:pPr>
          </w:p>
        </w:tc>
      </w:tr>
      <w:tr>
        <w:trPr>
          <w:trHeight w:val="249"/>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13,485,910</w:t>
            </w:r>
          </w:p>
        </w:tc>
        <w:tc>
          <w:tcPr>
            <w:tcW w:w="240" w:type="dxa"/>
            <w:vAlign w:val="bottom"/>
            <w:tcBorders>
              <w:bottom w:val="single" w:sz="8" w:color="CFF0FC"/>
            </w:tcBorders>
            <w:shd w:val="clear" w:color="auto" w:fill="CFF0FC"/>
          </w:tcPr>
          <w:p>
            <w:pPr>
              <w:spacing w:after="0"/>
              <w:rPr>
                <w:sz w:val="21"/>
                <w:szCs w:val="21"/>
                <w:color w:val="auto"/>
              </w:rPr>
            </w:pP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11,221,882</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-25400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Redeemable Convertible Preferred Stock</w:t>
      </w:r>
    </w:p>
    <w:p>
      <w:pPr>
        <w:spacing w:after="0" w:line="104" w:lineRule="exact"/>
        <w:rPr>
          <w:sz w:val="20"/>
          <w:szCs w:val="20"/>
          <w:color w:val="auto"/>
        </w:rPr>
      </w:pPr>
    </w:p>
    <w:p>
      <w:pPr>
        <w:ind w:right="380" w:firstLine="509"/>
        <w:spacing w:after="0" w:line="278" w:lineRule="auto"/>
        <w:rPr>
          <w:sz w:val="20"/>
          <w:szCs w:val="20"/>
          <w:color w:val="auto"/>
        </w:rPr>
      </w:pPr>
      <w:r>
        <w:rPr>
          <w:rFonts w:ascii="Arial" w:cs="Arial" w:eastAsia="Arial" w:hAnsi="Arial"/>
          <w:sz w:val="17"/>
          <w:szCs w:val="17"/>
          <w:color w:val="auto"/>
        </w:rPr>
        <w:t>There was no redeemable convertible preferred stock outstanding as of September 30, 2022 and December 31, 2021. In connection with the Company’s IPO in July 2021, all then-outstanding shares of redeemable convertible preferred stock were converted into 25,534,404 shares of common stock. This resulted in the reclassification of the related redeemable convertible preferred stock to common stock and APIC.</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117" w:lineRule="exact"/>
        <w:rPr>
          <w:sz w:val="20"/>
          <w:szCs w:val="20"/>
          <w:color w:val="auto"/>
        </w:rPr>
      </w:pPr>
    </w:p>
    <w:p>
      <w:pPr>
        <w:ind w:right="20" w:firstLine="509"/>
        <w:spacing w:after="0" w:line="263" w:lineRule="auto"/>
        <w:rPr>
          <w:sz w:val="20"/>
          <w:szCs w:val="20"/>
          <w:color w:val="auto"/>
        </w:rPr>
      </w:pPr>
      <w:r>
        <w:rPr>
          <w:rFonts w:ascii="Arial" w:cs="Arial" w:eastAsia="Arial" w:hAnsi="Arial"/>
          <w:sz w:val="17"/>
          <w:szCs w:val="17"/>
          <w:color w:val="auto"/>
        </w:rPr>
        <w:t>There were no warrants outstanding as of September 30, 2022 and December 31, 2021. The Company had previously issued redeemable convertible preferred stock warrants in connection with the Company's 2019 Term Loan agreement and 2020 Term Loan agreement. At initial recognition, the warrants were recorded at their estimated fair values and were subject to remeasurement at each balance sheet date. Upon completion of the IPO, the outstanding warrants were converted to common stock, resulting in the re-classification of the convertible preferred stock warrant liability to APIC. In August 2021, the warrants were net exercised and the Company issued 483,554 shares of common stock.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8. Equity Incentive Plans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2011 Stock Option Plan and 2021 Incentive Award Plan</w:t>
      </w:r>
    </w:p>
    <w:p>
      <w:pPr>
        <w:spacing w:after="0" w:line="104" w:lineRule="exact"/>
        <w:rPr>
          <w:sz w:val="20"/>
          <w:szCs w:val="20"/>
          <w:color w:val="auto"/>
        </w:rPr>
      </w:pPr>
    </w:p>
    <w:p>
      <w:pPr>
        <w:ind w:right="100" w:firstLine="509"/>
        <w:spacing w:after="0" w:line="303" w:lineRule="auto"/>
        <w:rPr>
          <w:sz w:val="20"/>
          <w:szCs w:val="20"/>
          <w:color w:val="auto"/>
        </w:rPr>
      </w:pPr>
      <w:r>
        <w:rPr>
          <w:rFonts w:ascii="Arial" w:cs="Arial" w:eastAsia="Arial" w:hAnsi="Arial"/>
          <w:sz w:val="16"/>
          <w:szCs w:val="16"/>
          <w:color w:val="auto"/>
        </w:rPr>
        <w:t>In 2011, the Company established its 2011 Stock Option Plan (the “2011 Plan”) that provided for the granting of stock options to employees and nonemployees of the Company. In July 2021, the Company’s Board of Directors and stockholders adopted and approved the 2021 Incentive Award Plan, (the “2021 Plan”). Under the 2021 Plan, the Company has the ability to issue incentive stock options ("ISOs"), nonqualified stock options ("NSOs"), stock</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9" w:name="page20"/>
    <w:bookmarkEnd w:id="19"/>
    <w:p>
      <w:pPr>
        <w:ind w:right="20"/>
        <w:spacing w:after="0" w:line="257" w:lineRule="auto"/>
        <w:rPr>
          <w:sz w:val="20"/>
          <w:szCs w:val="20"/>
          <w:color w:val="auto"/>
        </w:rPr>
      </w:pPr>
      <w:r>
        <w:rPr>
          <w:rFonts w:ascii="Arial" w:cs="Arial" w:eastAsia="Arial" w:hAnsi="Arial"/>
          <w:sz w:val="17"/>
          <w:szCs w:val="17"/>
          <w:color w:val="auto"/>
        </w:rPr>
        <w:t>appreciation rights, dividend equivalent rights, restricted stock awards, and restricted stock unit awards. Options under the 2021 Plan can be granted for periods of up to 10 years. For incentive stock options granted to a grantee who, at the time the option is granted, owns stock representing more than 10% of the voting power of all classes of stock of the Company or any parent or subsidiary of the Company, the term of the incentive stock option may be granted for periods of up to five years. The ISOs and NSOs will be granted at a price per share not less than the fair value at the date of grant. The exercise price of an ISO granted to a 10% stockholder shall not be less than 110% of the estimated fair value of the shares on the date of grant, as determined by the board of directors. Options granted to new hires generally vest over a four-year period, with 25% vesting at the end of one year and the remaining vesting monthly thereafter; options granted as merit awards generally vest monthly over a four-year period. The Company initially reserved 5,200,000 shares of common stock for future issuance under the 2021 Plan. This initial reserve will be increased annually on the first day of each calendar year beginning on January 1, 2022 and ending on and including January 1, 2031. These annual increases shall be equal to the lesser of (i) 5% of the aggregate number of shares of Common Stock outstanding on the final day of the immediately preceding calendar year and (ii) such smaller number of shares of Common Stock as determined by the Board, subject to certain limitations.</w:t>
      </w:r>
    </w:p>
    <w:p>
      <w:pPr>
        <w:spacing w:after="0" w:line="87" w:lineRule="exact"/>
        <w:rPr>
          <w:sz w:val="20"/>
          <w:szCs w:val="20"/>
          <w:color w:val="auto"/>
        </w:rPr>
      </w:pPr>
    </w:p>
    <w:p>
      <w:pPr>
        <w:jc w:val="both"/>
        <w:ind w:right="180" w:firstLine="509"/>
        <w:spacing w:after="0" w:line="294" w:lineRule="auto"/>
        <w:rPr>
          <w:sz w:val="20"/>
          <w:szCs w:val="20"/>
          <w:color w:val="auto"/>
        </w:rPr>
      </w:pPr>
      <w:r>
        <w:rPr>
          <w:rFonts w:ascii="Arial" w:cs="Arial" w:eastAsia="Arial" w:hAnsi="Arial"/>
          <w:sz w:val="16"/>
          <w:szCs w:val="16"/>
          <w:color w:val="auto"/>
        </w:rPr>
        <w:t>The Company’s 2011 Stock Plan was terminated in connection with the IPO and no further grants will be made under the 2011 Plan from the date the 2021 Plan became effective. The terms under the 2011 Plan are consistent with those described above for the 2021 Plan. The Company had the ability to issue ISOs, NSOs, stock appreciation rights, dividend equivalent rights, restricted stock awards, and restricted stock unit awards.</w:t>
      </w:r>
    </w:p>
    <w:p>
      <w:pPr>
        <w:spacing w:after="0" w:line="53" w:lineRule="exact"/>
        <w:rPr>
          <w:sz w:val="20"/>
          <w:szCs w:val="20"/>
          <w:color w:val="auto"/>
        </w:rPr>
      </w:pPr>
    </w:p>
    <w:p>
      <w:pPr>
        <w:ind w:right="280" w:firstLine="509"/>
        <w:spacing w:after="0" w:line="261" w:lineRule="auto"/>
        <w:rPr>
          <w:sz w:val="20"/>
          <w:szCs w:val="20"/>
          <w:color w:val="auto"/>
        </w:rPr>
      </w:pPr>
      <w:r>
        <w:rPr>
          <w:rFonts w:ascii="Arial" w:cs="Arial" w:eastAsia="Arial" w:hAnsi="Arial"/>
          <w:sz w:val="18"/>
          <w:szCs w:val="18"/>
          <w:color w:val="auto"/>
        </w:rPr>
        <w:t>At September 30, 2022 and December 31, 2021 there were 6,431,924 and 5,321,687 shares, respectively, of common stock available for issuance under the 2021 Plan.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Stock Option Awards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stock option activity under the 2021 Plan:</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Weighted-Average</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8"/>
        </w:trPr>
        <w:tc>
          <w:tcPr>
            <w:tcW w:w="4420" w:type="dxa"/>
            <w:vAlign w:val="bottom"/>
          </w:tcPr>
          <w:p>
            <w:pPr>
              <w:spacing w:after="0"/>
              <w:rPr>
                <w:sz w:val="13"/>
                <w:szCs w:val="13"/>
                <w:color w:val="auto"/>
              </w:rPr>
            </w:pPr>
          </w:p>
        </w:tc>
        <w:tc>
          <w:tcPr>
            <w:tcW w:w="1620" w:type="dxa"/>
            <w:vAlign w:val="bottom"/>
            <w:gridSpan w:val="2"/>
          </w:tcPr>
          <w:p>
            <w:pPr>
              <w:jc w:val="right"/>
              <w:ind w:right="620"/>
              <w:spacing w:after="0" w:line="158" w:lineRule="exact"/>
              <w:rPr>
                <w:sz w:val="20"/>
                <w:szCs w:val="20"/>
                <w:color w:val="auto"/>
              </w:rPr>
            </w:pPr>
            <w:r>
              <w:rPr>
                <w:rFonts w:ascii="Arial" w:cs="Arial" w:eastAsia="Arial" w:hAnsi="Arial"/>
                <w:sz w:val="14"/>
                <w:szCs w:val="14"/>
                <w:b w:val="1"/>
                <w:bCs w:val="1"/>
                <w:color w:val="auto"/>
              </w:rPr>
              <w:t>Number of</w:t>
            </w:r>
          </w:p>
        </w:tc>
        <w:tc>
          <w:tcPr>
            <w:tcW w:w="1360" w:type="dxa"/>
            <w:vAlign w:val="bottom"/>
            <w:gridSpan w:val="2"/>
          </w:tcPr>
          <w:p>
            <w:pPr>
              <w:jc w:val="right"/>
              <w:ind w:right="52"/>
              <w:spacing w:after="0" w:line="158" w:lineRule="exact"/>
              <w:rPr>
                <w:sz w:val="20"/>
                <w:szCs w:val="20"/>
                <w:color w:val="auto"/>
              </w:rPr>
            </w:pPr>
            <w:r>
              <w:rPr>
                <w:rFonts w:ascii="Arial" w:cs="Arial" w:eastAsia="Arial" w:hAnsi="Arial"/>
                <w:sz w:val="14"/>
                <w:szCs w:val="14"/>
                <w:b w:val="1"/>
                <w:bCs w:val="1"/>
                <w:color w:val="auto"/>
                <w:w w:val="97"/>
              </w:rPr>
              <w:t>Weighted-Average</w:t>
            </w:r>
          </w:p>
        </w:tc>
        <w:tc>
          <w:tcPr>
            <w:tcW w:w="200" w:type="dxa"/>
            <w:vAlign w:val="bottom"/>
          </w:tcPr>
          <w:p>
            <w:pPr>
              <w:spacing w:after="0"/>
              <w:rPr>
                <w:sz w:val="13"/>
                <w:szCs w:val="13"/>
                <w:color w:val="auto"/>
              </w:rPr>
            </w:pPr>
          </w:p>
        </w:tc>
        <w:tc>
          <w:tcPr>
            <w:tcW w:w="17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7"/>
              </w:rPr>
              <w:t>Contractual</w:t>
            </w:r>
          </w:p>
        </w:tc>
        <w:tc>
          <w:tcPr>
            <w:tcW w:w="260" w:type="dxa"/>
            <w:vAlign w:val="bottom"/>
          </w:tcPr>
          <w:p>
            <w:pPr>
              <w:spacing w:after="0"/>
              <w:rPr>
                <w:sz w:val="13"/>
                <w:szCs w:val="13"/>
                <w:color w:val="auto"/>
              </w:rPr>
            </w:pPr>
          </w:p>
        </w:tc>
        <w:tc>
          <w:tcPr>
            <w:tcW w:w="154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w w:val="96"/>
              </w:rPr>
              <w:t>Average Intrinsic Value</w:t>
            </w:r>
          </w:p>
        </w:tc>
        <w:tc>
          <w:tcPr>
            <w:tcW w:w="100" w:type="dxa"/>
            <w:vAlign w:val="bottom"/>
          </w:tcPr>
          <w:p>
            <w:pPr>
              <w:spacing w:after="0"/>
              <w:rPr>
                <w:sz w:val="13"/>
                <w:szCs w:val="13"/>
                <w:color w:val="auto"/>
              </w:rPr>
            </w:pPr>
          </w:p>
        </w:tc>
      </w:tr>
      <w:tr>
        <w:trPr>
          <w:trHeight w:val="189"/>
        </w:trPr>
        <w:tc>
          <w:tcPr>
            <w:tcW w:w="4420" w:type="dxa"/>
            <w:vAlign w:val="bottom"/>
          </w:tcPr>
          <w:p>
            <w:pPr>
              <w:spacing w:after="0"/>
              <w:rPr>
                <w:sz w:val="16"/>
                <w:szCs w:val="16"/>
                <w:color w:val="auto"/>
              </w:rPr>
            </w:pPr>
          </w:p>
        </w:tc>
        <w:tc>
          <w:tcPr>
            <w:tcW w:w="162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6"/>
                <w:szCs w:val="16"/>
                <w:color w:val="auto"/>
              </w:rPr>
            </w:pPr>
          </w:p>
        </w:tc>
        <w:tc>
          <w:tcPr>
            <w:tcW w:w="1180" w:type="dxa"/>
            <w:vAlign w:val="bottom"/>
          </w:tcPr>
          <w:p>
            <w:pPr>
              <w:jc w:val="right"/>
              <w:ind w:right="152"/>
              <w:spacing w:after="0"/>
              <w:rPr>
                <w:sz w:val="20"/>
                <w:szCs w:val="20"/>
                <w:color w:val="auto"/>
              </w:rPr>
            </w:pPr>
            <w:r>
              <w:rPr>
                <w:rFonts w:ascii="Arial" w:cs="Arial" w:eastAsia="Arial" w:hAnsi="Arial"/>
                <w:sz w:val="14"/>
                <w:szCs w:val="14"/>
                <w:b w:val="1"/>
                <w:bCs w:val="1"/>
                <w:color w:val="auto"/>
                <w:w w:val="96"/>
              </w:rPr>
              <w:t>Exercise Price</w:t>
            </w:r>
          </w:p>
        </w:tc>
        <w:tc>
          <w:tcPr>
            <w:tcW w:w="200" w:type="dxa"/>
            <w:vAlign w:val="bottom"/>
          </w:tcPr>
          <w:p>
            <w:pPr>
              <w:spacing w:after="0"/>
              <w:rPr>
                <w:sz w:val="16"/>
                <w:szCs w:val="16"/>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3"/>
              </w:rPr>
              <w:t>Term (in years)</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ind w:right="254"/>
              <w:spacing w:after="0"/>
              <w:rPr>
                <w:sz w:val="20"/>
                <w:szCs w:val="20"/>
                <w:color w:val="auto"/>
              </w:rPr>
            </w:pPr>
            <w:r>
              <w:rPr>
                <w:rFonts w:ascii="Arial" w:cs="Arial" w:eastAsia="Arial" w:hAnsi="Arial"/>
                <w:sz w:val="14"/>
                <w:szCs w:val="14"/>
                <w:b w:val="1"/>
                <w:bCs w:val="1"/>
                <w:color w:val="auto"/>
                <w:w w:val="99"/>
              </w:rPr>
              <w:t>(in thousands)</w:t>
            </w:r>
          </w:p>
        </w:tc>
        <w:tc>
          <w:tcPr>
            <w:tcW w:w="100" w:type="dxa"/>
            <w:vAlign w:val="bottom"/>
          </w:tcPr>
          <w:p>
            <w:pPr>
              <w:spacing w:after="0"/>
              <w:rPr>
                <w:sz w:val="16"/>
                <w:szCs w:val="16"/>
                <w:color w:val="auto"/>
              </w:rPr>
            </w:pPr>
          </w:p>
        </w:tc>
      </w:tr>
      <w:tr>
        <w:trPr>
          <w:trHeight w:val="209"/>
        </w:trPr>
        <w:tc>
          <w:tcPr>
            <w:tcW w:w="44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Balances as of December 31, 2021</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4,996,945</w:t>
            </w:r>
          </w:p>
        </w:tc>
        <w:tc>
          <w:tcPr>
            <w:tcW w:w="28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6.05</w:t>
            </w:r>
          </w:p>
        </w:tc>
        <w:tc>
          <w:tcPr>
            <w:tcW w:w="200" w:type="dxa"/>
            <w:vAlign w:val="bottom"/>
            <w:shd w:val="clear" w:color="auto" w:fill="CFF0FC"/>
          </w:tcPr>
          <w:p>
            <w:pPr>
              <w:spacing w:after="0"/>
              <w:rPr>
                <w:sz w:val="18"/>
                <w:szCs w:val="18"/>
                <w:color w:val="auto"/>
              </w:rPr>
            </w:pPr>
          </w:p>
        </w:tc>
        <w:tc>
          <w:tcPr>
            <w:tcW w:w="1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26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58,420</w:t>
            </w:r>
          </w:p>
        </w:tc>
        <w:tc>
          <w:tcPr>
            <w:tcW w:w="100" w:type="dxa"/>
            <w:vAlign w:val="bottom"/>
            <w:shd w:val="clear" w:color="auto" w:fill="CFF0FC"/>
          </w:tcPr>
          <w:p>
            <w:pPr>
              <w:spacing w:after="0"/>
              <w:rPr>
                <w:sz w:val="18"/>
                <w:szCs w:val="18"/>
                <w:color w:val="auto"/>
              </w:rPr>
            </w:pPr>
          </w:p>
        </w:tc>
      </w:tr>
      <w:tr>
        <w:trPr>
          <w:trHeight w:val="216"/>
        </w:trPr>
        <w:tc>
          <w:tcPr>
            <w:tcW w:w="4420" w:type="dxa"/>
            <w:vAlign w:val="bottom"/>
          </w:tcPr>
          <w:p>
            <w:pPr>
              <w:ind w:left="200"/>
              <w:spacing w:after="0"/>
              <w:rPr>
                <w:sz w:val="20"/>
                <w:szCs w:val="20"/>
                <w:color w:val="auto"/>
              </w:rPr>
            </w:pPr>
            <w:r>
              <w:rPr>
                <w:rFonts w:ascii="Arial" w:cs="Arial" w:eastAsia="Arial" w:hAnsi="Arial"/>
                <w:sz w:val="18"/>
                <w:szCs w:val="18"/>
                <w:color w:val="auto"/>
              </w:rPr>
              <w:t>Grants</w:t>
            </w:r>
          </w:p>
        </w:tc>
        <w:tc>
          <w:tcPr>
            <w:tcW w:w="1340" w:type="dxa"/>
            <w:vAlign w:val="bottom"/>
          </w:tcPr>
          <w:p>
            <w:pPr>
              <w:jc w:val="right"/>
              <w:spacing w:after="0"/>
              <w:rPr>
                <w:sz w:val="20"/>
                <w:szCs w:val="20"/>
                <w:color w:val="auto"/>
              </w:rPr>
            </w:pPr>
            <w:r>
              <w:rPr>
                <w:rFonts w:ascii="Arial" w:cs="Arial" w:eastAsia="Arial" w:hAnsi="Arial"/>
                <w:sz w:val="18"/>
                <w:szCs w:val="18"/>
                <w:color w:val="auto"/>
              </w:rPr>
              <w:t>1,375,700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17.09</w:t>
            </w: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Forfeited/cancelled</w:t>
            </w:r>
          </w:p>
        </w:tc>
        <w:tc>
          <w:tcPr>
            <w:tcW w:w="16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(763,040 )</w:t>
            </w: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6.97</w:t>
            </w:r>
          </w:p>
        </w:tc>
        <w:tc>
          <w:tcPr>
            <w:tcW w:w="20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420" w:type="dxa"/>
            <w:vAlign w:val="bottom"/>
          </w:tcPr>
          <w:p>
            <w:pPr>
              <w:ind w:left="200"/>
              <w:spacing w:after="0"/>
              <w:rPr>
                <w:sz w:val="20"/>
                <w:szCs w:val="20"/>
                <w:color w:val="auto"/>
              </w:rPr>
            </w:pPr>
            <w:r>
              <w:rPr>
                <w:rFonts w:ascii="Arial" w:cs="Arial" w:eastAsia="Arial" w:hAnsi="Arial"/>
                <w:sz w:val="18"/>
                <w:szCs w:val="18"/>
                <w:color w:val="auto"/>
              </w:rPr>
              <w:t>Exercised/released</w:t>
            </w: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(581,539 )</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0.74</w:t>
            </w: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44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Balances as of September 30, 2022</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5,028,066</w:t>
            </w:r>
          </w:p>
        </w:tc>
        <w:tc>
          <w:tcPr>
            <w:tcW w:w="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9.54</w:t>
            </w:r>
          </w:p>
        </w:tc>
        <w:tc>
          <w:tcPr>
            <w:tcW w:w="19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480" w:type="dxa"/>
            <w:vAlign w:val="bottom"/>
            <w:tcBorders>
              <w:bottom w:val="single" w:sz="8" w:color="CFF0FC"/>
            </w:tcBorders>
            <w:gridSpan w:val="2"/>
            <w:shd w:val="clear" w:color="auto" w:fill="CFF0FC"/>
          </w:tcPr>
          <w:p>
            <w:pPr>
              <w:ind w:left="28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8,138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4420" w:type="dxa"/>
            <w:vAlign w:val="bottom"/>
          </w:tcPr>
          <w:p>
            <w:pPr>
              <w:ind w:left="20"/>
              <w:spacing w:after="0" w:line="196" w:lineRule="exact"/>
              <w:rPr>
                <w:sz w:val="20"/>
                <w:szCs w:val="20"/>
                <w:color w:val="auto"/>
              </w:rPr>
            </w:pPr>
            <w:r>
              <w:rPr>
                <w:rFonts w:ascii="Arial" w:cs="Arial" w:eastAsia="Arial" w:hAnsi="Arial"/>
                <w:sz w:val="18"/>
                <w:szCs w:val="18"/>
                <w:color w:val="auto"/>
              </w:rPr>
              <w:t>Vested and exercisable as of September 30, 2022</w:t>
            </w: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2,188,978</w:t>
            </w:r>
          </w:p>
        </w:tc>
        <w:tc>
          <w:tcPr>
            <w:tcW w:w="280" w:type="dxa"/>
            <w:vAlign w:val="bottom"/>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6.20</w:t>
            </w:r>
          </w:p>
        </w:tc>
        <w:tc>
          <w:tcPr>
            <w:tcW w:w="19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6.9</w:t>
            </w:r>
          </w:p>
        </w:tc>
        <w:tc>
          <w:tcPr>
            <w:tcW w:w="480" w:type="dxa"/>
            <w:vAlign w:val="bottom"/>
            <w:gridSpan w:val="2"/>
          </w:tcPr>
          <w:p>
            <w:pPr>
              <w:ind w:left="280"/>
              <w:spacing w:after="0" w:line="196" w:lineRule="exact"/>
              <w:rPr>
                <w:sz w:val="20"/>
                <w:szCs w:val="20"/>
                <w:color w:val="auto"/>
              </w:rPr>
            </w:pPr>
            <w:r>
              <w:rPr>
                <w:rFonts w:ascii="Arial" w:cs="Arial" w:eastAsia="Arial" w:hAnsi="Arial"/>
                <w:sz w:val="18"/>
                <w:szCs w:val="18"/>
                <w:color w:val="auto"/>
              </w:rPr>
              <w:t>$</w:t>
            </w: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6,437</w:t>
            </w:r>
          </w:p>
        </w:tc>
        <w:tc>
          <w:tcPr>
            <w:tcW w:w="100" w:type="dxa"/>
            <w:vAlign w:val="bottom"/>
          </w:tcPr>
          <w:p>
            <w:pPr>
              <w:spacing w:after="0"/>
              <w:rPr>
                <w:sz w:val="17"/>
                <w:szCs w:val="17"/>
                <w:color w:val="auto"/>
              </w:rPr>
            </w:pPr>
          </w:p>
        </w:tc>
      </w:tr>
      <w:tr>
        <w:trPr>
          <w:trHeight w:val="216"/>
        </w:trPr>
        <w:tc>
          <w:tcPr>
            <w:tcW w:w="4420" w:type="dxa"/>
            <w:vAlign w:val="bottom"/>
            <w:shd w:val="clear" w:color="auto" w:fill="CFF0FC"/>
          </w:tcPr>
          <w:p>
            <w:pPr>
              <w:ind w:left="20"/>
              <w:spacing w:after="0"/>
              <w:rPr>
                <w:sz w:val="20"/>
                <w:szCs w:val="20"/>
                <w:color w:val="auto"/>
              </w:rPr>
            </w:pPr>
            <w:r>
              <w:rPr>
                <w:rFonts w:ascii="Arial" w:cs="Arial" w:eastAsia="Arial" w:hAnsi="Arial"/>
                <w:sz w:val="18"/>
                <w:szCs w:val="18"/>
                <w:color w:val="auto"/>
                <w:w w:val="99"/>
              </w:rPr>
              <w:t>Vested and expected to vest as of September 30, 2022</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5,028,066</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9.54</w:t>
            </w:r>
          </w:p>
        </w:tc>
        <w:tc>
          <w:tcPr>
            <w:tcW w:w="1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48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8,138</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-299720</wp:posOffset>
            </wp:positionV>
            <wp:extent cx="77470" cy="1631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7470" cy="163195"/>
                    </a:xfrm>
                    <a:prstGeom prst="rect">
                      <a:avLst/>
                    </a:prstGeom>
                    <a:noFill/>
                  </pic:spPr>
                </pic:pic>
              </a:graphicData>
            </a:graphic>
          </wp:anchor>
        </w:drawing>
      </w:r>
    </w:p>
    <w:p>
      <w:pPr>
        <w:spacing w:after="0" w:line="276" w:lineRule="exact"/>
        <w:rPr>
          <w:sz w:val="20"/>
          <w:szCs w:val="20"/>
          <w:color w:val="auto"/>
        </w:rPr>
      </w:pPr>
    </w:p>
    <w:p>
      <w:pPr>
        <w:ind w:right="120" w:firstLine="509"/>
        <w:spacing w:after="0" w:line="268" w:lineRule="auto"/>
        <w:rPr>
          <w:sz w:val="20"/>
          <w:szCs w:val="20"/>
          <w:color w:val="auto"/>
        </w:rPr>
      </w:pPr>
      <w:r>
        <w:rPr>
          <w:rFonts w:ascii="Arial" w:cs="Arial" w:eastAsia="Arial" w:hAnsi="Arial"/>
          <w:sz w:val="17"/>
          <w:szCs w:val="17"/>
          <w:color w:val="auto"/>
        </w:rPr>
        <w:t>During the three and nine months ended September 30, 2022, the Company recorded stock-based compensation of $2.4 million and $7.5 million related to stock option awards, respectively. During the three and nine months ended September 30, 2021, the Company recorded stock-based compensation of $1.9 million and $3.0 million related to stock option awards, respectively. The weighted-average grant-date fair values of options granted during the nine months ended September 30, 2022 and 2021 was $9.58 and $10.56 per share, respectively.</w:t>
      </w:r>
    </w:p>
    <w:p>
      <w:pPr>
        <w:spacing w:after="0" w:line="166" w:lineRule="exact"/>
        <w:rPr>
          <w:sz w:val="20"/>
          <w:szCs w:val="20"/>
          <w:color w:val="auto"/>
        </w:rPr>
      </w:pPr>
    </w:p>
    <w:p>
      <w:pPr>
        <w:ind w:right="160" w:firstLine="509"/>
        <w:spacing w:after="0" w:line="268" w:lineRule="auto"/>
        <w:rPr>
          <w:sz w:val="20"/>
          <w:szCs w:val="20"/>
          <w:color w:val="auto"/>
        </w:rPr>
      </w:pPr>
      <w:r>
        <w:rPr>
          <w:rFonts w:ascii="Arial" w:cs="Arial" w:eastAsia="Arial" w:hAnsi="Arial"/>
          <w:sz w:val="17"/>
          <w:szCs w:val="17"/>
          <w:color w:val="auto"/>
        </w:rPr>
        <w:t>The aggregate intrinsic value of options exercised was $1.7 million and $4.6 million during the three and nine months ended September 30, 2022, respectively. The aggregate intrinsic value was calculated as the difference between the exercise prices of the underlying options and the estimated fair value of the common stock on the date of exercise. As of September 30, 2022, the unrecognized stock-based compensation of unvested options was $25.3 million, which is expected to be recognized over a weighted-average period of 2.8 years.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color w:val="auto"/>
        </w:rPr>
        <w:t>Determination of fair value</w:t>
      </w:r>
    </w:p>
    <w:p>
      <w:pPr>
        <w:spacing w:after="0" w:line="212" w:lineRule="exact"/>
        <w:rPr>
          <w:sz w:val="20"/>
          <w:szCs w:val="20"/>
          <w:color w:val="auto"/>
        </w:rPr>
      </w:pPr>
    </w:p>
    <w:p>
      <w:pPr>
        <w:jc w:val="both"/>
        <w:ind w:right="40" w:firstLine="509"/>
        <w:spacing w:after="0" w:line="256" w:lineRule="auto"/>
        <w:rPr>
          <w:sz w:val="20"/>
          <w:szCs w:val="20"/>
          <w:color w:val="auto"/>
        </w:rPr>
      </w:pPr>
      <w:r>
        <w:rPr>
          <w:rFonts w:ascii="Arial" w:cs="Arial" w:eastAsia="Arial" w:hAnsi="Arial"/>
          <w:sz w:val="18"/>
          <w:szCs w:val="18"/>
          <w:color w:val="auto"/>
        </w:rPr>
        <w:t>The Company estimated the fair value of stock options using the Black-Scholes option-pricing model. The fair value of stock options is recognized on a straight-line basis over the requisite service periods of the awards. The fair value of stock options was estimated using the following weighted-average assumptions: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0" w:type="dxa"/>
            <w:vAlign w:val="bottom"/>
            <w:gridSpan w:val="3"/>
          </w:tcPr>
          <w:p>
            <w:pPr>
              <w:jc w:val="center"/>
              <w:ind w:left="16"/>
              <w:spacing w:after="0"/>
              <w:rPr>
                <w:sz w:val="20"/>
                <w:szCs w:val="20"/>
                <w:color w:val="auto"/>
              </w:rPr>
            </w:pPr>
            <w:r>
              <w:rPr>
                <w:rFonts w:ascii="Arial" w:cs="Arial" w:eastAsia="Arial" w:hAnsi="Arial"/>
                <w:sz w:val="14"/>
                <w:szCs w:val="14"/>
                <w:b w:val="1"/>
                <w:bCs w:val="1"/>
                <w:color w:val="auto"/>
                <w:w w:val="93"/>
              </w:rPr>
              <w:t>Three Months Ended</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Nine Months Ended</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85"/>
        </w:trPr>
        <w:tc>
          <w:tcPr>
            <w:tcW w:w="354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center"/>
              <w:ind w:left="36"/>
              <w:spacing w:after="0"/>
              <w:rPr>
                <w:sz w:val="20"/>
                <w:szCs w:val="20"/>
                <w:color w:val="auto"/>
              </w:rPr>
            </w:pPr>
            <w:r>
              <w:rPr>
                <w:rFonts w:ascii="Arial" w:cs="Arial" w:eastAsia="Arial" w:hAnsi="Arial"/>
                <w:sz w:val="14"/>
                <w:szCs w:val="14"/>
                <w:b w:val="1"/>
                <w:bCs w:val="1"/>
                <w:color w:val="auto"/>
                <w:w w:val="91"/>
              </w:rPr>
              <w:t>September 30,</w:t>
            </w:r>
          </w:p>
        </w:tc>
        <w:tc>
          <w:tcPr>
            <w:tcW w:w="9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r>
      <w:tr>
        <w:trPr>
          <w:trHeight w:val="169"/>
        </w:trPr>
        <w:tc>
          <w:tcPr>
            <w:tcW w:w="3540" w:type="dxa"/>
            <w:vAlign w:val="bottom"/>
          </w:tcPr>
          <w:p>
            <w:pPr>
              <w:spacing w:after="0"/>
              <w:rPr>
                <w:sz w:val="14"/>
                <w:szCs w:val="14"/>
                <w:color w:val="auto"/>
              </w:rPr>
            </w:pPr>
          </w:p>
        </w:tc>
        <w:tc>
          <w:tcPr>
            <w:tcW w:w="1820" w:type="dxa"/>
            <w:vAlign w:val="bottom"/>
            <w:gridSpan w:val="2"/>
          </w:tcPr>
          <w:p>
            <w:pPr>
              <w:jc w:val="right"/>
              <w:ind w:right="676"/>
              <w:spacing w:after="0"/>
              <w:rPr>
                <w:sz w:val="20"/>
                <w:szCs w:val="20"/>
                <w:color w:val="auto"/>
              </w:rPr>
            </w:pPr>
            <w:r>
              <w:rPr>
                <w:rFonts w:ascii="Arial" w:cs="Arial" w:eastAsia="Arial" w:hAnsi="Arial"/>
                <w:sz w:val="14"/>
                <w:szCs w:val="14"/>
                <w:b w:val="1"/>
                <w:bCs w:val="1"/>
                <w:color w:val="auto"/>
              </w:rPr>
              <w:t>2022</w:t>
            </w:r>
          </w:p>
        </w:tc>
        <w:tc>
          <w:tcPr>
            <w:tcW w:w="2000" w:type="dxa"/>
            <w:vAlign w:val="bottom"/>
            <w:gridSpan w:val="3"/>
          </w:tcPr>
          <w:p>
            <w:pPr>
              <w:jc w:val="right"/>
              <w:ind w:right="670"/>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17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2022</w:t>
            </w:r>
          </w:p>
        </w:tc>
        <w:tc>
          <w:tcPr>
            <w:tcW w:w="1980" w:type="dxa"/>
            <w:vAlign w:val="bottom"/>
            <w:gridSpan w:val="4"/>
          </w:tcPr>
          <w:p>
            <w:pPr>
              <w:jc w:val="center"/>
              <w:ind w:left="96"/>
              <w:spacing w:after="0"/>
              <w:rPr>
                <w:sz w:val="20"/>
                <w:szCs w:val="20"/>
                <w:color w:val="auto"/>
              </w:rPr>
            </w:pPr>
            <w:r>
              <w:rPr>
                <w:rFonts w:ascii="Arial" w:cs="Arial" w:eastAsia="Arial" w:hAnsi="Arial"/>
                <w:sz w:val="14"/>
                <w:szCs w:val="14"/>
                <w:b w:val="1"/>
                <w:bCs w:val="1"/>
                <w:color w:val="auto"/>
                <w:w w:val="89"/>
              </w:rPr>
              <w:t>2021</w:t>
            </w:r>
          </w:p>
        </w:tc>
      </w:tr>
      <w:tr>
        <w:trPr>
          <w:trHeight w:val="209"/>
        </w:trPr>
        <w:tc>
          <w:tcPr>
            <w:tcW w:w="3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term (in years)</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5.91</w:t>
            </w:r>
          </w:p>
        </w:tc>
        <w:tc>
          <w:tcPr>
            <w:tcW w:w="98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 6.06</w:t>
            </w:r>
          </w:p>
        </w:tc>
        <w:tc>
          <w:tcPr>
            <w:tcW w:w="180" w:type="dxa"/>
            <w:vAlign w:val="bottom"/>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5.90</w:t>
            </w:r>
          </w:p>
        </w:tc>
        <w:tc>
          <w:tcPr>
            <w:tcW w:w="98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 6.07</w:t>
            </w:r>
          </w:p>
        </w:tc>
        <w:tc>
          <w:tcPr>
            <w:tcW w:w="120" w:type="dxa"/>
            <w:vAlign w:val="bottom"/>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5.38</w:t>
            </w:r>
          </w:p>
        </w:tc>
        <w:tc>
          <w:tcPr>
            <w:tcW w:w="1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6.94</w:t>
            </w:r>
          </w:p>
        </w:tc>
        <w:tc>
          <w:tcPr>
            <w:tcW w:w="180" w:type="dxa"/>
            <w:vAlign w:val="bottom"/>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rPr>
              <w:t>6.08</w:t>
            </w:r>
          </w:p>
        </w:tc>
      </w:tr>
      <w:tr>
        <w:trPr>
          <w:trHeight w:val="230"/>
        </w:trPr>
        <w:tc>
          <w:tcPr>
            <w:tcW w:w="354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840" w:type="dxa"/>
            <w:vAlign w:val="bottom"/>
          </w:tcPr>
          <w:p>
            <w:pPr>
              <w:jc w:val="right"/>
              <w:spacing w:after="0"/>
              <w:rPr>
                <w:sz w:val="20"/>
                <w:szCs w:val="20"/>
                <w:color w:val="auto"/>
              </w:rPr>
            </w:pPr>
            <w:r>
              <w:rPr>
                <w:rFonts w:ascii="Arial" w:cs="Arial" w:eastAsia="Arial" w:hAnsi="Arial"/>
                <w:sz w:val="18"/>
                <w:szCs w:val="18"/>
                <w:color w:val="auto"/>
              </w:rPr>
              <w:t>64.12%</w:t>
            </w:r>
          </w:p>
        </w:tc>
        <w:tc>
          <w:tcPr>
            <w:tcW w:w="980" w:type="dxa"/>
            <w:vAlign w:val="bottom"/>
          </w:tcPr>
          <w:p>
            <w:pPr>
              <w:ind w:left="20"/>
              <w:spacing w:after="0"/>
              <w:rPr>
                <w:sz w:val="20"/>
                <w:szCs w:val="20"/>
                <w:color w:val="auto"/>
              </w:rPr>
            </w:pPr>
            <w:r>
              <w:rPr>
                <w:rFonts w:ascii="Arial" w:cs="Arial" w:eastAsia="Arial" w:hAnsi="Arial"/>
                <w:sz w:val="18"/>
                <w:szCs w:val="18"/>
                <w:color w:val="auto"/>
              </w:rPr>
              <w:t>– 64.61%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60.33%</w:t>
            </w:r>
          </w:p>
        </w:tc>
        <w:tc>
          <w:tcPr>
            <w:tcW w:w="980" w:type="dxa"/>
            <w:vAlign w:val="bottom"/>
          </w:tcPr>
          <w:p>
            <w:pPr>
              <w:ind w:left="20"/>
              <w:spacing w:after="0"/>
              <w:rPr>
                <w:sz w:val="20"/>
                <w:szCs w:val="20"/>
                <w:color w:val="auto"/>
              </w:rPr>
            </w:pPr>
            <w:r>
              <w:rPr>
                <w:rFonts w:ascii="Arial" w:cs="Arial" w:eastAsia="Arial" w:hAnsi="Arial"/>
                <w:sz w:val="18"/>
                <w:szCs w:val="18"/>
                <w:color w:val="auto"/>
              </w:rPr>
              <w:t>– 60.68%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58.74%</w:t>
            </w:r>
          </w:p>
        </w:tc>
        <w:tc>
          <w:tcPr>
            <w:tcW w:w="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20" w:type="dxa"/>
            <w:vAlign w:val="bottom"/>
          </w:tcPr>
          <w:p>
            <w:pPr>
              <w:ind w:left="20"/>
              <w:spacing w:after="0"/>
              <w:rPr>
                <w:sz w:val="20"/>
                <w:szCs w:val="20"/>
                <w:color w:val="auto"/>
              </w:rPr>
            </w:pPr>
            <w:r>
              <w:rPr>
                <w:rFonts w:ascii="Arial" w:cs="Arial" w:eastAsia="Arial" w:hAnsi="Arial"/>
                <w:sz w:val="18"/>
                <w:szCs w:val="18"/>
                <w:color w:val="auto"/>
              </w:rPr>
              <w:t>64.61%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56.75%</w:t>
            </w:r>
          </w:p>
        </w:tc>
        <w:tc>
          <w:tcPr>
            <w:tcW w:w="12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840" w:type="dxa"/>
            <w:vAlign w:val="bottom"/>
          </w:tcPr>
          <w:p>
            <w:pPr>
              <w:ind w:left="40"/>
              <w:spacing w:after="0"/>
              <w:rPr>
                <w:sz w:val="20"/>
                <w:szCs w:val="20"/>
                <w:color w:val="auto"/>
              </w:rPr>
            </w:pPr>
            <w:r>
              <w:rPr>
                <w:rFonts w:ascii="Arial" w:cs="Arial" w:eastAsia="Arial" w:hAnsi="Arial"/>
                <w:sz w:val="18"/>
                <w:szCs w:val="18"/>
                <w:color w:val="auto"/>
              </w:rPr>
              <w:t>60.81%</w:t>
            </w:r>
          </w:p>
        </w:tc>
      </w:tr>
      <w:tr>
        <w:trPr>
          <w:trHeight w:val="216"/>
        </w:trPr>
        <w:tc>
          <w:tcPr>
            <w:tcW w:w="3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Risk-free interest rate</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w:t>
            </w:r>
          </w:p>
        </w:tc>
        <w:tc>
          <w:tcPr>
            <w:tcW w:w="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 3.97%</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0.95%</w:t>
            </w:r>
          </w:p>
        </w:tc>
        <w:tc>
          <w:tcPr>
            <w:tcW w:w="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 1.16%</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1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3.97%</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0.48%</w:t>
            </w:r>
          </w:p>
        </w:tc>
        <w:tc>
          <w:tcPr>
            <w:tcW w:w="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ind w:left="40"/>
              <w:spacing w:after="0"/>
              <w:rPr>
                <w:sz w:val="20"/>
                <w:szCs w:val="20"/>
                <w:color w:val="auto"/>
              </w:rPr>
            </w:pPr>
            <w:r>
              <w:rPr>
                <w:rFonts w:ascii="Arial" w:cs="Arial" w:eastAsia="Arial" w:hAnsi="Arial"/>
                <w:sz w:val="18"/>
                <w:szCs w:val="18"/>
                <w:color w:val="auto"/>
              </w:rPr>
              <w:t>1.16%</w:t>
            </w:r>
          </w:p>
        </w:tc>
      </w:tr>
      <w:tr>
        <w:trPr>
          <w:trHeight w:val="230"/>
        </w:trPr>
        <w:tc>
          <w:tcPr>
            <w:tcW w:w="354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840" w:type="dxa"/>
            <w:vAlign w:val="bottom"/>
          </w:tcPr>
          <w:p>
            <w:pPr>
              <w:spacing w:after="0"/>
              <w:rPr>
                <w:sz w:val="20"/>
                <w:szCs w:val="20"/>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840" w:type="dxa"/>
            <w:vAlign w:val="bottom"/>
          </w:tcPr>
          <w:p>
            <w:pPr>
              <w:spacing w:after="0"/>
              <w:rPr>
                <w:sz w:val="20"/>
                <w:szCs w:val="20"/>
                <w:color w:val="auto"/>
              </w:rPr>
            </w:pPr>
          </w:p>
        </w:tc>
      </w:tr>
    </w:tbl>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Expected Term</w:t>
      </w:r>
    </w:p>
    <w:p>
      <w:pPr>
        <w:spacing w:after="0" w:line="104" w:lineRule="exact"/>
        <w:rPr>
          <w:sz w:val="20"/>
          <w:szCs w:val="20"/>
          <w:color w:val="auto"/>
        </w:rPr>
      </w:pPr>
    </w:p>
    <w:p>
      <w:pPr>
        <w:ind w:firstLine="509"/>
        <w:spacing w:after="0" w:line="249" w:lineRule="auto"/>
        <w:rPr>
          <w:sz w:val="20"/>
          <w:szCs w:val="20"/>
          <w:color w:val="auto"/>
        </w:rPr>
      </w:pPr>
      <w:r>
        <w:rPr>
          <w:rFonts w:ascii="Arial" w:cs="Arial" w:eastAsia="Arial" w:hAnsi="Arial"/>
          <w:sz w:val="18"/>
          <w:szCs w:val="18"/>
          <w:color w:val="auto"/>
        </w:rPr>
        <w:t>The expected term is calculated using the simplified method, which is available if there is insufficient historical data about exercise patterns and post vesting employment termination behavior. The simplified method is based on the vesting period and the contractual term for each grant or for each vesting tranche for awards with graded vesting. The midpoint of the vesting date and the maximum contractual expiration date is used as the expected term under this method. For awards with multiple vesting tranches, the time from grant until the midpoints for each of the tranches may be averaged to provide an overall expected term.</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Expected Volatility</w:t>
      </w:r>
    </w:p>
    <w:p>
      <w:pPr>
        <w:spacing w:after="0" w:line="104" w:lineRule="exact"/>
        <w:rPr>
          <w:sz w:val="20"/>
          <w:szCs w:val="20"/>
          <w:color w:val="auto"/>
        </w:rPr>
      </w:pPr>
    </w:p>
    <w:p>
      <w:pPr>
        <w:ind w:right="180" w:firstLine="509"/>
        <w:spacing w:after="0" w:line="249" w:lineRule="auto"/>
        <w:rPr>
          <w:sz w:val="20"/>
          <w:szCs w:val="20"/>
          <w:color w:val="auto"/>
        </w:rPr>
      </w:pPr>
      <w:r>
        <w:rPr>
          <w:rFonts w:ascii="Arial" w:cs="Arial" w:eastAsia="Arial" w:hAnsi="Arial"/>
          <w:sz w:val="18"/>
          <w:szCs w:val="18"/>
          <w:color w:val="auto"/>
        </w:rPr>
        <w:t>The Company used an average historical stock price volatility of a peer group of publicly traded companies to be representative of its expected future stock price volatility, as the Company did not have any trading history for its common stock. For purposes of identifying these peer companies, the Company considered the industry, stage of development, size, and financial leverage of potential comparable companies. For each grant, the Company measured historical volatility over a period equivalent to the expected term.</w:t>
      </w:r>
    </w:p>
    <w:p>
      <w:pPr>
        <w:spacing w:after="0" w:line="3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Risk-Free Interest Rate</w:t>
      </w:r>
    </w:p>
    <w:p>
      <w:pPr>
        <w:spacing w:after="0" w:line="104" w:lineRule="exact"/>
        <w:rPr>
          <w:sz w:val="20"/>
          <w:szCs w:val="20"/>
          <w:color w:val="auto"/>
        </w:rPr>
      </w:pPr>
    </w:p>
    <w:p>
      <w:pPr>
        <w:ind w:right="240" w:firstLine="509"/>
        <w:spacing w:after="0" w:line="261" w:lineRule="auto"/>
        <w:rPr>
          <w:sz w:val="20"/>
          <w:szCs w:val="20"/>
          <w:color w:val="auto"/>
        </w:rPr>
      </w:pPr>
      <w:r>
        <w:rPr>
          <w:rFonts w:ascii="Arial" w:cs="Arial" w:eastAsia="Arial" w:hAnsi="Arial"/>
          <w:sz w:val="18"/>
          <w:szCs w:val="18"/>
          <w:color w:val="auto"/>
        </w:rPr>
        <w:t>The risk-free interest rate is based on the implied yield currently available on US Treasury zero-coupon issues with remaining terms equivalent to the expected term of a stock award.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Expected Dividend Rate</w:t>
      </w:r>
    </w:p>
    <w:p>
      <w:pPr>
        <w:spacing w:after="0" w:line="144" w:lineRule="exact"/>
        <w:rPr>
          <w:sz w:val="20"/>
          <w:szCs w:val="20"/>
          <w:color w:val="auto"/>
        </w:rPr>
      </w:pPr>
    </w:p>
    <w:p>
      <w:pPr>
        <w:ind w:right="140" w:firstLine="509"/>
        <w:spacing w:after="0" w:line="261" w:lineRule="auto"/>
        <w:rPr>
          <w:sz w:val="20"/>
          <w:szCs w:val="20"/>
          <w:color w:val="auto"/>
        </w:rPr>
      </w:pPr>
      <w:r>
        <w:rPr>
          <w:rFonts w:ascii="Arial" w:cs="Arial" w:eastAsia="Arial" w:hAnsi="Arial"/>
          <w:sz w:val="18"/>
          <w:szCs w:val="18"/>
          <w:color w:val="auto"/>
        </w:rPr>
        <w:t>The Company has not paid, and does not anticipate paying, any dividends in the near future. Accordingly, the Company has estimated the dividend yield to be 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Restricted Stock Units</w:t>
      </w:r>
    </w:p>
    <w:p>
      <w:pPr>
        <w:spacing w:after="0" w:line="104" w:lineRule="exact"/>
        <w:rPr>
          <w:sz w:val="20"/>
          <w:szCs w:val="20"/>
          <w:color w:val="auto"/>
        </w:rPr>
      </w:pPr>
    </w:p>
    <w:p>
      <w:pPr>
        <w:ind w:right="180" w:firstLine="509"/>
        <w:spacing w:after="0" w:line="290" w:lineRule="auto"/>
        <w:rPr>
          <w:sz w:val="20"/>
          <w:szCs w:val="20"/>
          <w:color w:val="auto"/>
        </w:rPr>
      </w:pPr>
      <w:r>
        <w:rPr>
          <w:rFonts w:ascii="Arial" w:cs="Arial" w:eastAsia="Arial" w:hAnsi="Arial"/>
          <w:sz w:val="16"/>
          <w:szCs w:val="16"/>
          <w:color w:val="auto"/>
        </w:rPr>
        <w:t>RSUs are share awards that entitle the holder to receive freely tradable shares of the Company’s common stock upon vesting. The RSUs cannot be transferred, and the awards are subject to forfeiture if the holder’s employment terminates prior to the release of the vesting restrictions. The RSUs generally vest over a four-year period with straight-line vesting in equal amounts on an annual basis, provided the employee remains continuously employed with the Company. The fair value of the RSUs is equal to the closing price of the Company’s common stock on the grant date.</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1" w:name="page22"/>
    <w:bookmarkEnd w:id="21"/>
    <w:p>
      <w:pPr>
        <w:ind w:left="520"/>
        <w:spacing w:after="0"/>
        <w:rPr>
          <w:sz w:val="20"/>
          <w:szCs w:val="20"/>
          <w:color w:val="auto"/>
        </w:rPr>
      </w:pPr>
      <w:r>
        <w:rPr>
          <w:rFonts w:ascii="Arial" w:cs="Arial" w:eastAsia="Arial" w:hAnsi="Arial"/>
          <w:sz w:val="18"/>
          <w:szCs w:val="18"/>
          <w:color w:val="auto"/>
        </w:rPr>
        <w:t>The following table summarizes restricted share award activity under the 2021 Plan:</w:t>
      </w:r>
    </w:p>
    <w:p>
      <w:pPr>
        <w:spacing w:after="0" w:line="31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440" w:type="dxa"/>
            <w:vAlign w:val="bottom"/>
          </w:tcPr>
          <w:p>
            <w:pPr>
              <w:jc w:val="center"/>
              <w:ind w:left="608"/>
              <w:spacing w:after="0"/>
              <w:rPr>
                <w:sz w:val="20"/>
                <w:szCs w:val="20"/>
                <w:color w:val="auto"/>
              </w:rPr>
            </w:pPr>
            <w:r>
              <w:rPr>
                <w:rFonts w:ascii="Arial" w:cs="Arial" w:eastAsia="Arial" w:hAnsi="Arial"/>
                <w:sz w:val="14"/>
                <w:szCs w:val="14"/>
                <w:b w:val="1"/>
                <w:bCs w:val="1"/>
                <w:color w:val="auto"/>
                <w:w w:val="97"/>
              </w:rPr>
              <w:t>Number of</w:t>
            </w: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gridSpan w:val="2"/>
          </w:tcPr>
          <w:p>
            <w:pPr>
              <w:jc w:val="right"/>
              <w:ind w:right="33"/>
              <w:spacing w:after="0"/>
              <w:rPr>
                <w:sz w:val="20"/>
                <w:szCs w:val="20"/>
                <w:color w:val="auto"/>
              </w:rPr>
            </w:pPr>
            <w:r>
              <w:rPr>
                <w:rFonts w:ascii="Arial" w:cs="Arial" w:eastAsia="Arial" w:hAnsi="Arial"/>
                <w:sz w:val="14"/>
                <w:szCs w:val="14"/>
                <w:b w:val="1"/>
                <w:bCs w:val="1"/>
                <w:color w:val="auto"/>
                <w:w w:val="97"/>
              </w:rPr>
              <w:t>Weighted-Average Grant Date</w:t>
            </w:r>
          </w:p>
        </w:tc>
        <w:tc>
          <w:tcPr>
            <w:tcW w:w="80" w:type="dxa"/>
            <w:vAlign w:val="bottom"/>
          </w:tcPr>
          <w:p>
            <w:pPr>
              <w:spacing w:after="0"/>
              <w:rPr>
                <w:sz w:val="14"/>
                <w:szCs w:val="14"/>
                <w:color w:val="auto"/>
              </w:rPr>
            </w:pPr>
          </w:p>
        </w:tc>
      </w:tr>
      <w:tr>
        <w:trPr>
          <w:trHeight w:val="185"/>
        </w:trPr>
        <w:tc>
          <w:tcPr>
            <w:tcW w:w="4920" w:type="dxa"/>
            <w:vAlign w:val="bottom"/>
          </w:tcPr>
          <w:p>
            <w:pPr>
              <w:spacing w:after="0"/>
              <w:rPr>
                <w:sz w:val="16"/>
                <w:szCs w:val="16"/>
                <w:color w:val="auto"/>
              </w:rPr>
            </w:pPr>
          </w:p>
        </w:tc>
        <w:tc>
          <w:tcPr>
            <w:tcW w:w="1440" w:type="dxa"/>
            <w:vAlign w:val="bottom"/>
            <w:tcBorders>
              <w:bottom w:val="single" w:sz="8" w:color="auto"/>
            </w:tcBorders>
          </w:tcPr>
          <w:p>
            <w:pPr>
              <w:jc w:val="center"/>
              <w:ind w:left="608"/>
              <w:spacing w:after="0"/>
              <w:rPr>
                <w:sz w:val="20"/>
                <w:szCs w:val="20"/>
                <w:color w:val="auto"/>
              </w:rPr>
            </w:pPr>
            <w:r>
              <w:rPr>
                <w:rFonts w:ascii="Arial" w:cs="Arial" w:eastAsia="Arial" w:hAnsi="Arial"/>
                <w:sz w:val="14"/>
                <w:szCs w:val="14"/>
                <w:b w:val="1"/>
                <w:bCs w:val="1"/>
                <w:color w:val="auto"/>
                <w:w w:val="85"/>
              </w:rPr>
              <w:t>Shares</w:t>
            </w:r>
          </w:p>
        </w:tc>
        <w:tc>
          <w:tcPr>
            <w:tcW w:w="6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Fair Value Per Share</w:t>
            </w:r>
          </w:p>
        </w:tc>
        <w:tc>
          <w:tcPr>
            <w:tcW w:w="80" w:type="dxa"/>
            <w:vAlign w:val="bottom"/>
          </w:tcPr>
          <w:p>
            <w:pPr>
              <w:spacing w:after="0"/>
              <w:rPr>
                <w:sz w:val="16"/>
                <w:szCs w:val="16"/>
                <w:color w:val="auto"/>
              </w:rPr>
            </w:pPr>
          </w:p>
        </w:tc>
      </w:tr>
      <w:tr>
        <w:trPr>
          <w:trHeight w:val="209"/>
        </w:trPr>
        <w:tc>
          <w:tcPr>
            <w:tcW w:w="49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Outstanding, December 31, 2021</w:t>
            </w:r>
          </w:p>
        </w:tc>
        <w:tc>
          <w:tcPr>
            <w:tcW w:w="14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53,250</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22.91</w:t>
            </w:r>
          </w:p>
        </w:tc>
        <w:tc>
          <w:tcPr>
            <w:tcW w:w="80" w:type="dxa"/>
            <w:vAlign w:val="bottom"/>
            <w:shd w:val="clear" w:color="auto" w:fill="CFF0FC"/>
          </w:tcPr>
          <w:p>
            <w:pPr>
              <w:spacing w:after="0"/>
              <w:rPr>
                <w:sz w:val="18"/>
                <w:szCs w:val="18"/>
                <w:color w:val="auto"/>
              </w:rPr>
            </w:pPr>
          </w:p>
        </w:tc>
      </w:tr>
      <w:tr>
        <w:trPr>
          <w:trHeight w:val="216"/>
        </w:trPr>
        <w:tc>
          <w:tcPr>
            <w:tcW w:w="6360" w:type="dxa"/>
            <w:vAlign w:val="bottom"/>
            <w:gridSpan w:val="2"/>
          </w:tcPr>
          <w:p>
            <w:pPr>
              <w:ind w:left="180"/>
              <w:spacing w:after="0"/>
              <w:rPr>
                <w:sz w:val="20"/>
                <w:szCs w:val="20"/>
                <w:color w:val="auto"/>
              </w:rPr>
            </w:pPr>
            <w:r>
              <w:rPr>
                <w:rFonts w:ascii="Arial" w:cs="Arial" w:eastAsia="Arial" w:hAnsi="Arial"/>
                <w:sz w:val="18"/>
                <w:szCs w:val="18"/>
                <w:color w:val="auto"/>
              </w:rPr>
              <w:t>Grants</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767,323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15.39</w:t>
            </w:r>
          </w:p>
        </w:tc>
        <w:tc>
          <w:tcPr>
            <w:tcW w:w="80" w:type="dxa"/>
            <w:vAlign w:val="bottom"/>
          </w:tcPr>
          <w:p>
            <w:pPr>
              <w:spacing w:after="0"/>
              <w:rPr>
                <w:sz w:val="18"/>
                <w:szCs w:val="18"/>
                <w:color w:val="auto"/>
              </w:rPr>
            </w:pPr>
          </w:p>
        </w:tc>
      </w:tr>
      <w:tr>
        <w:trPr>
          <w:trHeight w:val="216"/>
        </w:trPr>
        <w:tc>
          <w:tcPr>
            <w:tcW w:w="636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Forfeited/cancelled</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90"/>
              </w:rPr>
              <w:t>(114,985 )</w:t>
            </w:r>
          </w:p>
        </w:tc>
        <w:tc>
          <w:tcPr>
            <w:tcW w:w="240" w:type="dxa"/>
            <w:vAlign w:val="bottom"/>
            <w:shd w:val="clear" w:color="auto" w:fill="CFF0FC"/>
          </w:tcPr>
          <w:p>
            <w:pPr>
              <w:spacing w:after="0"/>
              <w:rPr>
                <w:sz w:val="18"/>
                <w:szCs w:val="18"/>
                <w:color w:val="auto"/>
              </w:rPr>
            </w:pP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17.62</w:t>
            </w:r>
          </w:p>
        </w:tc>
        <w:tc>
          <w:tcPr>
            <w:tcW w:w="80" w:type="dxa"/>
            <w:vAlign w:val="bottom"/>
            <w:shd w:val="clear" w:color="auto" w:fill="CFF0FC"/>
          </w:tcPr>
          <w:p>
            <w:pPr>
              <w:spacing w:after="0"/>
              <w:rPr>
                <w:sz w:val="18"/>
                <w:szCs w:val="18"/>
                <w:color w:val="auto"/>
              </w:rPr>
            </w:pPr>
          </w:p>
        </w:tc>
      </w:tr>
      <w:tr>
        <w:trPr>
          <w:trHeight w:val="216"/>
        </w:trPr>
        <w:tc>
          <w:tcPr>
            <w:tcW w:w="6360" w:type="dxa"/>
            <w:vAlign w:val="bottom"/>
            <w:gridSpan w:val="2"/>
          </w:tcPr>
          <w:p>
            <w:pPr>
              <w:ind w:left="180"/>
              <w:spacing w:after="0"/>
              <w:rPr>
                <w:sz w:val="20"/>
                <w:szCs w:val="20"/>
                <w:color w:val="auto"/>
              </w:rPr>
            </w:pPr>
            <w:r>
              <w:rPr>
                <w:rFonts w:ascii="Arial" w:cs="Arial" w:eastAsia="Arial" w:hAnsi="Arial"/>
                <w:sz w:val="18"/>
                <w:szCs w:val="18"/>
                <w:color w:val="auto"/>
              </w:rPr>
              <w:t>Vested</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(4,715 )</w:t>
            </w:r>
          </w:p>
        </w:tc>
        <w:tc>
          <w:tcPr>
            <w:tcW w:w="24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21.27</w:t>
            </w:r>
          </w:p>
        </w:tc>
        <w:tc>
          <w:tcPr>
            <w:tcW w:w="80" w:type="dxa"/>
            <w:vAlign w:val="bottom"/>
          </w:tcPr>
          <w:p>
            <w:pPr>
              <w:spacing w:after="0"/>
              <w:rPr>
                <w:sz w:val="18"/>
                <w:szCs w:val="18"/>
                <w:color w:val="auto"/>
              </w:rPr>
            </w:pPr>
          </w:p>
        </w:tc>
      </w:tr>
      <w:tr>
        <w:trPr>
          <w:trHeight w:val="249"/>
        </w:trPr>
        <w:tc>
          <w:tcPr>
            <w:tcW w:w="4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Outstanding, September 30, 2022</w:t>
            </w:r>
          </w:p>
        </w:tc>
        <w:tc>
          <w:tcPr>
            <w:tcW w:w="1440" w:type="dxa"/>
            <w:vAlign w:val="bottom"/>
            <w:tcBorders>
              <w:top w:val="single" w:sz="8" w:color="auto"/>
              <w:bottom w:val="single" w:sz="8" w:color="auto"/>
            </w:tcBorders>
            <w:shd w:val="clear" w:color="auto" w:fill="CFF0FC"/>
          </w:tcPr>
          <w:p>
            <w:pPr>
              <w:spacing w:after="0"/>
              <w:rPr>
                <w:sz w:val="21"/>
                <w:szCs w:val="21"/>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700,873</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15.54</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-25400</wp:posOffset>
            </wp:positionV>
            <wp:extent cx="603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-7620</wp:posOffset>
            </wp:positionV>
            <wp:extent cx="603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82" w:lineRule="exact"/>
        <w:rPr>
          <w:sz w:val="20"/>
          <w:szCs w:val="20"/>
          <w:color w:val="auto"/>
        </w:rPr>
      </w:pPr>
    </w:p>
    <w:p>
      <w:pPr>
        <w:ind w:right="180" w:firstLine="509"/>
        <w:spacing w:after="0" w:line="249" w:lineRule="auto"/>
        <w:rPr>
          <w:sz w:val="20"/>
          <w:szCs w:val="20"/>
          <w:color w:val="auto"/>
        </w:rPr>
      </w:pPr>
      <w:r>
        <w:rPr>
          <w:rFonts w:ascii="Arial" w:cs="Arial" w:eastAsia="Arial" w:hAnsi="Arial"/>
          <w:sz w:val="18"/>
          <w:szCs w:val="18"/>
          <w:color w:val="auto"/>
        </w:rPr>
        <w:t>During the three and nine months ended September 30, 2022, the Company recorded stock-based compensation of $0.7 million and $2.0 million related to the RSUs. During both the three and nine months ended September 30, 2021, the Company recorded stock-based compensation of $0.1 million related to the RSUs. As of September 30, 2022, there was $9.0 million of total unrecognized compensation cost related to the RSUs that is expected to be recognized over a weighted-average period of 3.1 years.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Employee Stock Purchase Plan</w:t>
      </w:r>
    </w:p>
    <w:p>
      <w:pPr>
        <w:spacing w:after="0" w:line="104" w:lineRule="exact"/>
        <w:rPr>
          <w:sz w:val="20"/>
          <w:szCs w:val="20"/>
          <w:color w:val="auto"/>
        </w:rPr>
      </w:pPr>
    </w:p>
    <w:p>
      <w:pPr>
        <w:ind w:right="560" w:firstLine="509"/>
        <w:spacing w:after="0" w:line="261" w:lineRule="auto"/>
        <w:rPr>
          <w:sz w:val="20"/>
          <w:szCs w:val="20"/>
          <w:color w:val="auto"/>
        </w:rPr>
      </w:pPr>
      <w:r>
        <w:rPr>
          <w:rFonts w:ascii="Arial" w:cs="Arial" w:eastAsia="Arial" w:hAnsi="Arial"/>
          <w:sz w:val="18"/>
          <w:szCs w:val="18"/>
          <w:color w:val="auto"/>
        </w:rPr>
        <w:t>In July 2021, the Board of Directors and stockholders also adopted and approved the 2021 Employee Stock Purchase Plan (the “ESPP”). The Company initially reserved 850,000 shares of common stock for future issuance under the ESPP.</w:t>
      </w:r>
    </w:p>
    <w:p>
      <w:pPr>
        <w:spacing w:after="0" w:line="76"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During the second quarter of fiscal year 2022, the Company's first six month offering period began, with the first purchase of shares to occur during the fourth quarter of fiscal year 2022. As of September 30, 2022, the Company has collected withholdings of $0.6 million for purchase of shares under the ESPP. The Company recorded $0.1 million and $0.2 million of compensation expense for the three and nine months ended September 30, 2022, respectively. There was no compensation expense associated with the Company's ESPP for the three and nine months ended September 30, 2021. As of September 30, 2022, no shares of common stock had been purchased under the ESPP and there were 1,325,047 shares of common stock available for issuance under the ESPP.</w:t>
      </w:r>
    </w:p>
    <w:p>
      <w:pPr>
        <w:spacing w:after="0" w:line="93" w:lineRule="exact"/>
        <w:rPr>
          <w:sz w:val="20"/>
          <w:szCs w:val="20"/>
          <w:color w:val="auto"/>
        </w:rPr>
      </w:pPr>
    </w:p>
    <w:p>
      <w:pPr>
        <w:ind w:right="280" w:firstLine="509"/>
        <w:spacing w:after="0" w:line="261" w:lineRule="auto"/>
        <w:rPr>
          <w:sz w:val="20"/>
          <w:szCs w:val="20"/>
          <w:color w:val="auto"/>
        </w:rPr>
      </w:pPr>
      <w:r>
        <w:rPr>
          <w:rFonts w:ascii="Arial" w:cs="Arial" w:eastAsia="Arial" w:hAnsi="Arial"/>
          <w:sz w:val="18"/>
          <w:szCs w:val="18"/>
          <w:color w:val="auto"/>
        </w:rPr>
        <w:t>The fair value of shares to be issued under the Company's 2021 ESPP was estimated using the Black-Scholes valuation model with the following assumptions for the three and nine-months ended September 30, 2022:</w:t>
      </w:r>
    </w:p>
    <w:p>
      <w:pPr>
        <w:spacing w:after="0" w:line="271" w:lineRule="exact"/>
        <w:rPr>
          <w:sz w:val="20"/>
          <w:szCs w:val="20"/>
          <w:color w:val="auto"/>
        </w:rPr>
      </w:pPr>
    </w:p>
    <w:tbl>
      <w:tblPr>
        <w:tblLayout w:type="fixed"/>
        <w:tblInd w:w="1640" w:type="dxa"/>
        <w:tblCellMar>
          <w:top w:w="0" w:type="dxa"/>
          <w:left w:w="0" w:type="dxa"/>
          <w:bottom w:w="0" w:type="dxa"/>
          <w:right w:w="0" w:type="dxa"/>
        </w:tblCellMar>
      </w:tblPr>
      <w:tr>
        <w:trPr>
          <w:trHeight w:val="161"/>
        </w:trPr>
        <w:tc>
          <w:tcPr>
            <w:tcW w:w="4760" w:type="dxa"/>
            <w:vAlign w:val="bottom"/>
          </w:tcPr>
          <w:p>
            <w:pPr>
              <w:spacing w:after="0"/>
              <w:rPr>
                <w:sz w:val="13"/>
                <w:szCs w:val="13"/>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700" w:type="dxa"/>
            <w:vAlign w:val="bottom"/>
          </w:tcPr>
          <w:p>
            <w:pPr>
              <w:jc w:val="center"/>
              <w:ind w:left="78"/>
              <w:spacing w:after="0"/>
              <w:rPr>
                <w:sz w:val="20"/>
                <w:szCs w:val="20"/>
                <w:color w:val="auto"/>
              </w:rPr>
            </w:pPr>
            <w:r>
              <w:rPr>
                <w:rFonts w:ascii="Arial" w:cs="Arial" w:eastAsia="Arial" w:hAnsi="Arial"/>
                <w:sz w:val="14"/>
                <w:szCs w:val="14"/>
                <w:b w:val="1"/>
                <w:bCs w:val="1"/>
                <w:color w:val="auto"/>
                <w:w w:val="93"/>
              </w:rPr>
              <w:t>Nine Months Ended</w:t>
            </w:r>
          </w:p>
        </w:tc>
        <w:tc>
          <w:tcPr>
            <w:tcW w:w="100" w:type="dxa"/>
            <w:vAlign w:val="bottom"/>
          </w:tcPr>
          <w:p>
            <w:pPr>
              <w:spacing w:after="0"/>
              <w:rPr>
                <w:sz w:val="13"/>
                <w:szCs w:val="13"/>
                <w:color w:val="auto"/>
              </w:rPr>
            </w:pPr>
          </w:p>
        </w:tc>
      </w:tr>
      <w:tr>
        <w:trPr>
          <w:trHeight w:val="185"/>
        </w:trPr>
        <w:tc>
          <w:tcPr>
            <w:tcW w:w="4760" w:type="dxa"/>
            <w:vAlign w:val="bottom"/>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1700" w:type="dxa"/>
            <w:vAlign w:val="bottom"/>
            <w:tcBorders>
              <w:bottom w:val="single" w:sz="8" w:color="auto"/>
            </w:tcBorders>
          </w:tcPr>
          <w:p>
            <w:pPr>
              <w:jc w:val="center"/>
              <w:ind w:left="98"/>
              <w:spacing w:after="0"/>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6"/>
                <w:szCs w:val="16"/>
                <w:color w:val="auto"/>
              </w:rPr>
            </w:pPr>
          </w:p>
        </w:tc>
      </w:tr>
      <w:tr>
        <w:trPr>
          <w:trHeight w:val="169"/>
        </w:trPr>
        <w:tc>
          <w:tcPr>
            <w:tcW w:w="4760" w:type="dxa"/>
            <w:vAlign w:val="bottom"/>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ind w:right="1338"/>
              <w:spacing w:after="0"/>
              <w:rPr>
                <w:sz w:val="20"/>
                <w:szCs w:val="20"/>
                <w:color w:val="auto"/>
              </w:rPr>
            </w:pPr>
            <w:r>
              <w:rPr>
                <w:rFonts w:ascii="Arial" w:cs="Arial" w:eastAsia="Arial" w:hAnsi="Arial"/>
                <w:sz w:val="14"/>
                <w:szCs w:val="14"/>
                <w:b w:val="1"/>
                <w:bCs w:val="1"/>
                <w:color w:val="auto"/>
                <w:w w:val="83"/>
              </w:rPr>
              <w:t>2022</w:t>
            </w:r>
          </w:p>
        </w:tc>
        <w:tc>
          <w:tcPr>
            <w:tcW w:w="100" w:type="dxa"/>
            <w:vAlign w:val="bottom"/>
          </w:tcPr>
          <w:p>
            <w:pPr>
              <w:spacing w:after="0"/>
              <w:rPr>
                <w:sz w:val="14"/>
                <w:szCs w:val="14"/>
                <w:color w:val="auto"/>
              </w:rPr>
            </w:pPr>
          </w:p>
        </w:tc>
      </w:tr>
      <w:tr>
        <w:trPr>
          <w:trHeight w:val="210"/>
        </w:trPr>
        <w:tc>
          <w:tcPr>
            <w:tcW w:w="4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term (in years)</w:t>
            </w:r>
          </w:p>
        </w:tc>
        <w:tc>
          <w:tcPr>
            <w:tcW w:w="14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0.50</w:t>
            </w:r>
          </w:p>
        </w:tc>
        <w:tc>
          <w:tcPr>
            <w:tcW w:w="1700" w:type="dxa"/>
            <w:vAlign w:val="bottom"/>
            <w:shd w:val="clear" w:color="auto" w:fill="CFF0FC"/>
          </w:tcPr>
          <w:p>
            <w:pPr>
              <w:jc w:val="center"/>
              <w:ind w:left="118"/>
              <w:spacing w:after="0"/>
              <w:rPr>
                <w:sz w:val="20"/>
                <w:szCs w:val="20"/>
                <w:color w:val="auto"/>
              </w:rPr>
            </w:pPr>
            <w:r>
              <w:rPr>
                <w:rFonts w:ascii="Arial" w:cs="Arial" w:eastAsia="Arial" w:hAnsi="Arial"/>
                <w:sz w:val="18"/>
                <w:szCs w:val="18"/>
                <w:color w:val="auto"/>
                <w:w w:val="85"/>
              </w:rPr>
              <w:t>0.50</w:t>
            </w:r>
          </w:p>
        </w:tc>
        <w:tc>
          <w:tcPr>
            <w:tcW w:w="100" w:type="dxa"/>
            <w:vAlign w:val="bottom"/>
            <w:shd w:val="clear" w:color="auto" w:fill="CFF0FC"/>
          </w:tcPr>
          <w:p>
            <w:pPr>
              <w:spacing w:after="0"/>
              <w:rPr>
                <w:sz w:val="18"/>
                <w:szCs w:val="18"/>
                <w:color w:val="auto"/>
              </w:rPr>
            </w:pPr>
          </w:p>
        </w:tc>
      </w:tr>
      <w:tr>
        <w:trPr>
          <w:trHeight w:val="230"/>
        </w:trPr>
        <w:tc>
          <w:tcPr>
            <w:tcW w:w="476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76.50%</w:t>
            </w:r>
          </w:p>
        </w:tc>
        <w:tc>
          <w:tcPr>
            <w:tcW w:w="1700" w:type="dxa"/>
            <w:vAlign w:val="bottom"/>
          </w:tcPr>
          <w:p>
            <w:pPr>
              <w:jc w:val="center"/>
              <w:ind w:left="118"/>
              <w:spacing w:after="0"/>
              <w:rPr>
                <w:sz w:val="20"/>
                <w:szCs w:val="20"/>
                <w:color w:val="auto"/>
              </w:rPr>
            </w:pPr>
            <w:r>
              <w:rPr>
                <w:rFonts w:ascii="Arial" w:cs="Arial" w:eastAsia="Arial" w:hAnsi="Arial"/>
                <w:sz w:val="18"/>
                <w:szCs w:val="18"/>
                <w:color w:val="auto"/>
                <w:w w:val="88"/>
              </w:rPr>
              <w:t>76.50%</w:t>
            </w:r>
          </w:p>
        </w:tc>
        <w:tc>
          <w:tcPr>
            <w:tcW w:w="100" w:type="dxa"/>
            <w:vAlign w:val="bottom"/>
          </w:tcPr>
          <w:p>
            <w:pPr>
              <w:spacing w:after="0"/>
              <w:rPr>
                <w:sz w:val="19"/>
                <w:szCs w:val="19"/>
                <w:color w:val="auto"/>
              </w:rPr>
            </w:pPr>
          </w:p>
        </w:tc>
      </w:tr>
      <w:tr>
        <w:trPr>
          <w:trHeight w:val="216"/>
        </w:trPr>
        <w:tc>
          <w:tcPr>
            <w:tcW w:w="4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Risk-free interest rate</w:t>
            </w:r>
          </w:p>
        </w:tc>
        <w:tc>
          <w:tcPr>
            <w:tcW w:w="1400" w:type="dxa"/>
            <w:vAlign w:val="bottom"/>
            <w:shd w:val="clear" w:color="auto" w:fill="CFF0FC"/>
          </w:tcPr>
          <w:p>
            <w:pPr>
              <w:jc w:val="center"/>
              <w:ind w:left="16"/>
              <w:spacing w:after="0"/>
              <w:rPr>
                <w:sz w:val="20"/>
                <w:szCs w:val="20"/>
                <w:color w:val="auto"/>
              </w:rPr>
            </w:pPr>
            <w:r>
              <w:rPr>
                <w:rFonts w:ascii="Arial" w:cs="Arial" w:eastAsia="Arial" w:hAnsi="Arial"/>
                <w:sz w:val="18"/>
                <w:szCs w:val="18"/>
                <w:color w:val="auto"/>
                <w:w w:val="90"/>
              </w:rPr>
              <w:t>1.51%</w:t>
            </w:r>
          </w:p>
        </w:tc>
        <w:tc>
          <w:tcPr>
            <w:tcW w:w="1700" w:type="dxa"/>
            <w:vAlign w:val="bottom"/>
            <w:shd w:val="clear" w:color="auto" w:fill="CFF0FC"/>
          </w:tcPr>
          <w:p>
            <w:pPr>
              <w:jc w:val="center"/>
              <w:ind w:left="118"/>
              <w:spacing w:after="0"/>
              <w:rPr>
                <w:sz w:val="20"/>
                <w:szCs w:val="20"/>
                <w:color w:val="auto"/>
              </w:rPr>
            </w:pPr>
            <w:r>
              <w:rPr>
                <w:rFonts w:ascii="Arial" w:cs="Arial" w:eastAsia="Arial" w:hAnsi="Arial"/>
                <w:sz w:val="18"/>
                <w:szCs w:val="18"/>
                <w:color w:val="auto"/>
                <w:w w:val="90"/>
              </w:rPr>
              <w:t>1.51%</w:t>
            </w:r>
          </w:p>
        </w:tc>
        <w:tc>
          <w:tcPr>
            <w:tcW w:w="100" w:type="dxa"/>
            <w:vAlign w:val="bottom"/>
            <w:shd w:val="clear" w:color="auto" w:fill="CFF0FC"/>
          </w:tcPr>
          <w:p>
            <w:pPr>
              <w:spacing w:after="0"/>
              <w:rPr>
                <w:sz w:val="18"/>
                <w:szCs w:val="18"/>
                <w:color w:val="auto"/>
              </w:rPr>
            </w:pPr>
          </w:p>
        </w:tc>
      </w:tr>
      <w:tr>
        <w:trPr>
          <w:trHeight w:val="230"/>
        </w:trPr>
        <w:tc>
          <w:tcPr>
            <w:tcW w:w="476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140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700" w:type="dxa"/>
            <w:vAlign w:val="bottom"/>
          </w:tcPr>
          <w:p>
            <w:pPr>
              <w:jc w:val="center"/>
              <w:ind w:left="118"/>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Stock Based Compensation</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stock-based compensation expense by function (in thousands):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100" w:type="dxa"/>
            <w:vAlign w:val="bottom"/>
            <w:gridSpan w:val="4"/>
          </w:tcPr>
          <w:p>
            <w:pPr>
              <w:jc w:val="right"/>
              <w:ind w:right="110"/>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20" w:type="dxa"/>
            <w:vAlign w:val="bottom"/>
            <w:gridSpan w:val="4"/>
          </w:tcPr>
          <w:p>
            <w:pPr>
              <w:jc w:val="right"/>
              <w:ind w:right="554"/>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3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3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42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ind w:right="318"/>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jc w:val="right"/>
              <w:ind w:right="354"/>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goods sold</w:t>
            </w:r>
          </w:p>
        </w:tc>
        <w:tc>
          <w:tcPr>
            <w:tcW w:w="1580" w:type="dxa"/>
            <w:vAlign w:val="bottom"/>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jc w:val="right"/>
              <w:ind w:right="522"/>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260" w:type="dxa"/>
            <w:vAlign w:val="bottom"/>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jc w:val="right"/>
              <w:ind w:right="53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4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240" w:type="dxa"/>
            <w:vAlign w:val="bottom"/>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1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259</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169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1,012</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Selling, general and administrative</w:t>
            </w:r>
          </w:p>
        </w:tc>
        <w:tc>
          <w:tcPr>
            <w:tcW w:w="158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2,925</w:t>
            </w:r>
          </w:p>
        </w:tc>
        <w:tc>
          <w:tcPr>
            <w:tcW w:w="26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1,708</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8,600</w:t>
            </w:r>
          </w:p>
        </w:tc>
        <w:tc>
          <w:tcPr>
            <w:tcW w:w="2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40" w:type="dxa"/>
            <w:vAlign w:val="bottom"/>
          </w:tcPr>
          <w:p>
            <w:pPr>
              <w:ind w:left="200"/>
              <w:spacing w:after="0"/>
              <w:rPr>
                <w:sz w:val="20"/>
                <w:szCs w:val="20"/>
                <w:color w:val="auto"/>
              </w:rPr>
            </w:pPr>
            <w:r>
              <w:rPr>
                <w:rFonts w:ascii="Arial" w:cs="Arial" w:eastAsia="Arial" w:hAnsi="Arial"/>
                <w:sz w:val="18"/>
                <w:szCs w:val="18"/>
                <w:color w:val="auto"/>
              </w:rPr>
              <w:t>Total stock-based compensation expense</w:t>
            </w:r>
          </w:p>
        </w:tc>
        <w:tc>
          <w:tcPr>
            <w:tcW w:w="2280" w:type="dxa"/>
            <w:vAlign w:val="bottom"/>
            <w:gridSpan w:val="2"/>
          </w:tcPr>
          <w:p>
            <w:pPr>
              <w:jc w:val="right"/>
              <w:ind w:right="522"/>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3,223</w:t>
            </w:r>
          </w:p>
        </w:tc>
        <w:tc>
          <w:tcPr>
            <w:tcW w:w="980" w:type="dxa"/>
            <w:vAlign w:val="bottom"/>
            <w:gridSpan w:val="2"/>
          </w:tcPr>
          <w:p>
            <w:pPr>
              <w:jc w:val="right"/>
              <w:ind w:right="53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1,899</w:t>
            </w:r>
          </w:p>
        </w:tc>
        <w:tc>
          <w:tcPr>
            <w:tcW w:w="4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9,729</w:t>
            </w:r>
          </w:p>
        </w:tc>
        <w:tc>
          <w:tcPr>
            <w:tcW w:w="6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3,107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580" w:type="dxa"/>
            <w:vAlign w:val="bottom"/>
            <w:vMerge w:val="restart"/>
          </w:tcPr>
          <w:p>
            <w:pPr>
              <w:jc w:val="right"/>
              <w:ind w:right="110"/>
              <w:spacing w:after="0"/>
              <w:rPr>
                <w:sz w:val="20"/>
                <w:szCs w:val="20"/>
                <w:color w:val="auto"/>
              </w:rPr>
            </w:pPr>
            <w:r>
              <w:rPr>
                <w:rFonts w:ascii="Arial" w:cs="Arial" w:eastAsia="Arial" w:hAnsi="Arial"/>
                <w:sz w:val="18"/>
                <w:szCs w:val="18"/>
                <w:color w:val="auto"/>
              </w:rPr>
              <w:t>22</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0"/>
        </w:trPr>
        <w:tc>
          <w:tcPr>
            <w:tcW w:w="4340" w:type="dxa"/>
            <w:vAlign w:val="bottom"/>
          </w:tcPr>
          <w:p>
            <w:pPr>
              <w:spacing w:after="0"/>
              <w:rPr>
                <w:sz w:val="24"/>
                <w:szCs w:val="24"/>
                <w:color w:val="auto"/>
              </w:rPr>
            </w:pPr>
          </w:p>
        </w:tc>
        <w:tc>
          <w:tcPr>
            <w:tcW w:w="158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4340" w:type="dxa"/>
            <w:vAlign w:val="bottom"/>
            <w:tcBorders>
              <w:bottom w:val="single" w:sz="8" w:color="9A9A9A"/>
            </w:tcBorders>
          </w:tcPr>
          <w:p>
            <w:pPr>
              <w:spacing w:after="0"/>
              <w:rPr>
                <w:sz w:val="8"/>
                <w:szCs w:val="8"/>
                <w:color w:val="auto"/>
              </w:rPr>
            </w:pPr>
          </w:p>
        </w:tc>
        <w:tc>
          <w:tcPr>
            <w:tcW w:w="158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-710565</wp:posOffset>
            </wp:positionV>
            <wp:extent cx="77470" cy="1714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-710565</wp:posOffset>
            </wp:positionV>
            <wp:extent cx="68580" cy="1714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-710565</wp:posOffset>
            </wp:positionV>
            <wp:extent cx="68580" cy="1714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-710565</wp:posOffset>
            </wp:positionV>
            <wp:extent cx="68580" cy="1714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231F20"/>
        </w:rPr>
        <w:t>Note 9. Net Loss per Share Attributable to Common Stockholders</w:t>
      </w:r>
    </w:p>
    <w:p>
      <w:pPr>
        <w:spacing w:after="0" w:line="108" w:lineRule="exact"/>
        <w:rPr>
          <w:sz w:val="20"/>
          <w:szCs w:val="20"/>
          <w:color w:val="auto"/>
        </w:rPr>
      </w:pPr>
    </w:p>
    <w:p>
      <w:pPr>
        <w:jc w:val="both"/>
        <w:ind w:right="140" w:firstLine="509"/>
        <w:spacing w:after="0" w:line="278" w:lineRule="auto"/>
        <w:rPr>
          <w:sz w:val="20"/>
          <w:szCs w:val="20"/>
          <w:color w:val="auto"/>
        </w:rPr>
      </w:pPr>
      <w:r>
        <w:rPr>
          <w:rFonts w:ascii="Arial" w:cs="Arial" w:eastAsia="Arial" w:hAnsi="Arial"/>
          <w:sz w:val="17"/>
          <w:szCs w:val="17"/>
          <w:color w:val="auto"/>
        </w:rPr>
        <w:t>Basic net loss per share is computed by dividing the net loss by the weighted-average number of common shares outstanding for the period. As the Company reported a net loss for the three and nine months ended September 30, 2022 and 2021, basic net loss per share is the same as diluted net loss per share as the inclusion of potentially dilutive shares would have been antidilutive if included in the calculation.</w:t>
      </w:r>
    </w:p>
    <w:p>
      <w:pPr>
        <w:spacing w:after="0" w:line="158" w:lineRule="exact"/>
        <w:rPr>
          <w:sz w:val="20"/>
          <w:szCs w:val="20"/>
          <w:color w:val="auto"/>
        </w:rPr>
      </w:pPr>
    </w:p>
    <w:p>
      <w:pPr>
        <w:ind w:right="380" w:firstLine="509"/>
        <w:spacing w:after="0" w:line="277" w:lineRule="auto"/>
        <w:rPr>
          <w:sz w:val="20"/>
          <w:szCs w:val="20"/>
          <w:color w:val="auto"/>
        </w:rPr>
      </w:pPr>
      <w:r>
        <w:rPr>
          <w:rFonts w:ascii="Arial" w:cs="Arial" w:eastAsia="Arial" w:hAnsi="Arial"/>
          <w:sz w:val="18"/>
          <w:szCs w:val="18"/>
          <w:color w:val="auto"/>
        </w:rPr>
        <w:t>The following table sets forth the computation of basic and diluted net loss per share attributable to common stockholders (in thousands, except share and per share data):</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9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9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w w:val="89"/>
              </w:rPr>
              <w:t>2021</w:t>
            </w: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9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Numerator:</w:t>
            </w: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200"/>
              <w:spacing w:after="0"/>
              <w:rPr>
                <w:sz w:val="20"/>
                <w:szCs w:val="20"/>
                <w:color w:val="auto"/>
              </w:rPr>
            </w:pPr>
            <w:r>
              <w:rPr>
                <w:rFonts w:ascii="Arial" w:cs="Arial" w:eastAsia="Arial" w:hAnsi="Arial"/>
                <w:sz w:val="18"/>
                <w:szCs w:val="18"/>
                <w:color w:val="auto"/>
              </w:rPr>
              <w:t>Net loss attributable to common stockholders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(22,229 )</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(17,169 )</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(69,335 )</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(47,024 )</w:t>
            </w:r>
          </w:p>
        </w:tc>
        <w:tc>
          <w:tcPr>
            <w:tcW w:w="0" w:type="dxa"/>
            <w:vAlign w:val="bottom"/>
          </w:tcPr>
          <w:p>
            <w:pPr>
              <w:spacing w:after="0"/>
              <w:rPr>
                <w:sz w:val="1"/>
                <w:szCs w:val="1"/>
                <w:color w:val="auto"/>
              </w:rPr>
            </w:pPr>
          </w:p>
        </w:tc>
      </w:tr>
      <w:tr>
        <w:trPr>
          <w:trHeight w:val="216"/>
        </w:trPr>
        <w:tc>
          <w:tcPr>
            <w:tcW w:w="49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Denominator:</w:t>
            </w: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960" w:type="dxa"/>
            <w:vAlign w:val="bottom"/>
          </w:tcPr>
          <w:p>
            <w:pPr>
              <w:ind w:left="200"/>
              <w:spacing w:after="0" w:line="175" w:lineRule="exact"/>
              <w:rPr>
                <w:sz w:val="20"/>
                <w:szCs w:val="20"/>
                <w:color w:val="auto"/>
              </w:rPr>
            </w:pPr>
            <w:r>
              <w:rPr>
                <w:rFonts w:ascii="Arial" w:cs="Arial" w:eastAsia="Arial" w:hAnsi="Arial"/>
                <w:sz w:val="18"/>
                <w:szCs w:val="18"/>
                <w:color w:val="auto"/>
              </w:rPr>
              <w:t>Weighted-average shares of common stock</w:t>
            </w:r>
          </w:p>
        </w:tc>
        <w:tc>
          <w:tcPr>
            <w:tcW w:w="32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47,910,541</w:t>
            </w: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w w:val="88"/>
              </w:rPr>
              <w:t>39,849,769</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47,728,845</w:t>
            </w: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w w:val="88"/>
              </w:rPr>
              <w:t>19,772,145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960" w:type="dxa"/>
            <w:vAlign w:val="bottom"/>
          </w:tcPr>
          <w:p>
            <w:pPr>
              <w:ind w:left="340"/>
              <w:spacing w:after="0"/>
              <w:rPr>
                <w:sz w:val="20"/>
                <w:szCs w:val="20"/>
                <w:color w:val="auto"/>
              </w:rPr>
            </w:pPr>
            <w:r>
              <w:rPr>
                <w:rFonts w:ascii="Arial" w:cs="Arial" w:eastAsia="Arial" w:hAnsi="Arial"/>
                <w:sz w:val="18"/>
                <w:szCs w:val="18"/>
                <w:color w:val="auto"/>
              </w:rPr>
              <w:t>outstanding—basic and diluted</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4960" w:type="dxa"/>
            <w:vAlign w:val="bottom"/>
            <w:shd w:val="clear" w:color="auto" w:fill="CFF0FC"/>
          </w:tcPr>
          <w:p>
            <w:pPr>
              <w:ind w:left="200"/>
              <w:spacing w:after="0" w:line="168" w:lineRule="exact"/>
              <w:rPr>
                <w:sz w:val="20"/>
                <w:szCs w:val="20"/>
                <w:color w:val="auto"/>
              </w:rPr>
            </w:pPr>
            <w:r>
              <w:rPr>
                <w:rFonts w:ascii="Arial" w:cs="Arial" w:eastAsia="Arial" w:hAnsi="Arial"/>
                <w:sz w:val="18"/>
                <w:szCs w:val="18"/>
                <w:color w:val="auto"/>
              </w:rPr>
              <w:t>Net loss per share attributable to common</w:t>
            </w:r>
          </w:p>
        </w:tc>
        <w:tc>
          <w:tcPr>
            <w:tcW w:w="320" w:type="dxa"/>
            <w:vAlign w:val="bottom"/>
            <w:vMerge w:val="restart"/>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8"/>
                <w:szCs w:val="18"/>
                <w:color w:val="auto"/>
              </w:rPr>
              <w:t>(0.46 )</w:t>
            </w:r>
          </w:p>
        </w:tc>
        <w:tc>
          <w:tcPr>
            <w:tcW w:w="540" w:type="dxa"/>
            <w:vAlign w:val="bottom"/>
            <w:vMerge w:val="restart"/>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10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8"/>
                <w:szCs w:val="18"/>
                <w:color w:val="auto"/>
              </w:rPr>
              <w:t>(0.43 )</w:t>
            </w:r>
          </w:p>
        </w:tc>
        <w:tc>
          <w:tcPr>
            <w:tcW w:w="300" w:type="dxa"/>
            <w:vAlign w:val="bottom"/>
            <w:vMerge w:val="restart"/>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8"/>
                <w:szCs w:val="18"/>
                <w:color w:val="auto"/>
              </w:rPr>
              <w:t>(1.45 )</w:t>
            </w:r>
          </w:p>
        </w:tc>
        <w:tc>
          <w:tcPr>
            <w:tcW w:w="520" w:type="dxa"/>
            <w:vAlign w:val="bottom"/>
            <w:vMerge w:val="restart"/>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(2.38 )</w:t>
            </w:r>
          </w:p>
        </w:tc>
        <w:tc>
          <w:tcPr>
            <w:tcW w:w="0" w:type="dxa"/>
            <w:vAlign w:val="bottom"/>
          </w:tcPr>
          <w:p>
            <w:pPr>
              <w:spacing w:after="0"/>
              <w:rPr>
                <w:sz w:val="1"/>
                <w:szCs w:val="1"/>
                <w:color w:val="auto"/>
              </w:rPr>
            </w:pPr>
          </w:p>
        </w:tc>
      </w:tr>
      <w:tr>
        <w:trPr>
          <w:trHeight w:val="210"/>
        </w:trPr>
        <w:tc>
          <w:tcPr>
            <w:tcW w:w="4960" w:type="dxa"/>
            <w:vAlign w:val="bottom"/>
            <w:shd w:val="clear" w:color="auto" w:fill="CFF0FC"/>
          </w:tcPr>
          <w:p>
            <w:pPr>
              <w:ind w:left="340"/>
              <w:spacing w:after="0" w:line="190" w:lineRule="exact"/>
              <w:rPr>
                <w:sz w:val="20"/>
                <w:szCs w:val="20"/>
                <w:color w:val="auto"/>
              </w:rPr>
            </w:pPr>
            <w:r>
              <w:rPr>
                <w:rFonts w:ascii="Arial" w:cs="Arial" w:eastAsia="Arial" w:hAnsi="Arial"/>
                <w:sz w:val="18"/>
                <w:szCs w:val="18"/>
                <w:color w:val="auto"/>
              </w:rPr>
              <w:t>stockholders—basic and diluted</w:t>
            </w:r>
          </w:p>
        </w:tc>
        <w:tc>
          <w:tcPr>
            <w:tcW w:w="320" w:type="dxa"/>
            <w:vAlign w:val="bottom"/>
            <w:vMerge w:val="continue"/>
            <w:shd w:val="clear" w:color="auto" w:fill="CFF0FC"/>
          </w:tcPr>
          <w:p>
            <w:pPr>
              <w:spacing w:after="0"/>
              <w:rPr>
                <w:sz w:val="18"/>
                <w:szCs w:val="18"/>
                <w:color w:val="auto"/>
              </w:rPr>
            </w:pPr>
          </w:p>
        </w:tc>
        <w:tc>
          <w:tcPr>
            <w:tcW w:w="1300" w:type="dxa"/>
            <w:vAlign w:val="bottom"/>
            <w:gridSpan w:val="2"/>
            <w:vMerge w:val="continue"/>
            <w:shd w:val="clear" w:color="auto" w:fill="CFF0FC"/>
          </w:tcPr>
          <w:p>
            <w:pPr>
              <w:spacing w:after="0"/>
              <w:rPr>
                <w:sz w:val="18"/>
                <w:szCs w:val="18"/>
                <w:color w:val="auto"/>
              </w:rPr>
            </w:pPr>
          </w:p>
        </w:tc>
        <w:tc>
          <w:tcPr>
            <w:tcW w:w="540" w:type="dxa"/>
            <w:vAlign w:val="bottom"/>
            <w:vMerge w:val="continue"/>
            <w:shd w:val="clear" w:color="auto" w:fill="CFF0FC"/>
          </w:tcPr>
          <w:p>
            <w:pPr>
              <w:spacing w:after="0"/>
              <w:rPr>
                <w:sz w:val="18"/>
                <w:szCs w:val="18"/>
                <w:color w:val="auto"/>
              </w:rPr>
            </w:pPr>
          </w:p>
        </w:tc>
        <w:tc>
          <w:tcPr>
            <w:tcW w:w="1100" w:type="dxa"/>
            <w:vAlign w:val="bottom"/>
            <w:gridSpan w:val="2"/>
            <w:vMerge w:val="continue"/>
            <w:shd w:val="clear" w:color="auto" w:fill="CFF0FC"/>
          </w:tcPr>
          <w:p>
            <w:pPr>
              <w:spacing w:after="0"/>
              <w:rPr>
                <w:sz w:val="18"/>
                <w:szCs w:val="18"/>
                <w:color w:val="auto"/>
              </w:rPr>
            </w:pPr>
          </w:p>
        </w:tc>
        <w:tc>
          <w:tcPr>
            <w:tcW w:w="300" w:type="dxa"/>
            <w:vAlign w:val="bottom"/>
            <w:vMerge w:val="continue"/>
            <w:shd w:val="clear" w:color="auto" w:fill="CFF0FC"/>
          </w:tcPr>
          <w:p>
            <w:pPr>
              <w:spacing w:after="0"/>
              <w:rPr>
                <w:sz w:val="18"/>
                <w:szCs w:val="18"/>
                <w:color w:val="auto"/>
              </w:rPr>
            </w:pPr>
          </w:p>
        </w:tc>
        <w:tc>
          <w:tcPr>
            <w:tcW w:w="1260" w:type="dxa"/>
            <w:vAlign w:val="bottom"/>
            <w:gridSpan w:val="2"/>
            <w:vMerge w:val="continue"/>
            <w:shd w:val="clear" w:color="auto" w:fill="CFF0FC"/>
          </w:tcPr>
          <w:p>
            <w:pPr>
              <w:spacing w:after="0"/>
              <w:rPr>
                <w:sz w:val="18"/>
                <w:szCs w:val="18"/>
                <w:color w:val="auto"/>
              </w:rPr>
            </w:pPr>
          </w:p>
        </w:tc>
        <w:tc>
          <w:tcPr>
            <w:tcW w:w="520" w:type="dxa"/>
            <w:vAlign w:val="bottom"/>
            <w:vMerge w:val="continue"/>
            <w:shd w:val="clear" w:color="auto" w:fill="CFF0FC"/>
          </w:tcPr>
          <w:p>
            <w:pPr>
              <w:spacing w:after="0"/>
              <w:rPr>
                <w:sz w:val="18"/>
                <w:szCs w:val="18"/>
                <w:color w:val="auto"/>
              </w:rPr>
            </w:pPr>
          </w:p>
        </w:tc>
        <w:tc>
          <w:tcPr>
            <w:tcW w:w="94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-25400</wp:posOffset>
            </wp:positionV>
            <wp:extent cx="7683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-7620</wp:posOffset>
            </wp:positionV>
            <wp:extent cx="7683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-25400</wp:posOffset>
            </wp:positionV>
            <wp:extent cx="7747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-7620</wp:posOffset>
            </wp:positionV>
            <wp:extent cx="7747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-25400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76" w:lineRule="exact"/>
        <w:rPr>
          <w:sz w:val="20"/>
          <w:szCs w:val="20"/>
          <w:color w:val="auto"/>
        </w:rPr>
      </w:pPr>
    </w:p>
    <w:p>
      <w:pPr>
        <w:ind w:right="220" w:firstLine="509"/>
        <w:spacing w:after="0" w:line="277" w:lineRule="auto"/>
        <w:rPr>
          <w:sz w:val="20"/>
          <w:szCs w:val="20"/>
          <w:color w:val="auto"/>
        </w:rPr>
      </w:pPr>
      <w:r>
        <w:rPr>
          <w:rFonts w:ascii="Arial" w:cs="Arial" w:eastAsia="Arial" w:hAnsi="Arial"/>
          <w:sz w:val="18"/>
          <w:szCs w:val="18"/>
          <w:color w:val="auto"/>
        </w:rPr>
        <w:t>The following outstanding shares of potentially dilutive securities were excluded from the computation of diluted net loss per share attributable to common stockholders for the period presented because including them would have been antidilutive:</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20" w:type="dxa"/>
            <w:vAlign w:val="bottom"/>
          </w:tcPr>
          <w:p>
            <w:pPr>
              <w:spacing w:after="0"/>
              <w:rPr>
                <w:sz w:val="16"/>
                <w:szCs w:val="16"/>
                <w:color w:val="auto"/>
              </w:rPr>
            </w:pPr>
          </w:p>
        </w:tc>
        <w:tc>
          <w:tcPr>
            <w:tcW w:w="2500" w:type="dxa"/>
            <w:vAlign w:val="bottom"/>
            <w:tcBorders>
              <w:bottom w:val="single" w:sz="8" w:color="auto"/>
            </w:tcBorders>
            <w:gridSpan w:val="3"/>
          </w:tcPr>
          <w:p>
            <w:pPr>
              <w:ind w:left="1420"/>
              <w:spacing w:after="0"/>
              <w:rPr>
                <w:sz w:val="20"/>
                <w:szCs w:val="20"/>
                <w:color w:val="auto"/>
              </w:rPr>
            </w:pPr>
            <w:r>
              <w:rPr>
                <w:rFonts w:ascii="Arial" w:cs="Arial" w:eastAsia="Arial" w:hAnsi="Arial"/>
                <w:sz w:val="14"/>
                <w:szCs w:val="14"/>
                <w:b w:val="1"/>
                <w:bCs w:val="1"/>
                <w:color w:val="auto"/>
              </w:rPr>
              <w:t>September 30,</w:t>
            </w:r>
          </w:p>
        </w:tc>
        <w:tc>
          <w:tcPr>
            <w:tcW w:w="1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420" w:type="dxa"/>
            <w:vAlign w:val="bottom"/>
          </w:tcPr>
          <w:p>
            <w:pPr>
              <w:spacing w:after="0"/>
              <w:rPr>
                <w:sz w:val="14"/>
                <w:szCs w:val="14"/>
                <w:color w:val="auto"/>
              </w:rPr>
            </w:pPr>
          </w:p>
        </w:tc>
        <w:tc>
          <w:tcPr>
            <w:tcW w:w="1720" w:type="dxa"/>
            <w:vAlign w:val="bottom"/>
            <w:tcBorders>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10"/>
        </w:trPr>
        <w:tc>
          <w:tcPr>
            <w:tcW w:w="7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Options to purchase common stock</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5,028,066</w:t>
            </w:r>
          </w:p>
        </w:tc>
        <w:tc>
          <w:tcPr>
            <w:tcW w:w="2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5,229,169</w:t>
            </w:r>
          </w:p>
        </w:tc>
        <w:tc>
          <w:tcPr>
            <w:tcW w:w="100" w:type="dxa"/>
            <w:vAlign w:val="bottom"/>
            <w:shd w:val="clear" w:color="auto" w:fill="CFF0FC"/>
          </w:tcPr>
          <w:p>
            <w:pPr>
              <w:spacing w:after="0"/>
              <w:rPr>
                <w:sz w:val="18"/>
                <w:szCs w:val="18"/>
                <w:color w:val="auto"/>
              </w:rPr>
            </w:pPr>
          </w:p>
        </w:tc>
      </w:tr>
      <w:tr>
        <w:trPr>
          <w:trHeight w:val="216"/>
        </w:trPr>
        <w:tc>
          <w:tcPr>
            <w:tcW w:w="7420" w:type="dxa"/>
            <w:vAlign w:val="bottom"/>
          </w:tcPr>
          <w:p>
            <w:pPr>
              <w:ind w:left="20"/>
              <w:spacing w:after="0"/>
              <w:rPr>
                <w:sz w:val="20"/>
                <w:szCs w:val="20"/>
                <w:color w:val="auto"/>
              </w:rPr>
            </w:pPr>
            <w:r>
              <w:rPr>
                <w:rFonts w:ascii="Arial" w:cs="Arial" w:eastAsia="Arial" w:hAnsi="Arial"/>
                <w:sz w:val="18"/>
                <w:szCs w:val="18"/>
                <w:color w:val="auto"/>
              </w:rPr>
              <w:t>Restricted stock units</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700,873</w:t>
            </w:r>
          </w:p>
        </w:tc>
        <w:tc>
          <w:tcPr>
            <w:tcW w:w="2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23,800</w:t>
            </w:r>
          </w:p>
        </w:tc>
        <w:tc>
          <w:tcPr>
            <w:tcW w:w="100" w:type="dxa"/>
            <w:vAlign w:val="bottom"/>
          </w:tcPr>
          <w:p>
            <w:pPr>
              <w:spacing w:after="0"/>
              <w:rPr>
                <w:sz w:val="18"/>
                <w:szCs w:val="18"/>
                <w:color w:val="auto"/>
              </w:rPr>
            </w:pPr>
          </w:p>
        </w:tc>
      </w:tr>
      <w:tr>
        <w:trPr>
          <w:trHeight w:val="249"/>
        </w:trPr>
        <w:tc>
          <w:tcPr>
            <w:tcW w:w="74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5,728,939</w:t>
            </w:r>
          </w:p>
        </w:tc>
        <w:tc>
          <w:tcPr>
            <w:tcW w:w="26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5,252,969</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-25400</wp:posOffset>
            </wp:positionV>
            <wp:extent cx="7747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-7620</wp:posOffset>
            </wp:positionV>
            <wp:extent cx="7747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10. Defined Contribution Plan</w:t>
      </w:r>
    </w:p>
    <w:p>
      <w:pPr>
        <w:spacing w:after="0" w:line="121" w:lineRule="exact"/>
        <w:rPr>
          <w:sz w:val="20"/>
          <w:szCs w:val="20"/>
          <w:color w:val="auto"/>
        </w:rPr>
      </w:pPr>
    </w:p>
    <w:p>
      <w:pPr>
        <w:ind w:right="60" w:firstLine="509"/>
        <w:spacing w:after="0" w:line="290" w:lineRule="auto"/>
        <w:rPr>
          <w:sz w:val="20"/>
          <w:szCs w:val="20"/>
          <w:color w:val="auto"/>
        </w:rPr>
      </w:pPr>
      <w:r>
        <w:rPr>
          <w:rFonts w:ascii="Arial" w:cs="Arial" w:eastAsia="Arial" w:hAnsi="Arial"/>
          <w:sz w:val="16"/>
          <w:szCs w:val="16"/>
          <w:color w:val="auto"/>
        </w:rPr>
        <w:t>The Company sponsors a defined contribution plan under Section 401(k) of the IRC of 1986, as amended, covering substantially all of its full-time US employees. Participating employees may contribute up to 100% of their eligible compensation up to the annual Internal Revenue Service’s contribution limit. For the three and nine months ended September 30, 2022, the Company matched employee contributions in the amount of $0.1 million and $0.4 million, respectively. The Company did not match employee contributions during the three and nine months ended September 30, 2021.</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11. Segment Information</w:t>
      </w:r>
    </w:p>
    <w:p>
      <w:pPr>
        <w:spacing w:after="0" w:line="108" w:lineRule="exact"/>
        <w:rPr>
          <w:sz w:val="20"/>
          <w:szCs w:val="20"/>
          <w:color w:val="auto"/>
        </w:rPr>
      </w:pPr>
    </w:p>
    <w:p>
      <w:pPr>
        <w:ind w:firstLine="509"/>
        <w:spacing w:after="0" w:line="249" w:lineRule="auto"/>
        <w:rPr>
          <w:sz w:val="20"/>
          <w:szCs w:val="20"/>
          <w:color w:val="auto"/>
        </w:rPr>
      </w:pPr>
      <w:r>
        <w:rPr>
          <w:rFonts w:ascii="Arial" w:cs="Arial" w:eastAsia="Arial" w:hAnsi="Arial"/>
          <w:sz w:val="18"/>
          <w:szCs w:val="18"/>
          <w:color w:val="auto"/>
        </w:rPr>
        <w:t>The Company has two reportable operating segments which are determined on the basis of product portfolio: Surgical Glaucoma and Dry Eye. The operating and reportable segments were determined based on how the Company’s Chief Executive Officer, its Chief Operating Decision Maker (“CODM”), views and evaluates the Company’s operations. The CODM allocates resources to and evaluates the financial performance of each operating segment primarily based on gross profit and gross profit margin.</w:t>
      </w:r>
    </w:p>
    <w:p>
      <w:pPr>
        <w:spacing w:after="0" w:line="199" w:lineRule="exact"/>
        <w:rPr>
          <w:sz w:val="20"/>
          <w:szCs w:val="20"/>
          <w:color w:val="auto"/>
        </w:rPr>
      </w:pPr>
    </w:p>
    <w:p>
      <w:pPr>
        <w:ind w:right="260" w:firstLine="509"/>
        <w:spacing w:after="0" w:line="223" w:lineRule="auto"/>
        <w:rPr>
          <w:sz w:val="20"/>
          <w:szCs w:val="20"/>
          <w:color w:val="auto"/>
        </w:rPr>
      </w:pPr>
      <w:r>
        <w:rPr>
          <w:rFonts w:ascii="Arial" w:cs="Arial" w:eastAsia="Arial" w:hAnsi="Arial"/>
          <w:sz w:val="18"/>
          <w:szCs w:val="18"/>
          <w:color w:val="auto"/>
        </w:rPr>
        <w:t>Surgical Glaucoma segment includes sales of the Company’s OMNI® Surgical System ("OMNI") and SION</w:t>
      </w:r>
      <w:r>
        <w:rPr>
          <w:rFonts w:ascii="Arial" w:cs="Arial" w:eastAsia="Arial" w:hAnsi="Arial"/>
          <w:sz w:val="24"/>
          <w:szCs w:val="24"/>
          <w:color w:val="auto"/>
          <w:vertAlign w:val="superscript"/>
        </w:rPr>
        <w:t>TM</w:t>
      </w:r>
      <w:r>
        <w:rPr>
          <w:rFonts w:ascii="Arial" w:cs="Arial" w:eastAsia="Arial" w:hAnsi="Arial"/>
          <w:sz w:val="18"/>
          <w:szCs w:val="18"/>
          <w:color w:val="auto"/>
        </w:rPr>
        <w:t xml:space="preserve"> Surgical Instrument ("SION") for use in minimally invasive glaucoma procedures. Dry Eye segment includes sales of the Company’s TearCare® System ("TearCare") and related components and accessories for use in the treatment of Dry Eye Disease.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23" w:name="page24"/>
    <w:bookmarkEnd w:id="23"/>
    <w:p>
      <w:pPr>
        <w:ind w:left="520"/>
        <w:spacing w:after="0"/>
        <w:rPr>
          <w:sz w:val="20"/>
          <w:szCs w:val="20"/>
          <w:color w:val="auto"/>
        </w:rPr>
      </w:pPr>
      <w:r>
        <w:rPr>
          <w:rFonts w:ascii="Arial" w:cs="Arial" w:eastAsia="Arial" w:hAnsi="Arial"/>
          <w:sz w:val="18"/>
          <w:szCs w:val="18"/>
          <w:color w:val="auto"/>
        </w:rPr>
        <w:t>The following table summarizes select operating results information for each reportable segment (dollars in thousands):</w:t>
      </w:r>
    </w:p>
    <w:p>
      <w:pPr>
        <w:spacing w:after="0" w:line="312"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47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7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w w:val="89"/>
              </w:rPr>
              <w:t>2021</w:t>
            </w: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4"/>
                <w:szCs w:val="14"/>
                <w:color w:val="auto"/>
              </w:rPr>
            </w:pPr>
          </w:p>
        </w:tc>
      </w:tr>
      <w:tr>
        <w:trPr>
          <w:trHeight w:val="210"/>
        </w:trPr>
        <w:tc>
          <w:tcPr>
            <w:tcW w:w="4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780" w:type="dxa"/>
            <w:vAlign w:val="bottom"/>
          </w:tcPr>
          <w:p>
            <w:pPr>
              <w:ind w:left="180"/>
              <w:spacing w:after="0"/>
              <w:rPr>
                <w:sz w:val="20"/>
                <w:szCs w:val="20"/>
                <w:color w:val="auto"/>
              </w:rPr>
            </w:pPr>
            <w:r>
              <w:rPr>
                <w:rFonts w:ascii="Arial" w:cs="Arial" w:eastAsia="Arial" w:hAnsi="Arial"/>
                <w:sz w:val="18"/>
                <w:szCs w:val="18"/>
                <w:color w:val="auto"/>
              </w:rPr>
              <w:t>Surgical Glaucoma</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17,072</w:t>
            </w:r>
          </w:p>
        </w:tc>
        <w:tc>
          <w:tcPr>
            <w:tcW w:w="26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12,446</w:t>
            </w:r>
          </w:p>
        </w:tc>
        <w:tc>
          <w:tcPr>
            <w:tcW w:w="2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46,842</w:t>
            </w:r>
          </w:p>
        </w:tc>
        <w:tc>
          <w:tcPr>
            <w:tcW w:w="260" w:type="dxa"/>
            <w:vAlign w:val="bottom"/>
          </w:tcPr>
          <w:p>
            <w:pPr>
              <w:spacing w:after="0"/>
              <w:rPr>
                <w:sz w:val="18"/>
                <w:szCs w:val="18"/>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32,573</w:t>
            </w:r>
          </w:p>
        </w:tc>
        <w:tc>
          <w:tcPr>
            <w:tcW w:w="100" w:type="dxa"/>
            <w:vAlign w:val="bottom"/>
          </w:tcPr>
          <w:p>
            <w:pPr>
              <w:spacing w:after="0"/>
              <w:rPr>
                <w:sz w:val="18"/>
                <w:szCs w:val="18"/>
                <w:color w:val="auto"/>
              </w:rPr>
            </w:pPr>
          </w:p>
        </w:tc>
      </w:tr>
      <w:tr>
        <w:trPr>
          <w:trHeight w:val="216"/>
        </w:trPr>
        <w:tc>
          <w:tcPr>
            <w:tcW w:w="478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Dry Eye</w:t>
            </w:r>
          </w:p>
        </w:tc>
        <w:tc>
          <w:tcPr>
            <w:tcW w:w="3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1,605</w:t>
            </w:r>
          </w:p>
        </w:tc>
        <w:tc>
          <w:tcPr>
            <w:tcW w:w="26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655</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3,946</w:t>
            </w:r>
          </w:p>
        </w:tc>
        <w:tc>
          <w:tcPr>
            <w:tcW w:w="26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780" w:type="dxa"/>
            <w:vAlign w:val="bottom"/>
          </w:tcPr>
          <w:p>
            <w:pPr>
              <w:ind w:left="360"/>
              <w:spacing w:after="0"/>
              <w:rPr>
                <w:sz w:val="20"/>
                <w:szCs w:val="20"/>
                <w:color w:val="auto"/>
              </w:rPr>
            </w:pPr>
            <w:r>
              <w:rPr>
                <w:rFonts w:ascii="Arial" w:cs="Arial" w:eastAsia="Arial" w:hAnsi="Arial"/>
                <w:sz w:val="18"/>
                <w:szCs w:val="18"/>
                <w:color w:val="auto"/>
              </w:rPr>
              <w:t>Total</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18,677</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13,101</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50,788</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34,271</w:t>
            </w:r>
          </w:p>
        </w:tc>
        <w:tc>
          <w:tcPr>
            <w:tcW w:w="100" w:type="dxa"/>
            <w:vAlign w:val="bottom"/>
          </w:tcPr>
          <w:p>
            <w:pPr>
              <w:spacing w:after="0"/>
              <w:rPr>
                <w:sz w:val="18"/>
                <w:szCs w:val="18"/>
                <w:color w:val="auto"/>
              </w:rPr>
            </w:pPr>
          </w:p>
        </w:tc>
      </w:tr>
      <w:tr>
        <w:trPr>
          <w:trHeight w:val="216"/>
        </w:trPr>
        <w:tc>
          <w:tcPr>
            <w:tcW w:w="4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Cost of goods sold</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780" w:type="dxa"/>
            <w:vAlign w:val="bottom"/>
          </w:tcPr>
          <w:p>
            <w:pPr>
              <w:ind w:left="180"/>
              <w:spacing w:after="0"/>
              <w:rPr>
                <w:sz w:val="20"/>
                <w:szCs w:val="20"/>
                <w:color w:val="auto"/>
              </w:rPr>
            </w:pPr>
            <w:r>
              <w:rPr>
                <w:rFonts w:ascii="Arial" w:cs="Arial" w:eastAsia="Arial" w:hAnsi="Arial"/>
                <w:sz w:val="18"/>
                <w:szCs w:val="18"/>
                <w:color w:val="auto"/>
              </w:rPr>
              <w:t>Surgical Glaucoma</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1,932</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1,621</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5,372</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5,252</w:t>
            </w:r>
          </w:p>
        </w:tc>
        <w:tc>
          <w:tcPr>
            <w:tcW w:w="100" w:type="dxa"/>
            <w:vAlign w:val="bottom"/>
          </w:tcPr>
          <w:p>
            <w:pPr>
              <w:spacing w:after="0"/>
              <w:rPr>
                <w:sz w:val="18"/>
                <w:szCs w:val="18"/>
                <w:color w:val="auto"/>
              </w:rPr>
            </w:pPr>
          </w:p>
        </w:tc>
      </w:tr>
      <w:tr>
        <w:trPr>
          <w:trHeight w:val="216"/>
        </w:trPr>
        <w:tc>
          <w:tcPr>
            <w:tcW w:w="478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Dry Eye</w:t>
            </w:r>
          </w:p>
        </w:tc>
        <w:tc>
          <w:tcPr>
            <w:tcW w:w="3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996</w:t>
            </w:r>
          </w:p>
        </w:tc>
        <w:tc>
          <w:tcPr>
            <w:tcW w:w="26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441</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3,324</w:t>
            </w:r>
          </w:p>
        </w:tc>
        <w:tc>
          <w:tcPr>
            <w:tcW w:w="26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780" w:type="dxa"/>
            <w:vAlign w:val="bottom"/>
          </w:tcPr>
          <w:p>
            <w:pPr>
              <w:ind w:left="360"/>
              <w:spacing w:after="0"/>
              <w:rPr>
                <w:sz w:val="20"/>
                <w:szCs w:val="20"/>
                <w:color w:val="auto"/>
              </w:rPr>
            </w:pPr>
            <w:r>
              <w:rPr>
                <w:rFonts w:ascii="Arial" w:cs="Arial" w:eastAsia="Arial" w:hAnsi="Arial"/>
                <w:sz w:val="18"/>
                <w:szCs w:val="18"/>
                <w:color w:val="auto"/>
              </w:rPr>
              <w:t>Total</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2,928</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2,062</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8,696</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6,668</w:t>
            </w:r>
          </w:p>
        </w:tc>
        <w:tc>
          <w:tcPr>
            <w:tcW w:w="100" w:type="dxa"/>
            <w:vAlign w:val="bottom"/>
          </w:tcPr>
          <w:p>
            <w:pPr>
              <w:spacing w:after="0"/>
              <w:rPr>
                <w:sz w:val="18"/>
                <w:szCs w:val="18"/>
                <w:color w:val="auto"/>
              </w:rPr>
            </w:pPr>
          </w:p>
        </w:tc>
      </w:tr>
      <w:tr>
        <w:trPr>
          <w:trHeight w:val="216"/>
        </w:trPr>
        <w:tc>
          <w:tcPr>
            <w:tcW w:w="4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Gross profit</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780" w:type="dxa"/>
            <w:vAlign w:val="bottom"/>
          </w:tcPr>
          <w:p>
            <w:pPr>
              <w:ind w:left="180"/>
              <w:spacing w:after="0"/>
              <w:rPr>
                <w:sz w:val="20"/>
                <w:szCs w:val="20"/>
                <w:color w:val="auto"/>
              </w:rPr>
            </w:pPr>
            <w:r>
              <w:rPr>
                <w:rFonts w:ascii="Arial" w:cs="Arial" w:eastAsia="Arial" w:hAnsi="Arial"/>
                <w:sz w:val="18"/>
                <w:szCs w:val="18"/>
                <w:color w:val="auto"/>
              </w:rPr>
              <w:t>Surgical Glaucoma</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15,140</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10,825</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41,470</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27,321</w:t>
            </w:r>
          </w:p>
        </w:tc>
        <w:tc>
          <w:tcPr>
            <w:tcW w:w="100" w:type="dxa"/>
            <w:vAlign w:val="bottom"/>
          </w:tcPr>
          <w:p>
            <w:pPr>
              <w:spacing w:after="0"/>
              <w:rPr>
                <w:sz w:val="18"/>
                <w:szCs w:val="18"/>
                <w:color w:val="auto"/>
              </w:rPr>
            </w:pPr>
          </w:p>
        </w:tc>
      </w:tr>
      <w:tr>
        <w:trPr>
          <w:trHeight w:val="216"/>
        </w:trPr>
        <w:tc>
          <w:tcPr>
            <w:tcW w:w="478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Dry Eye</w:t>
            </w:r>
          </w:p>
        </w:tc>
        <w:tc>
          <w:tcPr>
            <w:tcW w:w="3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609</w:t>
            </w:r>
          </w:p>
        </w:tc>
        <w:tc>
          <w:tcPr>
            <w:tcW w:w="26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622</w:t>
            </w:r>
          </w:p>
        </w:tc>
        <w:tc>
          <w:tcPr>
            <w:tcW w:w="26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780" w:type="dxa"/>
            <w:vAlign w:val="bottom"/>
          </w:tcPr>
          <w:p>
            <w:pPr>
              <w:ind w:left="360"/>
              <w:spacing w:after="0"/>
              <w:rPr>
                <w:sz w:val="20"/>
                <w:szCs w:val="20"/>
                <w:color w:val="auto"/>
              </w:rPr>
            </w:pPr>
            <w:r>
              <w:rPr>
                <w:rFonts w:ascii="Arial" w:cs="Arial" w:eastAsia="Arial" w:hAnsi="Arial"/>
                <w:sz w:val="18"/>
                <w:szCs w:val="18"/>
                <w:color w:val="auto"/>
              </w:rPr>
              <w:t>Total</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15,749</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11,039</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42,092</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27,603</w:t>
            </w:r>
          </w:p>
        </w:tc>
        <w:tc>
          <w:tcPr>
            <w:tcW w:w="100" w:type="dxa"/>
            <w:vAlign w:val="bottom"/>
          </w:tcPr>
          <w:p>
            <w:pPr>
              <w:spacing w:after="0"/>
              <w:rPr>
                <w:sz w:val="18"/>
                <w:szCs w:val="18"/>
                <w:color w:val="auto"/>
              </w:rPr>
            </w:pPr>
          </w:p>
        </w:tc>
      </w:tr>
      <w:tr>
        <w:trPr>
          <w:trHeight w:val="216"/>
        </w:trPr>
        <w:tc>
          <w:tcPr>
            <w:tcW w:w="478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Operating expense</w:t>
            </w:r>
          </w:p>
        </w:tc>
        <w:tc>
          <w:tcPr>
            <w:tcW w:w="3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37,594</w:t>
            </w:r>
          </w:p>
        </w:tc>
        <w:tc>
          <w:tcPr>
            <w:tcW w:w="26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25,069</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108,993</w:t>
            </w:r>
          </w:p>
        </w:tc>
        <w:tc>
          <w:tcPr>
            <w:tcW w:w="26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64,365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78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320" w:type="dxa"/>
            <w:vAlign w:val="bottom"/>
          </w:tcPr>
          <w:p>
            <w:pPr>
              <w:spacing w:after="0"/>
              <w:rPr>
                <w:sz w:val="18"/>
                <w:szCs w:val="18"/>
                <w:color w:val="auto"/>
              </w:rPr>
            </w:pPr>
          </w:p>
        </w:tc>
        <w:tc>
          <w:tcPr>
            <w:tcW w:w="1320" w:type="dxa"/>
            <w:vAlign w:val="bottom"/>
            <w:gridSpan w:val="2"/>
          </w:tcPr>
          <w:p>
            <w:pPr>
              <w:jc w:val="right"/>
              <w:ind w:right="121"/>
              <w:spacing w:after="0"/>
              <w:rPr>
                <w:sz w:val="20"/>
                <w:szCs w:val="20"/>
                <w:color w:val="auto"/>
              </w:rPr>
            </w:pPr>
            <w:r>
              <w:rPr>
                <w:rFonts w:ascii="Arial" w:cs="Arial" w:eastAsia="Arial" w:hAnsi="Arial"/>
                <w:sz w:val="18"/>
                <w:szCs w:val="18"/>
                <w:color w:val="auto"/>
              </w:rPr>
              <w:t xml:space="preserve">(21,845 </w:t>
            </w:r>
            <w:r>
              <w:rPr>
                <w:rFonts w:ascii="Arial" w:cs="Arial" w:eastAsia="Arial" w:hAnsi="Arial"/>
                <w:sz w:val="18"/>
                <w:szCs w:val="18"/>
                <w:color w:val="auto"/>
                <w:highlight w:val="white"/>
              </w:rPr>
              <w:t>)</w:t>
            </w:r>
          </w:p>
        </w:tc>
        <w:tc>
          <w:tcPr>
            <w:tcW w:w="520" w:type="dxa"/>
            <w:vAlign w:val="bottom"/>
          </w:tcPr>
          <w:p>
            <w:pPr>
              <w:spacing w:after="0"/>
              <w:rPr>
                <w:sz w:val="18"/>
                <w:szCs w:val="18"/>
                <w:color w:val="auto"/>
              </w:rPr>
            </w:pPr>
          </w:p>
        </w:tc>
        <w:tc>
          <w:tcPr>
            <w:tcW w:w="1100" w:type="dxa"/>
            <w:vAlign w:val="bottom"/>
            <w:gridSpan w:val="2"/>
          </w:tcPr>
          <w:p>
            <w:pPr>
              <w:jc w:val="right"/>
              <w:ind w:right="90"/>
              <w:spacing w:after="0"/>
              <w:rPr>
                <w:sz w:val="20"/>
                <w:szCs w:val="20"/>
                <w:color w:val="auto"/>
              </w:rPr>
            </w:pPr>
            <w:r>
              <w:rPr>
                <w:rFonts w:ascii="Arial" w:cs="Arial" w:eastAsia="Arial" w:hAnsi="Arial"/>
                <w:sz w:val="18"/>
                <w:szCs w:val="18"/>
                <w:color w:val="auto"/>
              </w:rPr>
              <w:t xml:space="preserve">(14,030 </w:t>
            </w:r>
            <w:r>
              <w:rPr>
                <w:rFonts w:ascii="Arial" w:cs="Arial" w:eastAsia="Arial" w:hAnsi="Arial"/>
                <w:sz w:val="18"/>
                <w:szCs w:val="18"/>
                <w:color w:val="auto"/>
                <w:highlight w:val="white"/>
              </w:rPr>
              <w:t>)</w:t>
            </w:r>
          </w:p>
        </w:tc>
        <w:tc>
          <w:tcPr>
            <w:tcW w:w="300" w:type="dxa"/>
            <w:vAlign w:val="bottom"/>
          </w:tcPr>
          <w:p>
            <w:pPr>
              <w:spacing w:after="0"/>
              <w:rPr>
                <w:sz w:val="18"/>
                <w:szCs w:val="18"/>
                <w:color w:val="auto"/>
              </w:rPr>
            </w:pPr>
          </w:p>
        </w:tc>
        <w:tc>
          <w:tcPr>
            <w:tcW w:w="1300" w:type="dxa"/>
            <w:vAlign w:val="bottom"/>
            <w:gridSpan w:val="2"/>
          </w:tcPr>
          <w:p>
            <w:pPr>
              <w:jc w:val="right"/>
              <w:ind w:right="121"/>
              <w:spacing w:after="0"/>
              <w:rPr>
                <w:sz w:val="20"/>
                <w:szCs w:val="20"/>
                <w:color w:val="auto"/>
              </w:rPr>
            </w:pPr>
            <w:r>
              <w:rPr>
                <w:rFonts w:ascii="Arial" w:cs="Arial" w:eastAsia="Arial" w:hAnsi="Arial"/>
                <w:sz w:val="18"/>
                <w:szCs w:val="18"/>
                <w:color w:val="auto"/>
              </w:rPr>
              <w:t xml:space="preserve">(66,901 </w:t>
            </w:r>
            <w:r>
              <w:rPr>
                <w:rFonts w:ascii="Arial" w:cs="Arial" w:eastAsia="Arial" w:hAnsi="Arial"/>
                <w:sz w:val="18"/>
                <w:szCs w:val="18"/>
                <w:color w:val="auto"/>
                <w:highlight w:val="white"/>
              </w:rPr>
              <w:t>)</w:t>
            </w:r>
          </w:p>
        </w:tc>
        <w:tc>
          <w:tcPr>
            <w:tcW w:w="5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 xml:space="preserve">(36,762 </w:t>
            </w:r>
            <w:r>
              <w:rPr>
                <w:rFonts w:ascii="Arial" w:cs="Arial" w:eastAsia="Arial" w:hAnsi="Arial"/>
                <w:sz w:val="18"/>
                <w:szCs w:val="18"/>
                <w:color w:val="auto"/>
                <w:highlight w:val="white"/>
              </w:rPr>
              <w:t>)</w:t>
            </w:r>
          </w:p>
        </w:tc>
      </w:tr>
      <w:tr>
        <w:trPr>
          <w:trHeight w:val="216"/>
        </w:trPr>
        <w:tc>
          <w:tcPr>
            <w:tcW w:w="47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rPr>
              <w:t>(1,131 )</w:t>
            </w:r>
          </w:p>
        </w:tc>
        <w:tc>
          <w:tcPr>
            <w:tcW w:w="5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(1,122 )</w:t>
            </w:r>
          </w:p>
        </w:tc>
        <w:tc>
          <w:tcPr>
            <w:tcW w:w="3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rPr>
              <w:t>(3,243 )</w:t>
            </w:r>
          </w:p>
        </w:tc>
        <w:tc>
          <w:tcPr>
            <w:tcW w:w="5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(3,288 )</w:t>
            </w:r>
          </w:p>
        </w:tc>
      </w:tr>
      <w:tr>
        <w:trPr>
          <w:trHeight w:val="216"/>
        </w:trPr>
        <w:tc>
          <w:tcPr>
            <w:tcW w:w="4780" w:type="dxa"/>
            <w:vAlign w:val="bottom"/>
          </w:tcPr>
          <w:p>
            <w:pPr>
              <w:ind w:left="180"/>
              <w:spacing w:after="0"/>
              <w:rPr>
                <w:sz w:val="20"/>
                <w:szCs w:val="20"/>
                <w:color w:val="auto"/>
              </w:rPr>
            </w:pPr>
            <w:r>
              <w:rPr>
                <w:rFonts w:ascii="Arial" w:cs="Arial" w:eastAsia="Arial" w:hAnsi="Arial"/>
                <w:sz w:val="18"/>
                <w:szCs w:val="18"/>
                <w:color w:val="auto"/>
              </w:rPr>
              <w:t>Other income (expense), net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766</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gridSpan w:val="2"/>
          </w:tcPr>
          <w:p>
            <w:pPr>
              <w:jc w:val="right"/>
              <w:ind w:right="90"/>
              <w:spacing w:after="0"/>
              <w:rPr>
                <w:sz w:val="20"/>
                <w:szCs w:val="20"/>
                <w:color w:val="auto"/>
              </w:rPr>
            </w:pPr>
            <w:r>
              <w:rPr>
                <w:rFonts w:ascii="Arial" w:cs="Arial" w:eastAsia="Arial" w:hAnsi="Arial"/>
                <w:sz w:val="18"/>
                <w:szCs w:val="18"/>
                <w:color w:val="auto"/>
              </w:rPr>
              <w:t>(2,001 )</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846</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(6,884 )</w:t>
            </w:r>
          </w:p>
        </w:tc>
      </w:tr>
      <w:tr>
        <w:trPr>
          <w:trHeight w:val="250"/>
        </w:trPr>
        <w:tc>
          <w:tcPr>
            <w:tcW w:w="4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Loss before income tax</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(22,210</w:t>
            </w:r>
          </w:p>
        </w:tc>
        <w:tc>
          <w:tcPr>
            <w:tcW w:w="260" w:type="dxa"/>
            <w:vAlign w:val="bottom"/>
            <w:tcBorders>
              <w:bottom w:val="single" w:sz="8" w:color="CFF0FC"/>
            </w:tcBorders>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520" w:type="dxa"/>
            <w:vAlign w:val="bottom"/>
            <w:tcBorders>
              <w:top w:val="single" w:sz="8" w:color="auto"/>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(17,153</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(69,298</w:t>
            </w:r>
          </w:p>
        </w:tc>
        <w:tc>
          <w:tcPr>
            <w:tcW w:w="260" w:type="dxa"/>
            <w:vAlign w:val="bottom"/>
            <w:tcBorders>
              <w:bottom w:val="single" w:sz="8" w:color="CFF0FC"/>
            </w:tcBorders>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500" w:type="dxa"/>
            <w:vAlign w:val="bottom"/>
            <w:tcBorders>
              <w:top w:val="single" w:sz="8" w:color="auto"/>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(46,934</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-1988185</wp:posOffset>
            </wp:positionV>
            <wp:extent cx="77470" cy="1454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-1988185</wp:posOffset>
            </wp:positionV>
            <wp:extent cx="68580" cy="1454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-1988185</wp:posOffset>
            </wp:positionV>
            <wp:extent cx="68580" cy="1454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-1988185</wp:posOffset>
            </wp:positionV>
            <wp:extent cx="68580" cy="1454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-1430655</wp:posOffset>
            </wp:positionV>
            <wp:extent cx="77470" cy="1454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-1430655</wp:posOffset>
            </wp:positionV>
            <wp:extent cx="68580" cy="1454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-1430655</wp:posOffset>
            </wp:positionV>
            <wp:extent cx="68580" cy="1454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-1430655</wp:posOffset>
            </wp:positionV>
            <wp:extent cx="68580" cy="1454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-873760</wp:posOffset>
            </wp:positionV>
            <wp:extent cx="77470" cy="1454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-873760</wp:posOffset>
            </wp:positionV>
            <wp:extent cx="68580" cy="1454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-873760</wp:posOffset>
            </wp:positionV>
            <wp:extent cx="68580" cy="1454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-873760</wp:posOffset>
            </wp:positionV>
            <wp:extent cx="68580" cy="1454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-24765</wp:posOffset>
            </wp:positionV>
            <wp:extent cx="7747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-7620</wp:posOffset>
            </wp:positionV>
            <wp:extent cx="7747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-24765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-7620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-24765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-7620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-24765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-7620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76" w:lineRule="exact"/>
        <w:rPr>
          <w:sz w:val="20"/>
          <w:szCs w:val="20"/>
          <w:color w:val="auto"/>
        </w:rPr>
      </w:pPr>
    </w:p>
    <w:p>
      <w:pPr>
        <w:ind w:firstLine="509"/>
        <w:spacing w:after="0" w:line="249" w:lineRule="auto"/>
        <w:rPr>
          <w:sz w:val="20"/>
          <w:szCs w:val="20"/>
          <w:color w:val="auto"/>
        </w:rPr>
      </w:pPr>
      <w:r>
        <w:rPr>
          <w:rFonts w:ascii="Arial" w:cs="Arial" w:eastAsia="Arial" w:hAnsi="Arial"/>
          <w:sz w:val="18"/>
          <w:szCs w:val="18"/>
          <w:color w:val="auto"/>
        </w:rPr>
        <w:t>The Company does not allocate any income and expenses beyond revenue and cost of goods sold to the reportable operating segments in its reporting to the CODM. No asset information is provided for reportable operating segments because they are not reviewed by the CODM on a segment basis. Substantially all of the Company’s revenue is generated from sales in the United States, and none of its property and equipment is located outside the United States.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12. Subsequent Events</w:t>
      </w:r>
    </w:p>
    <w:p>
      <w:pPr>
        <w:spacing w:after="0" w:line="108" w:lineRule="exact"/>
        <w:rPr>
          <w:sz w:val="20"/>
          <w:szCs w:val="20"/>
          <w:color w:val="auto"/>
        </w:rPr>
      </w:pPr>
    </w:p>
    <w:p>
      <w:pPr>
        <w:ind w:right="220" w:firstLine="509"/>
        <w:spacing w:after="0" w:line="261" w:lineRule="auto"/>
        <w:rPr>
          <w:sz w:val="20"/>
          <w:szCs w:val="20"/>
          <w:color w:val="auto"/>
        </w:rPr>
      </w:pPr>
      <w:r>
        <w:rPr>
          <w:rFonts w:ascii="Arial" w:cs="Arial" w:eastAsia="Arial" w:hAnsi="Arial"/>
          <w:sz w:val="18"/>
          <w:szCs w:val="18"/>
          <w:color w:val="auto"/>
        </w:rPr>
        <w:t>The Company evaluated subsequent events through November 10, 2022, the date on which the condensed consolidated financial statements were available for issuance.</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160"/>
        <w:spacing w:after="0" w:line="248"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condensed consolidated financial statements and the related notes and other financial information included in this Quarterly Report and our audited financial statements and related notes as disclosed in our 2021 Form 10-K .</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8" w:lineRule="exact"/>
        <w:rPr>
          <w:sz w:val="20"/>
          <w:szCs w:val="20"/>
          <w:color w:val="auto"/>
        </w:rPr>
      </w:pPr>
    </w:p>
    <w:p>
      <w:pPr>
        <w:ind w:right="120" w:firstLine="509"/>
        <w:spacing w:after="0" w:line="268" w:lineRule="auto"/>
        <w:rPr>
          <w:sz w:val="20"/>
          <w:szCs w:val="20"/>
          <w:color w:val="auto"/>
        </w:rPr>
      </w:pPr>
      <w:r>
        <w:rPr>
          <w:rFonts w:ascii="Arial" w:cs="Arial" w:eastAsia="Arial" w:hAnsi="Arial"/>
          <w:sz w:val="17"/>
          <w:szCs w:val="17"/>
          <w:color w:val="auto"/>
        </w:rPr>
        <w:t>Sight Sciences’ mission is to transform ophthalmology and optometry through the development and commercialization of proprietary devices that target the underlying causes of the world’s most prevalent eye diseases. We are passionate about improving patients’ lives. Our objective is to develop and market products for use in new treatment paradigms and to create an interventional mindset in eyecare whereby our products may be used in procedures which supplant conventional outdated approaches. Our business philosophy is grounded in the following principles:</w:t>
      </w:r>
    </w:p>
    <w:p>
      <w:pPr>
        <w:spacing w:after="0" w:line="58" w:lineRule="exact"/>
        <w:rPr>
          <w:sz w:val="20"/>
          <w:szCs w:val="20"/>
          <w:color w:val="auto"/>
        </w:rPr>
      </w:pPr>
    </w:p>
    <w:p>
      <w:pPr>
        <w:ind w:left="1020" w:hanging="503"/>
        <w:spacing w:after="0"/>
        <w:tabs>
          <w:tab w:leader="none" w:pos="1020" w:val="left"/>
        </w:tabs>
        <w:numPr>
          <w:ilvl w:val="0"/>
          <w:numId w:val="4"/>
        </w:numPr>
        <w:rPr>
          <w:rFonts w:ascii="Arial" w:cs="Arial" w:eastAsia="Arial" w:hAnsi="Arial"/>
          <w:sz w:val="18"/>
          <w:szCs w:val="18"/>
          <w:color w:val="231F20"/>
        </w:rPr>
      </w:pPr>
      <w:r>
        <w:rPr>
          <w:rFonts w:ascii="Arial" w:cs="Arial" w:eastAsia="Arial" w:hAnsi="Arial"/>
          <w:sz w:val="18"/>
          <w:szCs w:val="18"/>
          <w:color w:val="231F20"/>
        </w:rPr>
        <w:t>comprehensively understand disease physiology,</w:t>
      </w:r>
    </w:p>
    <w:p>
      <w:pPr>
        <w:spacing w:after="0" w:line="103" w:lineRule="exact"/>
        <w:rPr>
          <w:rFonts w:ascii="Arial" w:cs="Arial" w:eastAsia="Arial" w:hAnsi="Arial"/>
          <w:sz w:val="18"/>
          <w:szCs w:val="18"/>
          <w:color w:val="231F20"/>
        </w:rPr>
      </w:pPr>
    </w:p>
    <w:p>
      <w:pPr>
        <w:ind w:left="1020" w:hanging="503"/>
        <w:spacing w:after="0"/>
        <w:tabs>
          <w:tab w:leader="none" w:pos="1020" w:val="left"/>
        </w:tabs>
        <w:numPr>
          <w:ilvl w:val="0"/>
          <w:numId w:val="4"/>
        </w:numPr>
        <w:rPr>
          <w:rFonts w:ascii="Arial" w:cs="Arial" w:eastAsia="Arial" w:hAnsi="Arial"/>
          <w:sz w:val="18"/>
          <w:szCs w:val="18"/>
          <w:color w:val="231F20"/>
        </w:rPr>
      </w:pPr>
      <w:r>
        <w:rPr>
          <w:rFonts w:ascii="Arial" w:cs="Arial" w:eastAsia="Arial" w:hAnsi="Arial"/>
          <w:sz w:val="18"/>
          <w:szCs w:val="18"/>
          <w:color w:val="231F20"/>
        </w:rPr>
        <w:t>develop products that are intended to restore natural physiological functionality to diseased eyes;</w:t>
      </w:r>
    </w:p>
    <w:p>
      <w:pPr>
        <w:spacing w:after="0" w:line="117" w:lineRule="exact"/>
        <w:rPr>
          <w:rFonts w:ascii="Arial" w:cs="Arial" w:eastAsia="Arial" w:hAnsi="Arial"/>
          <w:sz w:val="18"/>
          <w:szCs w:val="18"/>
          <w:color w:val="231F20"/>
        </w:rPr>
      </w:pPr>
    </w:p>
    <w:p>
      <w:pPr>
        <w:ind w:left="1020" w:right="120" w:hanging="503"/>
        <w:spacing w:after="0" w:line="261" w:lineRule="auto"/>
        <w:tabs>
          <w:tab w:leader="none" w:pos="1020" w:val="left"/>
        </w:tabs>
        <w:numPr>
          <w:ilvl w:val="0"/>
          <w:numId w:val="4"/>
        </w:numPr>
        <w:rPr>
          <w:rFonts w:ascii="Arial" w:cs="Arial" w:eastAsia="Arial" w:hAnsi="Arial"/>
          <w:sz w:val="18"/>
          <w:szCs w:val="18"/>
          <w:color w:val="231F20"/>
        </w:rPr>
      </w:pPr>
      <w:r>
        <w:rPr>
          <w:rFonts w:ascii="Arial" w:cs="Arial" w:eastAsia="Arial" w:hAnsi="Arial"/>
          <w:sz w:val="18"/>
          <w:szCs w:val="18"/>
          <w:color w:val="231F20"/>
        </w:rPr>
        <w:t>develop and market products that achieve superior effectiveness versus current treatment paradigms while minimizing complications or side effects,</w:t>
      </w:r>
    </w:p>
    <w:p>
      <w:pPr>
        <w:spacing w:after="0" w:line="62" w:lineRule="exact"/>
        <w:rPr>
          <w:rFonts w:ascii="Arial" w:cs="Arial" w:eastAsia="Arial" w:hAnsi="Arial"/>
          <w:sz w:val="18"/>
          <w:szCs w:val="18"/>
          <w:color w:val="231F20"/>
        </w:rPr>
      </w:pPr>
    </w:p>
    <w:p>
      <w:pPr>
        <w:ind w:left="1020" w:hanging="503"/>
        <w:spacing w:after="0"/>
        <w:tabs>
          <w:tab w:leader="none" w:pos="1020" w:val="left"/>
        </w:tabs>
        <w:numPr>
          <w:ilvl w:val="0"/>
          <w:numId w:val="4"/>
        </w:numPr>
        <w:rPr>
          <w:rFonts w:ascii="Arial" w:cs="Arial" w:eastAsia="Arial" w:hAnsi="Arial"/>
          <w:sz w:val="18"/>
          <w:szCs w:val="18"/>
          <w:color w:val="231F20"/>
        </w:rPr>
      </w:pPr>
      <w:r>
        <w:rPr>
          <w:rFonts w:ascii="Arial" w:cs="Arial" w:eastAsia="Arial" w:hAnsi="Arial"/>
          <w:sz w:val="18"/>
          <w:szCs w:val="18"/>
          <w:color w:val="231F20"/>
        </w:rPr>
        <w:t>provide intuitive, patient friendly solutions to ophthalmologists and optometrists; and</w:t>
      </w:r>
    </w:p>
    <w:p>
      <w:pPr>
        <w:spacing w:after="0" w:line="117" w:lineRule="exact"/>
        <w:rPr>
          <w:rFonts w:ascii="Arial" w:cs="Arial" w:eastAsia="Arial" w:hAnsi="Arial"/>
          <w:sz w:val="18"/>
          <w:szCs w:val="18"/>
          <w:color w:val="231F20"/>
        </w:rPr>
      </w:pPr>
    </w:p>
    <w:p>
      <w:pPr>
        <w:ind w:left="1020" w:right="40" w:hanging="503"/>
        <w:spacing w:after="0" w:line="261" w:lineRule="auto"/>
        <w:tabs>
          <w:tab w:leader="none" w:pos="1020" w:val="left"/>
        </w:tabs>
        <w:numPr>
          <w:ilvl w:val="0"/>
          <w:numId w:val="4"/>
        </w:numPr>
        <w:rPr>
          <w:rFonts w:ascii="Arial" w:cs="Arial" w:eastAsia="Arial" w:hAnsi="Arial"/>
          <w:sz w:val="18"/>
          <w:szCs w:val="18"/>
          <w:color w:val="231F20"/>
        </w:rPr>
      </w:pPr>
      <w:r>
        <w:rPr>
          <w:rFonts w:ascii="Arial" w:cs="Arial" w:eastAsia="Arial" w:hAnsi="Arial"/>
          <w:sz w:val="18"/>
          <w:szCs w:val="18"/>
          <w:color w:val="231F20"/>
        </w:rPr>
        <w:t>deliver compelling economic value to all stakeholders, including patients, providers and third-party payors such as Medicare and commercial insurers</w:t>
      </w:r>
    </w:p>
    <w:p>
      <w:pPr>
        <w:spacing w:after="0" w:line="63" w:lineRule="exact"/>
        <w:rPr>
          <w:sz w:val="20"/>
          <w:szCs w:val="20"/>
          <w:color w:val="auto"/>
        </w:rPr>
      </w:pPr>
    </w:p>
    <w:p>
      <w:pPr>
        <w:ind w:right="60" w:firstLine="554"/>
        <w:spacing w:after="0" w:line="261" w:lineRule="auto"/>
        <w:rPr>
          <w:sz w:val="20"/>
          <w:szCs w:val="20"/>
          <w:color w:val="auto"/>
        </w:rPr>
      </w:pPr>
      <w:r>
        <w:rPr>
          <w:rFonts w:ascii="Arial" w:cs="Arial" w:eastAsia="Arial" w:hAnsi="Arial"/>
          <w:sz w:val="16"/>
          <w:szCs w:val="16"/>
          <w:color w:val="auto"/>
        </w:rPr>
        <w:t>Our initial product development has focused on the treatment of two of the world’s most prevalent and underserved eye diseases, glaucoma and dry eye disease. We have commercialized products in each of our two reportable segments; Surgical Glaucoma and Dry Eye. Our Surgical Glaucoma segment consists of sales of the OMNI</w:t>
      </w:r>
      <w:r>
        <w:rPr>
          <w:rFonts w:ascii="Arial" w:cs="Arial" w:eastAsia="Arial" w:hAnsi="Arial"/>
          <w:sz w:val="21"/>
          <w:szCs w:val="21"/>
          <w:color w:val="auto"/>
          <w:vertAlign w:val="superscript"/>
        </w:rPr>
        <w:t>®</w:t>
      </w:r>
      <w:r>
        <w:rPr>
          <w:rFonts w:ascii="Arial" w:cs="Arial" w:eastAsia="Arial" w:hAnsi="Arial"/>
          <w:sz w:val="16"/>
          <w:szCs w:val="16"/>
          <w:color w:val="auto"/>
        </w:rPr>
        <w:t xml:space="preserve"> Surgical System ("OMNI") and SION</w:t>
      </w:r>
      <w:r>
        <w:rPr>
          <w:rFonts w:ascii="Arial" w:cs="Arial" w:eastAsia="Arial" w:hAnsi="Arial"/>
          <w:sz w:val="21"/>
          <w:szCs w:val="21"/>
          <w:color w:val="auto"/>
          <w:vertAlign w:val="superscript"/>
        </w:rPr>
        <w:t>TM</w:t>
      </w:r>
      <w:r>
        <w:rPr>
          <w:rFonts w:ascii="Arial" w:cs="Arial" w:eastAsia="Arial" w:hAnsi="Arial"/>
          <w:sz w:val="16"/>
          <w:szCs w:val="16"/>
          <w:color w:val="auto"/>
        </w:rPr>
        <w:t xml:space="preserve"> Surgical Instrument ("SION"), while our Dry Eye segment includes sales of the TearCare</w:t>
      </w:r>
      <w:r>
        <w:rPr>
          <w:rFonts w:ascii="Arial" w:cs="Arial" w:eastAsia="Arial" w:hAnsi="Arial"/>
          <w:sz w:val="21"/>
          <w:szCs w:val="21"/>
          <w:color w:val="auto"/>
          <w:vertAlign w:val="superscript"/>
        </w:rPr>
        <w:t>®</w:t>
      </w:r>
      <w:r>
        <w:rPr>
          <w:rFonts w:ascii="Arial" w:cs="Arial" w:eastAsia="Arial" w:hAnsi="Arial"/>
          <w:sz w:val="16"/>
          <w:szCs w:val="16"/>
          <w:color w:val="auto"/>
        </w:rPr>
        <w:t xml:space="preserve"> System ("TearCare"), and related components and accessories. Each product is primarily sold through a highly-involved direct sales model that offers intensive education, training and customer service. We believe this philosophy and model not only enables us to differentiate our products and our overall company from competitors, but also to expand our addressable market by educating Eye Care Professionals ("ECPs"), patients and other stakeholders on our products and evolving treatment paradigms. Outside of the U.S., we have historically sold OMNI primarily through a network of distributors, although we began employing a small direct sales force outside of the United States in 2021.</w:t>
      </w:r>
    </w:p>
    <w:p>
      <w:pPr>
        <w:spacing w:after="0" w:line="178" w:lineRule="exact"/>
        <w:rPr>
          <w:sz w:val="20"/>
          <w:szCs w:val="20"/>
          <w:color w:val="auto"/>
        </w:rPr>
      </w:pPr>
    </w:p>
    <w:p>
      <w:pPr>
        <w:ind w:firstLine="509"/>
        <w:spacing w:after="0" w:line="272" w:lineRule="auto"/>
        <w:rPr>
          <w:sz w:val="20"/>
          <w:szCs w:val="20"/>
          <w:color w:val="auto"/>
        </w:rPr>
      </w:pPr>
      <w:r>
        <w:rPr>
          <w:rFonts w:ascii="Arial" w:cs="Arial" w:eastAsia="Arial" w:hAnsi="Arial"/>
          <w:sz w:val="16"/>
          <w:szCs w:val="16"/>
          <w:color w:val="auto"/>
        </w:rPr>
        <w:t xml:space="preserve">We sell OMNI and SION to facilities where ophthalmic surgeons perform outpatient procedures, mainly ambulatory surgery centers ("ASCs") and </w:t>
      </w:r>
      <w:r>
        <w:rPr>
          <w:rFonts w:ascii="Arial" w:cs="Arial" w:eastAsia="Arial" w:hAnsi="Arial"/>
          <w:sz w:val="16"/>
          <w:szCs w:val="16"/>
          <w:color w:val="231F20"/>
        </w:rPr>
        <w:t xml:space="preserve">hospital outpatient departments ("HOPDs"), </w:t>
      </w:r>
      <w:r>
        <w:rPr>
          <w:rFonts w:ascii="Arial" w:cs="Arial" w:eastAsia="Arial" w:hAnsi="Arial"/>
          <w:sz w:val="16"/>
          <w:szCs w:val="16"/>
          <w:color w:val="000000"/>
        </w:rPr>
        <w:t>which are typically reimbursed by Medicare or private payors for procedures using our products. We sell</w:t>
      </w:r>
      <w:r>
        <w:rPr>
          <w:rFonts w:ascii="Arial" w:cs="Arial" w:eastAsia="Arial" w:hAnsi="Arial"/>
          <w:sz w:val="16"/>
          <w:szCs w:val="16"/>
          <w:color w:val="231F20"/>
        </w:rPr>
        <w:t xml:space="preserve"> </w:t>
      </w:r>
      <w:r>
        <w:rPr>
          <w:rFonts w:ascii="Arial" w:cs="Arial" w:eastAsia="Arial" w:hAnsi="Arial"/>
          <w:sz w:val="16"/>
          <w:szCs w:val="16"/>
          <w:color w:val="000000"/>
        </w:rPr>
        <w:t xml:space="preserve">TearCare to optometrist and ophthalmologist practices. Currently, there is no meaningful reimbursement coverage by Medicare or private payors for </w:t>
      </w:r>
      <w:r>
        <w:rPr>
          <w:rFonts w:ascii="Arial" w:cs="Arial" w:eastAsia="Arial" w:hAnsi="Arial"/>
          <w:sz w:val="16"/>
          <w:szCs w:val="16"/>
          <w:color w:val="231F20"/>
        </w:rPr>
        <w:t>meibomian gland disease ("</w:t>
      </w:r>
      <w:r>
        <w:rPr>
          <w:rFonts w:ascii="Arial" w:cs="Arial" w:eastAsia="Arial" w:hAnsi="Arial"/>
          <w:sz w:val="16"/>
          <w:szCs w:val="16"/>
          <w:color w:val="000000"/>
        </w:rPr>
        <w:t>MGD") procedures, including TearCare, and patients typically pay out-of-pocket for TearCare. We are continuing our</w:t>
      </w:r>
      <w:r>
        <w:rPr>
          <w:rFonts w:ascii="Arial" w:cs="Arial" w:eastAsia="Arial" w:hAnsi="Arial"/>
          <w:sz w:val="16"/>
          <w:szCs w:val="16"/>
          <w:color w:val="231F20"/>
        </w:rPr>
        <w:t xml:space="preserve"> </w:t>
      </w:r>
      <w:r>
        <w:rPr>
          <w:rFonts w:ascii="Arial" w:cs="Arial" w:eastAsia="Arial" w:hAnsi="Arial"/>
          <w:sz w:val="16"/>
          <w:szCs w:val="16"/>
          <w:color w:val="000000"/>
        </w:rPr>
        <w:t>controlled commercial launch and are focused on our comprehensive, clinical data-driven long-term market development plan that aims to improve awareness and patient access to TearCare. We have dedicated meaningful resources to execute our commercial strategy and we continue to expand our sales organization through additional sales representatives and territories. The overall success of our approach to eyecare to date is evidenced by the over</w:t>
      </w:r>
    </w:p>
    <w:p>
      <w:pPr>
        <w:spacing w:after="0" w:line="1" w:lineRule="exact"/>
        <w:rPr>
          <w:sz w:val="20"/>
          <w:szCs w:val="20"/>
          <w:color w:val="auto"/>
        </w:rPr>
      </w:pPr>
    </w:p>
    <w:p>
      <w:pPr>
        <w:ind w:right="420"/>
        <w:spacing w:after="0" w:line="243" w:lineRule="auto"/>
        <w:rPr>
          <w:sz w:val="20"/>
          <w:szCs w:val="20"/>
          <w:color w:val="auto"/>
        </w:rPr>
      </w:pPr>
      <w:r>
        <w:rPr>
          <w:rFonts w:ascii="Arial" w:cs="Arial" w:eastAsia="Arial" w:hAnsi="Arial"/>
          <w:sz w:val="18"/>
          <w:szCs w:val="18"/>
          <w:color w:val="auto"/>
        </w:rPr>
        <w:t>130,000 estimated uses of OMNI and its direct predicates in over 1,500 hospitals and ASCs in the U.S. and Europe, and over 20,000 estimated uses of TearCare in over 850 eyecare facilities in the U.S. through September 30, 2022.</w:t>
      </w:r>
    </w:p>
    <w:p>
      <w:pPr>
        <w:spacing w:after="0" w:line="199" w:lineRule="exact"/>
        <w:rPr>
          <w:sz w:val="20"/>
          <w:szCs w:val="20"/>
          <w:color w:val="auto"/>
        </w:rPr>
      </w:pPr>
    </w:p>
    <w:p>
      <w:pPr>
        <w:ind w:right="260" w:firstLine="509"/>
        <w:spacing w:after="0" w:line="248" w:lineRule="auto"/>
        <w:rPr>
          <w:sz w:val="20"/>
          <w:szCs w:val="20"/>
          <w:color w:val="auto"/>
        </w:rPr>
      </w:pPr>
      <w:r>
        <w:rPr>
          <w:rFonts w:ascii="Arial" w:cs="Arial" w:eastAsia="Arial" w:hAnsi="Arial"/>
          <w:sz w:val="18"/>
          <w:szCs w:val="18"/>
          <w:color w:val="auto"/>
        </w:rPr>
        <w:t>We currently operate no manufacturing facilities and instead contract with third parties for our production requirements. We believe our suppliers will be able to meet our current and anticipated manufacturing needs across all our products. We plan to continue to utilize third party contract manufacturers for our products and any related components.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25" w:name="page26"/>
    <w:bookmarkEnd w:id="25"/>
    <w:p>
      <w:pPr>
        <w:ind w:right="80" w:firstLine="509"/>
        <w:spacing w:after="0" w:line="260" w:lineRule="auto"/>
        <w:rPr>
          <w:sz w:val="20"/>
          <w:szCs w:val="20"/>
          <w:color w:val="auto"/>
        </w:rPr>
      </w:pPr>
      <w:r>
        <w:rPr>
          <w:rFonts w:ascii="Arial" w:cs="Arial" w:eastAsia="Arial" w:hAnsi="Arial"/>
          <w:sz w:val="17"/>
          <w:szCs w:val="17"/>
          <w:color w:val="auto"/>
        </w:rPr>
        <w:t>Our gross margin in our Surgical Glaucoma segment for the three months ended September 30, 2022 and 2021 was 88.7% and 87.0%, respectively. In 2021, we shifted our primary production of OMNI from a U.S.-based third-party contract manufacturer, to a lower cost, higher volume contract manufacturer in Asia. We are in the process of supplementing this OMNI production capacity with a U.S.-based contract manufacturer. These cost optimization initiatives contributed to the increase in gross margins in our Surgical Glaucoma segment. Our gross margin in our Dry Eye segment for the three months ended September 30, 2022 and 2021 was 37.9% and 32.7%, respectively. The TearCare System includes the SmartHub component, which is typically only sold in initial purchase orders, and single-use SmartLids which are sold as part of initial purchase orders and through repeat orders as the ECP performs procedures over time. Given the earlier stage of TearCare’s commercial development, we expect our Dry Eye segment’s gross margins to be lower than our Surgical Glaucoma segment’s gross margins for the near and medium-term due to the allocation of fixed labor and overhead costs to the segment's cost of goods sold.</w:t>
      </w:r>
    </w:p>
    <w:p>
      <w:pPr>
        <w:spacing w:after="0" w:line="173" w:lineRule="exact"/>
        <w:rPr>
          <w:sz w:val="20"/>
          <w:szCs w:val="20"/>
          <w:color w:val="auto"/>
        </w:rPr>
      </w:pPr>
    </w:p>
    <w:p>
      <w:pPr>
        <w:ind w:right="20" w:firstLine="509"/>
        <w:spacing w:after="0" w:line="278" w:lineRule="auto"/>
        <w:rPr>
          <w:sz w:val="20"/>
          <w:szCs w:val="20"/>
          <w:color w:val="auto"/>
        </w:rPr>
      </w:pPr>
      <w:r>
        <w:rPr>
          <w:rFonts w:ascii="Arial" w:cs="Arial" w:eastAsia="Arial" w:hAnsi="Arial"/>
          <w:sz w:val="16"/>
          <w:szCs w:val="16"/>
          <w:color w:val="auto"/>
        </w:rPr>
        <w:t>We believe in the importance of continued strategic investment in initiatives that: further demonstrate our products’ clinical effectiveness and safety to potential customers, patients, payors and regulators; enhance our commercial capabilities, including resources dedicated to sales, marketing and education; ensure the broadest possible patient access to the treatment alternatives that our products are cleared to offer; enhance and improve upon our existing product technologies; and allow us to innovate new products, devices or drugs, in glaucoma and ocular surface disease or in new eye disease areas. As a result, we intend to continue to invest in clinical studies, sales and marketing, education initiatives, market access, and product development. Because of these and other factors, we expect to continue to incur net losses for at least the next several fiscal years. Moreover, we expect to incur expenses as a result of operating as a public company, including expenses related to compliance with the rules and regulations of the SEC and those of the Nasdaq Stock Market, additional insurance expenses, investor relations activities and other administrative and professional services. As a result of these and other factors, we may require and seek additional debt and equity financing to fund our operations and planned growth.</w:t>
      </w:r>
    </w:p>
    <w:p>
      <w:pPr>
        <w:spacing w:after="0" w:line="161" w:lineRule="exact"/>
        <w:rPr>
          <w:sz w:val="20"/>
          <w:szCs w:val="20"/>
          <w:color w:val="auto"/>
        </w:rPr>
      </w:pPr>
    </w:p>
    <w:p>
      <w:pPr>
        <w:ind w:firstLine="509"/>
        <w:spacing w:after="0" w:line="268" w:lineRule="auto"/>
        <w:rPr>
          <w:sz w:val="20"/>
          <w:szCs w:val="20"/>
          <w:color w:val="auto"/>
        </w:rPr>
      </w:pPr>
      <w:r>
        <w:rPr>
          <w:rFonts w:ascii="Arial" w:cs="Arial" w:eastAsia="Arial" w:hAnsi="Arial"/>
          <w:sz w:val="17"/>
          <w:szCs w:val="17"/>
          <w:color w:val="auto"/>
        </w:rPr>
        <w:t>To date, our primary sources of capital has been private placements of redeemable convertible preferred stock, debt financing agreements, the sale of common stock in our initial public offering ("IPO"), and revenue from the sale of our products. In July 2021, we completed our IPO, receiving net proceeds of $252.2 million. As of September 30, 2022, we had an outstanding term loan balance of $35.0 million (excluding debt discount and amortized debt issuance costs), cash and cash equivalents of $199.8 million and an accumulated deficit of $222.3 million.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117" w:lineRule="exact"/>
        <w:rPr>
          <w:sz w:val="20"/>
          <w:szCs w:val="20"/>
          <w:color w:val="auto"/>
        </w:rPr>
      </w:pPr>
    </w:p>
    <w:p>
      <w:pPr>
        <w:ind w:right="120" w:firstLine="509"/>
        <w:spacing w:after="0" w:line="248" w:lineRule="auto"/>
        <w:rPr>
          <w:sz w:val="20"/>
          <w:szCs w:val="20"/>
          <w:color w:val="auto"/>
        </w:rPr>
      </w:pPr>
      <w:r>
        <w:rPr>
          <w:rFonts w:ascii="Arial" w:cs="Arial" w:eastAsia="Arial" w:hAnsi="Arial"/>
          <w:sz w:val="18"/>
          <w:szCs w:val="18"/>
          <w:color w:val="auto"/>
        </w:rPr>
        <w:t>The global COVID-19 pandemic has impacted and may in the future impact demand for our products, which are used in procedures and therapies that are considered elective. Future surges of COVID-19 may result in governmental restrictions being re-implemented to reduce the spread of COVID-19 or patients and healthcare providers otherwise postponing elective eyecare procedures.</w:t>
      </w:r>
    </w:p>
    <w:p>
      <w:pPr>
        <w:spacing w:after="0" w:line="182"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Any future impact of the COVID-19 pandemic will depend on future developments that are highly uncertain and cannot be predicted with</w:t>
      </w:r>
    </w:p>
    <w:p>
      <w:pPr>
        <w:spacing w:after="0" w:line="23" w:lineRule="exact"/>
        <w:rPr>
          <w:sz w:val="20"/>
          <w:szCs w:val="20"/>
          <w:color w:val="auto"/>
        </w:rPr>
      </w:pPr>
    </w:p>
    <w:p>
      <w:pPr>
        <w:ind w:right="80"/>
        <w:spacing w:after="0" w:line="278" w:lineRule="auto"/>
        <w:rPr>
          <w:sz w:val="20"/>
          <w:szCs w:val="20"/>
          <w:color w:val="auto"/>
        </w:rPr>
      </w:pPr>
      <w:r>
        <w:rPr>
          <w:rFonts w:ascii="Arial" w:cs="Arial" w:eastAsia="Arial" w:hAnsi="Arial"/>
          <w:sz w:val="16"/>
          <w:szCs w:val="16"/>
          <w:color w:val="auto"/>
        </w:rPr>
        <w:t>confidence, and will depend on certain developments, including the duration and severity of the COVID-19 pandemic and its potential variants. Among other things, the COVID-19 pandemic could disrupt the operations of our third-party manufacturers and other suppliers. We are working closely with our manufacturing partners and suppliers to help ensure that we are able to source key components and maintain appropriate inventory levels to meet customer demand. Nevertheless, as occurred in earlier stages of the COVID-19 pandemic, we may, among other things, experience reduced customer demand or constrained supply that could materially adversely impact our business, results of operations, liquidity and cash flows in future periods.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Business and Results of Operations</w:t>
      </w:r>
    </w:p>
    <w:p>
      <w:pPr>
        <w:spacing w:after="0" w:line="121" w:lineRule="exact"/>
        <w:rPr>
          <w:sz w:val="20"/>
          <w:szCs w:val="20"/>
          <w:color w:val="auto"/>
        </w:rPr>
      </w:pPr>
    </w:p>
    <w:p>
      <w:pPr>
        <w:ind w:right="40" w:firstLine="509"/>
        <w:spacing w:after="0" w:line="248" w:lineRule="auto"/>
        <w:rPr>
          <w:sz w:val="20"/>
          <w:szCs w:val="20"/>
          <w:color w:val="auto"/>
        </w:rPr>
      </w:pPr>
      <w:r>
        <w:rPr>
          <w:rFonts w:ascii="Arial" w:cs="Arial" w:eastAsia="Arial" w:hAnsi="Arial"/>
          <w:sz w:val="18"/>
          <w:szCs w:val="18"/>
          <w:color w:val="auto"/>
        </w:rPr>
        <w:t>We believe there are several important factors that have impacted and that will continue to impact our business and results of operations. There have been no material changes to such factors from those described in our 2021 Form 10-K under the heading "Factors Affecting our Business and Results of Operations."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04" w:lineRule="exact"/>
        <w:rPr>
          <w:sz w:val="20"/>
          <w:szCs w:val="20"/>
          <w:color w:val="auto"/>
        </w:rPr>
      </w:pPr>
    </w:p>
    <w:p>
      <w:pPr>
        <w:ind w:right="60" w:firstLine="509"/>
        <w:spacing w:after="0" w:line="244" w:lineRule="auto"/>
        <w:rPr>
          <w:sz w:val="20"/>
          <w:szCs w:val="20"/>
          <w:color w:val="auto"/>
        </w:rPr>
      </w:pPr>
      <w:r>
        <w:rPr>
          <w:rFonts w:ascii="Arial" w:cs="Arial" w:eastAsia="Arial" w:hAnsi="Arial"/>
          <w:sz w:val="18"/>
          <w:szCs w:val="18"/>
          <w:color w:val="231F20"/>
        </w:rPr>
        <w:t>We currently derive the majority of our U.S. revenue from the sale of OMNI to ASCs and HOPDs and TearCare to ophthalmology and optometry practices. During the nine months ended September 30, 2022 and 2021, the revenues from our Surgical Glaucoma segment accounted for over 90% of our total revenues. Substantially all of our revenues for both periods were generated from sales within the U.S. Our Surgical Glaucoma customers place orders based on their expected procedure volume and reorder as needed, typically on a biweekly, monthly or bimonthly basis. Our TearCare customers typically purchase a TearCare System which consists of one or more SmartHubs, multiple single-use SmartLids and other accessories. After utilizing their initial inventory, customers can reorder SmartLids as needed. No single customer accounted for 10% or more of our revenue for the nine months ended September 30, 2022 and 2021.</w:t>
      </w:r>
    </w:p>
    <w:p>
      <w:pPr>
        <w:spacing w:after="0" w:line="187" w:lineRule="exact"/>
        <w:rPr>
          <w:sz w:val="20"/>
          <w:szCs w:val="20"/>
          <w:color w:val="auto"/>
        </w:rPr>
      </w:pPr>
    </w:p>
    <w:p>
      <w:pPr>
        <w:ind w:firstLine="509"/>
        <w:spacing w:after="0" w:line="256" w:lineRule="auto"/>
        <w:rPr>
          <w:sz w:val="20"/>
          <w:szCs w:val="20"/>
          <w:color w:val="auto"/>
        </w:rPr>
      </w:pPr>
      <w:r>
        <w:rPr>
          <w:rFonts w:ascii="Arial" w:cs="Arial" w:eastAsia="Arial" w:hAnsi="Arial"/>
          <w:sz w:val="18"/>
          <w:szCs w:val="18"/>
          <w:color w:val="231F20"/>
        </w:rPr>
        <w:t>The growth in our revenue is driven by the demand for elective surgery and treatment utilizing our products. Such demand is often lower during summer months because of ECP vacations and in winter months in certain parts of the world because of fewer business or surgery days due to holidays and adverse weather conditions.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 and Gross Margin</w:t>
      </w:r>
    </w:p>
    <w:p>
      <w:pPr>
        <w:spacing w:after="0" w:line="104" w:lineRule="exact"/>
        <w:rPr>
          <w:sz w:val="20"/>
          <w:szCs w:val="20"/>
          <w:color w:val="auto"/>
        </w:rPr>
      </w:pPr>
    </w:p>
    <w:p>
      <w:pPr>
        <w:ind w:right="180" w:firstLine="509"/>
        <w:spacing w:after="0" w:line="268" w:lineRule="auto"/>
        <w:rPr>
          <w:sz w:val="20"/>
          <w:szCs w:val="20"/>
          <w:color w:val="auto"/>
        </w:rPr>
      </w:pPr>
      <w:r>
        <w:rPr>
          <w:rFonts w:ascii="Arial" w:cs="Arial" w:eastAsia="Arial" w:hAnsi="Arial"/>
          <w:sz w:val="17"/>
          <w:szCs w:val="17"/>
          <w:color w:val="231F20"/>
        </w:rPr>
        <w:t>Our products are produced by third-party manufacturers. Our cost of goods sold consists primarily of amounts paid for our products to third-party manufacturers, and our manufacturing overhead costs, which consist primarily of personnel expenses, including salaries, benefits and stock-based compensation, and reserves for excess, obsolete and non-sellable inventory. Cost of goods sold also includes depreciation expenses for production equipment which we provide to our third-party manufacturers and certain direct costs, such as shipping and handling costs.</w:t>
      </w:r>
    </w:p>
    <w:p>
      <w:pPr>
        <w:spacing w:after="0" w:line="72" w:lineRule="exact"/>
        <w:rPr>
          <w:sz w:val="20"/>
          <w:szCs w:val="20"/>
          <w:color w:val="auto"/>
        </w:rPr>
      </w:pPr>
    </w:p>
    <w:p>
      <w:pPr>
        <w:ind w:right="40" w:firstLine="509"/>
        <w:spacing w:after="0" w:line="261" w:lineRule="auto"/>
        <w:rPr>
          <w:sz w:val="20"/>
          <w:szCs w:val="20"/>
          <w:color w:val="auto"/>
        </w:rPr>
      </w:pPr>
      <w:r>
        <w:rPr>
          <w:rFonts w:ascii="Arial" w:cs="Arial" w:eastAsia="Arial" w:hAnsi="Arial"/>
          <w:sz w:val="17"/>
          <w:szCs w:val="17"/>
          <w:color w:val="231F20"/>
        </w:rPr>
        <w:t>We calculate gross margin as gross profit divided by revenue. Our gross margin has been and will continue to be affected by a variety of factors, including differences in segment gross margins, changes in average selling prices, product sales mix, production and ordering volumes, manufacturing costs, product yields, and headcount. In general, we expect our gross margins to increase over the long-term to the extent our production and ordering volumes increase and to the extent we spread the fixed portion of our overhead costs over a larger number of units produced. We intend to use our design, engineering and manufacturing know-how and capabilities to further advance and improve the efficiency of our suppliers’ manufacturing processes, which we believe will reduce costs and increase our gross margins. Our gross margins could fluctuate from quarter to quarter as we transition to new suppliers, introduce new products and adopt new manufacturing processes and technologies.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04" w:lineRule="exact"/>
        <w:rPr>
          <w:sz w:val="20"/>
          <w:szCs w:val="20"/>
          <w:color w:val="auto"/>
        </w:rPr>
      </w:pPr>
    </w:p>
    <w:p>
      <w:pPr>
        <w:ind w:firstLine="509"/>
        <w:spacing w:after="0" w:line="277" w:lineRule="auto"/>
        <w:rPr>
          <w:sz w:val="20"/>
          <w:szCs w:val="20"/>
          <w:color w:val="auto"/>
        </w:rPr>
      </w:pPr>
      <w:r>
        <w:rPr>
          <w:rFonts w:ascii="Arial" w:cs="Arial" w:eastAsia="Arial" w:hAnsi="Arial"/>
          <w:sz w:val="16"/>
          <w:szCs w:val="16"/>
          <w:color w:val="auto"/>
        </w:rPr>
        <w:t>Research and development ("R&amp;D") expenses consist primarily of engineering, product development, clinical studies to develop and support our products, including clinical trial design, clinical trial site initiation and study costs, internal and external costs associated with our regulatory compliance and quality assurance functions, medical affairs, cost of products used for clinical trials and other costs associated with products and technologies – either new or enhancements of existing platforms – that are in development. These expenses also include personnel expenses, including salaries, benefits and stock-based compensation, supplies, consulting, prototyping, testing, materials, travel expenses, depreciation expenses for equipment and an allocation of IT and facility overhead expenses. Our R&amp;D expenses as a percentage of revenue may vary over time depending on the level and timing of new product development efforts, as well as clinical development, clinical trial and other related activities. We expect our R&amp;D expenses to increase for the next several years as we continue to invest in our active clinical trial program, develop new products and improve our existing products.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04" w:lineRule="exact"/>
        <w:rPr>
          <w:sz w:val="20"/>
          <w:szCs w:val="20"/>
          <w:color w:val="auto"/>
        </w:rPr>
      </w:pPr>
    </w:p>
    <w:p>
      <w:pPr>
        <w:ind w:right="220" w:firstLine="509"/>
        <w:spacing w:after="0" w:line="303" w:lineRule="auto"/>
        <w:rPr>
          <w:sz w:val="20"/>
          <w:szCs w:val="20"/>
          <w:color w:val="auto"/>
        </w:rPr>
      </w:pPr>
      <w:r>
        <w:rPr>
          <w:rFonts w:ascii="Arial" w:cs="Arial" w:eastAsia="Arial" w:hAnsi="Arial"/>
          <w:sz w:val="16"/>
          <w:szCs w:val="16"/>
          <w:color w:val="auto"/>
        </w:rPr>
        <w:t>Selling, general and administrative ("SG&amp;A") expenses consist primarily of personnel expenses, including salaries, benefits and stock-based compensation related to selling, marketing and corporate functions, allocation of IT and facility overhead expenses, bad debt expense, finance, legal and human resource costs. Other SG&amp;A expenses include training, travel expenses, promotional activities, marketing initiatives, market research and</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48" w:right="379" w:bottom="1440" w:gutter="0" w:footer="0" w:header="0"/>
        </w:sectPr>
      </w:pPr>
    </w:p>
    <w:bookmarkStart w:id="27" w:name="page28"/>
    <w:bookmarkEnd w:id="27"/>
    <w:p>
      <w:pPr>
        <w:ind w:right="460"/>
        <w:spacing w:after="0" w:line="277" w:lineRule="auto"/>
        <w:rPr>
          <w:sz w:val="20"/>
          <w:szCs w:val="20"/>
          <w:color w:val="auto"/>
        </w:rPr>
      </w:pPr>
      <w:r>
        <w:rPr>
          <w:rFonts w:ascii="Arial" w:cs="Arial" w:eastAsia="Arial" w:hAnsi="Arial"/>
          <w:sz w:val="18"/>
          <w:szCs w:val="18"/>
          <w:color w:val="auto"/>
        </w:rPr>
        <w:t>analysis, conferences and trade shows, professional services fees (including external legal, audit, consulting and tax fees), insurance costs, and general corporate expenses.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04" w:lineRule="exact"/>
        <w:rPr>
          <w:sz w:val="20"/>
          <w:szCs w:val="20"/>
          <w:color w:val="auto"/>
        </w:rPr>
      </w:pPr>
    </w:p>
    <w:p>
      <w:pPr>
        <w:ind w:right="440" w:firstLine="509"/>
        <w:spacing w:after="0" w:line="277" w:lineRule="auto"/>
        <w:rPr>
          <w:sz w:val="20"/>
          <w:szCs w:val="20"/>
          <w:color w:val="auto"/>
        </w:rPr>
      </w:pPr>
      <w:r>
        <w:rPr>
          <w:rFonts w:ascii="Arial" w:cs="Arial" w:eastAsia="Arial" w:hAnsi="Arial"/>
          <w:sz w:val="18"/>
          <w:szCs w:val="18"/>
          <w:color w:val="auto"/>
        </w:rPr>
        <w:t>Interest expense consists primarily of interest incurred on our outstanding indebtedness and non-cash interest related to the amortization of debt discount and issuance costs associated with our outstanding loan.</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04" w:lineRule="exact"/>
        <w:rPr>
          <w:sz w:val="20"/>
          <w:szCs w:val="20"/>
          <w:color w:val="auto"/>
        </w:rPr>
      </w:pPr>
    </w:p>
    <w:p>
      <w:pPr>
        <w:ind w:right="140" w:firstLine="509"/>
        <w:spacing w:after="0" w:line="249" w:lineRule="auto"/>
        <w:rPr>
          <w:sz w:val="20"/>
          <w:szCs w:val="20"/>
          <w:color w:val="auto"/>
        </w:rPr>
      </w:pPr>
      <w:r>
        <w:rPr>
          <w:rFonts w:ascii="Arial" w:cs="Arial" w:eastAsia="Arial" w:hAnsi="Arial"/>
          <w:sz w:val="18"/>
          <w:szCs w:val="18"/>
          <w:color w:val="231F20"/>
        </w:rPr>
        <w:t>Other income (expense), net consists of interest and amortization on held-to-maturity investments in treasury securities, as well as, gains and losses resulting from the remeasurement of the fair value of our redeemable convertible preferred stock warrant liability. The redeemable convertible preferred stock warrants were exercised in 2021 and the final fair value of the warrant liability was reclassified to stockholders’ equity. We will no longer record any related periodic fair value adjustments.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2022 and 2021 (dollars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60" w:type="dxa"/>
            <w:vAlign w:val="bottom"/>
          </w:tcPr>
          <w:p>
            <w:pPr>
              <w:spacing w:after="0"/>
              <w:rPr>
                <w:sz w:val="16"/>
                <w:szCs w:val="16"/>
                <w:color w:val="auto"/>
              </w:rPr>
            </w:pPr>
          </w:p>
        </w:tc>
        <w:tc>
          <w:tcPr>
            <w:tcW w:w="28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60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ind w:left="1020"/>
              <w:spacing w:after="0"/>
              <w:rPr>
                <w:sz w:val="20"/>
                <w:szCs w:val="20"/>
                <w:color w:val="auto"/>
              </w:rPr>
            </w:pPr>
            <w:r>
              <w:rPr>
                <w:rFonts w:ascii="Arial" w:cs="Arial" w:eastAsia="Arial" w:hAnsi="Arial"/>
                <w:sz w:val="14"/>
                <w:szCs w:val="14"/>
                <w:b w:val="1"/>
                <w:bCs w:val="1"/>
                <w:color w:val="auto"/>
              </w:rPr>
              <w:t>Change</w:t>
            </w:r>
          </w:p>
        </w:tc>
        <w:tc>
          <w:tcPr>
            <w:tcW w:w="1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406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4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900" w:type="dxa"/>
            <w:vAlign w:val="bottom"/>
            <w:gridSpan w:val="3"/>
          </w:tcPr>
          <w:p>
            <w:pPr>
              <w:jc w:val="right"/>
              <w:ind w:right="696"/>
              <w:spacing w:after="0"/>
              <w:rPr>
                <w:sz w:val="20"/>
                <w:szCs w:val="20"/>
                <w:color w:val="auto"/>
              </w:rPr>
            </w:pPr>
            <w:r>
              <w:rPr>
                <w:rFonts w:ascii="Arial" w:cs="Arial" w:eastAsia="Arial" w:hAnsi="Arial"/>
                <w:sz w:val="14"/>
                <w:szCs w:val="14"/>
                <w:b w:val="1"/>
                <w:bCs w:val="1"/>
                <w:color w:val="auto"/>
              </w:rPr>
              <w:t>(unaudited)</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6"/>
        </w:trPr>
        <w:tc>
          <w:tcPr>
            <w:tcW w:w="4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60" w:type="dxa"/>
            <w:vAlign w:val="bottom"/>
          </w:tcPr>
          <w:p>
            <w:pPr>
              <w:ind w:left="200"/>
              <w:spacing w:after="0"/>
              <w:rPr>
                <w:sz w:val="20"/>
                <w:szCs w:val="20"/>
                <w:color w:val="auto"/>
              </w:rPr>
            </w:pPr>
            <w:r>
              <w:rPr>
                <w:rFonts w:ascii="Arial" w:cs="Arial" w:eastAsia="Arial" w:hAnsi="Arial"/>
                <w:sz w:val="18"/>
                <w:szCs w:val="18"/>
                <w:color w:val="auto"/>
              </w:rPr>
              <w:t>Surgical Glaucoma</w:t>
            </w:r>
          </w:p>
        </w:tc>
        <w:tc>
          <w:tcPr>
            <w:tcW w:w="960" w:type="dxa"/>
            <w:vAlign w:val="bottom"/>
          </w:tcPr>
          <w:p>
            <w:pPr>
              <w:jc w:val="right"/>
              <w:ind w:right="779"/>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17,072</w:t>
            </w:r>
          </w:p>
        </w:tc>
        <w:tc>
          <w:tcPr>
            <w:tcW w:w="300" w:type="dxa"/>
            <w:vAlign w:val="bottom"/>
          </w:tcPr>
          <w:p>
            <w:pPr>
              <w:spacing w:after="0"/>
              <w:rPr>
                <w:sz w:val="18"/>
                <w:szCs w:val="18"/>
                <w:color w:val="auto"/>
              </w:rPr>
            </w:pPr>
          </w:p>
        </w:tc>
        <w:tc>
          <w:tcPr>
            <w:tcW w:w="1000" w:type="dxa"/>
            <w:vAlign w:val="bottom"/>
          </w:tcPr>
          <w:p>
            <w:pPr>
              <w:jc w:val="right"/>
              <w:ind w:right="816"/>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12,446</w:t>
            </w:r>
          </w:p>
        </w:tc>
        <w:tc>
          <w:tcPr>
            <w:tcW w:w="26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4,626</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37.2 %</w:t>
            </w:r>
          </w:p>
        </w:tc>
      </w:tr>
      <w:tr>
        <w:trPr>
          <w:trHeight w:val="216"/>
        </w:trPr>
        <w:tc>
          <w:tcPr>
            <w:tcW w:w="4060" w:type="dxa"/>
            <w:vAlign w:val="bottom"/>
            <w:shd w:val="clear" w:color="auto" w:fill="CFF0FC"/>
          </w:tcPr>
          <w:p>
            <w:pPr>
              <w:ind w:left="380"/>
              <w:spacing w:after="0"/>
              <w:rPr>
                <w:sz w:val="20"/>
                <w:szCs w:val="20"/>
                <w:color w:val="auto"/>
              </w:rPr>
            </w:pPr>
            <w:r>
              <w:rPr>
                <w:rFonts w:ascii="Arial" w:cs="Arial" w:eastAsia="Arial" w:hAnsi="Arial"/>
                <w:sz w:val="18"/>
                <w:szCs w:val="18"/>
                <w:i w:val="1"/>
                <w:iCs w:val="1"/>
                <w:color w:val="auto"/>
              </w:rPr>
              <w:t>Percentage of total revenue</w:t>
            </w:r>
          </w:p>
        </w:tc>
        <w:tc>
          <w:tcPr>
            <w:tcW w:w="9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i w:val="1"/>
                <w:iCs w:val="1"/>
                <w:color w:val="auto"/>
              </w:rPr>
              <w:t>91.4 %</w:t>
            </w:r>
          </w:p>
        </w:tc>
        <w:tc>
          <w:tcPr>
            <w:tcW w:w="10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1"/>
              <w:spacing w:after="0"/>
              <w:rPr>
                <w:sz w:val="20"/>
                <w:szCs w:val="20"/>
                <w:color w:val="auto"/>
              </w:rPr>
            </w:pPr>
            <w:r>
              <w:rPr>
                <w:rFonts w:ascii="Arial" w:cs="Arial" w:eastAsia="Arial" w:hAnsi="Arial"/>
                <w:sz w:val="18"/>
                <w:szCs w:val="18"/>
                <w:i w:val="1"/>
                <w:iCs w:val="1"/>
                <w:color w:val="auto"/>
              </w:rPr>
              <w:t>95.0 %</w:t>
            </w:r>
          </w:p>
        </w:tc>
        <w:tc>
          <w:tcPr>
            <w:tcW w:w="4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60" w:type="dxa"/>
            <w:vAlign w:val="bottom"/>
          </w:tcPr>
          <w:p>
            <w:pPr>
              <w:ind w:left="200"/>
              <w:spacing w:after="0"/>
              <w:rPr>
                <w:sz w:val="20"/>
                <w:szCs w:val="20"/>
                <w:color w:val="auto"/>
              </w:rPr>
            </w:pPr>
            <w:r>
              <w:rPr>
                <w:rFonts w:ascii="Arial" w:cs="Arial" w:eastAsia="Arial" w:hAnsi="Arial"/>
                <w:sz w:val="18"/>
                <w:szCs w:val="18"/>
                <w:color w:val="auto"/>
              </w:rPr>
              <w:t>Dry Eye</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1,605</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655</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950</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145.0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60" w:type="dxa"/>
            <w:vAlign w:val="bottom"/>
            <w:shd w:val="clear" w:color="auto" w:fill="CFF0FC"/>
          </w:tcPr>
          <w:p>
            <w:pPr>
              <w:ind w:left="380"/>
              <w:spacing w:after="0"/>
              <w:rPr>
                <w:sz w:val="20"/>
                <w:szCs w:val="20"/>
                <w:color w:val="auto"/>
              </w:rPr>
            </w:pPr>
            <w:r>
              <w:rPr>
                <w:rFonts w:ascii="Arial" w:cs="Arial" w:eastAsia="Arial" w:hAnsi="Arial"/>
                <w:sz w:val="18"/>
                <w:szCs w:val="18"/>
                <w:i w:val="1"/>
                <w:iCs w:val="1"/>
                <w:color w:val="auto"/>
              </w:rPr>
              <w:t>Percentage of total revenue</w:t>
            </w:r>
          </w:p>
        </w:tc>
        <w:tc>
          <w:tcPr>
            <w:tcW w:w="9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i w:val="1"/>
                <w:iCs w:val="1"/>
                <w:color w:val="auto"/>
              </w:rPr>
              <w:t>8.6 %</w:t>
            </w:r>
          </w:p>
        </w:tc>
        <w:tc>
          <w:tcPr>
            <w:tcW w:w="10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1"/>
              <w:spacing w:after="0"/>
              <w:rPr>
                <w:sz w:val="20"/>
                <w:szCs w:val="20"/>
                <w:color w:val="auto"/>
              </w:rPr>
            </w:pPr>
            <w:r>
              <w:rPr>
                <w:rFonts w:ascii="Arial" w:cs="Arial" w:eastAsia="Arial" w:hAnsi="Arial"/>
                <w:sz w:val="18"/>
                <w:szCs w:val="18"/>
                <w:i w:val="1"/>
                <w:iCs w:val="1"/>
                <w:color w:val="auto"/>
              </w:rPr>
              <w:t>5.0 %</w:t>
            </w:r>
          </w:p>
        </w:tc>
        <w:tc>
          <w:tcPr>
            <w:tcW w:w="4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4060" w:type="dxa"/>
            <w:vAlign w:val="bottom"/>
            <w:tcBorders>
              <w:top w:val="single" w:sz="8" w:color="CFF0FC"/>
            </w:tcBorders>
          </w:tcPr>
          <w:p>
            <w:pPr>
              <w:ind w:left="560"/>
              <w:spacing w:after="0"/>
              <w:rPr>
                <w:sz w:val="20"/>
                <w:szCs w:val="20"/>
                <w:color w:val="auto"/>
              </w:rPr>
            </w:pPr>
            <w:r>
              <w:rPr>
                <w:rFonts w:ascii="Arial" w:cs="Arial" w:eastAsia="Arial" w:hAnsi="Arial"/>
                <w:sz w:val="18"/>
                <w:szCs w:val="18"/>
                <w:color w:val="auto"/>
              </w:rPr>
              <w:t>Total</w:t>
            </w:r>
          </w:p>
        </w:tc>
        <w:tc>
          <w:tcPr>
            <w:tcW w:w="9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18,677</w:t>
            </w:r>
          </w:p>
        </w:tc>
        <w:tc>
          <w:tcPr>
            <w:tcW w:w="300" w:type="dxa"/>
            <w:vAlign w:val="bottom"/>
            <w:tcBorders>
              <w:top w:val="single" w:sz="8" w:color="CFF0FC"/>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13,101</w:t>
            </w:r>
          </w:p>
        </w:tc>
        <w:tc>
          <w:tcPr>
            <w:tcW w:w="260" w:type="dxa"/>
            <w:vAlign w:val="bottom"/>
            <w:tcBorders>
              <w:top w:val="single" w:sz="8" w:color="CFF0FC"/>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5,576</w:t>
            </w:r>
          </w:p>
        </w:tc>
        <w:tc>
          <w:tcPr>
            <w:tcW w:w="220" w:type="dxa"/>
            <w:vAlign w:val="bottom"/>
            <w:tcBorders>
              <w:top w:val="single" w:sz="8" w:color="CFF0FC"/>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42.6</w:t>
            </w:r>
          </w:p>
        </w:tc>
        <w:tc>
          <w:tcPr>
            <w:tcW w:w="100" w:type="dxa"/>
            <w:vAlign w:val="bottom"/>
            <w:tcBorders>
              <w:top w:val="single" w:sz="8" w:color="CFF0FC"/>
            </w:tcBorders>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goods sold</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60" w:type="dxa"/>
            <w:vAlign w:val="bottom"/>
          </w:tcPr>
          <w:p>
            <w:pPr>
              <w:ind w:left="200"/>
              <w:spacing w:after="0"/>
              <w:rPr>
                <w:sz w:val="20"/>
                <w:szCs w:val="20"/>
                <w:color w:val="auto"/>
              </w:rPr>
            </w:pPr>
            <w:r>
              <w:rPr>
                <w:rFonts w:ascii="Arial" w:cs="Arial" w:eastAsia="Arial" w:hAnsi="Arial"/>
                <w:sz w:val="18"/>
                <w:szCs w:val="18"/>
                <w:color w:val="auto"/>
              </w:rPr>
              <w:t>Surgical Glaucoma</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1,932</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1,621</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Dry Eye</w:t>
            </w:r>
          </w:p>
        </w:tc>
        <w:tc>
          <w:tcPr>
            <w:tcW w:w="9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996</w:t>
            </w:r>
          </w:p>
        </w:tc>
        <w:tc>
          <w:tcPr>
            <w:tcW w:w="30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441</w:t>
            </w:r>
          </w:p>
        </w:tc>
        <w:tc>
          <w:tcPr>
            <w:tcW w:w="26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555</w:t>
            </w:r>
          </w:p>
        </w:tc>
        <w:tc>
          <w:tcPr>
            <w:tcW w:w="22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125.9</w:t>
            </w:r>
          </w:p>
        </w:tc>
        <w:tc>
          <w:tcPr>
            <w:tcW w:w="100" w:type="dxa"/>
            <w:vAlign w:val="bottom"/>
            <w:tcBorders>
              <w:bottom w:val="single" w:sz="8" w:color="CFF0FC"/>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0"/>
        </w:trPr>
        <w:tc>
          <w:tcPr>
            <w:tcW w:w="4060" w:type="dxa"/>
            <w:vAlign w:val="bottom"/>
          </w:tcPr>
          <w:p>
            <w:pPr>
              <w:ind w:left="560"/>
              <w:spacing w:after="0"/>
              <w:rPr>
                <w:sz w:val="20"/>
                <w:szCs w:val="20"/>
                <w:color w:val="auto"/>
              </w:rPr>
            </w:pPr>
            <w:r>
              <w:rPr>
                <w:rFonts w:ascii="Arial" w:cs="Arial" w:eastAsia="Arial" w:hAnsi="Arial"/>
                <w:sz w:val="18"/>
                <w:szCs w:val="18"/>
                <w:color w:val="auto"/>
              </w:rPr>
              <w:t>Total</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2,928</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2,062</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866</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profit</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60" w:type="dxa"/>
            <w:vAlign w:val="bottom"/>
          </w:tcPr>
          <w:p>
            <w:pPr>
              <w:ind w:left="200"/>
              <w:spacing w:after="0"/>
              <w:rPr>
                <w:sz w:val="20"/>
                <w:szCs w:val="20"/>
                <w:color w:val="auto"/>
              </w:rPr>
            </w:pPr>
            <w:r>
              <w:rPr>
                <w:rFonts w:ascii="Arial" w:cs="Arial" w:eastAsia="Arial" w:hAnsi="Arial"/>
                <w:sz w:val="18"/>
                <w:szCs w:val="18"/>
                <w:color w:val="auto"/>
              </w:rPr>
              <w:t>Surgical Glaucoma</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15,140</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10,825</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4,315</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Dry Eye</w:t>
            </w:r>
          </w:p>
        </w:tc>
        <w:tc>
          <w:tcPr>
            <w:tcW w:w="9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609</w:t>
            </w:r>
          </w:p>
        </w:tc>
        <w:tc>
          <w:tcPr>
            <w:tcW w:w="30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w:t>
            </w:r>
          </w:p>
        </w:tc>
        <w:tc>
          <w:tcPr>
            <w:tcW w:w="26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395</w:t>
            </w:r>
          </w:p>
        </w:tc>
        <w:tc>
          <w:tcPr>
            <w:tcW w:w="22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184.6</w:t>
            </w:r>
          </w:p>
        </w:tc>
        <w:tc>
          <w:tcPr>
            <w:tcW w:w="100" w:type="dxa"/>
            <w:vAlign w:val="bottom"/>
            <w:tcBorders>
              <w:bottom w:val="single" w:sz="8" w:color="CFF0FC"/>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0"/>
        </w:trPr>
        <w:tc>
          <w:tcPr>
            <w:tcW w:w="4060" w:type="dxa"/>
            <w:vAlign w:val="bottom"/>
          </w:tcPr>
          <w:p>
            <w:pPr>
              <w:ind w:left="560"/>
              <w:spacing w:after="0"/>
              <w:rPr>
                <w:sz w:val="20"/>
                <w:szCs w:val="20"/>
                <w:color w:val="auto"/>
              </w:rPr>
            </w:pPr>
            <w:r>
              <w:rPr>
                <w:rFonts w:ascii="Arial" w:cs="Arial" w:eastAsia="Arial" w:hAnsi="Arial"/>
                <w:sz w:val="18"/>
                <w:szCs w:val="18"/>
                <w:color w:val="auto"/>
              </w:rPr>
              <w:t>Total</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15,749</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11,039</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4,710</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margin</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60" w:type="dxa"/>
            <w:vAlign w:val="bottom"/>
          </w:tcPr>
          <w:p>
            <w:pPr>
              <w:ind w:left="200"/>
              <w:spacing w:after="0"/>
              <w:rPr>
                <w:sz w:val="20"/>
                <w:szCs w:val="20"/>
                <w:color w:val="auto"/>
              </w:rPr>
            </w:pPr>
            <w:r>
              <w:rPr>
                <w:rFonts w:ascii="Arial" w:cs="Arial" w:eastAsia="Arial" w:hAnsi="Arial"/>
                <w:sz w:val="18"/>
                <w:szCs w:val="18"/>
                <w:color w:val="auto"/>
              </w:rPr>
              <w:t>Surgical Glaucoma</w:t>
            </w:r>
          </w:p>
        </w:tc>
        <w:tc>
          <w:tcPr>
            <w:tcW w:w="960" w:type="dxa"/>
            <w:vAlign w:val="bottom"/>
          </w:tcPr>
          <w:p>
            <w:pPr>
              <w:spacing w:after="0"/>
              <w:rPr>
                <w:sz w:val="18"/>
                <w:szCs w:val="18"/>
                <w:color w:val="auto"/>
              </w:rPr>
            </w:pPr>
          </w:p>
        </w:tc>
        <w:tc>
          <w:tcPr>
            <w:tcW w:w="900" w:type="dxa"/>
            <w:vAlign w:val="bottom"/>
            <w:gridSpan w:val="2"/>
          </w:tcPr>
          <w:p>
            <w:pPr>
              <w:jc w:val="right"/>
              <w:ind w:right="50"/>
              <w:spacing w:after="0"/>
              <w:rPr>
                <w:sz w:val="20"/>
                <w:szCs w:val="20"/>
                <w:color w:val="auto"/>
              </w:rPr>
            </w:pPr>
            <w:r>
              <w:rPr>
                <w:rFonts w:ascii="Arial" w:cs="Arial" w:eastAsia="Arial" w:hAnsi="Arial"/>
                <w:sz w:val="18"/>
                <w:szCs w:val="18"/>
                <w:i w:val="1"/>
                <w:iCs w:val="1"/>
                <w:color w:val="auto"/>
              </w:rPr>
              <w:t>88.7 %</w:t>
            </w:r>
          </w:p>
        </w:tc>
        <w:tc>
          <w:tcPr>
            <w:tcW w:w="1000" w:type="dxa"/>
            <w:vAlign w:val="bottom"/>
          </w:tcPr>
          <w:p>
            <w:pPr>
              <w:spacing w:after="0"/>
              <w:rPr>
                <w:sz w:val="18"/>
                <w:szCs w:val="18"/>
                <w:color w:val="auto"/>
              </w:rPr>
            </w:pPr>
          </w:p>
        </w:tc>
        <w:tc>
          <w:tcPr>
            <w:tcW w:w="860" w:type="dxa"/>
            <w:vAlign w:val="bottom"/>
            <w:gridSpan w:val="2"/>
          </w:tcPr>
          <w:p>
            <w:pPr>
              <w:jc w:val="right"/>
              <w:ind w:right="21"/>
              <w:spacing w:after="0"/>
              <w:rPr>
                <w:sz w:val="20"/>
                <w:szCs w:val="20"/>
                <w:color w:val="auto"/>
              </w:rPr>
            </w:pPr>
            <w:r>
              <w:rPr>
                <w:rFonts w:ascii="Arial" w:cs="Arial" w:eastAsia="Arial" w:hAnsi="Arial"/>
                <w:sz w:val="18"/>
                <w:szCs w:val="18"/>
                <w:i w:val="1"/>
                <w:iCs w:val="1"/>
                <w:color w:val="auto"/>
              </w:rPr>
              <w:t>87.0 %</w:t>
            </w: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Dry Eye</w:t>
            </w:r>
          </w:p>
        </w:tc>
        <w:tc>
          <w:tcPr>
            <w:tcW w:w="9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i w:val="1"/>
                <w:iCs w:val="1"/>
                <w:color w:val="auto"/>
              </w:rPr>
              <w:t>37.9 %</w:t>
            </w:r>
          </w:p>
        </w:tc>
        <w:tc>
          <w:tcPr>
            <w:tcW w:w="10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1"/>
              <w:spacing w:after="0"/>
              <w:rPr>
                <w:sz w:val="20"/>
                <w:szCs w:val="20"/>
                <w:color w:val="auto"/>
              </w:rPr>
            </w:pPr>
            <w:r>
              <w:rPr>
                <w:rFonts w:ascii="Arial" w:cs="Arial" w:eastAsia="Arial" w:hAnsi="Arial"/>
                <w:sz w:val="18"/>
                <w:szCs w:val="18"/>
                <w:i w:val="1"/>
                <w:iCs w:val="1"/>
                <w:color w:val="auto"/>
              </w:rPr>
              <w:t>32.7 %</w:t>
            </w:r>
          </w:p>
        </w:tc>
        <w:tc>
          <w:tcPr>
            <w:tcW w:w="4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406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4060" w:type="dxa"/>
            <w:vAlign w:val="bottom"/>
          </w:tcPr>
          <w:p>
            <w:pPr>
              <w:ind w:left="560"/>
              <w:spacing w:after="0"/>
              <w:rPr>
                <w:sz w:val="20"/>
                <w:szCs w:val="20"/>
                <w:color w:val="auto"/>
              </w:rPr>
            </w:pPr>
            <w:r>
              <w:rPr>
                <w:rFonts w:ascii="Arial" w:cs="Arial" w:eastAsia="Arial" w:hAnsi="Arial"/>
                <w:sz w:val="18"/>
                <w:szCs w:val="18"/>
                <w:color w:val="auto"/>
              </w:rPr>
              <w:t>Total</w:t>
            </w:r>
          </w:p>
        </w:tc>
        <w:tc>
          <w:tcPr>
            <w:tcW w:w="960" w:type="dxa"/>
            <w:vAlign w:val="bottom"/>
          </w:tcPr>
          <w:p>
            <w:pPr>
              <w:spacing w:after="0"/>
              <w:rPr>
                <w:sz w:val="18"/>
                <w:szCs w:val="18"/>
                <w:color w:val="auto"/>
              </w:rPr>
            </w:pPr>
          </w:p>
        </w:tc>
        <w:tc>
          <w:tcPr>
            <w:tcW w:w="900" w:type="dxa"/>
            <w:vAlign w:val="bottom"/>
            <w:gridSpan w:val="2"/>
          </w:tcPr>
          <w:p>
            <w:pPr>
              <w:jc w:val="right"/>
              <w:ind w:right="50"/>
              <w:spacing w:after="0"/>
              <w:rPr>
                <w:sz w:val="20"/>
                <w:szCs w:val="20"/>
                <w:color w:val="auto"/>
              </w:rPr>
            </w:pPr>
            <w:r>
              <w:rPr>
                <w:rFonts w:ascii="Arial" w:cs="Arial" w:eastAsia="Arial" w:hAnsi="Arial"/>
                <w:sz w:val="18"/>
                <w:szCs w:val="18"/>
                <w:i w:val="1"/>
                <w:iCs w:val="1"/>
                <w:color w:val="auto"/>
              </w:rPr>
              <w:t xml:space="preserve">84.3 </w:t>
            </w:r>
            <w:r>
              <w:rPr>
                <w:rFonts w:ascii="Arial" w:cs="Arial" w:eastAsia="Arial" w:hAnsi="Arial"/>
                <w:sz w:val="18"/>
                <w:szCs w:val="18"/>
                <w:i w:val="1"/>
                <w:iCs w:val="1"/>
                <w:color w:val="auto"/>
                <w:highlight w:val="white"/>
              </w:rPr>
              <w:t>%</w:t>
            </w:r>
          </w:p>
        </w:tc>
        <w:tc>
          <w:tcPr>
            <w:tcW w:w="1000" w:type="dxa"/>
            <w:vAlign w:val="bottom"/>
          </w:tcPr>
          <w:p>
            <w:pPr>
              <w:spacing w:after="0"/>
              <w:rPr>
                <w:sz w:val="18"/>
                <w:szCs w:val="18"/>
                <w:color w:val="auto"/>
              </w:rPr>
            </w:pPr>
          </w:p>
        </w:tc>
        <w:tc>
          <w:tcPr>
            <w:tcW w:w="860" w:type="dxa"/>
            <w:vAlign w:val="bottom"/>
            <w:gridSpan w:val="2"/>
          </w:tcPr>
          <w:p>
            <w:pPr>
              <w:jc w:val="right"/>
              <w:ind w:right="21"/>
              <w:spacing w:after="0"/>
              <w:rPr>
                <w:sz w:val="20"/>
                <w:szCs w:val="20"/>
                <w:color w:val="auto"/>
              </w:rPr>
            </w:pPr>
            <w:r>
              <w:rPr>
                <w:rFonts w:ascii="Arial" w:cs="Arial" w:eastAsia="Arial" w:hAnsi="Arial"/>
                <w:sz w:val="18"/>
                <w:szCs w:val="18"/>
                <w:i w:val="1"/>
                <w:iCs w:val="1"/>
                <w:color w:val="auto"/>
              </w:rPr>
              <w:t xml:space="preserve">84.3 </w:t>
            </w:r>
            <w:r>
              <w:rPr>
                <w:rFonts w:ascii="Arial" w:cs="Arial" w:eastAsia="Arial" w:hAnsi="Arial"/>
                <w:sz w:val="18"/>
                <w:szCs w:val="18"/>
                <w:i w:val="1"/>
                <w:iCs w:val="1"/>
                <w:color w:val="auto"/>
                <w:highlight w:val="white"/>
              </w:rPr>
              <w:t>%</w:t>
            </w: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6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6,053</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4,279</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1,774</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Selling, general and administrative</w:t>
            </w:r>
          </w:p>
        </w:tc>
        <w:tc>
          <w:tcPr>
            <w:tcW w:w="9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31,541</w:t>
            </w:r>
          </w:p>
        </w:tc>
        <w:tc>
          <w:tcPr>
            <w:tcW w:w="30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20,790</w:t>
            </w:r>
          </w:p>
        </w:tc>
        <w:tc>
          <w:tcPr>
            <w:tcW w:w="26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10,751</w:t>
            </w:r>
          </w:p>
        </w:tc>
        <w:tc>
          <w:tcPr>
            <w:tcW w:w="22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51.7</w:t>
            </w:r>
          </w:p>
        </w:tc>
        <w:tc>
          <w:tcPr>
            <w:tcW w:w="100" w:type="dxa"/>
            <w:vAlign w:val="bottom"/>
            <w:tcBorders>
              <w:bottom w:val="single" w:sz="8" w:color="CFF0FC"/>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0"/>
        </w:trPr>
        <w:tc>
          <w:tcPr>
            <w:tcW w:w="4060" w:type="dxa"/>
            <w:vAlign w:val="bottom"/>
          </w:tcPr>
          <w:p>
            <w:pPr>
              <w:ind w:left="560"/>
              <w:spacing w:after="0"/>
              <w:rPr>
                <w:sz w:val="20"/>
                <w:szCs w:val="20"/>
                <w:color w:val="auto"/>
              </w:rPr>
            </w:pPr>
            <w:r>
              <w:rPr>
                <w:rFonts w:ascii="Arial" w:cs="Arial" w:eastAsia="Arial" w:hAnsi="Arial"/>
                <w:sz w:val="18"/>
                <w:szCs w:val="18"/>
                <w:color w:val="auto"/>
              </w:rPr>
              <w:t>Total operating expenses</w:t>
            </w: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37,594</w:t>
            </w:r>
          </w:p>
        </w:tc>
        <w:tc>
          <w:tcPr>
            <w:tcW w:w="30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25,069</w:t>
            </w:r>
          </w:p>
        </w:tc>
        <w:tc>
          <w:tcPr>
            <w:tcW w:w="2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12,525</w:t>
            </w:r>
          </w:p>
        </w:tc>
        <w:tc>
          <w:tcPr>
            <w:tcW w:w="2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4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(21,845</w:t>
            </w:r>
          </w:p>
        </w:tc>
        <w:tc>
          <w:tcPr>
            <w:tcW w:w="3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(14,030</w:t>
            </w:r>
          </w:p>
        </w:tc>
        <w:tc>
          <w:tcPr>
            <w:tcW w:w="260" w:type="dxa"/>
            <w:vAlign w:val="bottom"/>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4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(7,815</w:t>
            </w:r>
          </w:p>
        </w:tc>
        <w:tc>
          <w:tcPr>
            <w:tcW w:w="2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960" w:type="dxa"/>
            <w:vAlign w:val="bottom"/>
          </w:tcPr>
          <w:p>
            <w:pPr>
              <w:spacing w:after="0"/>
              <w:rPr>
                <w:sz w:val="18"/>
                <w:szCs w:val="18"/>
                <w:color w:val="auto"/>
              </w:rPr>
            </w:pPr>
          </w:p>
        </w:tc>
        <w:tc>
          <w:tcPr>
            <w:tcW w:w="900" w:type="dxa"/>
            <w:vAlign w:val="bottom"/>
            <w:gridSpan w:val="2"/>
          </w:tcPr>
          <w:p>
            <w:pPr>
              <w:jc w:val="right"/>
              <w:ind w:right="130"/>
              <w:spacing w:after="0"/>
              <w:rPr>
                <w:sz w:val="20"/>
                <w:szCs w:val="20"/>
                <w:color w:val="auto"/>
              </w:rPr>
            </w:pPr>
            <w:r>
              <w:rPr>
                <w:rFonts w:ascii="Arial" w:cs="Arial" w:eastAsia="Arial" w:hAnsi="Arial"/>
                <w:sz w:val="18"/>
                <w:szCs w:val="18"/>
                <w:color w:val="auto"/>
              </w:rPr>
              <w:t>(1,131 )</w:t>
            </w:r>
          </w:p>
        </w:tc>
        <w:tc>
          <w:tcPr>
            <w:tcW w:w="100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Arial" w:cs="Arial" w:eastAsia="Arial" w:hAnsi="Arial"/>
                <w:sz w:val="18"/>
                <w:szCs w:val="18"/>
                <w:color w:val="auto"/>
              </w:rPr>
              <w:t>(1,122 )</w:t>
            </w:r>
          </w:p>
        </w:tc>
        <w:tc>
          <w:tcPr>
            <w:tcW w:w="420" w:type="dxa"/>
            <w:vAlign w:val="bottom"/>
          </w:tcPr>
          <w:p>
            <w:pPr>
              <w:spacing w:after="0"/>
              <w:rPr>
                <w:sz w:val="18"/>
                <w:szCs w:val="18"/>
                <w:color w:val="auto"/>
              </w:rPr>
            </w:pPr>
          </w:p>
        </w:tc>
        <w:tc>
          <w:tcPr>
            <w:tcW w:w="1300" w:type="dxa"/>
            <w:vAlign w:val="bottom"/>
            <w:gridSpan w:val="2"/>
          </w:tcPr>
          <w:p>
            <w:pPr>
              <w:jc w:val="right"/>
              <w:ind w:right="50"/>
              <w:spacing w:after="0"/>
              <w:rPr>
                <w:sz w:val="20"/>
                <w:szCs w:val="20"/>
                <w:color w:val="auto"/>
              </w:rPr>
            </w:pPr>
            <w:r>
              <w:rPr>
                <w:rFonts w:ascii="Arial" w:cs="Arial" w:eastAsia="Arial" w:hAnsi="Arial"/>
                <w:sz w:val="18"/>
                <w:szCs w:val="18"/>
                <w:color w:val="auto"/>
              </w:rPr>
              <w:t>(9 )</w:t>
            </w:r>
          </w:p>
        </w:tc>
        <w:tc>
          <w:tcPr>
            <w:tcW w:w="4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 (expense), net</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766</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rPr>
              <w:t>(2,001 )</w:t>
            </w:r>
          </w:p>
        </w:tc>
        <w:tc>
          <w:tcPr>
            <w:tcW w:w="4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2,767</w:t>
            </w:r>
          </w:p>
        </w:tc>
        <w:tc>
          <w:tcPr>
            <w:tcW w:w="2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(138.3 )</w:t>
            </w:r>
          </w:p>
        </w:tc>
        <w:tc>
          <w:tcPr>
            <w:tcW w:w="60" w:type="dxa"/>
            <w:vAlign w:val="bottom"/>
          </w:tcPr>
          <w:p>
            <w:pPr>
              <w:spacing w:after="0"/>
              <w:rPr>
                <w:sz w:val="18"/>
                <w:szCs w:val="18"/>
                <w:color w:val="auto"/>
              </w:rPr>
            </w:pPr>
          </w:p>
        </w:tc>
      </w:tr>
      <w:tr>
        <w:trPr>
          <w:trHeight w:val="210"/>
        </w:trPr>
        <w:tc>
          <w:tcPr>
            <w:tcW w:w="4060" w:type="dxa"/>
            <w:vAlign w:val="bottom"/>
            <w:tcBorders>
              <w:top w:val="single" w:sz="8" w:color="CFF0FC"/>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00" w:type="dxa"/>
            <w:vAlign w:val="bottom"/>
            <w:tcBorders>
              <w:top w:val="single" w:sz="8" w:color="CFF0FC"/>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before income tax</w:t>
            </w:r>
          </w:p>
        </w:tc>
        <w:tc>
          <w:tcPr>
            <w:tcW w:w="9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w w:val="91"/>
              </w:rPr>
              <w:t>(22,210 )</w:t>
            </w:r>
          </w:p>
        </w:tc>
        <w:tc>
          <w:tcPr>
            <w:tcW w:w="10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w w:val="88"/>
              </w:rPr>
              <w:t>(17,153 )</w:t>
            </w:r>
          </w:p>
        </w:tc>
        <w:tc>
          <w:tcPr>
            <w:tcW w:w="4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(5,057 )</w:t>
            </w:r>
          </w:p>
        </w:tc>
        <w:tc>
          <w:tcPr>
            <w:tcW w:w="4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60" w:type="dxa"/>
            <w:vAlign w:val="bottom"/>
          </w:tcPr>
          <w:p>
            <w:pPr>
              <w:ind w:left="20"/>
              <w:spacing w:after="0"/>
              <w:rPr>
                <w:sz w:val="20"/>
                <w:szCs w:val="20"/>
                <w:color w:val="auto"/>
              </w:rPr>
            </w:pPr>
            <w:r>
              <w:rPr>
                <w:rFonts w:ascii="Arial" w:cs="Arial" w:eastAsia="Arial" w:hAnsi="Arial"/>
                <w:sz w:val="18"/>
                <w:szCs w:val="18"/>
                <w:color w:val="auto"/>
              </w:rPr>
              <w:t>Provision (benefit) for income tax</w:t>
            </w: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30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4060" w:type="dxa"/>
            <w:vAlign w:val="bottom"/>
          </w:tcPr>
          <w:p>
            <w:pPr>
              <w:ind w:left="20"/>
              <w:spacing w:after="0"/>
              <w:rPr>
                <w:sz w:val="20"/>
                <w:szCs w:val="20"/>
                <w:color w:val="auto"/>
              </w:rPr>
            </w:pPr>
            <w:r>
              <w:rPr>
                <w:rFonts w:ascii="Arial" w:cs="Arial" w:eastAsia="Arial" w:hAnsi="Arial"/>
                <w:sz w:val="18"/>
                <w:szCs w:val="18"/>
                <w:color w:val="auto"/>
              </w:rPr>
              <w:t>Net loss and comprehensive loss</w:t>
            </w:r>
          </w:p>
        </w:tc>
        <w:tc>
          <w:tcPr>
            <w:tcW w:w="960" w:type="dxa"/>
            <w:vAlign w:val="bottom"/>
            <w:tcBorders>
              <w:bottom w:val="single" w:sz="8" w:color="auto"/>
            </w:tcBorders>
          </w:tcPr>
          <w:p>
            <w:pPr>
              <w:jc w:val="right"/>
              <w:ind w:right="779"/>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(22,229</w:t>
            </w:r>
          </w:p>
        </w:tc>
        <w:tc>
          <w:tcPr>
            <w:tcW w:w="30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81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(17,169</w:t>
            </w:r>
          </w:p>
        </w:tc>
        <w:tc>
          <w:tcPr>
            <w:tcW w:w="260" w:type="dxa"/>
            <w:vAlign w:val="bottom"/>
          </w:tcPr>
          <w:p>
            <w:pPr>
              <w:jc w:val="right"/>
              <w:ind w:right="121"/>
              <w:spacing w:after="0"/>
              <w:rPr>
                <w:sz w:val="20"/>
                <w:szCs w:val="20"/>
                <w:color w:val="auto"/>
              </w:rPr>
            </w:pPr>
            <w:r>
              <w:rPr>
                <w:rFonts w:ascii="Arial" w:cs="Arial" w:eastAsia="Arial" w:hAnsi="Arial"/>
                <w:sz w:val="16"/>
                <w:szCs w:val="16"/>
                <w:color w:val="auto"/>
                <w:w w:val="74"/>
              </w:rPr>
              <w:t>)</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(5,060</w:t>
            </w:r>
          </w:p>
        </w:tc>
        <w:tc>
          <w:tcPr>
            <w:tcW w:w="22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46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29.5 %</w:t>
            </w:r>
          </w:p>
        </w:tc>
      </w:tr>
      <w:tr>
        <w:trPr>
          <w:trHeight w:val="20"/>
        </w:trPr>
        <w:tc>
          <w:tcPr>
            <w:tcW w:w="40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926"/>
        </w:trPr>
        <w:tc>
          <w:tcPr>
            <w:tcW w:w="40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00" w:type="dxa"/>
            <w:vAlign w:val="bottom"/>
            <w:gridSpan w:val="2"/>
          </w:tcPr>
          <w:p>
            <w:pPr>
              <w:jc w:val="right"/>
              <w:ind w:right="110"/>
              <w:spacing w:after="0"/>
              <w:rPr>
                <w:sz w:val="20"/>
                <w:szCs w:val="20"/>
                <w:color w:val="auto"/>
              </w:rPr>
            </w:pPr>
            <w:r>
              <w:rPr>
                <w:rFonts w:ascii="Arial" w:cs="Arial" w:eastAsia="Arial" w:hAnsi="Arial"/>
                <w:sz w:val="18"/>
                <w:szCs w:val="18"/>
                <w:color w:val="auto"/>
              </w:rPr>
              <w:t>28</w:t>
            </w: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5"/>
        </w:trPr>
        <w:tc>
          <w:tcPr>
            <w:tcW w:w="40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-4070985</wp:posOffset>
            </wp:positionV>
            <wp:extent cx="76835" cy="1454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-4070985</wp:posOffset>
            </wp:positionV>
            <wp:extent cx="68580" cy="1454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-4070985</wp:posOffset>
            </wp:positionV>
            <wp:extent cx="68580" cy="1454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-4070985</wp:posOffset>
            </wp:positionV>
            <wp:extent cx="68580" cy="1454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-3514090</wp:posOffset>
            </wp:positionV>
            <wp:extent cx="76835" cy="1460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-3514090</wp:posOffset>
            </wp:positionV>
            <wp:extent cx="68580" cy="1460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-3514090</wp:posOffset>
            </wp:positionV>
            <wp:extent cx="68580" cy="1460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-3514090</wp:posOffset>
            </wp:positionV>
            <wp:extent cx="68580" cy="1460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-2956560</wp:posOffset>
            </wp:positionV>
            <wp:extent cx="76835" cy="1460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-2956560</wp:posOffset>
            </wp:positionV>
            <wp:extent cx="68580" cy="1460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-2956560</wp:posOffset>
            </wp:positionV>
            <wp:extent cx="68580" cy="1460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-2956560</wp:posOffset>
            </wp:positionV>
            <wp:extent cx="68580" cy="1460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-2399665</wp:posOffset>
            </wp:positionV>
            <wp:extent cx="68580" cy="1460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-2399665</wp:posOffset>
            </wp:positionV>
            <wp:extent cx="68580" cy="1460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-1842135</wp:posOffset>
            </wp:positionV>
            <wp:extent cx="76835" cy="1543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-1842135</wp:posOffset>
            </wp:positionV>
            <wp:extent cx="68580" cy="1543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-1842135</wp:posOffset>
            </wp:positionV>
            <wp:extent cx="68580" cy="1543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-1842135</wp:posOffset>
            </wp:positionV>
            <wp:extent cx="68580" cy="1543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-1276350</wp:posOffset>
            </wp:positionV>
            <wp:extent cx="76835" cy="1460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-1276350</wp:posOffset>
            </wp:positionV>
            <wp:extent cx="68580" cy="1460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-1276350</wp:posOffset>
            </wp:positionV>
            <wp:extent cx="68580" cy="1460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-1276350</wp:posOffset>
            </wp:positionV>
            <wp:extent cx="68580" cy="1460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-847725</wp:posOffset>
            </wp:positionV>
            <wp:extent cx="7132320" cy="16319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436" w:right="279" w:bottom="1440" w:gutter="0" w:footer="0" w:header="0"/>
        </w:sectPr>
      </w:pPr>
    </w:p>
    <w:bookmarkStart w:id="28" w:name="page29"/>
    <w:bookmarkEnd w:id="28"/>
    <w:p>
      <w:pPr>
        <w:ind w:firstLine="509"/>
        <w:spacing w:after="0" w:line="263" w:lineRule="auto"/>
        <w:rPr>
          <w:sz w:val="20"/>
          <w:szCs w:val="20"/>
          <w:color w:val="auto"/>
        </w:rPr>
      </w:pPr>
      <w:r>
        <w:rPr>
          <w:rFonts w:ascii="Arial" w:cs="Arial" w:eastAsia="Arial" w:hAnsi="Arial"/>
          <w:sz w:val="17"/>
          <w:szCs w:val="17"/>
          <w:i w:val="1"/>
          <w:iCs w:val="1"/>
          <w:color w:val="auto"/>
        </w:rPr>
        <w:t>Revenue</w:t>
      </w:r>
      <w:r>
        <w:rPr>
          <w:rFonts w:ascii="Arial" w:cs="Arial" w:eastAsia="Arial" w:hAnsi="Arial"/>
          <w:sz w:val="17"/>
          <w:szCs w:val="17"/>
          <w:color w:val="auto"/>
        </w:rPr>
        <w:t>. Revenue in the three months ended September 30, 2022 was $18.7 million, an increase of $5.6 million, or 42.6%, from the prior year</w:t>
      </w:r>
      <w:r>
        <w:rPr>
          <w:rFonts w:ascii="Arial" w:cs="Arial" w:eastAsia="Arial" w:hAnsi="Arial"/>
          <w:sz w:val="17"/>
          <w:szCs w:val="17"/>
          <w:i w:val="1"/>
          <w:iCs w:val="1"/>
          <w:color w:val="auto"/>
        </w:rPr>
        <w:t xml:space="preserve"> </w:t>
      </w:r>
      <w:r>
        <w:rPr>
          <w:rFonts w:ascii="Arial" w:cs="Arial" w:eastAsia="Arial" w:hAnsi="Arial"/>
          <w:sz w:val="17"/>
          <w:szCs w:val="17"/>
          <w:color w:val="auto"/>
        </w:rPr>
        <w:t>comparable period. The overall increase in Surgical Glaucoma revenue was primarily attributable to a significant increase in the number of OMNI units sold in the three months ended September 30, 2022 as a result of growth in the number of facilities ordering OMNI and an increase in unit utilization per ordering facility. Our Dry Eye revenues increased in the three months ended September 30, 2022 versus the comparable period in 2021 due to the continued growth in our installed base of facilities that have purchased TearCare. Surgical Glaucoma sales represented 91.4% and 95.0% of our revenue generated in the three months ended September 30, 2022 and 2021, respectively.</w:t>
      </w:r>
    </w:p>
    <w:p>
      <w:pPr>
        <w:spacing w:after="0" w:line="173" w:lineRule="exact"/>
        <w:rPr>
          <w:sz w:val="20"/>
          <w:szCs w:val="20"/>
          <w:color w:val="auto"/>
        </w:rPr>
      </w:pPr>
    </w:p>
    <w:p>
      <w:pPr>
        <w:ind w:right="40" w:firstLine="509"/>
        <w:spacing w:after="0" w:line="290" w:lineRule="auto"/>
        <w:rPr>
          <w:sz w:val="20"/>
          <w:szCs w:val="20"/>
          <w:color w:val="auto"/>
        </w:rPr>
      </w:pPr>
      <w:r>
        <w:rPr>
          <w:rFonts w:ascii="Arial" w:cs="Arial" w:eastAsia="Arial" w:hAnsi="Arial"/>
          <w:sz w:val="16"/>
          <w:szCs w:val="16"/>
          <w:i w:val="1"/>
          <w:iCs w:val="1"/>
          <w:color w:val="auto"/>
        </w:rPr>
        <w:t>Cost of Goods Sold and Gross Profit</w:t>
      </w:r>
      <w:r>
        <w:rPr>
          <w:rFonts w:ascii="Arial" w:cs="Arial" w:eastAsia="Arial" w:hAnsi="Arial"/>
          <w:sz w:val="16"/>
          <w:szCs w:val="16"/>
          <w:color w:val="auto"/>
        </w:rPr>
        <w:t>. Cost of goods sold during the three months ended September 30, 2022, increased $0.9 million compared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same period in the prior year. Our Surgical Glaucoma cost of goods sold increased $0.3 million as compared to 2021. The increase was driven by increased sales activity, partially offset by lower per unit production costs as a result of continued manufacturing efficiencies. Dry Eye cost of goods sold increased $0.6 million in the three months ended September 30, 2022 over the comparable period in 2021, which was primarily driven by increases in sales activity.</w:t>
      </w:r>
    </w:p>
    <w:p>
      <w:pPr>
        <w:spacing w:after="0" w:line="150" w:lineRule="exact"/>
        <w:rPr>
          <w:sz w:val="20"/>
          <w:szCs w:val="20"/>
          <w:color w:val="auto"/>
        </w:rPr>
      </w:pPr>
    </w:p>
    <w:p>
      <w:pPr>
        <w:ind w:right="20" w:firstLine="509"/>
        <w:spacing w:after="0" w:line="246" w:lineRule="auto"/>
        <w:rPr>
          <w:sz w:val="20"/>
          <w:szCs w:val="20"/>
          <w:color w:val="auto"/>
        </w:rPr>
      </w:pPr>
      <w:r>
        <w:rPr>
          <w:rFonts w:ascii="Arial" w:cs="Arial" w:eastAsia="Arial" w:hAnsi="Arial"/>
          <w:sz w:val="18"/>
          <w:szCs w:val="18"/>
          <w:color w:val="auto"/>
        </w:rPr>
        <w:t>Our total gross profit was $15.7 million in the three months ended September 30, 2022, an increase of $4.7 million from the comparable period in 2021. Our total gross margin remained flat at 84.3% from the three months ended September 30, 2021 to the three months ended September 30, 2022 as segment-level increases in gross margin were offset by an increase in the revenue from our Dry Eye segment. Gross margin in our Surgical Glaucoma segment was 88.7% for the quarter ended September 30, 2022, an increase from 87.0% for the prior year comparable period. In our Dry Eye segment, gross margin increased from 32.7% in the second quarter of 2021, to 37.9% for the quarter ended September 30, 2022, driven by cost efficiencies achieved through higher sales volumes.</w:t>
      </w:r>
    </w:p>
    <w:p>
      <w:pPr>
        <w:spacing w:after="0" w:line="185" w:lineRule="exact"/>
        <w:rPr>
          <w:sz w:val="20"/>
          <w:szCs w:val="20"/>
          <w:color w:val="auto"/>
        </w:rPr>
      </w:pPr>
    </w:p>
    <w:p>
      <w:pPr>
        <w:ind w:right="20" w:firstLine="509"/>
        <w:spacing w:after="0" w:line="249" w:lineRule="auto"/>
        <w:rPr>
          <w:sz w:val="20"/>
          <w:szCs w:val="20"/>
          <w:color w:val="auto"/>
        </w:rPr>
      </w:pPr>
      <w:r>
        <w:rPr>
          <w:rFonts w:ascii="Arial" w:cs="Arial" w:eastAsia="Arial" w:hAnsi="Arial"/>
          <w:sz w:val="18"/>
          <w:szCs w:val="18"/>
          <w:i w:val="1"/>
          <w:iCs w:val="1"/>
          <w:color w:val="auto"/>
        </w:rPr>
        <w:t>Research and Development ("R&amp;D") Expenses</w:t>
      </w:r>
      <w:r>
        <w:rPr>
          <w:rFonts w:ascii="Arial" w:cs="Arial" w:eastAsia="Arial" w:hAnsi="Arial"/>
          <w:sz w:val="18"/>
          <w:szCs w:val="18"/>
          <w:color w:val="auto"/>
        </w:rPr>
        <w:t>. The $1.8 million increase in R&amp;D expenses during the three months ended September 30, 2022</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three months ended September 30, 2021 was primarily attributable to a $1.2 million increase in clinical studies expense as we expanded studies on both new and existing products. In addition, there was a $0.6 million increase in personnel expenses as a result of increased headcount, including a $0.1 million increase in stock-based compensation expense.</w:t>
      </w:r>
    </w:p>
    <w:p>
      <w:pPr>
        <w:spacing w:after="0" w:line="194" w:lineRule="exact"/>
        <w:rPr>
          <w:sz w:val="20"/>
          <w:szCs w:val="20"/>
          <w:color w:val="auto"/>
        </w:rPr>
      </w:pPr>
    </w:p>
    <w:p>
      <w:pPr>
        <w:ind w:right="160" w:firstLine="509"/>
        <w:spacing w:after="0" w:line="245" w:lineRule="auto"/>
        <w:rPr>
          <w:sz w:val="20"/>
          <w:szCs w:val="20"/>
          <w:color w:val="auto"/>
        </w:rPr>
      </w:pPr>
      <w:r>
        <w:rPr>
          <w:rFonts w:ascii="Arial" w:cs="Arial" w:eastAsia="Arial" w:hAnsi="Arial"/>
          <w:sz w:val="18"/>
          <w:szCs w:val="18"/>
          <w:i w:val="1"/>
          <w:iCs w:val="1"/>
          <w:color w:val="auto"/>
        </w:rPr>
        <w:t>Selling, General, and Administrative ("SG&amp;A") Expenses</w:t>
      </w:r>
      <w:r>
        <w:rPr>
          <w:rFonts w:ascii="Arial" w:cs="Arial" w:eastAsia="Arial" w:hAnsi="Arial"/>
          <w:sz w:val="18"/>
          <w:szCs w:val="18"/>
          <w:color w:val="auto"/>
        </w:rPr>
        <w:t>. SG&amp;A expenses were $31.5 million for the three months ended September 30, 2022,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$10.8 million from the prior year comparable period. The increase was attributable to a $7.7 million increase in personnel expenses as a result of increased headcount, which included a $1.2 million increase in stock-based compensation expense. In addition, there was a $2.0 million increase in professional services expense, primarily consulting and legal expenses, as well as a $0.8 million increase in marketing expenses, and a $0.2 million increase in travel expenses.</w:t>
      </w:r>
    </w:p>
    <w:p>
      <w:pPr>
        <w:spacing w:after="0" w:line="186" w:lineRule="exact"/>
        <w:rPr>
          <w:sz w:val="20"/>
          <w:szCs w:val="20"/>
          <w:color w:val="auto"/>
        </w:rPr>
      </w:pPr>
    </w:p>
    <w:p>
      <w:pPr>
        <w:ind w:right="820" w:firstLine="509"/>
        <w:spacing w:after="0" w:line="261"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was consistent during the three months ended September 30, 2022 compared to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2021.</w:t>
      </w:r>
    </w:p>
    <w:p>
      <w:pPr>
        <w:spacing w:after="0" w:line="184"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Other income (expense), net was $0.8 million for the three months ended September 30, 2022 as compared to an</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of $2.0 million in the three months ended September 30, 2021. The income in the current year is attributable to the amortization of purchase discounts on held-to-maturity cash-equivalent investments. During the related prior year comparable period, the expense relates to the remeasurement of our convertible preferred stock warrants and recognition of the change in fair value. As detailed in the notes to our financial statements included herein, the convertible preferred stock warrants were automatically converted into common stock warrants concurrent with our IPO and subsequently exercised in the third quarter of fiscal year 2021.</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2022 and 2021 (dollars 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40" w:type="dxa"/>
            <w:vAlign w:val="bottom"/>
          </w:tcPr>
          <w:p>
            <w:pPr>
              <w:spacing w:after="0"/>
              <w:rPr>
                <w:sz w:val="16"/>
                <w:szCs w:val="16"/>
                <w:color w:val="auto"/>
              </w:rPr>
            </w:pPr>
          </w:p>
        </w:tc>
        <w:tc>
          <w:tcPr>
            <w:tcW w:w="28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6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ind w:left="1020"/>
              <w:spacing w:after="0"/>
              <w:rPr>
                <w:sz w:val="20"/>
                <w:szCs w:val="20"/>
                <w:color w:val="auto"/>
              </w:rPr>
            </w:pPr>
            <w:r>
              <w:rPr>
                <w:rFonts w:ascii="Arial" w:cs="Arial" w:eastAsia="Arial" w:hAnsi="Arial"/>
                <w:sz w:val="14"/>
                <w:szCs w:val="14"/>
                <w:b w:val="1"/>
                <w:bCs w:val="1"/>
                <w:color w:val="auto"/>
              </w:rPr>
              <w:t>Change</w:t>
            </w:r>
          </w:p>
        </w:tc>
        <w:tc>
          <w:tcPr>
            <w:tcW w:w="1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404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4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900" w:type="dxa"/>
            <w:vAlign w:val="bottom"/>
            <w:gridSpan w:val="3"/>
          </w:tcPr>
          <w:p>
            <w:pPr>
              <w:jc w:val="right"/>
              <w:ind w:right="676"/>
              <w:spacing w:after="0"/>
              <w:rPr>
                <w:sz w:val="20"/>
                <w:szCs w:val="20"/>
                <w:color w:val="auto"/>
              </w:rPr>
            </w:pPr>
            <w:r>
              <w:rPr>
                <w:rFonts w:ascii="Arial" w:cs="Arial" w:eastAsia="Arial" w:hAnsi="Arial"/>
                <w:sz w:val="14"/>
                <w:szCs w:val="14"/>
                <w:b w:val="1"/>
                <w:bCs w:val="1"/>
                <w:color w:val="auto"/>
              </w:rPr>
              <w:t>(unaudited)</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6"/>
        </w:trPr>
        <w:tc>
          <w:tcPr>
            <w:tcW w:w="4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40" w:type="dxa"/>
            <w:vAlign w:val="bottom"/>
          </w:tcPr>
          <w:p>
            <w:pPr>
              <w:ind w:left="200"/>
              <w:spacing w:after="0"/>
              <w:rPr>
                <w:sz w:val="20"/>
                <w:szCs w:val="20"/>
                <w:color w:val="auto"/>
              </w:rPr>
            </w:pPr>
            <w:r>
              <w:rPr>
                <w:rFonts w:ascii="Arial" w:cs="Arial" w:eastAsia="Arial" w:hAnsi="Arial"/>
                <w:sz w:val="18"/>
                <w:szCs w:val="18"/>
                <w:color w:val="auto"/>
              </w:rPr>
              <w:t>Surgical Glaucoma</w:t>
            </w:r>
          </w:p>
        </w:tc>
        <w:tc>
          <w:tcPr>
            <w:tcW w:w="960" w:type="dxa"/>
            <w:vAlign w:val="bottom"/>
          </w:tcPr>
          <w:p>
            <w:pPr>
              <w:jc w:val="right"/>
              <w:ind w:right="779"/>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46,842</w:t>
            </w:r>
          </w:p>
        </w:tc>
        <w:tc>
          <w:tcPr>
            <w:tcW w:w="280" w:type="dxa"/>
            <w:vAlign w:val="bottom"/>
          </w:tcPr>
          <w:p>
            <w:pPr>
              <w:spacing w:after="0"/>
              <w:rPr>
                <w:sz w:val="18"/>
                <w:szCs w:val="18"/>
                <w:color w:val="auto"/>
              </w:rPr>
            </w:pPr>
          </w:p>
        </w:tc>
        <w:tc>
          <w:tcPr>
            <w:tcW w:w="1000" w:type="dxa"/>
            <w:vAlign w:val="bottom"/>
          </w:tcPr>
          <w:p>
            <w:pPr>
              <w:jc w:val="right"/>
              <w:ind w:right="796"/>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32,573</w:t>
            </w:r>
          </w:p>
        </w:tc>
        <w:tc>
          <w:tcPr>
            <w:tcW w:w="26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14,269</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43.8 %</w:t>
            </w:r>
          </w:p>
        </w:tc>
      </w:tr>
      <w:tr>
        <w:trPr>
          <w:trHeight w:val="216"/>
        </w:trPr>
        <w:tc>
          <w:tcPr>
            <w:tcW w:w="4040" w:type="dxa"/>
            <w:vAlign w:val="bottom"/>
            <w:shd w:val="clear" w:color="auto" w:fill="CFF0FC"/>
          </w:tcPr>
          <w:p>
            <w:pPr>
              <w:ind w:left="380"/>
              <w:spacing w:after="0"/>
              <w:rPr>
                <w:sz w:val="20"/>
                <w:szCs w:val="20"/>
                <w:color w:val="auto"/>
              </w:rPr>
            </w:pPr>
            <w:r>
              <w:rPr>
                <w:rFonts w:ascii="Arial" w:cs="Arial" w:eastAsia="Arial" w:hAnsi="Arial"/>
                <w:sz w:val="18"/>
                <w:szCs w:val="18"/>
                <w:i w:val="1"/>
                <w:iCs w:val="1"/>
                <w:color w:val="auto"/>
              </w:rPr>
              <w:t>Percentage of total revenue</w:t>
            </w:r>
          </w:p>
        </w:tc>
        <w:tc>
          <w:tcPr>
            <w:tcW w:w="9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i w:val="1"/>
                <w:iCs w:val="1"/>
                <w:color w:val="auto"/>
              </w:rPr>
              <w:t>92.2 %</w:t>
            </w:r>
          </w:p>
        </w:tc>
        <w:tc>
          <w:tcPr>
            <w:tcW w:w="10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1"/>
              <w:spacing w:after="0"/>
              <w:rPr>
                <w:sz w:val="20"/>
                <w:szCs w:val="20"/>
                <w:color w:val="auto"/>
              </w:rPr>
            </w:pPr>
            <w:r>
              <w:rPr>
                <w:rFonts w:ascii="Arial" w:cs="Arial" w:eastAsia="Arial" w:hAnsi="Arial"/>
                <w:sz w:val="18"/>
                <w:szCs w:val="18"/>
                <w:i w:val="1"/>
                <w:iCs w:val="1"/>
                <w:color w:val="auto"/>
              </w:rPr>
              <w:t>95.0 %</w:t>
            </w:r>
          </w:p>
        </w:tc>
        <w:tc>
          <w:tcPr>
            <w:tcW w:w="4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40" w:type="dxa"/>
            <w:vAlign w:val="bottom"/>
          </w:tcPr>
          <w:p>
            <w:pPr>
              <w:ind w:left="200"/>
              <w:spacing w:after="0"/>
              <w:rPr>
                <w:sz w:val="20"/>
                <w:szCs w:val="20"/>
                <w:color w:val="auto"/>
              </w:rPr>
            </w:pPr>
            <w:r>
              <w:rPr>
                <w:rFonts w:ascii="Arial" w:cs="Arial" w:eastAsia="Arial" w:hAnsi="Arial"/>
                <w:sz w:val="18"/>
                <w:szCs w:val="18"/>
                <w:color w:val="auto"/>
              </w:rPr>
              <w:t>Dry Eye</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3,946</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1,698</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2,248</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132.4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40" w:type="dxa"/>
            <w:vAlign w:val="bottom"/>
            <w:shd w:val="clear" w:color="auto" w:fill="CFF0FC"/>
          </w:tcPr>
          <w:p>
            <w:pPr>
              <w:ind w:left="380"/>
              <w:spacing w:after="0"/>
              <w:rPr>
                <w:sz w:val="20"/>
                <w:szCs w:val="20"/>
                <w:color w:val="auto"/>
              </w:rPr>
            </w:pPr>
            <w:r>
              <w:rPr>
                <w:rFonts w:ascii="Arial" w:cs="Arial" w:eastAsia="Arial" w:hAnsi="Arial"/>
                <w:sz w:val="18"/>
                <w:szCs w:val="18"/>
                <w:i w:val="1"/>
                <w:iCs w:val="1"/>
                <w:color w:val="auto"/>
              </w:rPr>
              <w:t>Percentage of total revenue</w:t>
            </w:r>
          </w:p>
        </w:tc>
        <w:tc>
          <w:tcPr>
            <w:tcW w:w="9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i w:val="1"/>
                <w:iCs w:val="1"/>
                <w:color w:val="auto"/>
              </w:rPr>
              <w:t>7.8 %</w:t>
            </w:r>
          </w:p>
        </w:tc>
        <w:tc>
          <w:tcPr>
            <w:tcW w:w="10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1"/>
              <w:spacing w:after="0"/>
              <w:rPr>
                <w:sz w:val="20"/>
                <w:szCs w:val="20"/>
                <w:color w:val="auto"/>
              </w:rPr>
            </w:pPr>
            <w:r>
              <w:rPr>
                <w:rFonts w:ascii="Arial" w:cs="Arial" w:eastAsia="Arial" w:hAnsi="Arial"/>
                <w:sz w:val="18"/>
                <w:szCs w:val="18"/>
                <w:i w:val="1"/>
                <w:iCs w:val="1"/>
                <w:color w:val="auto"/>
              </w:rPr>
              <w:t>5.0 %</w:t>
            </w:r>
          </w:p>
        </w:tc>
        <w:tc>
          <w:tcPr>
            <w:tcW w:w="4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4040" w:type="dxa"/>
            <w:vAlign w:val="bottom"/>
            <w:tcBorders>
              <w:top w:val="single" w:sz="8" w:color="CFF0FC"/>
            </w:tcBorders>
          </w:tcPr>
          <w:p>
            <w:pPr>
              <w:ind w:left="560"/>
              <w:spacing w:after="0"/>
              <w:rPr>
                <w:sz w:val="20"/>
                <w:szCs w:val="20"/>
                <w:color w:val="auto"/>
              </w:rPr>
            </w:pPr>
            <w:r>
              <w:rPr>
                <w:rFonts w:ascii="Arial" w:cs="Arial" w:eastAsia="Arial" w:hAnsi="Arial"/>
                <w:sz w:val="18"/>
                <w:szCs w:val="18"/>
                <w:color w:val="auto"/>
              </w:rPr>
              <w:t>Total</w:t>
            </w:r>
          </w:p>
        </w:tc>
        <w:tc>
          <w:tcPr>
            <w:tcW w:w="9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50,788</w:t>
            </w:r>
          </w:p>
        </w:tc>
        <w:tc>
          <w:tcPr>
            <w:tcW w:w="280" w:type="dxa"/>
            <w:vAlign w:val="bottom"/>
            <w:tcBorders>
              <w:top w:val="single" w:sz="8" w:color="CFF0FC"/>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34,271</w:t>
            </w:r>
          </w:p>
        </w:tc>
        <w:tc>
          <w:tcPr>
            <w:tcW w:w="260" w:type="dxa"/>
            <w:vAlign w:val="bottom"/>
            <w:tcBorders>
              <w:top w:val="single" w:sz="8" w:color="CFF0FC"/>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16,517</w:t>
            </w:r>
          </w:p>
        </w:tc>
        <w:tc>
          <w:tcPr>
            <w:tcW w:w="220" w:type="dxa"/>
            <w:vAlign w:val="bottom"/>
            <w:tcBorders>
              <w:top w:val="single" w:sz="8" w:color="CFF0FC"/>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48.2</w:t>
            </w:r>
          </w:p>
        </w:tc>
        <w:tc>
          <w:tcPr>
            <w:tcW w:w="100" w:type="dxa"/>
            <w:vAlign w:val="bottom"/>
            <w:tcBorders>
              <w:top w:val="single" w:sz="8" w:color="CFF0FC"/>
            </w:tcBorders>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goods sold</w:t>
            </w: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40" w:type="dxa"/>
            <w:vAlign w:val="bottom"/>
          </w:tcPr>
          <w:p>
            <w:pPr>
              <w:ind w:left="200"/>
              <w:spacing w:after="0"/>
              <w:rPr>
                <w:sz w:val="20"/>
                <w:szCs w:val="20"/>
                <w:color w:val="auto"/>
              </w:rPr>
            </w:pPr>
            <w:r>
              <w:rPr>
                <w:rFonts w:ascii="Arial" w:cs="Arial" w:eastAsia="Arial" w:hAnsi="Arial"/>
                <w:sz w:val="18"/>
                <w:szCs w:val="18"/>
                <w:color w:val="auto"/>
              </w:rPr>
              <w:t>Surgical Glaucoma</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5,372</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5,252</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120</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Dry Eye</w:t>
            </w:r>
          </w:p>
        </w:tc>
        <w:tc>
          <w:tcPr>
            <w:tcW w:w="96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3,324</w:t>
            </w:r>
          </w:p>
        </w:tc>
        <w:tc>
          <w:tcPr>
            <w:tcW w:w="28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1,416</w:t>
            </w:r>
          </w:p>
        </w:tc>
        <w:tc>
          <w:tcPr>
            <w:tcW w:w="26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1,908</w:t>
            </w:r>
          </w:p>
        </w:tc>
        <w:tc>
          <w:tcPr>
            <w:tcW w:w="22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134.7</w:t>
            </w:r>
          </w:p>
        </w:tc>
        <w:tc>
          <w:tcPr>
            <w:tcW w:w="100" w:type="dxa"/>
            <w:vAlign w:val="bottom"/>
            <w:tcBorders>
              <w:bottom w:val="single" w:sz="8" w:color="CFF0FC"/>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0"/>
        </w:trPr>
        <w:tc>
          <w:tcPr>
            <w:tcW w:w="4040" w:type="dxa"/>
            <w:vAlign w:val="bottom"/>
          </w:tcPr>
          <w:p>
            <w:pPr>
              <w:ind w:left="560"/>
              <w:spacing w:after="0"/>
              <w:rPr>
                <w:sz w:val="20"/>
                <w:szCs w:val="20"/>
                <w:color w:val="auto"/>
              </w:rPr>
            </w:pPr>
            <w:r>
              <w:rPr>
                <w:rFonts w:ascii="Arial" w:cs="Arial" w:eastAsia="Arial" w:hAnsi="Arial"/>
                <w:sz w:val="18"/>
                <w:szCs w:val="18"/>
                <w:color w:val="auto"/>
              </w:rPr>
              <w:t>Total</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8,696</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6,668</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2,028</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profit</w:t>
            </w: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40" w:type="dxa"/>
            <w:vAlign w:val="bottom"/>
          </w:tcPr>
          <w:p>
            <w:pPr>
              <w:ind w:left="200"/>
              <w:spacing w:after="0"/>
              <w:rPr>
                <w:sz w:val="20"/>
                <w:szCs w:val="20"/>
                <w:color w:val="auto"/>
              </w:rPr>
            </w:pPr>
            <w:r>
              <w:rPr>
                <w:rFonts w:ascii="Arial" w:cs="Arial" w:eastAsia="Arial" w:hAnsi="Arial"/>
                <w:sz w:val="18"/>
                <w:szCs w:val="18"/>
                <w:color w:val="auto"/>
              </w:rPr>
              <w:t>Surgical Glaucoma</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41,470</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27,321</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14,149</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Dry Eye</w:t>
            </w:r>
          </w:p>
        </w:tc>
        <w:tc>
          <w:tcPr>
            <w:tcW w:w="96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622</w:t>
            </w:r>
          </w:p>
        </w:tc>
        <w:tc>
          <w:tcPr>
            <w:tcW w:w="28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w:t>
            </w:r>
          </w:p>
        </w:tc>
        <w:tc>
          <w:tcPr>
            <w:tcW w:w="26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w:t>
            </w:r>
          </w:p>
        </w:tc>
        <w:tc>
          <w:tcPr>
            <w:tcW w:w="22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120.6</w:t>
            </w:r>
          </w:p>
        </w:tc>
        <w:tc>
          <w:tcPr>
            <w:tcW w:w="100" w:type="dxa"/>
            <w:vAlign w:val="bottom"/>
            <w:tcBorders>
              <w:bottom w:val="single" w:sz="8" w:color="CFF0FC"/>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0"/>
        </w:trPr>
        <w:tc>
          <w:tcPr>
            <w:tcW w:w="4040" w:type="dxa"/>
            <w:vAlign w:val="bottom"/>
          </w:tcPr>
          <w:p>
            <w:pPr>
              <w:ind w:left="560"/>
              <w:spacing w:after="0"/>
              <w:rPr>
                <w:sz w:val="20"/>
                <w:szCs w:val="20"/>
                <w:color w:val="auto"/>
              </w:rPr>
            </w:pPr>
            <w:r>
              <w:rPr>
                <w:rFonts w:ascii="Arial" w:cs="Arial" w:eastAsia="Arial" w:hAnsi="Arial"/>
                <w:sz w:val="18"/>
                <w:szCs w:val="18"/>
                <w:color w:val="auto"/>
              </w:rPr>
              <w:t>Total</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42,092</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27,603</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14,489</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margin</w:t>
            </w: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40" w:type="dxa"/>
            <w:vAlign w:val="bottom"/>
          </w:tcPr>
          <w:p>
            <w:pPr>
              <w:ind w:left="200"/>
              <w:spacing w:after="0"/>
              <w:rPr>
                <w:sz w:val="20"/>
                <w:szCs w:val="20"/>
                <w:color w:val="auto"/>
              </w:rPr>
            </w:pPr>
            <w:r>
              <w:rPr>
                <w:rFonts w:ascii="Arial" w:cs="Arial" w:eastAsia="Arial" w:hAnsi="Arial"/>
                <w:sz w:val="18"/>
                <w:szCs w:val="18"/>
                <w:color w:val="auto"/>
              </w:rPr>
              <w:t>Surgical Glaucoma</w:t>
            </w:r>
          </w:p>
        </w:tc>
        <w:tc>
          <w:tcPr>
            <w:tcW w:w="960" w:type="dxa"/>
            <w:vAlign w:val="bottom"/>
          </w:tcPr>
          <w:p>
            <w:pPr>
              <w:spacing w:after="0"/>
              <w:rPr>
                <w:sz w:val="18"/>
                <w:szCs w:val="18"/>
                <w:color w:val="auto"/>
              </w:rPr>
            </w:pPr>
          </w:p>
        </w:tc>
        <w:tc>
          <w:tcPr>
            <w:tcW w:w="900" w:type="dxa"/>
            <w:vAlign w:val="bottom"/>
            <w:gridSpan w:val="2"/>
          </w:tcPr>
          <w:p>
            <w:pPr>
              <w:jc w:val="right"/>
              <w:ind w:right="41"/>
              <w:spacing w:after="0"/>
              <w:rPr>
                <w:sz w:val="20"/>
                <w:szCs w:val="20"/>
                <w:color w:val="auto"/>
              </w:rPr>
            </w:pPr>
            <w:r>
              <w:rPr>
                <w:rFonts w:ascii="Arial" w:cs="Arial" w:eastAsia="Arial" w:hAnsi="Arial"/>
                <w:sz w:val="18"/>
                <w:szCs w:val="18"/>
                <w:i w:val="1"/>
                <w:iCs w:val="1"/>
                <w:color w:val="auto"/>
              </w:rPr>
              <w:t>88.5 %</w:t>
            </w:r>
          </w:p>
        </w:tc>
        <w:tc>
          <w:tcPr>
            <w:tcW w:w="1000" w:type="dxa"/>
            <w:vAlign w:val="bottom"/>
          </w:tcPr>
          <w:p>
            <w:pPr>
              <w:spacing w:after="0"/>
              <w:rPr>
                <w:sz w:val="18"/>
                <w:szCs w:val="18"/>
                <w:color w:val="auto"/>
              </w:rPr>
            </w:pPr>
          </w:p>
        </w:tc>
        <w:tc>
          <w:tcPr>
            <w:tcW w:w="880" w:type="dxa"/>
            <w:vAlign w:val="bottom"/>
            <w:gridSpan w:val="2"/>
          </w:tcPr>
          <w:p>
            <w:pPr>
              <w:jc w:val="right"/>
              <w:ind w:right="21"/>
              <w:spacing w:after="0"/>
              <w:rPr>
                <w:sz w:val="20"/>
                <w:szCs w:val="20"/>
                <w:color w:val="auto"/>
              </w:rPr>
            </w:pPr>
            <w:r>
              <w:rPr>
                <w:rFonts w:ascii="Arial" w:cs="Arial" w:eastAsia="Arial" w:hAnsi="Arial"/>
                <w:sz w:val="18"/>
                <w:szCs w:val="18"/>
                <w:i w:val="1"/>
                <w:iCs w:val="1"/>
                <w:color w:val="auto"/>
              </w:rPr>
              <w:t>83.9 %</w:t>
            </w: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Dry Eye</w:t>
            </w:r>
          </w:p>
        </w:tc>
        <w:tc>
          <w:tcPr>
            <w:tcW w:w="9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i w:val="1"/>
                <w:iCs w:val="1"/>
                <w:color w:val="auto"/>
              </w:rPr>
              <w:t>15.8 %</w:t>
            </w:r>
          </w:p>
        </w:tc>
        <w:tc>
          <w:tcPr>
            <w:tcW w:w="10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1"/>
              <w:spacing w:after="0"/>
              <w:rPr>
                <w:sz w:val="20"/>
                <w:szCs w:val="20"/>
                <w:color w:val="auto"/>
              </w:rPr>
            </w:pPr>
            <w:r>
              <w:rPr>
                <w:rFonts w:ascii="Arial" w:cs="Arial" w:eastAsia="Arial" w:hAnsi="Arial"/>
                <w:sz w:val="18"/>
                <w:szCs w:val="18"/>
                <w:i w:val="1"/>
                <w:iCs w:val="1"/>
                <w:color w:val="auto"/>
              </w:rPr>
              <w:t>16.6 %</w:t>
            </w:r>
          </w:p>
        </w:tc>
        <w:tc>
          <w:tcPr>
            <w:tcW w:w="4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404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4040" w:type="dxa"/>
            <w:vAlign w:val="bottom"/>
          </w:tcPr>
          <w:p>
            <w:pPr>
              <w:ind w:left="560"/>
              <w:spacing w:after="0"/>
              <w:rPr>
                <w:sz w:val="20"/>
                <w:szCs w:val="20"/>
                <w:color w:val="auto"/>
              </w:rPr>
            </w:pPr>
            <w:r>
              <w:rPr>
                <w:rFonts w:ascii="Arial" w:cs="Arial" w:eastAsia="Arial" w:hAnsi="Arial"/>
                <w:sz w:val="18"/>
                <w:szCs w:val="18"/>
                <w:color w:val="auto"/>
              </w:rPr>
              <w:t>Total</w:t>
            </w:r>
          </w:p>
        </w:tc>
        <w:tc>
          <w:tcPr>
            <w:tcW w:w="960" w:type="dxa"/>
            <w:vAlign w:val="bottom"/>
          </w:tcPr>
          <w:p>
            <w:pPr>
              <w:spacing w:after="0"/>
              <w:rPr>
                <w:sz w:val="18"/>
                <w:szCs w:val="18"/>
                <w:color w:val="auto"/>
              </w:rPr>
            </w:pPr>
          </w:p>
        </w:tc>
        <w:tc>
          <w:tcPr>
            <w:tcW w:w="900" w:type="dxa"/>
            <w:vAlign w:val="bottom"/>
            <w:gridSpan w:val="2"/>
          </w:tcPr>
          <w:p>
            <w:pPr>
              <w:jc w:val="right"/>
              <w:ind w:right="41"/>
              <w:spacing w:after="0"/>
              <w:rPr>
                <w:sz w:val="20"/>
                <w:szCs w:val="20"/>
                <w:color w:val="auto"/>
              </w:rPr>
            </w:pPr>
            <w:r>
              <w:rPr>
                <w:rFonts w:ascii="Arial" w:cs="Arial" w:eastAsia="Arial" w:hAnsi="Arial"/>
                <w:sz w:val="18"/>
                <w:szCs w:val="18"/>
                <w:i w:val="1"/>
                <w:iCs w:val="1"/>
                <w:color w:val="auto"/>
              </w:rPr>
              <w:t xml:space="preserve">82.9 </w:t>
            </w:r>
            <w:r>
              <w:rPr>
                <w:rFonts w:ascii="Arial" w:cs="Arial" w:eastAsia="Arial" w:hAnsi="Arial"/>
                <w:sz w:val="18"/>
                <w:szCs w:val="18"/>
                <w:i w:val="1"/>
                <w:iCs w:val="1"/>
                <w:color w:val="auto"/>
                <w:highlight w:val="white"/>
              </w:rPr>
              <w:t>%</w:t>
            </w:r>
          </w:p>
        </w:tc>
        <w:tc>
          <w:tcPr>
            <w:tcW w:w="1000" w:type="dxa"/>
            <w:vAlign w:val="bottom"/>
          </w:tcPr>
          <w:p>
            <w:pPr>
              <w:spacing w:after="0"/>
              <w:rPr>
                <w:sz w:val="18"/>
                <w:szCs w:val="18"/>
                <w:color w:val="auto"/>
              </w:rPr>
            </w:pPr>
          </w:p>
        </w:tc>
        <w:tc>
          <w:tcPr>
            <w:tcW w:w="880" w:type="dxa"/>
            <w:vAlign w:val="bottom"/>
            <w:gridSpan w:val="2"/>
          </w:tcPr>
          <w:p>
            <w:pPr>
              <w:jc w:val="right"/>
              <w:ind w:right="21"/>
              <w:spacing w:after="0"/>
              <w:rPr>
                <w:sz w:val="20"/>
                <w:szCs w:val="20"/>
                <w:color w:val="auto"/>
              </w:rPr>
            </w:pPr>
            <w:r>
              <w:rPr>
                <w:rFonts w:ascii="Arial" w:cs="Arial" w:eastAsia="Arial" w:hAnsi="Arial"/>
                <w:sz w:val="18"/>
                <w:szCs w:val="18"/>
                <w:i w:val="1"/>
                <w:iCs w:val="1"/>
                <w:color w:val="auto"/>
              </w:rPr>
              <w:t xml:space="preserve">80.5 </w:t>
            </w:r>
            <w:r>
              <w:rPr>
                <w:rFonts w:ascii="Arial" w:cs="Arial" w:eastAsia="Arial" w:hAnsi="Arial"/>
                <w:sz w:val="18"/>
                <w:szCs w:val="18"/>
                <w:i w:val="1"/>
                <w:iCs w:val="1"/>
                <w:color w:val="auto"/>
                <w:highlight w:val="white"/>
              </w:rPr>
              <w:t>%</w:t>
            </w: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4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17,626</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11,265</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6,361</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Selling, general and administrative</w:t>
            </w:r>
          </w:p>
        </w:tc>
        <w:tc>
          <w:tcPr>
            <w:tcW w:w="96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91,367</w:t>
            </w:r>
          </w:p>
        </w:tc>
        <w:tc>
          <w:tcPr>
            <w:tcW w:w="28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53,100</w:t>
            </w:r>
          </w:p>
        </w:tc>
        <w:tc>
          <w:tcPr>
            <w:tcW w:w="26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38,267</w:t>
            </w:r>
          </w:p>
        </w:tc>
        <w:tc>
          <w:tcPr>
            <w:tcW w:w="22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72.1</w:t>
            </w:r>
          </w:p>
        </w:tc>
        <w:tc>
          <w:tcPr>
            <w:tcW w:w="100" w:type="dxa"/>
            <w:vAlign w:val="bottom"/>
            <w:tcBorders>
              <w:bottom w:val="single" w:sz="8" w:color="CFF0FC"/>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0"/>
        </w:trPr>
        <w:tc>
          <w:tcPr>
            <w:tcW w:w="4040" w:type="dxa"/>
            <w:vAlign w:val="bottom"/>
          </w:tcPr>
          <w:p>
            <w:pPr>
              <w:ind w:left="560"/>
              <w:spacing w:after="0"/>
              <w:rPr>
                <w:sz w:val="20"/>
                <w:szCs w:val="20"/>
                <w:color w:val="auto"/>
              </w:rPr>
            </w:pPr>
            <w:r>
              <w:rPr>
                <w:rFonts w:ascii="Arial" w:cs="Arial" w:eastAsia="Arial" w:hAnsi="Arial"/>
                <w:sz w:val="18"/>
                <w:szCs w:val="18"/>
                <w:color w:val="auto"/>
              </w:rPr>
              <w:t>Total operating expenses</w:t>
            </w: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108,993</w:t>
            </w:r>
          </w:p>
        </w:tc>
        <w:tc>
          <w:tcPr>
            <w:tcW w:w="28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64,365</w:t>
            </w:r>
          </w:p>
        </w:tc>
        <w:tc>
          <w:tcPr>
            <w:tcW w:w="2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44,628</w:t>
            </w:r>
          </w:p>
        </w:tc>
        <w:tc>
          <w:tcPr>
            <w:tcW w:w="2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4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(66,901</w:t>
            </w:r>
          </w:p>
        </w:tc>
        <w:tc>
          <w:tcPr>
            <w:tcW w:w="280" w:type="dxa"/>
            <w:vAlign w:val="bottom"/>
            <w:shd w:val="clear" w:color="auto" w:fill="CFF0FC"/>
          </w:tcPr>
          <w:p>
            <w:pPr>
              <w:jc w:val="right"/>
              <w:ind w:right="141"/>
              <w:spacing w:after="0"/>
              <w:rPr>
                <w:sz w:val="20"/>
                <w:szCs w:val="20"/>
                <w:color w:val="auto"/>
              </w:rPr>
            </w:pPr>
            <w:r>
              <w:rPr>
                <w:rFonts w:ascii="Arial" w:cs="Arial" w:eastAsia="Arial" w:hAnsi="Arial"/>
                <w:sz w:val="16"/>
                <w:szCs w:val="16"/>
                <w:color w:val="auto"/>
                <w:w w:val="74"/>
              </w:rPr>
              <w:t>)</w:t>
            </w:r>
          </w:p>
        </w:tc>
        <w:tc>
          <w:tcPr>
            <w:tcW w:w="10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(36,762</w:t>
            </w:r>
          </w:p>
        </w:tc>
        <w:tc>
          <w:tcPr>
            <w:tcW w:w="260" w:type="dxa"/>
            <w:vAlign w:val="bottom"/>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4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(30,139</w:t>
            </w:r>
          </w:p>
        </w:tc>
        <w:tc>
          <w:tcPr>
            <w:tcW w:w="2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82.0</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960" w:type="dxa"/>
            <w:vAlign w:val="bottom"/>
          </w:tcPr>
          <w:p>
            <w:pPr>
              <w:spacing w:after="0"/>
              <w:rPr>
                <w:sz w:val="18"/>
                <w:szCs w:val="18"/>
                <w:color w:val="auto"/>
              </w:rPr>
            </w:pPr>
          </w:p>
        </w:tc>
        <w:tc>
          <w:tcPr>
            <w:tcW w:w="900" w:type="dxa"/>
            <w:vAlign w:val="bottom"/>
            <w:gridSpan w:val="2"/>
          </w:tcPr>
          <w:p>
            <w:pPr>
              <w:jc w:val="right"/>
              <w:ind w:right="141"/>
              <w:spacing w:after="0"/>
              <w:rPr>
                <w:sz w:val="20"/>
                <w:szCs w:val="20"/>
                <w:color w:val="auto"/>
              </w:rPr>
            </w:pPr>
            <w:r>
              <w:rPr>
                <w:rFonts w:ascii="Arial" w:cs="Arial" w:eastAsia="Arial" w:hAnsi="Arial"/>
                <w:sz w:val="18"/>
                <w:szCs w:val="18"/>
                <w:color w:val="auto"/>
              </w:rPr>
              <w:t>(3,243 )</w:t>
            </w:r>
          </w:p>
        </w:tc>
        <w:tc>
          <w:tcPr>
            <w:tcW w:w="1000" w:type="dxa"/>
            <w:vAlign w:val="bottom"/>
          </w:tcPr>
          <w:p>
            <w:pPr>
              <w:spacing w:after="0"/>
              <w:rPr>
                <w:sz w:val="18"/>
                <w:szCs w:val="18"/>
                <w:color w:val="auto"/>
              </w:rPr>
            </w:pPr>
          </w:p>
        </w:tc>
        <w:tc>
          <w:tcPr>
            <w:tcW w:w="880" w:type="dxa"/>
            <w:vAlign w:val="bottom"/>
            <w:gridSpan w:val="2"/>
          </w:tcPr>
          <w:p>
            <w:pPr>
              <w:jc w:val="right"/>
              <w:ind w:right="121"/>
              <w:spacing w:after="0"/>
              <w:rPr>
                <w:sz w:val="20"/>
                <w:szCs w:val="20"/>
                <w:color w:val="auto"/>
              </w:rPr>
            </w:pPr>
            <w:r>
              <w:rPr>
                <w:rFonts w:ascii="Arial" w:cs="Arial" w:eastAsia="Arial" w:hAnsi="Arial"/>
                <w:sz w:val="18"/>
                <w:szCs w:val="18"/>
                <w:color w:val="auto"/>
              </w:rPr>
              <w:t>(3,288 )</w:t>
            </w: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(1.4 )</w:t>
            </w:r>
          </w:p>
        </w:tc>
        <w:tc>
          <w:tcPr>
            <w:tcW w:w="60" w:type="dxa"/>
            <w:vAlign w:val="bottom"/>
          </w:tcPr>
          <w:p>
            <w:pPr>
              <w:spacing w:after="0"/>
              <w:rPr>
                <w:sz w:val="18"/>
                <w:szCs w:val="18"/>
                <w:color w:val="auto"/>
              </w:rPr>
            </w:pPr>
          </w:p>
        </w:tc>
      </w:tr>
      <w:tr>
        <w:trPr>
          <w:trHeight w:val="216"/>
        </w:trPr>
        <w:tc>
          <w:tcPr>
            <w:tcW w:w="4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 (expense), net</w:t>
            </w: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846</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rPr>
              <w:t>(6,884 )</w:t>
            </w:r>
          </w:p>
        </w:tc>
        <w:tc>
          <w:tcPr>
            <w:tcW w:w="4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7,730</w:t>
            </w:r>
          </w:p>
        </w:tc>
        <w:tc>
          <w:tcPr>
            <w:tcW w:w="2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(112.3 )</w:t>
            </w:r>
          </w:p>
        </w:tc>
        <w:tc>
          <w:tcPr>
            <w:tcW w:w="60" w:type="dxa"/>
            <w:vAlign w:val="bottom"/>
          </w:tcPr>
          <w:p>
            <w:pPr>
              <w:spacing w:after="0"/>
              <w:rPr>
                <w:sz w:val="18"/>
                <w:szCs w:val="18"/>
                <w:color w:val="auto"/>
              </w:rPr>
            </w:pPr>
          </w:p>
        </w:tc>
      </w:tr>
      <w:tr>
        <w:trPr>
          <w:trHeight w:val="209"/>
        </w:trPr>
        <w:tc>
          <w:tcPr>
            <w:tcW w:w="4040" w:type="dxa"/>
            <w:vAlign w:val="bottom"/>
            <w:tcBorders>
              <w:top w:val="single" w:sz="8" w:color="CFF0FC"/>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before income tax</w:t>
            </w:r>
          </w:p>
        </w:tc>
        <w:tc>
          <w:tcPr>
            <w:tcW w:w="9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w w:val="91"/>
              </w:rPr>
              <w:t>(69,298 )</w:t>
            </w:r>
          </w:p>
        </w:tc>
        <w:tc>
          <w:tcPr>
            <w:tcW w:w="10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w w:val="91"/>
              </w:rPr>
              <w:t>(46,934 )</w:t>
            </w:r>
          </w:p>
        </w:tc>
        <w:tc>
          <w:tcPr>
            <w:tcW w:w="4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(22,364 )</w:t>
            </w:r>
          </w:p>
        </w:tc>
        <w:tc>
          <w:tcPr>
            <w:tcW w:w="4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47.6</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40" w:type="dxa"/>
            <w:vAlign w:val="bottom"/>
          </w:tcPr>
          <w:p>
            <w:pPr>
              <w:ind w:left="20"/>
              <w:spacing w:after="0"/>
              <w:rPr>
                <w:sz w:val="20"/>
                <w:szCs w:val="20"/>
                <w:color w:val="auto"/>
              </w:rPr>
            </w:pPr>
            <w:r>
              <w:rPr>
                <w:rFonts w:ascii="Arial" w:cs="Arial" w:eastAsia="Arial" w:hAnsi="Arial"/>
                <w:sz w:val="18"/>
                <w:szCs w:val="18"/>
                <w:color w:val="auto"/>
              </w:rPr>
              <w:t>Provision (benefit) for income tax</w:t>
            </w:r>
          </w:p>
        </w:tc>
        <w:tc>
          <w:tcPr>
            <w:tcW w:w="960" w:type="dxa"/>
            <w:vAlign w:val="bottom"/>
          </w:tcPr>
          <w:p>
            <w:pPr>
              <w:jc w:val="right"/>
              <w:ind w:right="779"/>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37</w:t>
            </w:r>
          </w:p>
        </w:tc>
        <w:tc>
          <w:tcPr>
            <w:tcW w:w="280" w:type="dxa"/>
            <w:vAlign w:val="bottom"/>
          </w:tcPr>
          <w:p>
            <w:pPr>
              <w:spacing w:after="0"/>
              <w:rPr>
                <w:sz w:val="18"/>
                <w:szCs w:val="18"/>
                <w:color w:val="auto"/>
              </w:rPr>
            </w:pPr>
          </w:p>
        </w:tc>
        <w:tc>
          <w:tcPr>
            <w:tcW w:w="1000" w:type="dxa"/>
            <w:vAlign w:val="bottom"/>
          </w:tcPr>
          <w:p>
            <w:pPr>
              <w:jc w:val="right"/>
              <w:ind w:right="796"/>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90</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gridSpan w:val="2"/>
          </w:tcPr>
          <w:p>
            <w:pPr>
              <w:jc w:val="right"/>
              <w:ind w:right="50"/>
              <w:spacing w:after="0"/>
              <w:rPr>
                <w:sz w:val="20"/>
                <w:szCs w:val="20"/>
                <w:color w:val="auto"/>
              </w:rPr>
            </w:pPr>
            <w:r>
              <w:rPr>
                <w:rFonts w:ascii="Arial" w:cs="Arial" w:eastAsia="Arial" w:hAnsi="Arial"/>
                <w:sz w:val="18"/>
                <w:szCs w:val="18"/>
                <w:color w:val="auto"/>
              </w:rPr>
              <w:t>(53 )</w:t>
            </w:r>
          </w:p>
        </w:tc>
        <w:tc>
          <w:tcPr>
            <w:tcW w:w="46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(58.9 )</w:t>
            </w:r>
          </w:p>
        </w:tc>
        <w:tc>
          <w:tcPr>
            <w:tcW w:w="60" w:type="dxa"/>
            <w:vAlign w:val="bottom"/>
          </w:tcPr>
          <w:p>
            <w:pPr>
              <w:spacing w:after="0"/>
              <w:rPr>
                <w:sz w:val="18"/>
                <w:szCs w:val="18"/>
                <w:color w:val="auto"/>
              </w:rPr>
            </w:pPr>
          </w:p>
        </w:tc>
      </w:tr>
      <w:tr>
        <w:trPr>
          <w:trHeight w:val="20"/>
        </w:trPr>
        <w:tc>
          <w:tcPr>
            <w:tcW w:w="40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210"/>
        </w:trPr>
        <w:tc>
          <w:tcPr>
            <w:tcW w:w="4040" w:type="dxa"/>
            <w:vAlign w:val="bottom"/>
          </w:tcPr>
          <w:p>
            <w:pPr>
              <w:ind w:left="20"/>
              <w:spacing w:after="0"/>
              <w:rPr>
                <w:sz w:val="20"/>
                <w:szCs w:val="20"/>
                <w:color w:val="auto"/>
              </w:rPr>
            </w:pPr>
            <w:r>
              <w:rPr>
                <w:rFonts w:ascii="Arial" w:cs="Arial" w:eastAsia="Arial" w:hAnsi="Arial"/>
                <w:sz w:val="18"/>
                <w:szCs w:val="18"/>
                <w:color w:val="auto"/>
              </w:rPr>
              <w:t>Net loss and comprehensive loss</w:t>
            </w: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(69,335</w:t>
            </w:r>
          </w:p>
        </w:tc>
        <w:tc>
          <w:tcPr>
            <w:tcW w:w="280" w:type="dxa"/>
            <w:vAlign w:val="bottom"/>
          </w:tcPr>
          <w:p>
            <w:pPr>
              <w:jc w:val="right"/>
              <w:ind w:right="141"/>
              <w:spacing w:after="0"/>
              <w:rPr>
                <w:sz w:val="20"/>
                <w:szCs w:val="20"/>
                <w:color w:val="auto"/>
              </w:rPr>
            </w:pPr>
            <w:r>
              <w:rPr>
                <w:rFonts w:ascii="Arial" w:cs="Arial" w:eastAsia="Arial" w:hAnsi="Arial"/>
                <w:sz w:val="16"/>
                <w:szCs w:val="16"/>
                <w:color w:val="auto"/>
                <w:w w:val="74"/>
              </w:rPr>
              <w:t>)</w:t>
            </w:r>
          </w:p>
        </w:tc>
        <w:tc>
          <w:tcPr>
            <w:tcW w:w="10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(47,024</w:t>
            </w:r>
          </w:p>
        </w:tc>
        <w:tc>
          <w:tcPr>
            <w:tcW w:w="260" w:type="dxa"/>
            <w:vAlign w:val="bottom"/>
          </w:tcPr>
          <w:p>
            <w:pPr>
              <w:jc w:val="right"/>
              <w:ind w:right="121"/>
              <w:spacing w:after="0"/>
              <w:rPr>
                <w:sz w:val="20"/>
                <w:szCs w:val="20"/>
                <w:color w:val="auto"/>
              </w:rPr>
            </w:pPr>
            <w:r>
              <w:rPr>
                <w:rFonts w:ascii="Arial" w:cs="Arial" w:eastAsia="Arial" w:hAnsi="Arial"/>
                <w:sz w:val="16"/>
                <w:szCs w:val="16"/>
                <w:color w:val="auto"/>
                <w:w w:val="74"/>
              </w:rPr>
              <w:t>)</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(22,311</w:t>
            </w:r>
          </w:p>
        </w:tc>
        <w:tc>
          <w:tcPr>
            <w:tcW w:w="22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46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47.4 %</w:t>
            </w:r>
          </w:p>
        </w:tc>
      </w:tr>
      <w:tr>
        <w:trPr>
          <w:trHeight w:val="20"/>
        </w:trPr>
        <w:tc>
          <w:tcPr>
            <w:tcW w:w="40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-3385185</wp:posOffset>
            </wp:positionV>
            <wp:extent cx="77470" cy="1454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-3385185</wp:posOffset>
            </wp:positionV>
            <wp:extent cx="68580" cy="1454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-3385185</wp:posOffset>
            </wp:positionV>
            <wp:extent cx="68580" cy="1454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-3385185</wp:posOffset>
            </wp:positionV>
            <wp:extent cx="68580" cy="1454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-2828290</wp:posOffset>
            </wp:positionV>
            <wp:extent cx="77470" cy="1460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-2828290</wp:posOffset>
            </wp:positionV>
            <wp:extent cx="68580" cy="1460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-2828290</wp:posOffset>
            </wp:positionV>
            <wp:extent cx="68580" cy="1460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-2828290</wp:posOffset>
            </wp:positionV>
            <wp:extent cx="68580" cy="1460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-2271395</wp:posOffset>
            </wp:positionV>
            <wp:extent cx="77470" cy="1460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-2271395</wp:posOffset>
            </wp:positionV>
            <wp:extent cx="68580" cy="1460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-2271395</wp:posOffset>
            </wp:positionV>
            <wp:extent cx="68580" cy="1460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-2271395</wp:posOffset>
            </wp:positionV>
            <wp:extent cx="68580" cy="1460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-1713865</wp:posOffset>
            </wp:positionV>
            <wp:extent cx="68580" cy="1460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-1713865</wp:posOffset>
            </wp:positionV>
            <wp:extent cx="68580" cy="1460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-1156970</wp:posOffset>
            </wp:positionV>
            <wp:extent cx="77470" cy="15430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-1156970</wp:posOffset>
            </wp:positionV>
            <wp:extent cx="68580" cy="1543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-1156970</wp:posOffset>
            </wp:positionV>
            <wp:extent cx="68580" cy="1543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-1156970</wp:posOffset>
            </wp:positionV>
            <wp:extent cx="68580" cy="15430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-590550</wp:posOffset>
            </wp:positionV>
            <wp:extent cx="77470" cy="1454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-590550</wp:posOffset>
            </wp:positionV>
            <wp:extent cx="68580" cy="1454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-590550</wp:posOffset>
            </wp:positionV>
            <wp:extent cx="68580" cy="1454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-590550</wp:posOffset>
            </wp:positionV>
            <wp:extent cx="68580" cy="1454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16256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76" w:lineRule="exact"/>
        <w:rPr>
          <w:sz w:val="20"/>
          <w:szCs w:val="20"/>
          <w:color w:val="auto"/>
        </w:rPr>
      </w:pPr>
    </w:p>
    <w:p>
      <w:pPr>
        <w:ind w:right="120" w:firstLine="509"/>
        <w:spacing w:after="0" w:line="263" w:lineRule="auto"/>
        <w:rPr>
          <w:sz w:val="20"/>
          <w:szCs w:val="20"/>
          <w:color w:val="auto"/>
        </w:rPr>
      </w:pPr>
      <w:r>
        <w:rPr>
          <w:rFonts w:ascii="Arial" w:cs="Arial" w:eastAsia="Arial" w:hAnsi="Arial"/>
          <w:sz w:val="17"/>
          <w:szCs w:val="17"/>
          <w:i w:val="1"/>
          <w:iCs w:val="1"/>
          <w:color w:val="auto"/>
        </w:rPr>
        <w:t>Revenue</w:t>
      </w:r>
      <w:r>
        <w:rPr>
          <w:rFonts w:ascii="Arial" w:cs="Arial" w:eastAsia="Arial" w:hAnsi="Arial"/>
          <w:sz w:val="17"/>
          <w:szCs w:val="17"/>
          <w:color w:val="auto"/>
        </w:rPr>
        <w:t>. Revenue in the nine months ended September 30, 2022 was $50.8 million, an increase of $16.5 million, or 48.2%, from the prior year</w:t>
      </w:r>
      <w:r>
        <w:rPr>
          <w:rFonts w:ascii="Arial" w:cs="Arial" w:eastAsia="Arial" w:hAnsi="Arial"/>
          <w:sz w:val="17"/>
          <w:szCs w:val="17"/>
          <w:i w:val="1"/>
          <w:iCs w:val="1"/>
          <w:color w:val="auto"/>
        </w:rPr>
        <w:t xml:space="preserve"> </w:t>
      </w:r>
      <w:r>
        <w:rPr>
          <w:rFonts w:ascii="Arial" w:cs="Arial" w:eastAsia="Arial" w:hAnsi="Arial"/>
          <w:sz w:val="17"/>
          <w:szCs w:val="17"/>
          <w:color w:val="auto"/>
        </w:rPr>
        <w:t>comparable period. The overall increase in Surgical Glaucoma revenue was primarily attributable to a significant increase in the number of OMNI units sold in the nine months ended September 30, 2022 as a result of growth in the number of facilities ordering OMNI and an increase in unit utilization per ordering facility. Our Dry Eye revenues increased in the nine months ended September 30, 2022 versus the comparable period in 2021 due to the continued growth in our installed base of facilities that have purchased TearCare. Surgical Glaucoma sales represented 92.2% and 95.0% of our revenue generated in the nine months ended September 30, 2022 and 2021, respectively.</w:t>
      </w:r>
    </w:p>
    <w:p>
      <w:pPr>
        <w:spacing w:after="0" w:line="173" w:lineRule="exact"/>
        <w:rPr>
          <w:sz w:val="20"/>
          <w:szCs w:val="20"/>
          <w:color w:val="auto"/>
        </w:rPr>
      </w:pPr>
    </w:p>
    <w:p>
      <w:pPr>
        <w:ind w:right="140" w:firstLine="509"/>
        <w:spacing w:after="0" w:line="246" w:lineRule="auto"/>
        <w:rPr>
          <w:sz w:val="20"/>
          <w:szCs w:val="20"/>
          <w:color w:val="auto"/>
        </w:rPr>
      </w:pPr>
      <w:r>
        <w:rPr>
          <w:rFonts w:ascii="Arial" w:cs="Arial" w:eastAsia="Arial" w:hAnsi="Arial"/>
          <w:sz w:val="18"/>
          <w:szCs w:val="18"/>
          <w:i w:val="1"/>
          <w:iCs w:val="1"/>
          <w:color w:val="auto"/>
        </w:rPr>
        <w:t>Cost of Goods Sold and Gross Profit</w:t>
      </w:r>
      <w:r>
        <w:rPr>
          <w:rFonts w:ascii="Arial" w:cs="Arial" w:eastAsia="Arial" w:hAnsi="Arial"/>
          <w:sz w:val="18"/>
          <w:szCs w:val="18"/>
          <w:color w:val="auto"/>
        </w:rPr>
        <w:t>. Cost of goods sold during the nine months ended September 30, 2022, increased $2.0 million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period in the prior year. The increase was primarily driven by an increase in cost of goods sold in our Dry Eye segment. Dry Eye cost of goods sold increased $1.9 million in the nine months ended September 30, 2022 over the comparable period in 2021, which was driven by increased sales activity and $0.9 million of charges in the 2022 period associated with the voluntary recall of our SmartHub 1.0 devices. Our Surgical Glaucoma cost of goods sold increased $0.1 million as compared to 2021, which was primarily driven by continued manufacturing efficiencies which lowered our production cost per unit.</w:t>
      </w:r>
    </w:p>
    <w:p>
      <w:pPr>
        <w:spacing w:after="0" w:line="185" w:lineRule="exact"/>
        <w:rPr>
          <w:sz w:val="20"/>
          <w:szCs w:val="20"/>
          <w:color w:val="auto"/>
        </w:rPr>
      </w:pPr>
    </w:p>
    <w:p>
      <w:pPr>
        <w:ind w:right="240" w:firstLine="509"/>
        <w:spacing w:after="0" w:line="256" w:lineRule="auto"/>
        <w:rPr>
          <w:sz w:val="20"/>
          <w:szCs w:val="20"/>
          <w:color w:val="auto"/>
        </w:rPr>
      </w:pPr>
      <w:r>
        <w:rPr>
          <w:rFonts w:ascii="Arial" w:cs="Arial" w:eastAsia="Arial" w:hAnsi="Arial"/>
          <w:sz w:val="18"/>
          <w:szCs w:val="18"/>
          <w:color w:val="auto"/>
        </w:rPr>
        <w:t>Our total gross profit was $42.1 million in the nine months ended September 30, 2022, an increase of $14.5 million from the comparable period in 2021. Our total gross margin increased from 80.5% to 82.9% from the 2021 to the 2022 period. The increase in gross margin was primarily due to increased sales volume in OMNI units</w:t>
      </w:r>
    </w:p>
    <w:p>
      <w:pPr>
        <w:spacing w:after="0" w:line="16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652" w:right="279" w:bottom="1440" w:gutter="0" w:footer="0" w:header="0"/>
        </w:sectPr>
      </w:pPr>
    </w:p>
    <w:bookmarkStart w:id="30" w:name="page31"/>
    <w:bookmarkEnd w:id="30"/>
    <w:p>
      <w:pPr>
        <w:ind w:right="160"/>
        <w:spacing w:after="0" w:line="256" w:lineRule="auto"/>
        <w:rPr>
          <w:sz w:val="20"/>
          <w:szCs w:val="20"/>
          <w:color w:val="auto"/>
        </w:rPr>
      </w:pPr>
      <w:r>
        <w:rPr>
          <w:rFonts w:ascii="Arial" w:cs="Arial" w:eastAsia="Arial" w:hAnsi="Arial"/>
          <w:sz w:val="18"/>
          <w:szCs w:val="18"/>
          <w:color w:val="auto"/>
        </w:rPr>
        <w:t>and manufacturing efficiencies. Gross margin in our Surgical Glaucoma segment was 88.5% for the nine months ended September 30, 2022, an increase from 83.9% for the prior year comparable period. In our Dry Eye segment, gross margin decreased from 16.6% in the first nine months of 2021, to 15.8% for the nine months ended September 30, 2022.</w:t>
      </w:r>
    </w:p>
    <w:p>
      <w:pPr>
        <w:spacing w:after="0" w:line="175" w:lineRule="exact"/>
        <w:rPr>
          <w:sz w:val="20"/>
          <w:szCs w:val="20"/>
          <w:color w:val="auto"/>
        </w:rPr>
      </w:pPr>
    </w:p>
    <w:p>
      <w:pPr>
        <w:ind w:right="100" w:firstLine="509"/>
        <w:spacing w:after="0" w:line="249" w:lineRule="auto"/>
        <w:rPr>
          <w:sz w:val="20"/>
          <w:szCs w:val="20"/>
          <w:color w:val="auto"/>
        </w:rPr>
      </w:pPr>
      <w:r>
        <w:rPr>
          <w:rFonts w:ascii="Arial" w:cs="Arial" w:eastAsia="Arial" w:hAnsi="Arial"/>
          <w:sz w:val="18"/>
          <w:szCs w:val="18"/>
          <w:i w:val="1"/>
          <w:iCs w:val="1"/>
          <w:color w:val="auto"/>
        </w:rPr>
        <w:t>Research and Development ("R&amp;D") Expenses</w:t>
      </w:r>
      <w:r>
        <w:rPr>
          <w:rFonts w:ascii="Arial" w:cs="Arial" w:eastAsia="Arial" w:hAnsi="Arial"/>
          <w:sz w:val="18"/>
          <w:szCs w:val="18"/>
          <w:color w:val="auto"/>
        </w:rPr>
        <w:t>. The $6.4 million increase in R&amp;D expenses during the nine months ended September 30, 2022</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nine months ended September 30, 2021 was primarily attributable to a $4.1 million increase in personnel expenses as a result of increased headcount, including a $0.7 million increase in stock-based compensation expense. In addition, there was a $1.8 million increase in clinical studies expense.</w:t>
      </w:r>
    </w:p>
    <w:p>
      <w:pPr>
        <w:spacing w:after="0" w:line="194" w:lineRule="exact"/>
        <w:rPr>
          <w:sz w:val="20"/>
          <w:szCs w:val="20"/>
          <w:color w:val="auto"/>
        </w:rPr>
      </w:pPr>
    </w:p>
    <w:p>
      <w:pPr>
        <w:ind w:right="100" w:firstLine="509"/>
        <w:spacing w:after="0" w:line="283" w:lineRule="auto"/>
        <w:rPr>
          <w:sz w:val="20"/>
          <w:szCs w:val="20"/>
          <w:color w:val="auto"/>
        </w:rPr>
      </w:pPr>
      <w:r>
        <w:rPr>
          <w:rFonts w:ascii="Arial" w:cs="Arial" w:eastAsia="Arial" w:hAnsi="Arial"/>
          <w:sz w:val="16"/>
          <w:szCs w:val="16"/>
          <w:i w:val="1"/>
          <w:iCs w:val="1"/>
          <w:color w:val="auto"/>
        </w:rPr>
        <w:t>Selling, General, and Administrative ("SG&amp;A") Expenses</w:t>
      </w:r>
      <w:r>
        <w:rPr>
          <w:rFonts w:ascii="Arial" w:cs="Arial" w:eastAsia="Arial" w:hAnsi="Arial"/>
          <w:sz w:val="16"/>
          <w:szCs w:val="16"/>
          <w:color w:val="auto"/>
        </w:rPr>
        <w:t>. SG&amp;A expenses were $91.4 million for the nine months ended September 30, 2022, an</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of $38.3 million from the prior year comparable period. The increase was attributable to a $23.9 million increase in personnel expenses as a result of increased headcount, which included a $5.8 million increase in stock-based compensation expense. In addition to personnel expense increases, our SG&amp;A expense from 2021 to the 2022 period included a $5.3 million increase in professional services expense, including consulting and legal expenses, a $3.8 million increase in marketing expenses, a $1.6 million increase in training, events, and demos, and a $1.5 million increase in travel expenses.</w:t>
      </w:r>
    </w:p>
    <w:p>
      <w:pPr>
        <w:spacing w:after="0" w:line="157" w:lineRule="exact"/>
        <w:rPr>
          <w:sz w:val="20"/>
          <w:szCs w:val="20"/>
          <w:color w:val="auto"/>
        </w:rPr>
      </w:pPr>
    </w:p>
    <w:p>
      <w:pPr>
        <w:ind w:right="100" w:firstLine="509"/>
        <w:spacing w:after="0" w:line="261"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was consistent during the nine months ended September 30, 2022 compared to the nine months ended September</w:t>
      </w:r>
      <w:r>
        <w:rPr>
          <w:rFonts w:ascii="Arial" w:cs="Arial" w:eastAsia="Arial" w:hAnsi="Arial"/>
          <w:sz w:val="18"/>
          <w:szCs w:val="18"/>
          <w:i w:val="1"/>
          <w:iCs w:val="1"/>
          <w:color w:val="auto"/>
        </w:rPr>
        <w:t xml:space="preserve"> </w:t>
      </w:r>
      <w:r>
        <w:rPr>
          <w:rFonts w:ascii="Arial" w:cs="Arial" w:eastAsia="Arial" w:hAnsi="Arial"/>
          <w:sz w:val="18"/>
          <w:szCs w:val="18"/>
          <w:color w:val="auto"/>
        </w:rPr>
        <w:t>30, 2021.</w:t>
      </w:r>
    </w:p>
    <w:p>
      <w:pPr>
        <w:spacing w:after="0" w:line="184"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Other income (expense), net was $0.8 million for the nine months ended September 30, 2022 as compared to an</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of $6.9 million in the nine months ended September 30, 2021. The income in the current year is attributable to the amortization of purchase discounts on held-to-maturity cash-equivalent investments. During the related prior year comparable period, the expense relates to the remeasurement of our convertible preferred stock warrants and recognition of the change in fair value. As detailed in the notes to our financial statements included herein, the convertible preferred stock warrants were automatically converted into common stock warrants concurrent with our IPO and subsequently exercised in the third quarter of fiscal year 2021.</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cash flows for the periods indicated (in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20" w:type="dxa"/>
            <w:vAlign w:val="bottom"/>
          </w:tcPr>
          <w:p>
            <w:pPr>
              <w:spacing w:after="0"/>
              <w:rPr>
                <w:sz w:val="16"/>
                <w:szCs w:val="16"/>
                <w:color w:val="auto"/>
              </w:rPr>
            </w:pPr>
          </w:p>
        </w:tc>
        <w:tc>
          <w:tcPr>
            <w:tcW w:w="2800" w:type="dxa"/>
            <w:vAlign w:val="bottom"/>
            <w:tcBorders>
              <w:bottom w:val="single" w:sz="8" w:color="auto"/>
            </w:tcBorders>
            <w:gridSpan w:val="4"/>
          </w:tcPr>
          <w:p>
            <w:pPr>
              <w:ind w:left="640"/>
              <w:spacing w:after="0"/>
              <w:rPr>
                <w:sz w:val="20"/>
                <w:szCs w:val="20"/>
                <w:color w:val="auto"/>
              </w:rPr>
            </w:pPr>
            <w:r>
              <w:rPr>
                <w:rFonts w:ascii="Arial" w:cs="Arial" w:eastAsia="Arial" w:hAnsi="Arial"/>
                <w:sz w:val="14"/>
                <w:szCs w:val="14"/>
                <w:b w:val="1"/>
                <w:bCs w:val="1"/>
                <w:color w:val="auto"/>
                <w:w w:val="92"/>
              </w:rPr>
              <w:t>Nine Months Ended September 30,</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20" w:type="dxa"/>
            <w:vAlign w:val="bottom"/>
          </w:tcPr>
          <w:p>
            <w:pPr>
              <w:spacing w:after="0"/>
              <w:rPr>
                <w:sz w:val="14"/>
                <w:szCs w:val="14"/>
                <w:color w:val="auto"/>
              </w:rPr>
            </w:pPr>
          </w:p>
        </w:tc>
        <w:tc>
          <w:tcPr>
            <w:tcW w:w="96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w w:val="96"/>
              </w:rPr>
              <w:t>2022</w:t>
            </w:r>
          </w:p>
        </w:tc>
        <w:tc>
          <w:tcPr>
            <w:tcW w:w="6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7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gridSpan w:val="2"/>
          </w:tcPr>
          <w:p>
            <w:pPr>
              <w:spacing w:after="0"/>
              <w:rPr>
                <w:sz w:val="14"/>
                <w:szCs w:val="14"/>
                <w:color w:val="auto"/>
              </w:rPr>
            </w:pPr>
          </w:p>
        </w:tc>
        <w:tc>
          <w:tcPr>
            <w:tcW w:w="960" w:type="dxa"/>
            <w:vAlign w:val="bottom"/>
          </w:tcPr>
          <w:p>
            <w:pPr>
              <w:spacing w:after="0"/>
              <w:rPr>
                <w:sz w:val="14"/>
                <w:szCs w:val="14"/>
                <w:color w:val="auto"/>
              </w:rPr>
            </w:pPr>
          </w:p>
        </w:tc>
        <w:tc>
          <w:tcPr>
            <w:tcW w:w="720" w:type="dxa"/>
            <w:vAlign w:val="bottom"/>
            <w:gridSpan w:val="2"/>
          </w:tcPr>
          <w:p>
            <w:pPr>
              <w:spacing w:after="0"/>
              <w:rPr>
                <w:sz w:val="14"/>
                <w:szCs w:val="14"/>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operating activities</w:t>
            </w:r>
          </w:p>
        </w:tc>
        <w:tc>
          <w:tcPr>
            <w:tcW w:w="960" w:type="dxa"/>
            <w:vAlign w:val="bottom"/>
            <w:shd w:val="clear" w:color="auto" w:fill="CFF0FC"/>
          </w:tcPr>
          <w:p>
            <w:pPr>
              <w:jc w:val="right"/>
              <w:ind w:right="756"/>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w w:val="91"/>
              </w:rPr>
              <w:t>(60,463 )</w:t>
            </w:r>
          </w:p>
        </w:tc>
        <w:tc>
          <w:tcPr>
            <w:tcW w:w="960" w:type="dxa"/>
            <w:vAlign w:val="bottom"/>
            <w:shd w:val="clear" w:color="auto" w:fill="CFF0FC"/>
          </w:tcPr>
          <w:p>
            <w:pPr>
              <w:jc w:val="right"/>
              <w:ind w:right="774"/>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1"/>
              </w:rPr>
              <w:t>(41,818 )</w:t>
            </w:r>
          </w:p>
        </w:tc>
      </w:tr>
      <w:tr>
        <w:trPr>
          <w:trHeight w:val="216"/>
        </w:trPr>
        <w:tc>
          <w:tcPr>
            <w:tcW w:w="772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960" w:type="dxa"/>
            <w:vAlign w:val="bottom"/>
          </w:tcPr>
          <w:p>
            <w:pPr>
              <w:jc w:val="right"/>
              <w:ind w:right="756"/>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(841 )</w:t>
            </w:r>
          </w:p>
        </w:tc>
        <w:tc>
          <w:tcPr>
            <w:tcW w:w="960" w:type="dxa"/>
            <w:vAlign w:val="bottom"/>
          </w:tcPr>
          <w:p>
            <w:pPr>
              <w:jc w:val="right"/>
              <w:ind w:right="774"/>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(656 )</w:t>
            </w: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960" w:type="dxa"/>
            <w:vAlign w:val="bottom"/>
            <w:tcBorders>
              <w:bottom w:val="single" w:sz="8" w:color="auto"/>
            </w:tcBorders>
            <w:shd w:val="clear" w:color="auto" w:fill="CFF0FC"/>
          </w:tcPr>
          <w:p>
            <w:pPr>
              <w:jc w:val="right"/>
              <w:ind w:right="75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436</w:t>
            </w:r>
          </w:p>
        </w:tc>
        <w:tc>
          <w:tcPr>
            <w:tcW w:w="28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774"/>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252,438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20"/>
              <w:spacing w:after="0"/>
              <w:rPr>
                <w:sz w:val="20"/>
                <w:szCs w:val="20"/>
                <w:color w:val="auto"/>
              </w:rPr>
            </w:pPr>
            <w:r>
              <w:rPr>
                <w:rFonts w:ascii="Arial" w:cs="Arial" w:eastAsia="Arial" w:hAnsi="Arial"/>
                <w:sz w:val="18"/>
                <w:szCs w:val="18"/>
                <w:color w:val="auto"/>
              </w:rPr>
              <w:t>Net (decrease) increase in cash</w:t>
            </w:r>
          </w:p>
        </w:tc>
        <w:tc>
          <w:tcPr>
            <w:tcW w:w="960" w:type="dxa"/>
            <w:vAlign w:val="bottom"/>
          </w:tcPr>
          <w:p>
            <w:pPr>
              <w:jc w:val="right"/>
              <w:ind w:right="756"/>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(60,868 )</w:t>
            </w:r>
          </w:p>
        </w:tc>
        <w:tc>
          <w:tcPr>
            <w:tcW w:w="960" w:type="dxa"/>
            <w:vAlign w:val="bottom"/>
          </w:tcPr>
          <w:p>
            <w:pPr>
              <w:jc w:val="right"/>
              <w:ind w:right="774"/>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209,964</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-170815</wp:posOffset>
            </wp:positionV>
            <wp:extent cx="68580" cy="1714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30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117" w:lineRule="exact"/>
        <w:rPr>
          <w:sz w:val="20"/>
          <w:szCs w:val="20"/>
          <w:color w:val="auto"/>
        </w:rPr>
      </w:pPr>
    </w:p>
    <w:p>
      <w:pPr>
        <w:ind w:right="160" w:firstLine="509"/>
        <w:spacing w:after="0" w:line="261" w:lineRule="auto"/>
        <w:rPr>
          <w:sz w:val="20"/>
          <w:szCs w:val="20"/>
          <w:color w:val="auto"/>
        </w:rPr>
      </w:pPr>
      <w:r>
        <w:rPr>
          <w:rFonts w:ascii="Arial" w:cs="Arial" w:eastAsia="Arial" w:hAnsi="Arial"/>
          <w:sz w:val="17"/>
          <w:szCs w:val="17"/>
          <w:color w:val="auto"/>
        </w:rPr>
        <w:t>Net cash used in operating activities for the nine months ended September 30, 2022 was $60.5 million, consisting primarily of a net loss of $69.3 million and a net change in our operating assets and liabilities of $2.9 million, partially offset by non-cash charges of $11.7 million. The change in our net operating assets and liabilities was primarily due to a $4.3 million increase in accounts receivable and a $2.2 million increase in inventory to support the continued growth of our operations. The Company had a $0.1 million decrease in accounts payable, while accrued compensation, as well as accrued and other current liabilities, increased $3.6 million, driven by the timing of payments on invoices and bonuses. The non-cash charges primarily consisted of $9.7 million related to stock-based compensation, $0.6 million of depreciation, $0.5 of accretion of debt discount and amortization of debt issuance costs, and $0.4 million of noncash operating lease expense.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1" w:name="page32"/>
    <w:bookmarkEnd w:id="31"/>
    <w:p>
      <w:pPr>
        <w:ind w:firstLine="509"/>
        <w:spacing w:after="0" w:line="261" w:lineRule="auto"/>
        <w:rPr>
          <w:sz w:val="20"/>
          <w:szCs w:val="20"/>
          <w:color w:val="auto"/>
        </w:rPr>
      </w:pPr>
      <w:r>
        <w:rPr>
          <w:rFonts w:ascii="Arial" w:cs="Arial" w:eastAsia="Arial" w:hAnsi="Arial"/>
          <w:sz w:val="17"/>
          <w:szCs w:val="17"/>
          <w:color w:val="auto"/>
        </w:rPr>
        <w:t>Net cash used in operating activities for the nine months ended September 30, 2021 was $41.8 million, consisting primarily of a net loss of $47.0 million and a net change in our operating assets and liabilities of $6.7 million, partially offset by non-cash charges of $11.9 million. The change in our net operating assets and liabilities was primarily due to a $3.7 million increase in accounts receivable, a $3.3 million increase in our prepaid expenses to support the continued growth of our operations, and a $0.6 million increase in inventory, partially offset by a $0.6 million increase in accrued compensation, and a $0.3 million increase in other non-current liabilities. The non-cash charges primarily consisted of $6.9 million from the fair value remeasurement of our convertible preferred stock warrants, $3.1 million related to stock-based compensation, $0.5 million of accretion of debt discount and amortization of debt issuance costs, $0.5 million in depreciation and amortization, $0.4 million of right of use asset amortization related to our office leases, and $0.3 million provision for excess and obsolete inventories.</w:t>
      </w:r>
    </w:p>
    <w:p>
      <w:pPr>
        <w:spacing w:after="0" w:line="28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104" w:lineRule="exact"/>
        <w:rPr>
          <w:sz w:val="20"/>
          <w:szCs w:val="20"/>
          <w:color w:val="auto"/>
        </w:rPr>
      </w:pPr>
    </w:p>
    <w:p>
      <w:pPr>
        <w:ind w:right="60" w:firstLine="509"/>
        <w:spacing w:after="0" w:line="261" w:lineRule="auto"/>
        <w:rPr>
          <w:sz w:val="20"/>
          <w:szCs w:val="20"/>
          <w:color w:val="auto"/>
        </w:rPr>
      </w:pPr>
      <w:r>
        <w:rPr>
          <w:rFonts w:ascii="Arial" w:cs="Arial" w:eastAsia="Arial" w:hAnsi="Arial"/>
          <w:sz w:val="18"/>
          <w:szCs w:val="18"/>
          <w:color w:val="auto"/>
        </w:rPr>
        <w:t>Net cash used in investing activities in the nine months ended September 30, 2022 and 2021 was $0.8 million and $0.7 million, respectively, in both cases for purchases of property and equipment.</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Net cash provided by financing activities in the nine months ended September 30, 2022 related to proceeds from stock option exercises.</w:t>
      </w:r>
    </w:p>
    <w:p>
      <w:pPr>
        <w:spacing w:after="0" w:line="115" w:lineRule="exact"/>
        <w:rPr>
          <w:sz w:val="20"/>
          <w:szCs w:val="20"/>
          <w:color w:val="auto"/>
        </w:rPr>
      </w:pPr>
    </w:p>
    <w:p>
      <w:pPr>
        <w:ind w:right="100" w:firstLine="509"/>
        <w:spacing w:after="0" w:line="277" w:lineRule="auto"/>
        <w:rPr>
          <w:sz w:val="20"/>
          <w:szCs w:val="20"/>
          <w:color w:val="auto"/>
        </w:rPr>
      </w:pPr>
      <w:r>
        <w:rPr>
          <w:rFonts w:ascii="Arial" w:cs="Arial" w:eastAsia="Arial" w:hAnsi="Arial"/>
          <w:sz w:val="18"/>
          <w:szCs w:val="18"/>
          <w:color w:val="auto"/>
        </w:rPr>
        <w:t>Net cash provided by financing activities in the nine months ended September 30, 2021 primarily related to net IPO proceeds of $252.2 million and $0.3 million related to proceeds from stock option exercises.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ind w:right="100" w:firstLine="509"/>
        <w:spacing w:after="0" w:line="268" w:lineRule="auto"/>
        <w:rPr>
          <w:sz w:val="20"/>
          <w:szCs w:val="20"/>
          <w:color w:val="auto"/>
        </w:rPr>
      </w:pPr>
      <w:r>
        <w:rPr>
          <w:rFonts w:ascii="Arial" w:cs="Arial" w:eastAsia="Arial" w:hAnsi="Arial"/>
          <w:sz w:val="17"/>
          <w:szCs w:val="17"/>
          <w:color w:val="auto"/>
        </w:rPr>
        <w:t>To date, our primary sources of capital have been private placements of redeemable convertible preferred stock, debt financing agreements, the sale of common stock in our IPO, and revenue from the sale of our products. In July 2021, we completed our IPO, including the underwriters' full exercise of their option to purchase additional shares, selling 11,500,000 shares of our common stock at $24.00 per share. Upon completion of our IPO, we received $252.2 million, after deducting underwriting discounts and commissions and offering costs.</w:t>
      </w:r>
    </w:p>
    <w:p>
      <w:pPr>
        <w:spacing w:after="0" w:line="166"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As of September 30, 2022, we had cash and cash equivalents of $199.8 million, an accumulated deficit of $222.3 million and $35.0 million</w:t>
      </w:r>
    </w:p>
    <w:p>
      <w:pPr>
        <w:spacing w:after="0" w:line="12" w:lineRule="exact"/>
        <w:rPr>
          <w:sz w:val="20"/>
          <w:szCs w:val="20"/>
          <w:color w:val="auto"/>
        </w:rPr>
      </w:pPr>
    </w:p>
    <w:p>
      <w:pPr>
        <w:ind w:right="60"/>
        <w:spacing w:after="0" w:line="321" w:lineRule="auto"/>
        <w:rPr>
          <w:sz w:val="20"/>
          <w:szCs w:val="20"/>
          <w:color w:val="auto"/>
        </w:rPr>
      </w:pPr>
      <w:r>
        <w:rPr>
          <w:rFonts w:ascii="Arial" w:cs="Arial" w:eastAsia="Arial" w:hAnsi="Arial"/>
          <w:sz w:val="16"/>
          <w:szCs w:val="16"/>
          <w:color w:val="auto"/>
        </w:rPr>
        <w:t>outstanding under our term loan agreement (before debt discount). Based on our current planned operations, we expect our cash and cash equivalents and additional borrowings available under the 2020 Term Loan and the 2020 Revolver will enable us to fund our operations for at least the next twelve months.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MidCap Loan Agreements</w:t>
      </w:r>
    </w:p>
    <w:p>
      <w:pPr>
        <w:spacing w:after="0" w:line="104" w:lineRule="exact"/>
        <w:rPr>
          <w:sz w:val="20"/>
          <w:szCs w:val="20"/>
          <w:color w:val="auto"/>
        </w:rPr>
      </w:pPr>
    </w:p>
    <w:p>
      <w:pPr>
        <w:ind w:right="60" w:firstLine="509"/>
        <w:spacing w:after="0" w:line="246" w:lineRule="auto"/>
        <w:rPr>
          <w:sz w:val="20"/>
          <w:szCs w:val="20"/>
          <w:color w:val="auto"/>
        </w:rPr>
      </w:pPr>
      <w:r>
        <w:rPr>
          <w:rFonts w:ascii="Arial" w:cs="Arial" w:eastAsia="Arial" w:hAnsi="Arial"/>
          <w:sz w:val="18"/>
          <w:szCs w:val="18"/>
          <w:color w:val="auto"/>
        </w:rPr>
        <w:t>In January 2019, we entered into credit and security agreements with MidCap Financial Services (the "Lender"), which provided a maximum of $25.0 million credit facility consisting of a $20.0 million senior secured term loan (the "2019 Term Loan") and a $5.0 million 2019 revolving loan (the "2019 Revolver" and collectively with the 2019 Term Loan, the “2019 MidCap Credit Facility”). In November 2020, we entered into amended and restated credit and security agreements with the same institution, which replaced the 2019 MidCap Credit Facility, and provided for a maximum of $40.0 million credit facility consisting of a $35.0 million senior secured term loan (the "2020 Term Loan") and a $5.0 million revolving loan (the "2020 Revolver and collectively with the 2020 Term Loan, the “2020 MidCap Credit Facility”).</w:t>
      </w:r>
    </w:p>
    <w:p>
      <w:pPr>
        <w:spacing w:after="0" w:line="77" w:lineRule="exact"/>
        <w:rPr>
          <w:sz w:val="20"/>
          <w:szCs w:val="20"/>
          <w:color w:val="auto"/>
        </w:rPr>
      </w:pPr>
    </w:p>
    <w:p>
      <w:pPr>
        <w:ind w:right="160" w:firstLine="509"/>
        <w:spacing w:after="0" w:line="245" w:lineRule="auto"/>
        <w:rPr>
          <w:sz w:val="20"/>
          <w:szCs w:val="20"/>
          <w:color w:val="auto"/>
        </w:rPr>
      </w:pPr>
      <w:r>
        <w:rPr>
          <w:rFonts w:ascii="Arial" w:cs="Arial" w:eastAsia="Arial" w:hAnsi="Arial"/>
          <w:sz w:val="18"/>
          <w:szCs w:val="18"/>
          <w:color w:val="231F20"/>
        </w:rPr>
        <w:t>Our obligations under the 2020 MidCap Credit Facility are guaranteed by us and our future subsidiaries, subject to exceptions for certain foreign subsidiaries. Our obligations under the agreements are secured by substantially all of our assets, including our material intellectual property. Additionally, we are subject to customary affirmative and negative covenants, including covenants that limit or restrict the ability of us to, among other things, incur indebtedness, grant liens, merge or consolidate, make investments, dispose of assets, make acquisitions, pay dividends or make distributions, repurchase stock and enter into certain transactions with affiliates, in each case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231F20"/>
        </w:rPr>
        <w:t>subject to certain exceptions. As of September 30, 2022, we were in compliance with all financial and non-financial covenants.</w:t>
      </w:r>
    </w:p>
    <w:p>
      <w:pPr>
        <w:spacing w:after="0" w:line="117" w:lineRule="exact"/>
        <w:rPr>
          <w:sz w:val="20"/>
          <w:szCs w:val="20"/>
          <w:color w:val="auto"/>
        </w:rPr>
      </w:pPr>
    </w:p>
    <w:p>
      <w:pPr>
        <w:ind w:right="80" w:firstLine="509"/>
        <w:spacing w:after="0" w:line="261" w:lineRule="auto"/>
        <w:rPr>
          <w:sz w:val="20"/>
          <w:szCs w:val="20"/>
          <w:color w:val="auto"/>
        </w:rPr>
      </w:pPr>
      <w:r>
        <w:rPr>
          <w:rFonts w:ascii="Arial" w:cs="Arial" w:eastAsia="Arial" w:hAnsi="Arial"/>
          <w:sz w:val="18"/>
          <w:szCs w:val="18"/>
          <w:color w:val="231F20"/>
        </w:rPr>
        <w:t>The MidCap Credit Facility agreements each contain events of default that include, among others, non-payment of principal, interest or fees, breach of covenants, inaccuracy of representations and warranties, cross-defaults and bankruptcy and insolvency events.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2020 Term Loan</w:t>
      </w:r>
    </w:p>
    <w:p>
      <w:pPr>
        <w:spacing w:after="0" w:line="117"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231F20"/>
        </w:rPr>
        <w:t xml:space="preserve">The 2020 Term Loan agreement amended the maturity date to November 1, 2025 and adjusted the stated floating interest rate to reserve-adjusted LIBOR, </w:t>
      </w:r>
      <w:r>
        <w:rPr>
          <w:rFonts w:ascii="Arial" w:cs="Arial" w:eastAsia="Arial" w:hAnsi="Arial"/>
          <w:sz w:val="18"/>
          <w:szCs w:val="18"/>
          <w:i w:val="1"/>
          <w:iCs w:val="1"/>
          <w:color w:val="231F20"/>
        </w:rPr>
        <w:t>plus</w:t>
      </w:r>
      <w:r>
        <w:rPr>
          <w:rFonts w:ascii="Arial" w:cs="Arial" w:eastAsia="Arial" w:hAnsi="Arial"/>
          <w:sz w:val="18"/>
          <w:szCs w:val="18"/>
          <w:color w:val="231F20"/>
        </w:rPr>
        <w:t xml:space="preserve"> 7.00%. Outstanding principal amounts of Tranche One Loans and Tranche Two Loans borrowed under the 2019 Term Loan were designated as Tranche One Loans and Tranche Two Loans under the 2020 Term Loan. The Tranche Three Loan commitment amount was increased to $21.0 million and the full amount was drawn in November 2020. Principal payments under the 2020 Term Loan are scheduled to begin in December 2022. However, if certain conditions are met, the initiation of principal payments can be delayed to either December 2023 or December 2024. We currently expect that we will be in a position to meet the conditions necessary to extend the commencement date for the initiation of principal payments under the 2020 Term Loan from December 1, 2022 to December 1, 2023. In addition, the final payment fee was amended to 6.0%. We are subject to certain financial and non-financial covenants.</w:t>
      </w:r>
    </w:p>
    <w:p>
      <w:pPr>
        <w:spacing w:after="0" w:line="186" w:lineRule="exact"/>
        <w:rPr>
          <w:sz w:val="20"/>
          <w:szCs w:val="20"/>
          <w:color w:val="auto"/>
        </w:rPr>
      </w:pPr>
    </w:p>
    <w:p>
      <w:pPr>
        <w:ind w:right="300" w:firstLine="509"/>
        <w:spacing w:after="0" w:line="291" w:lineRule="auto"/>
        <w:rPr>
          <w:sz w:val="20"/>
          <w:szCs w:val="20"/>
          <w:color w:val="auto"/>
        </w:rPr>
      </w:pPr>
      <w:r>
        <w:rPr>
          <w:rFonts w:ascii="Arial" w:cs="Arial" w:eastAsia="Arial" w:hAnsi="Arial"/>
          <w:sz w:val="17"/>
          <w:szCs w:val="17"/>
          <w:color w:val="231F20"/>
        </w:rPr>
        <w:t>We incurred $0.7 million of issuance costs in conjunction with the 2020 Term Loan which were netted against the borrowed funds in the balance sheet and are being accreted using the effective interest method as interest expense over the contractual period of five years.</w:t>
      </w:r>
    </w:p>
    <w:p>
      <w:pPr>
        <w:spacing w:after="0" w:line="160" w:lineRule="exact"/>
        <w:rPr>
          <w:sz w:val="20"/>
          <w:szCs w:val="20"/>
          <w:color w:val="auto"/>
        </w:rPr>
      </w:pPr>
    </w:p>
    <w:p>
      <w:pPr>
        <w:ind w:right="80" w:firstLine="509"/>
        <w:spacing w:after="0" w:line="268" w:lineRule="auto"/>
        <w:rPr>
          <w:sz w:val="20"/>
          <w:szCs w:val="20"/>
          <w:color w:val="auto"/>
        </w:rPr>
      </w:pPr>
      <w:r>
        <w:rPr>
          <w:rFonts w:ascii="Arial" w:cs="Arial" w:eastAsia="Arial" w:hAnsi="Arial"/>
          <w:sz w:val="17"/>
          <w:szCs w:val="17"/>
          <w:color w:val="231F20"/>
        </w:rPr>
        <w:t>In conjunction with the funding of the 2020 Term Loan, we issued a 10-year warrant to the Lender to purchase 300,000 shares of our Series F redeemable convertible preferred stock at an exercise price of $21.88 per share, or the 2020 MidCap Warrant, with the estimated fair value of $1.8 million. The 2020 MidCap Warrants were recorded at the fair value as a debt discount and as a warrant liability. The debt discount is being accreted using the effective interest method as interest expense over the contractual period of four years for the 2020 Term Loan.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2020 Revolver</w:t>
      </w:r>
    </w:p>
    <w:p>
      <w:pPr>
        <w:spacing w:after="0" w:line="104" w:lineRule="exact"/>
        <w:rPr>
          <w:sz w:val="20"/>
          <w:szCs w:val="20"/>
          <w:color w:val="auto"/>
        </w:rPr>
      </w:pPr>
    </w:p>
    <w:p>
      <w:pPr>
        <w:ind w:right="120" w:firstLine="509"/>
        <w:spacing w:after="0" w:line="256" w:lineRule="auto"/>
        <w:rPr>
          <w:sz w:val="20"/>
          <w:szCs w:val="20"/>
          <w:color w:val="auto"/>
        </w:rPr>
      </w:pPr>
      <w:r>
        <w:rPr>
          <w:rFonts w:ascii="Arial" w:cs="Arial" w:eastAsia="Arial" w:hAnsi="Arial"/>
          <w:sz w:val="18"/>
          <w:szCs w:val="18"/>
          <w:color w:val="231F20"/>
        </w:rPr>
        <w:t>The maturity date of the 2020 Revolver was amended to November 1, 2025 and the stated floating interest rate was adjusted to reserve-adjusted LIBOR plus 4.50%. As of September 30, 2022, $5.0 million was available to be drawn under the 2020 Revolver which remains undrawn. Other key terms of the 2020 Revolver remained substantially unchanged compared to those of 2019 Revolver.</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Agreements</w:t>
      </w:r>
    </w:p>
    <w:p>
      <w:pPr>
        <w:spacing w:after="0" w:line="117" w:lineRule="exact"/>
        <w:rPr>
          <w:sz w:val="20"/>
          <w:szCs w:val="20"/>
          <w:color w:val="auto"/>
        </w:rPr>
      </w:pPr>
    </w:p>
    <w:p>
      <w:pPr>
        <w:ind w:right="200" w:firstLine="509"/>
        <w:spacing w:after="0" w:line="243" w:lineRule="auto"/>
        <w:rPr>
          <w:sz w:val="20"/>
          <w:szCs w:val="20"/>
          <w:color w:val="auto"/>
        </w:rPr>
      </w:pPr>
      <w:r>
        <w:rPr>
          <w:rFonts w:ascii="Arial" w:cs="Arial" w:eastAsia="Arial" w:hAnsi="Arial"/>
          <w:sz w:val="18"/>
          <w:szCs w:val="18"/>
          <w:color w:val="auto"/>
        </w:rPr>
        <w:t>Our corporate headquarters are located in Menlo Park, California, where we lease approximately 11,000 square feet of office, research and development, engineering and laboratory space pursuant to a lease that commenced on August 1, 2021, and expires on August 31, 2024. We also lease approximately 2,040 square feet of office space, which is primarily used by our commercial leadership team, in Southlake, Texas, pursuant to a lease that commenced on April 30, 2019 and expires on May 15, 2024.</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08" w:lineRule="exact"/>
        <w:rPr>
          <w:sz w:val="20"/>
          <w:szCs w:val="20"/>
          <w:color w:val="auto"/>
        </w:rPr>
      </w:pPr>
    </w:p>
    <w:p>
      <w:pPr>
        <w:ind w:right="120" w:firstLine="509"/>
        <w:spacing w:after="0" w:line="283" w:lineRule="auto"/>
        <w:rPr>
          <w:sz w:val="20"/>
          <w:szCs w:val="20"/>
          <w:color w:val="auto"/>
        </w:rPr>
      </w:pPr>
      <w:r>
        <w:rPr>
          <w:rFonts w:ascii="Arial" w:cs="Arial" w:eastAsia="Arial" w:hAnsi="Arial"/>
          <w:sz w:val="16"/>
          <w:szCs w:val="16"/>
          <w:color w:val="auto"/>
        </w:rPr>
        <w:t>Our condensed consolidated financial statements included elsewhere in this Quarterly Report are prepared in accordance with GAAP. The preparation of these condensed consolidated financial statements requires us to make estimates and assumptions that affect the reported amounts of assets, liabilities, revenues, costs and expenses, and related disclosures.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3" w:name="page34"/>
    <w:bookmarkEnd w:id="33"/>
    <w:p>
      <w:pPr>
        <w:ind w:right="100" w:firstLine="509"/>
        <w:spacing w:after="0" w:line="249" w:lineRule="auto"/>
        <w:rPr>
          <w:sz w:val="20"/>
          <w:szCs w:val="20"/>
          <w:color w:val="auto"/>
        </w:rPr>
      </w:pPr>
      <w:r>
        <w:rPr>
          <w:rFonts w:ascii="Arial" w:cs="Arial" w:eastAsia="Arial" w:hAnsi="Arial"/>
          <w:sz w:val="18"/>
          <w:szCs w:val="18"/>
          <w:color w:val="auto"/>
        </w:rPr>
        <w:t>An accounting policy is deemed to be critical if it requires an accounting estimate to be made based on assumptions about matters that are highly uncertain at the time the estimate is made, if different estimates reasonably could have been used, or if changes in the estimate that are reasonably possible could materially impact the financial statements. We believe that the assumptions and estimates associated with revenue recognition and stock-based compensation have the greatest potential impact on our condensed consolidated financial statements. Therefore, we consider these to be our critical accounting policies and estimates.</w:t>
      </w:r>
    </w:p>
    <w:p>
      <w:pPr>
        <w:spacing w:after="0" w:line="182" w:lineRule="exact"/>
        <w:rPr>
          <w:sz w:val="20"/>
          <w:szCs w:val="20"/>
          <w:color w:val="auto"/>
        </w:rPr>
      </w:pPr>
    </w:p>
    <w:p>
      <w:pPr>
        <w:ind w:right="180" w:firstLine="509"/>
        <w:spacing w:after="0" w:line="268" w:lineRule="auto"/>
        <w:rPr>
          <w:sz w:val="20"/>
          <w:szCs w:val="20"/>
          <w:color w:val="auto"/>
        </w:rPr>
      </w:pPr>
      <w:r>
        <w:rPr>
          <w:rFonts w:ascii="Arial" w:cs="Arial" w:eastAsia="Arial" w:hAnsi="Arial"/>
          <w:sz w:val="17"/>
          <w:szCs w:val="17"/>
          <w:color w:val="auto"/>
        </w:rPr>
        <w:t>There have been no material changes to our critical accounting policies and estimates as compared to the critical accounting policies and estimates described in our consolidated financial statements for the year ended December 31, 2021, included under the heading “Management’s Discussion and Analysis of Financial Condition and Results of Operations—Critical Accounting Policies and Estimates” in our 2021 Form 10-K and in Note 2 to our condensed consolidated financial statements appearing elsewhere in this Quarterly Report.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108" w:lineRule="exact"/>
        <w:rPr>
          <w:sz w:val="20"/>
          <w:szCs w:val="20"/>
          <w:color w:val="auto"/>
        </w:rPr>
      </w:pPr>
    </w:p>
    <w:p>
      <w:pPr>
        <w:ind w:firstLine="509"/>
        <w:spacing w:after="0" w:line="249" w:lineRule="auto"/>
        <w:rPr>
          <w:sz w:val="20"/>
          <w:szCs w:val="20"/>
          <w:color w:val="auto"/>
        </w:rPr>
      </w:pPr>
      <w:r>
        <w:rPr>
          <w:rFonts w:ascii="Arial" w:cs="Arial" w:eastAsia="Arial" w:hAnsi="Arial"/>
          <w:sz w:val="18"/>
          <w:szCs w:val="18"/>
          <w:color w:val="auto"/>
        </w:rPr>
        <w:t>The Jumpstart Our Business Startups Act of 2012 (JOBS Act) permits an “emerging growth company” such as us to take advantage of an extended transition period to comply with new or revised accounting standards applicable to public companies. We have elected to use this extended transition period under the JOBS Act. As a result, our financial statements may not be comparable to the financial statements of issuers who are required to comply with the effective dates for new or revised accounting standards that are applicable to public companies, which may make comparison of our financials to those of other public companies more difficult.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08" w:lineRule="exact"/>
        <w:rPr>
          <w:sz w:val="20"/>
          <w:szCs w:val="20"/>
          <w:color w:val="auto"/>
        </w:rPr>
      </w:pPr>
    </w:p>
    <w:p>
      <w:pPr>
        <w:ind w:right="300" w:firstLine="509"/>
        <w:spacing w:after="0" w:line="277" w:lineRule="auto"/>
        <w:rPr>
          <w:sz w:val="20"/>
          <w:szCs w:val="20"/>
          <w:color w:val="auto"/>
        </w:rPr>
      </w:pPr>
      <w:r>
        <w:rPr>
          <w:rFonts w:ascii="Arial" w:cs="Arial" w:eastAsia="Arial" w:hAnsi="Arial"/>
          <w:sz w:val="18"/>
          <w:szCs w:val="18"/>
          <w:color w:val="auto"/>
        </w:rPr>
        <w:t>As of September 30, 2022, there are no significant Accounting Standard Updates (ASU's) issued and not yet adopted, that are expected to have a material impact on the Company's financial statements and related disclosures.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08" w:lineRule="exact"/>
        <w:rPr>
          <w:sz w:val="20"/>
          <w:szCs w:val="20"/>
          <w:color w:val="auto"/>
        </w:rPr>
      </w:pPr>
    </w:p>
    <w:p>
      <w:pPr>
        <w:ind w:right="60" w:firstLine="509"/>
        <w:spacing w:after="0" w:line="256" w:lineRule="auto"/>
        <w:rPr>
          <w:sz w:val="20"/>
          <w:szCs w:val="20"/>
          <w:color w:val="auto"/>
        </w:rPr>
      </w:pPr>
      <w:r>
        <w:rPr>
          <w:rFonts w:ascii="Arial" w:cs="Arial" w:eastAsia="Arial" w:hAnsi="Arial"/>
          <w:sz w:val="18"/>
          <w:szCs w:val="18"/>
          <w:color w:val="auto"/>
        </w:rPr>
        <w:t>We are exposed to market risks in the ordinary course of our business. These risks primarily include interest rate risk and foreign currency exchange rate risk. There have been no material changes to such risks from those described in our 2021 Form 10-K under "Item 3 - Quantitative and Qualitative Disclosures About Market Risk."</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08" w:lineRule="exact"/>
        <w:rPr>
          <w:sz w:val="20"/>
          <w:szCs w:val="20"/>
          <w:color w:val="auto"/>
        </w:rPr>
      </w:pPr>
    </w:p>
    <w:p>
      <w:pPr>
        <w:ind w:right="40" w:firstLine="509"/>
        <w:spacing w:after="0" w:line="257" w:lineRule="auto"/>
        <w:rPr>
          <w:sz w:val="20"/>
          <w:szCs w:val="20"/>
          <w:color w:val="auto"/>
        </w:rPr>
      </w:pPr>
      <w:r>
        <w:rPr>
          <w:rFonts w:ascii="Arial" w:cs="Arial" w:eastAsia="Arial" w:hAnsi="Arial"/>
          <w:sz w:val="17"/>
          <w:szCs w:val="17"/>
          <w:color w:val="auto"/>
        </w:rPr>
        <w:t>Our management, with the participation and supervision of our principal executive officer and our principal financial officer, evaluated our disclosure controls and procedures (as defined in Rules 13a-15(e) and 15d-15(e) under the Exchange Act).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 benefit relationship of possible controls and procedures. Based on this evaluation, our principal executive officer and our principal financial officer concluded that as a result of the material weaknesses in our internal control over financial reporting described below, as of the end of the period covered by this Quarterly Report, our disclosure controls and procedures were not effective. However, our management, including our principal executive officer and our principal financial officer, has concluded that, notwithstanding the identified material weaknesses in our internal control over financial reporting, the condensed consolidated financial statements in this Quarterly Report fairly</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4" w:name="page35"/>
    <w:bookmarkEnd w:id="34"/>
    <w:p>
      <w:pPr>
        <w:ind w:right="660"/>
        <w:spacing w:after="0" w:line="367" w:lineRule="auto"/>
        <w:rPr>
          <w:sz w:val="20"/>
          <w:szCs w:val="20"/>
          <w:color w:val="auto"/>
        </w:rPr>
      </w:pPr>
      <w:r>
        <w:rPr>
          <w:rFonts w:ascii="Arial" w:cs="Arial" w:eastAsia="Arial" w:hAnsi="Arial"/>
          <w:sz w:val="18"/>
          <w:szCs w:val="18"/>
          <w:color w:val="auto"/>
        </w:rPr>
        <w:t xml:space="preserve">presented, in all material respects, our financial position, results of operations, and cash flows for the periods presented in conformity with GAAP. </w:t>
      </w:r>
      <w:r>
        <w:rPr>
          <w:rFonts w:ascii="Arial" w:cs="Arial" w:eastAsia="Arial" w:hAnsi="Arial"/>
          <w:sz w:val="18"/>
          <w:szCs w:val="18"/>
          <w:b w:val="1"/>
          <w:bCs w:val="1"/>
          <w:color w:val="auto"/>
        </w:rPr>
        <w:t>Remediation efforts on previously reported material weaknesses</w:t>
      </w:r>
    </w:p>
    <w:p>
      <w:pPr>
        <w:spacing w:after="0" w:line="1" w:lineRule="exact"/>
        <w:rPr>
          <w:sz w:val="20"/>
          <w:szCs w:val="20"/>
          <w:color w:val="auto"/>
        </w:rPr>
      </w:pPr>
    </w:p>
    <w:p>
      <w:pPr>
        <w:ind w:firstLine="509"/>
        <w:spacing w:after="0" w:line="246" w:lineRule="auto"/>
        <w:rPr>
          <w:sz w:val="20"/>
          <w:szCs w:val="20"/>
          <w:color w:val="auto"/>
        </w:rPr>
      </w:pPr>
      <w:r>
        <w:rPr>
          <w:rFonts w:ascii="Arial" w:cs="Arial" w:eastAsia="Arial" w:hAnsi="Arial"/>
          <w:sz w:val="18"/>
          <w:szCs w:val="18"/>
          <w:color w:val="auto"/>
        </w:rPr>
        <w:t xml:space="preserve">In connection with the preparation of our financial statements in connection with our IPO, we identified a material weakness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The material weakness related to a lack of </w:t>
      </w:r>
      <w:r>
        <w:rPr>
          <w:rFonts w:ascii="Arial" w:cs="Arial" w:eastAsia="Arial" w:hAnsi="Arial"/>
          <w:sz w:val="18"/>
          <w:szCs w:val="18"/>
          <w:color w:val="231F20"/>
        </w:rPr>
        <w:t>sufficient full-time accounting personnel with requisite experience and deep technical accounting knowledge to (i)</w:t>
      </w:r>
      <w:r>
        <w:rPr>
          <w:rFonts w:ascii="Arial" w:cs="Arial" w:eastAsia="Arial" w:hAnsi="Arial"/>
          <w:sz w:val="18"/>
          <w:szCs w:val="18"/>
          <w:color w:val="auto"/>
        </w:rPr>
        <w:t xml:space="preserve"> </w:t>
      </w:r>
      <w:r>
        <w:rPr>
          <w:rFonts w:ascii="Arial" w:cs="Arial" w:eastAsia="Arial" w:hAnsi="Arial"/>
          <w:sz w:val="18"/>
          <w:szCs w:val="18"/>
          <w:color w:val="231F20"/>
        </w:rPr>
        <w:t>identify and resolve complex accounting issues under GAAP, and (ii) enable appropriate segregation of duties and reviews over the financial reviews over the financial close and reporting process.</w:t>
      </w:r>
    </w:p>
    <w:p>
      <w:pPr>
        <w:spacing w:after="0" w:line="77" w:lineRule="exact"/>
        <w:rPr>
          <w:sz w:val="20"/>
          <w:szCs w:val="20"/>
          <w:color w:val="auto"/>
        </w:rPr>
      </w:pPr>
    </w:p>
    <w:p>
      <w:pPr>
        <w:ind w:right="80" w:firstLine="509"/>
        <w:spacing w:after="0" w:line="263" w:lineRule="auto"/>
        <w:rPr>
          <w:sz w:val="20"/>
          <w:szCs w:val="20"/>
          <w:color w:val="auto"/>
        </w:rPr>
      </w:pPr>
      <w:r>
        <w:rPr>
          <w:rFonts w:ascii="Arial" w:cs="Arial" w:eastAsia="Arial" w:hAnsi="Arial"/>
          <w:sz w:val="17"/>
          <w:szCs w:val="17"/>
          <w:color w:val="231F20"/>
        </w:rPr>
        <w:t xml:space="preserve">We have implemented and are in process of implementing additional measures to improve our internal control over financial reporting to remediate this material weakness, including </w:t>
      </w:r>
      <w:r>
        <w:rPr>
          <w:rFonts w:ascii="Arial" w:cs="Arial" w:eastAsia="Arial" w:hAnsi="Arial"/>
          <w:sz w:val="17"/>
          <w:szCs w:val="17"/>
          <w:color w:val="000000"/>
        </w:rPr>
        <w:t>(i) the hiring of personnel with technical accounting and financial reporting experience and (ii) the implementation of</w:t>
      </w:r>
      <w:r>
        <w:rPr>
          <w:rFonts w:ascii="Arial" w:cs="Arial" w:eastAsia="Arial" w:hAnsi="Arial"/>
          <w:sz w:val="17"/>
          <w:szCs w:val="17"/>
          <w:color w:val="231F20"/>
        </w:rPr>
        <w:t xml:space="preserve"> </w:t>
      </w:r>
      <w:r>
        <w:rPr>
          <w:rFonts w:ascii="Arial" w:cs="Arial" w:eastAsia="Arial" w:hAnsi="Arial"/>
          <w:sz w:val="17"/>
          <w:szCs w:val="17"/>
          <w:color w:val="000000"/>
        </w:rPr>
        <w:t>improved accounting and financial reporting procedures and systems to improve the completeness, timeliness and accuracy of our financial reporting and disclosures including the assessment of more judgmental areas of accounting. We are committed to continuing to improve our internal control processes and we will continue to diligently and vigorously review our financial reporting controls and procedures.</w:t>
      </w:r>
    </w:p>
    <w:p>
      <w:pPr>
        <w:spacing w:after="0" w:line="63" w:lineRule="exact"/>
        <w:rPr>
          <w:sz w:val="20"/>
          <w:szCs w:val="20"/>
          <w:color w:val="auto"/>
        </w:rPr>
      </w:pPr>
    </w:p>
    <w:p>
      <w:pPr>
        <w:ind w:right="140" w:firstLine="509"/>
        <w:spacing w:after="0" w:line="249" w:lineRule="auto"/>
        <w:rPr>
          <w:sz w:val="20"/>
          <w:szCs w:val="20"/>
          <w:color w:val="auto"/>
        </w:rPr>
      </w:pPr>
      <w:r>
        <w:rPr>
          <w:rFonts w:ascii="Arial" w:cs="Arial" w:eastAsia="Arial" w:hAnsi="Arial"/>
          <w:sz w:val="18"/>
          <w:szCs w:val="18"/>
          <w:color w:val="231F20"/>
        </w:rPr>
        <w:t>We cannot assure you that the measures we have taken to date, and are continuing to implement, will be sufficient to remediate the material weakness we have identified or avoid potential future material weaknesses. While we believe that our efforts have improved our internal control over financial reporting, remediation of the material weaknesses will require further validation and testing of the design and operating effectiveness of internal controls over a sustained period of financial reporting cycles, and we cannot assure you that we have identified all, or that we will not in the future have additional material weaknesses.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08" w:lineRule="exact"/>
        <w:rPr>
          <w:sz w:val="20"/>
          <w:szCs w:val="20"/>
          <w:color w:val="auto"/>
        </w:rPr>
      </w:pPr>
    </w:p>
    <w:p>
      <w:pPr>
        <w:jc w:val="both"/>
        <w:ind w:right="500" w:firstLine="509"/>
        <w:spacing w:after="0" w:line="278" w:lineRule="auto"/>
        <w:rPr>
          <w:sz w:val="20"/>
          <w:szCs w:val="20"/>
          <w:color w:val="auto"/>
        </w:rPr>
      </w:pPr>
      <w:r>
        <w:rPr>
          <w:rFonts w:ascii="Arial" w:cs="Arial" w:eastAsia="Arial" w:hAnsi="Arial"/>
          <w:sz w:val="17"/>
          <w:szCs w:val="17"/>
          <w:color w:val="auto"/>
        </w:rPr>
        <w:t>Other than the changes intended to remediate the material weakness noted above, there were no changes in our internal control over financial reporting (as defined in Rules 13a-15(f) and 15d-15(f) under the Exchange Act) during the most recently completed fiscal quarter that has materially affected, or is reasonably likely to materially affect, our internal control over financial reporting.</w:t>
      </w: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8" w:lineRule="exact"/>
        <w:rPr>
          <w:sz w:val="20"/>
          <w:szCs w:val="20"/>
          <w:color w:val="auto"/>
        </w:rPr>
      </w:pPr>
    </w:p>
    <w:p>
      <w:pPr>
        <w:ind w:right="20" w:firstLine="509"/>
        <w:spacing w:after="0" w:line="261" w:lineRule="auto"/>
        <w:rPr>
          <w:sz w:val="20"/>
          <w:szCs w:val="20"/>
          <w:color w:val="auto"/>
        </w:rPr>
      </w:pPr>
      <w:r>
        <w:rPr>
          <w:rFonts w:ascii="Arial" w:cs="Arial" w:eastAsia="Arial" w:hAnsi="Arial"/>
          <w:sz w:val="18"/>
          <w:szCs w:val="18"/>
          <w:color w:val="auto"/>
        </w:rPr>
        <w:t>Please refer to Note 6, Commitments and Contingencies, in our notes to the unaudited condensed consolidated financial statements in this Quarterly Report.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have been no material changes with respect to risk factors previously disclosed in the 2021 Form 10-K.</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108" w:lineRule="exact"/>
        <w:rPr>
          <w:sz w:val="20"/>
          <w:szCs w:val="20"/>
          <w:color w:val="auto"/>
        </w:rPr>
      </w:pPr>
    </w:p>
    <w:p>
      <w:pPr>
        <w:ind w:right="280" w:firstLine="509"/>
        <w:spacing w:after="0" w:line="261" w:lineRule="auto"/>
        <w:rPr>
          <w:sz w:val="20"/>
          <w:szCs w:val="20"/>
          <w:color w:val="auto"/>
        </w:rPr>
      </w:pPr>
      <w:r>
        <w:rPr>
          <w:rFonts w:ascii="Arial" w:cs="Arial" w:eastAsia="Arial" w:hAnsi="Arial"/>
          <w:sz w:val="18"/>
          <w:szCs w:val="18"/>
          <w:color w:val="auto"/>
        </w:rPr>
        <w:t>In July 2021, we completed our IPO. All shares sold were registered pursuant to a registration statement on Form S-1 (File No. 333-257320), as amended (the "Registration Statement"), declared effective by the SEC on July 14, 2021.</w:t>
      </w:r>
    </w:p>
    <w:p>
      <w:pPr>
        <w:spacing w:after="0" w:line="184"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The net proceeds from our IPO have been used and will be used, together with our cash and cash equivalents: (i) to fund ongoing and future clinical trials; (ii) to support the marketing and sales efforts for our products; (iii) for research and development; and (iii) for working capital and other general corporate purposes.</w:t>
      </w:r>
    </w:p>
    <w:p>
      <w:pPr>
        <w:spacing w:after="0" w:line="19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has been no material change in the intended use of proceeds from our IPO as described in our Registration Statement.</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648" w:right="41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exhibits are filed or furnished as a part of, or incorporated by reference into, this Quarterly Report.</w:t>
      </w:r>
    </w:p>
    <w:p>
      <w:pPr>
        <w:spacing w:after="0" w:line="177"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40" w:type="dxa"/>
            <w:vAlign w:val="bottom"/>
          </w:tcPr>
          <w:p>
            <w:pPr>
              <w:ind w:left="140"/>
              <w:spacing w:after="0"/>
              <w:rPr>
                <w:sz w:val="20"/>
                <w:szCs w:val="20"/>
                <w:color w:val="auto"/>
              </w:rPr>
            </w:pPr>
            <w:r>
              <w:rPr>
                <w:rFonts w:ascii="Arial" w:cs="Arial" w:eastAsia="Arial" w:hAnsi="Arial"/>
                <w:sz w:val="16"/>
                <w:szCs w:val="16"/>
                <w:b w:val="1"/>
                <w:bCs w:val="1"/>
                <w:color w:val="auto"/>
              </w:rPr>
              <w:t>Incorporated by</w:t>
            </w:r>
          </w:p>
        </w:tc>
        <w:tc>
          <w:tcPr>
            <w:tcW w:w="1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140"/>
              <w:spacing w:after="0" w:line="175" w:lineRule="exact"/>
              <w:rPr>
                <w:sz w:val="20"/>
                <w:szCs w:val="20"/>
                <w:color w:val="auto"/>
              </w:rPr>
            </w:pPr>
            <w:r>
              <w:rPr>
                <w:rFonts w:ascii="Arial" w:cs="Arial" w:eastAsia="Arial" w:hAnsi="Arial"/>
                <w:sz w:val="16"/>
                <w:szCs w:val="16"/>
                <w:b w:val="1"/>
                <w:bCs w:val="1"/>
                <w:color w:val="auto"/>
              </w:rPr>
              <w:t>Reference</w:t>
            </w:r>
          </w:p>
        </w:tc>
        <w:tc>
          <w:tcPr>
            <w:tcW w:w="1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20" w:type="dxa"/>
            <w:vAlign w:val="bottom"/>
          </w:tcPr>
          <w:p>
            <w:pPr>
              <w:spacing w:after="0" w:line="175" w:lineRule="exact"/>
              <w:rPr>
                <w:sz w:val="20"/>
                <w:szCs w:val="20"/>
                <w:color w:val="auto"/>
              </w:rPr>
            </w:pPr>
            <w:r>
              <w:rPr>
                <w:rFonts w:ascii="Arial" w:cs="Arial" w:eastAsia="Arial" w:hAnsi="Arial"/>
                <w:sz w:val="16"/>
                <w:szCs w:val="16"/>
                <w:b w:val="1"/>
                <w:bCs w:val="1"/>
                <w:color w:val="auto"/>
              </w:rPr>
              <w:t>Exhibit</w:t>
            </w: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60" w:type="dxa"/>
            <w:vAlign w:val="bottom"/>
            <w:gridSpan w:val="11"/>
          </w:tcPr>
          <w:p>
            <w:pPr>
              <w:spacing w:after="0" w:line="175" w:lineRule="exact"/>
              <w:rPr>
                <w:sz w:val="20"/>
                <w:szCs w:val="20"/>
                <w:color w:val="auto"/>
              </w:rPr>
            </w:pPr>
            <w:r>
              <w:rPr>
                <w:rFonts w:ascii="Arial" w:cs="Arial" w:eastAsia="Arial" w:hAnsi="Arial"/>
                <w:sz w:val="16"/>
                <w:szCs w:val="16"/>
                <w:b w:val="1"/>
                <w:bCs w:val="1"/>
                <w:color w:val="auto"/>
              </w:rPr>
              <w:t>Exhibit Description</w:t>
            </w:r>
          </w:p>
        </w:tc>
        <w:tc>
          <w:tcPr>
            <w:tcW w:w="1440" w:type="dxa"/>
            <w:vAlign w:val="bottom"/>
          </w:tcPr>
          <w:p>
            <w:pPr>
              <w:ind w:left="140"/>
              <w:spacing w:after="0" w:line="175" w:lineRule="exact"/>
              <w:rPr>
                <w:sz w:val="20"/>
                <w:szCs w:val="20"/>
                <w:color w:val="auto"/>
              </w:rPr>
            </w:pPr>
            <w:r>
              <w:rPr>
                <w:rFonts w:ascii="Arial" w:cs="Arial" w:eastAsia="Arial" w:hAnsi="Arial"/>
                <w:sz w:val="16"/>
                <w:szCs w:val="16"/>
                <w:b w:val="1"/>
                <w:bCs w:val="1"/>
                <w:color w:val="auto"/>
              </w:rPr>
              <w:t>Form</w:t>
            </w:r>
          </w:p>
        </w:tc>
        <w:tc>
          <w:tcPr>
            <w:tcW w:w="1160" w:type="dxa"/>
            <w:vAlign w:val="bottom"/>
          </w:tcPr>
          <w:p>
            <w:pPr>
              <w:ind w:left="160"/>
              <w:spacing w:after="0" w:line="175" w:lineRule="exact"/>
              <w:rPr>
                <w:sz w:val="20"/>
                <w:szCs w:val="20"/>
                <w:color w:val="auto"/>
              </w:rPr>
            </w:pPr>
            <w:r>
              <w:rPr>
                <w:rFonts w:ascii="Arial" w:cs="Arial" w:eastAsia="Arial" w:hAnsi="Arial"/>
                <w:sz w:val="16"/>
                <w:szCs w:val="16"/>
                <w:b w:val="1"/>
                <w:bCs w:val="1"/>
                <w:color w:val="auto"/>
              </w:rPr>
              <w:t>File No.</w:t>
            </w:r>
          </w:p>
        </w:tc>
        <w:tc>
          <w:tcPr>
            <w:tcW w:w="920" w:type="dxa"/>
            <w:vAlign w:val="bottom"/>
          </w:tcPr>
          <w:p>
            <w:pPr>
              <w:ind w:left="220"/>
              <w:spacing w:after="0" w:line="175" w:lineRule="exact"/>
              <w:rPr>
                <w:sz w:val="20"/>
                <w:szCs w:val="20"/>
                <w:color w:val="auto"/>
              </w:rPr>
            </w:pPr>
            <w:r>
              <w:rPr>
                <w:rFonts w:ascii="Arial" w:cs="Arial" w:eastAsia="Arial" w:hAnsi="Arial"/>
                <w:sz w:val="16"/>
                <w:szCs w:val="16"/>
                <w:b w:val="1"/>
                <w:bCs w:val="1"/>
                <w:color w:val="auto"/>
              </w:rPr>
              <w:t>Exhibit</w:t>
            </w:r>
          </w:p>
        </w:tc>
        <w:tc>
          <w:tcPr>
            <w:tcW w:w="880" w:type="dxa"/>
            <w:vAlign w:val="bottom"/>
          </w:tcPr>
          <w:p>
            <w:pPr>
              <w:ind w:left="200"/>
              <w:spacing w:after="0" w:line="175" w:lineRule="exact"/>
              <w:rPr>
                <w:sz w:val="20"/>
                <w:szCs w:val="20"/>
                <w:color w:val="auto"/>
              </w:rPr>
            </w:pPr>
            <w:r>
              <w:rPr>
                <w:rFonts w:ascii="Arial" w:cs="Arial" w:eastAsia="Arial" w:hAnsi="Arial"/>
                <w:sz w:val="16"/>
                <w:szCs w:val="16"/>
                <w:b w:val="1"/>
                <w:bCs w:val="1"/>
                <w:color w:val="auto"/>
              </w:rPr>
              <w:t>Filing</w:t>
            </w:r>
          </w:p>
        </w:tc>
        <w:tc>
          <w:tcPr>
            <w:tcW w:w="1320" w:type="dxa"/>
            <w:vAlign w:val="bottom"/>
          </w:tcPr>
          <w:p>
            <w:pPr>
              <w:ind w:left="200"/>
              <w:spacing w:after="0" w:line="175" w:lineRule="exact"/>
              <w:rPr>
                <w:sz w:val="20"/>
                <w:szCs w:val="20"/>
                <w:color w:val="auto"/>
              </w:rPr>
            </w:pPr>
            <w:r>
              <w:rPr>
                <w:rFonts w:ascii="Arial" w:cs="Arial" w:eastAsia="Arial" w:hAnsi="Arial"/>
                <w:sz w:val="16"/>
                <w:szCs w:val="16"/>
                <w:b w:val="1"/>
                <w:bCs w:val="1"/>
                <w:color w:val="auto"/>
                <w:w w:val="92"/>
              </w:rPr>
              <w:t>Filed/Furnished</w:t>
            </w:r>
          </w:p>
        </w:tc>
        <w:tc>
          <w:tcPr>
            <w:tcW w:w="0" w:type="dxa"/>
            <w:vAlign w:val="bottom"/>
          </w:tcPr>
          <w:p>
            <w:pPr>
              <w:spacing w:after="0"/>
              <w:rPr>
                <w:sz w:val="1"/>
                <w:szCs w:val="1"/>
                <w:color w:val="auto"/>
              </w:rPr>
            </w:pPr>
          </w:p>
        </w:tc>
      </w:tr>
      <w:tr>
        <w:trPr>
          <w:trHeight w:val="179"/>
        </w:trPr>
        <w:tc>
          <w:tcPr>
            <w:tcW w:w="1020" w:type="dxa"/>
            <w:vAlign w:val="bottom"/>
          </w:tcPr>
          <w:p>
            <w:pPr>
              <w:spacing w:after="0" w:line="180" w:lineRule="exact"/>
              <w:rPr>
                <w:sz w:val="20"/>
                <w:szCs w:val="20"/>
                <w:color w:val="auto"/>
              </w:rPr>
            </w:pPr>
            <w:r>
              <w:rPr>
                <w:rFonts w:ascii="Arial" w:cs="Arial" w:eastAsia="Arial" w:hAnsi="Arial"/>
                <w:sz w:val="16"/>
                <w:szCs w:val="16"/>
                <w:b w:val="1"/>
                <w:bCs w:val="1"/>
                <w:color w:val="auto"/>
              </w:rPr>
              <w:t>Number</w:t>
            </w: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80" w:type="dxa"/>
            <w:vAlign w:val="bottom"/>
          </w:tcPr>
          <w:p>
            <w:pPr>
              <w:ind w:left="200"/>
              <w:spacing w:after="0" w:line="180" w:lineRule="exact"/>
              <w:rPr>
                <w:sz w:val="20"/>
                <w:szCs w:val="20"/>
                <w:color w:val="auto"/>
              </w:rPr>
            </w:pPr>
            <w:r>
              <w:rPr>
                <w:rFonts w:ascii="Arial" w:cs="Arial" w:eastAsia="Arial" w:hAnsi="Arial"/>
                <w:sz w:val="16"/>
                <w:szCs w:val="16"/>
                <w:b w:val="1"/>
                <w:bCs w:val="1"/>
                <w:color w:val="auto"/>
              </w:rPr>
              <w:t>Date</w:t>
            </w:r>
          </w:p>
        </w:tc>
        <w:tc>
          <w:tcPr>
            <w:tcW w:w="1320" w:type="dxa"/>
            <w:vAlign w:val="bottom"/>
          </w:tcPr>
          <w:p>
            <w:pPr>
              <w:ind w:left="200"/>
              <w:spacing w:after="0" w:line="180" w:lineRule="exact"/>
              <w:rPr>
                <w:sz w:val="20"/>
                <w:szCs w:val="20"/>
                <w:color w:val="auto"/>
              </w:rPr>
            </w:pPr>
            <w:r>
              <w:rPr>
                <w:rFonts w:ascii="Arial" w:cs="Arial" w:eastAsia="Arial" w:hAnsi="Arial"/>
                <w:sz w:val="16"/>
                <w:szCs w:val="16"/>
                <w:b w:val="1"/>
                <w:bCs w:val="1"/>
                <w:color w:val="auto"/>
              </w:rPr>
              <w:t>Herewith</w:t>
            </w:r>
          </w:p>
        </w:tc>
        <w:tc>
          <w:tcPr>
            <w:tcW w:w="0" w:type="dxa"/>
            <w:vAlign w:val="bottom"/>
          </w:tcPr>
          <w:p>
            <w:pPr>
              <w:spacing w:after="0"/>
              <w:rPr>
                <w:sz w:val="1"/>
                <w:szCs w:val="1"/>
                <w:color w:val="auto"/>
              </w:rPr>
            </w:pPr>
          </w:p>
        </w:tc>
      </w:tr>
      <w:tr>
        <w:trPr>
          <w:trHeight w:val="172"/>
        </w:trPr>
        <w:tc>
          <w:tcPr>
            <w:tcW w:w="1020" w:type="dxa"/>
            <w:vAlign w:val="bottom"/>
          </w:tcPr>
          <w:p>
            <w:pPr>
              <w:spacing w:after="0" w:line="172" w:lineRule="exact"/>
              <w:rPr>
                <w:sz w:val="20"/>
                <w:szCs w:val="20"/>
                <w:color w:val="auto"/>
              </w:rPr>
            </w:pPr>
            <w:r>
              <w:rPr>
                <w:rFonts w:ascii="Arial" w:cs="Arial" w:eastAsia="Arial" w:hAnsi="Arial"/>
                <w:sz w:val="16"/>
                <w:szCs w:val="16"/>
                <w:color w:val="auto"/>
              </w:rPr>
              <w:t>3.1</w:t>
            </w:r>
          </w:p>
        </w:tc>
        <w:tc>
          <w:tcPr>
            <w:tcW w:w="4040" w:type="dxa"/>
            <w:vAlign w:val="bottom"/>
            <w:gridSpan w:val="16"/>
          </w:tcPr>
          <w:p>
            <w:pPr>
              <w:spacing w:after="0" w:line="172" w:lineRule="exact"/>
              <w:rPr>
                <w:rFonts w:ascii="Arial" w:cs="Arial" w:eastAsia="Arial" w:hAnsi="Arial"/>
                <w:sz w:val="16"/>
                <w:szCs w:val="16"/>
                <w:color w:val="0000FF"/>
                <w:w w:val="95"/>
              </w:rPr>
            </w:pPr>
            <w:hyperlink r:id="rId225">
              <w:r>
                <w:rPr>
                  <w:rFonts w:ascii="Arial" w:cs="Arial" w:eastAsia="Arial" w:hAnsi="Arial"/>
                  <w:sz w:val="16"/>
                  <w:szCs w:val="16"/>
                  <w:color w:val="0000FF"/>
                  <w:w w:val="95"/>
                </w:rPr>
                <w:t>Restated Certificate of Incorporation of Sight Sciences, Inc.</w:t>
              </w:r>
            </w:hyperlink>
          </w:p>
        </w:tc>
        <w:tc>
          <w:tcPr>
            <w:tcW w:w="1440" w:type="dxa"/>
            <w:vAlign w:val="bottom"/>
          </w:tcPr>
          <w:p>
            <w:pPr>
              <w:ind w:left="140"/>
              <w:spacing w:after="0" w:line="172" w:lineRule="exact"/>
              <w:rPr>
                <w:sz w:val="20"/>
                <w:szCs w:val="20"/>
                <w:color w:val="auto"/>
              </w:rPr>
            </w:pPr>
            <w:r>
              <w:rPr>
                <w:rFonts w:ascii="Arial" w:cs="Arial" w:eastAsia="Arial" w:hAnsi="Arial"/>
                <w:sz w:val="16"/>
                <w:szCs w:val="16"/>
                <w:color w:val="auto"/>
              </w:rPr>
              <w:t>8-K</w:t>
            </w:r>
          </w:p>
        </w:tc>
        <w:tc>
          <w:tcPr>
            <w:tcW w:w="1160" w:type="dxa"/>
            <w:vAlign w:val="bottom"/>
          </w:tcPr>
          <w:p>
            <w:pPr>
              <w:ind w:left="160"/>
              <w:spacing w:after="0" w:line="172" w:lineRule="exact"/>
              <w:rPr>
                <w:sz w:val="20"/>
                <w:szCs w:val="20"/>
                <w:color w:val="auto"/>
              </w:rPr>
            </w:pPr>
            <w:r>
              <w:rPr>
                <w:rFonts w:ascii="Arial" w:cs="Arial" w:eastAsia="Arial" w:hAnsi="Arial"/>
                <w:sz w:val="16"/>
                <w:szCs w:val="16"/>
                <w:color w:val="auto"/>
              </w:rPr>
              <w:t>001-40587</w:t>
            </w:r>
          </w:p>
        </w:tc>
        <w:tc>
          <w:tcPr>
            <w:tcW w:w="920" w:type="dxa"/>
            <w:vAlign w:val="bottom"/>
          </w:tcPr>
          <w:p>
            <w:pPr>
              <w:ind w:left="220"/>
              <w:spacing w:after="0" w:line="172" w:lineRule="exact"/>
              <w:rPr>
                <w:sz w:val="20"/>
                <w:szCs w:val="20"/>
                <w:color w:val="auto"/>
              </w:rPr>
            </w:pPr>
            <w:r>
              <w:rPr>
                <w:rFonts w:ascii="Arial" w:cs="Arial" w:eastAsia="Arial" w:hAnsi="Arial"/>
                <w:sz w:val="16"/>
                <w:szCs w:val="16"/>
                <w:color w:val="auto"/>
              </w:rPr>
              <w:t>3.1</w:t>
            </w:r>
          </w:p>
        </w:tc>
        <w:tc>
          <w:tcPr>
            <w:tcW w:w="880" w:type="dxa"/>
            <w:vAlign w:val="bottom"/>
          </w:tcPr>
          <w:p>
            <w:pPr>
              <w:ind w:left="200"/>
              <w:spacing w:after="0" w:line="172" w:lineRule="exact"/>
              <w:rPr>
                <w:sz w:val="20"/>
                <w:szCs w:val="20"/>
                <w:color w:val="auto"/>
              </w:rPr>
            </w:pPr>
            <w:r>
              <w:rPr>
                <w:rFonts w:ascii="Arial" w:cs="Arial" w:eastAsia="Arial" w:hAnsi="Arial"/>
                <w:sz w:val="16"/>
                <w:szCs w:val="16"/>
                <w:color w:val="auto"/>
              </w:rPr>
              <w:t>7/19/21</w:t>
            </w: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rPr>
                <w:sz w:val="20"/>
                <w:szCs w:val="20"/>
                <w:color w:val="auto"/>
              </w:rPr>
            </w:pPr>
            <w:r>
              <w:rPr>
                <w:rFonts w:ascii="Arial" w:cs="Arial" w:eastAsia="Arial" w:hAnsi="Arial"/>
                <w:sz w:val="16"/>
                <w:szCs w:val="16"/>
                <w:color w:val="auto"/>
              </w:rPr>
              <w:t>3.2</w:t>
            </w:r>
          </w:p>
        </w:tc>
        <w:tc>
          <w:tcPr>
            <w:tcW w:w="340" w:type="dxa"/>
            <w:vAlign w:val="bottom"/>
            <w:tcBorders>
              <w:left w:val="single" w:sz="8" w:color="0000EE"/>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vMerge w:val="restart"/>
          </w:tcPr>
          <w:p>
            <w:pPr>
              <w:ind w:left="140"/>
              <w:spacing w:after="0"/>
              <w:rPr>
                <w:sz w:val="20"/>
                <w:szCs w:val="20"/>
                <w:color w:val="auto"/>
              </w:rPr>
            </w:pPr>
            <w:r>
              <w:rPr>
                <w:rFonts w:ascii="Arial" w:cs="Arial" w:eastAsia="Arial" w:hAnsi="Arial"/>
                <w:sz w:val="16"/>
                <w:szCs w:val="16"/>
                <w:color w:val="auto"/>
              </w:rPr>
              <w:t>8-K</w:t>
            </w:r>
          </w:p>
        </w:tc>
        <w:tc>
          <w:tcPr>
            <w:tcW w:w="1160" w:type="dxa"/>
            <w:vAlign w:val="bottom"/>
            <w:vMerge w:val="restart"/>
          </w:tcPr>
          <w:p>
            <w:pPr>
              <w:ind w:left="160"/>
              <w:spacing w:after="0"/>
              <w:rPr>
                <w:sz w:val="20"/>
                <w:szCs w:val="20"/>
                <w:color w:val="auto"/>
              </w:rPr>
            </w:pPr>
            <w:r>
              <w:rPr>
                <w:rFonts w:ascii="Arial" w:cs="Arial" w:eastAsia="Arial" w:hAnsi="Arial"/>
                <w:sz w:val="16"/>
                <w:szCs w:val="16"/>
                <w:color w:val="auto"/>
              </w:rPr>
              <w:t>001-40587</w:t>
            </w:r>
          </w:p>
        </w:tc>
        <w:tc>
          <w:tcPr>
            <w:tcW w:w="920" w:type="dxa"/>
            <w:vAlign w:val="bottom"/>
            <w:vMerge w:val="restart"/>
          </w:tcPr>
          <w:p>
            <w:pPr>
              <w:ind w:left="220"/>
              <w:spacing w:after="0"/>
              <w:rPr>
                <w:sz w:val="20"/>
                <w:szCs w:val="20"/>
                <w:color w:val="auto"/>
              </w:rPr>
            </w:pPr>
            <w:r>
              <w:rPr>
                <w:rFonts w:ascii="Arial" w:cs="Arial" w:eastAsia="Arial" w:hAnsi="Arial"/>
                <w:sz w:val="16"/>
                <w:szCs w:val="16"/>
                <w:color w:val="auto"/>
              </w:rPr>
              <w:t>3.2</w:t>
            </w:r>
          </w:p>
        </w:tc>
        <w:tc>
          <w:tcPr>
            <w:tcW w:w="880" w:type="dxa"/>
            <w:vAlign w:val="bottom"/>
            <w:vMerge w:val="restart"/>
          </w:tcPr>
          <w:p>
            <w:pPr>
              <w:ind w:left="200"/>
              <w:spacing w:after="0"/>
              <w:rPr>
                <w:sz w:val="20"/>
                <w:szCs w:val="20"/>
                <w:color w:val="auto"/>
              </w:rPr>
            </w:pPr>
            <w:r>
              <w:rPr>
                <w:rFonts w:ascii="Arial" w:cs="Arial" w:eastAsia="Arial" w:hAnsi="Arial"/>
                <w:sz w:val="16"/>
                <w:szCs w:val="16"/>
                <w:color w:val="auto"/>
              </w:rPr>
              <w:t>7/19/21</w:t>
            </w: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20" w:type="dxa"/>
            <w:vAlign w:val="bottom"/>
            <w:vMerge w:val="continue"/>
          </w:tcPr>
          <w:p>
            <w:pPr>
              <w:spacing w:after="0"/>
              <w:rPr>
                <w:sz w:val="14"/>
                <w:szCs w:val="14"/>
                <w:color w:val="auto"/>
              </w:rPr>
            </w:pPr>
          </w:p>
        </w:tc>
        <w:tc>
          <w:tcPr>
            <w:tcW w:w="4040" w:type="dxa"/>
            <w:vAlign w:val="bottom"/>
            <w:gridSpan w:val="16"/>
          </w:tcPr>
          <w:p>
            <w:pPr>
              <w:spacing w:after="0" w:line="169" w:lineRule="exact"/>
              <w:rPr>
                <w:rFonts w:ascii="Arial" w:cs="Arial" w:eastAsia="Arial" w:hAnsi="Arial"/>
                <w:sz w:val="16"/>
                <w:szCs w:val="16"/>
                <w:color w:val="0000FF"/>
              </w:rPr>
            </w:pPr>
            <w:hyperlink r:id="rId226">
              <w:r>
                <w:rPr>
                  <w:rFonts w:ascii="Arial" w:cs="Arial" w:eastAsia="Arial" w:hAnsi="Arial"/>
                  <w:sz w:val="16"/>
                  <w:szCs w:val="16"/>
                  <w:color w:val="0000FF"/>
                </w:rPr>
                <w:t>Amended and Restated Bylaws of Sight Sciences, Inc.</w:t>
              </w:r>
            </w:hyperlink>
          </w:p>
        </w:tc>
        <w:tc>
          <w:tcPr>
            <w:tcW w:w="144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rPr>
                <w:sz w:val="20"/>
                <w:szCs w:val="20"/>
                <w:color w:val="auto"/>
              </w:rPr>
            </w:pPr>
            <w:r>
              <w:rPr>
                <w:rFonts w:ascii="Arial" w:cs="Arial" w:eastAsia="Arial" w:hAnsi="Arial"/>
                <w:sz w:val="16"/>
                <w:szCs w:val="16"/>
                <w:color w:val="auto"/>
              </w:rPr>
              <w:t>4.1</w:t>
            </w:r>
          </w:p>
        </w:tc>
        <w:tc>
          <w:tcPr>
            <w:tcW w:w="340" w:type="dxa"/>
            <w:vAlign w:val="bottom"/>
            <w:tcBorders>
              <w:left w:val="single" w:sz="8" w:color="0000EE"/>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vMerge w:val="restart"/>
          </w:tcPr>
          <w:p>
            <w:pPr>
              <w:ind w:left="140"/>
              <w:spacing w:after="0"/>
              <w:rPr>
                <w:sz w:val="20"/>
                <w:szCs w:val="20"/>
                <w:color w:val="auto"/>
              </w:rPr>
            </w:pPr>
            <w:r>
              <w:rPr>
                <w:rFonts w:ascii="Arial" w:cs="Arial" w:eastAsia="Arial" w:hAnsi="Arial"/>
                <w:sz w:val="16"/>
                <w:szCs w:val="16"/>
                <w:color w:val="auto"/>
              </w:rPr>
              <w:t>S-1/A</w:t>
            </w:r>
          </w:p>
        </w:tc>
        <w:tc>
          <w:tcPr>
            <w:tcW w:w="1160" w:type="dxa"/>
            <w:vAlign w:val="bottom"/>
            <w:vMerge w:val="restart"/>
          </w:tcPr>
          <w:p>
            <w:pPr>
              <w:ind w:left="160"/>
              <w:spacing w:after="0"/>
              <w:rPr>
                <w:sz w:val="20"/>
                <w:szCs w:val="20"/>
                <w:color w:val="auto"/>
              </w:rPr>
            </w:pPr>
            <w:r>
              <w:rPr>
                <w:rFonts w:ascii="Arial" w:cs="Arial" w:eastAsia="Arial" w:hAnsi="Arial"/>
                <w:sz w:val="16"/>
                <w:szCs w:val="16"/>
                <w:color w:val="auto"/>
              </w:rPr>
              <w:t>333-257320</w:t>
            </w:r>
          </w:p>
        </w:tc>
        <w:tc>
          <w:tcPr>
            <w:tcW w:w="920" w:type="dxa"/>
            <w:vAlign w:val="bottom"/>
            <w:vMerge w:val="restart"/>
          </w:tcPr>
          <w:p>
            <w:pPr>
              <w:ind w:left="220"/>
              <w:spacing w:after="0"/>
              <w:rPr>
                <w:sz w:val="20"/>
                <w:szCs w:val="20"/>
                <w:color w:val="auto"/>
              </w:rPr>
            </w:pPr>
            <w:r>
              <w:rPr>
                <w:rFonts w:ascii="Arial" w:cs="Arial" w:eastAsia="Arial" w:hAnsi="Arial"/>
                <w:sz w:val="16"/>
                <w:szCs w:val="16"/>
                <w:color w:val="auto"/>
              </w:rPr>
              <w:t>4.1</w:t>
            </w:r>
          </w:p>
        </w:tc>
        <w:tc>
          <w:tcPr>
            <w:tcW w:w="880" w:type="dxa"/>
            <w:vAlign w:val="bottom"/>
            <w:vMerge w:val="restart"/>
          </w:tcPr>
          <w:p>
            <w:pPr>
              <w:ind w:left="200"/>
              <w:spacing w:after="0"/>
              <w:rPr>
                <w:sz w:val="20"/>
                <w:szCs w:val="20"/>
                <w:color w:val="auto"/>
              </w:rPr>
            </w:pPr>
            <w:r>
              <w:rPr>
                <w:rFonts w:ascii="Arial" w:cs="Arial" w:eastAsia="Arial" w:hAnsi="Arial"/>
                <w:sz w:val="16"/>
                <w:szCs w:val="16"/>
                <w:color w:val="auto"/>
              </w:rPr>
              <w:t>7/8/21</w:t>
            </w: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20" w:type="dxa"/>
            <w:vAlign w:val="bottom"/>
            <w:vMerge w:val="continue"/>
          </w:tcPr>
          <w:p>
            <w:pPr>
              <w:spacing w:after="0"/>
              <w:rPr>
                <w:sz w:val="14"/>
                <w:szCs w:val="14"/>
                <w:color w:val="auto"/>
              </w:rPr>
            </w:pPr>
          </w:p>
        </w:tc>
        <w:tc>
          <w:tcPr>
            <w:tcW w:w="4040" w:type="dxa"/>
            <w:vAlign w:val="bottom"/>
            <w:gridSpan w:val="16"/>
          </w:tcPr>
          <w:p>
            <w:pPr>
              <w:spacing w:after="0" w:line="169" w:lineRule="exact"/>
              <w:rPr>
                <w:rFonts w:ascii="Arial" w:cs="Arial" w:eastAsia="Arial" w:hAnsi="Arial"/>
                <w:sz w:val="16"/>
                <w:szCs w:val="16"/>
                <w:color w:val="0000FF"/>
                <w:w w:val="95"/>
              </w:rPr>
            </w:pPr>
            <w:hyperlink r:id="rId227">
              <w:r>
                <w:rPr>
                  <w:rFonts w:ascii="Arial" w:cs="Arial" w:eastAsia="Arial" w:hAnsi="Arial"/>
                  <w:sz w:val="16"/>
                  <w:szCs w:val="16"/>
                  <w:color w:val="0000FF"/>
                  <w:w w:val="95"/>
                </w:rPr>
                <w:t>Third Amended and Restated Investors’ Rights Agreement,</w:t>
              </w:r>
            </w:hyperlink>
          </w:p>
        </w:tc>
        <w:tc>
          <w:tcPr>
            <w:tcW w:w="144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020" w:type="dxa"/>
            <w:vAlign w:val="bottom"/>
            <w:vMerge w:val="restart"/>
          </w:tcPr>
          <w:p>
            <w:pPr>
              <w:spacing w:after="0"/>
              <w:rPr>
                <w:sz w:val="20"/>
                <w:szCs w:val="20"/>
                <w:color w:val="auto"/>
              </w:rPr>
            </w:pPr>
            <w:r>
              <w:rPr>
                <w:rFonts w:ascii="Arial" w:cs="Arial" w:eastAsia="Arial" w:hAnsi="Arial"/>
                <w:sz w:val="16"/>
                <w:szCs w:val="16"/>
                <w:color w:val="auto"/>
              </w:rPr>
              <w:t>4.2</w:t>
            </w:r>
          </w:p>
        </w:tc>
        <w:tc>
          <w:tcPr>
            <w:tcW w:w="3900" w:type="dxa"/>
            <w:vAlign w:val="bottom"/>
            <w:tcBorders>
              <w:top w:val="single" w:sz="8" w:color="0000FF"/>
            </w:tcBorders>
            <w:gridSpan w:val="12"/>
          </w:tcPr>
          <w:p>
            <w:pPr>
              <w:spacing w:after="0" w:line="155" w:lineRule="exact"/>
              <w:rPr>
                <w:rFonts w:ascii="Arial" w:cs="Arial" w:eastAsia="Arial" w:hAnsi="Arial"/>
                <w:sz w:val="16"/>
                <w:szCs w:val="16"/>
                <w:color w:val="0000FF"/>
              </w:rPr>
            </w:pPr>
            <w:hyperlink r:id="rId227">
              <w:r>
                <w:rPr>
                  <w:rFonts w:ascii="Arial" w:cs="Arial" w:eastAsia="Arial" w:hAnsi="Arial"/>
                  <w:sz w:val="16"/>
                  <w:szCs w:val="16"/>
                  <w:color w:val="0000FF"/>
                </w:rPr>
                <w:t>dated as of November 23, 2020, as amended</w:t>
              </w:r>
            </w:hyperlink>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40" w:type="dxa"/>
            <w:vAlign w:val="bottom"/>
            <w:vMerge w:val="restart"/>
          </w:tcPr>
          <w:p>
            <w:pPr>
              <w:ind w:left="140"/>
              <w:spacing w:after="0"/>
              <w:rPr>
                <w:sz w:val="20"/>
                <w:szCs w:val="20"/>
                <w:color w:val="auto"/>
              </w:rPr>
            </w:pPr>
            <w:r>
              <w:rPr>
                <w:rFonts w:ascii="Arial" w:cs="Arial" w:eastAsia="Arial" w:hAnsi="Arial"/>
                <w:sz w:val="16"/>
                <w:szCs w:val="16"/>
                <w:color w:val="auto"/>
              </w:rPr>
              <w:t>S-1/A</w:t>
            </w:r>
          </w:p>
        </w:tc>
        <w:tc>
          <w:tcPr>
            <w:tcW w:w="1160" w:type="dxa"/>
            <w:vAlign w:val="bottom"/>
            <w:vMerge w:val="restart"/>
          </w:tcPr>
          <w:p>
            <w:pPr>
              <w:ind w:left="160"/>
              <w:spacing w:after="0"/>
              <w:rPr>
                <w:sz w:val="20"/>
                <w:szCs w:val="20"/>
                <w:color w:val="auto"/>
              </w:rPr>
            </w:pPr>
            <w:r>
              <w:rPr>
                <w:rFonts w:ascii="Arial" w:cs="Arial" w:eastAsia="Arial" w:hAnsi="Arial"/>
                <w:sz w:val="16"/>
                <w:szCs w:val="16"/>
                <w:color w:val="auto"/>
              </w:rPr>
              <w:t>333-257320</w:t>
            </w:r>
          </w:p>
        </w:tc>
        <w:tc>
          <w:tcPr>
            <w:tcW w:w="920" w:type="dxa"/>
            <w:vAlign w:val="bottom"/>
            <w:vMerge w:val="restart"/>
          </w:tcPr>
          <w:p>
            <w:pPr>
              <w:ind w:left="220"/>
              <w:spacing w:after="0"/>
              <w:rPr>
                <w:sz w:val="20"/>
                <w:szCs w:val="20"/>
                <w:color w:val="auto"/>
              </w:rPr>
            </w:pPr>
            <w:r>
              <w:rPr>
                <w:rFonts w:ascii="Arial" w:cs="Arial" w:eastAsia="Arial" w:hAnsi="Arial"/>
                <w:sz w:val="16"/>
                <w:szCs w:val="16"/>
                <w:color w:val="auto"/>
              </w:rPr>
              <w:t>4.2</w:t>
            </w:r>
          </w:p>
        </w:tc>
        <w:tc>
          <w:tcPr>
            <w:tcW w:w="880" w:type="dxa"/>
            <w:vAlign w:val="bottom"/>
            <w:vMerge w:val="restart"/>
          </w:tcPr>
          <w:p>
            <w:pPr>
              <w:ind w:left="200"/>
              <w:spacing w:after="0"/>
              <w:rPr>
                <w:sz w:val="20"/>
                <w:szCs w:val="20"/>
                <w:color w:val="auto"/>
              </w:rPr>
            </w:pPr>
            <w:r>
              <w:rPr>
                <w:rFonts w:ascii="Arial" w:cs="Arial" w:eastAsia="Arial" w:hAnsi="Arial"/>
                <w:sz w:val="16"/>
                <w:szCs w:val="16"/>
                <w:color w:val="auto"/>
              </w:rPr>
              <w:t>7/8/21</w:t>
            </w: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vMerge w:val="continue"/>
          </w:tcPr>
          <w:p>
            <w:pPr>
              <w:spacing w:after="0" w:line="20" w:lineRule="exact"/>
              <w:rPr>
                <w:sz w:val="1"/>
                <w:szCs w:val="1"/>
                <w:color w:val="auto"/>
              </w:rPr>
            </w:pPr>
          </w:p>
        </w:tc>
        <w:tc>
          <w:tcPr>
            <w:tcW w:w="340" w:type="dxa"/>
            <w:vAlign w:val="bottom"/>
            <w:tcBorders>
              <w:left w:val="single" w:sz="8" w:color="0000EE"/>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600" w:type="dxa"/>
            <w:vAlign w:val="bottom"/>
            <w:tcBorders>
              <w:right w:val="single" w:sz="8" w:color="0000EE"/>
            </w:tcBorders>
            <w:shd w:val="clear" w:color="auto" w:fill="0000FF"/>
          </w:tcPr>
          <w:p>
            <w:pPr>
              <w:spacing w:after="0" w:line="20" w:lineRule="exact"/>
              <w:rPr>
                <w:sz w:val="1"/>
                <w:szCs w:val="1"/>
                <w:color w:val="auto"/>
              </w:rPr>
            </w:pPr>
          </w:p>
        </w:tc>
        <w:tc>
          <w:tcPr>
            <w:tcW w:w="1140" w:type="dxa"/>
            <w:vAlign w:val="bottom"/>
            <w:gridSpan w:val="9"/>
            <w:vMerge w:val="restart"/>
          </w:tcPr>
          <w:p>
            <w:pPr>
              <w:spacing w:after="0" w:line="175" w:lineRule="exact"/>
              <w:rPr>
                <w:rFonts w:ascii="Arial" w:cs="Arial" w:eastAsia="Arial" w:hAnsi="Arial"/>
                <w:sz w:val="16"/>
                <w:szCs w:val="16"/>
                <w:color w:val="0000FF"/>
                <w:w w:val="85"/>
              </w:rPr>
            </w:pPr>
            <w:hyperlink r:id="rId228">
              <w:r>
                <w:rPr>
                  <w:rFonts w:ascii="Arial" w:cs="Arial" w:eastAsia="Arial" w:hAnsi="Arial"/>
                  <w:sz w:val="16"/>
                  <w:szCs w:val="16"/>
                  <w:color w:val="0000FF"/>
                  <w:w w:val="85"/>
                </w:rPr>
                <w:t>shares of common</w:t>
              </w:r>
            </w:hyperlink>
          </w:p>
        </w:tc>
        <w:tc>
          <w:tcPr>
            <w:tcW w:w="1440" w:type="dxa"/>
            <w:vAlign w:val="bottom"/>
            <w:vMerge w:val="continue"/>
          </w:tcPr>
          <w:p>
            <w:pPr>
              <w:spacing w:after="0" w:line="20" w:lineRule="exact"/>
              <w:rPr>
                <w:sz w:val="1"/>
                <w:szCs w:val="1"/>
                <w:color w:val="auto"/>
              </w:rPr>
            </w:pPr>
          </w:p>
        </w:tc>
        <w:tc>
          <w:tcPr>
            <w:tcW w:w="1160" w:type="dxa"/>
            <w:vAlign w:val="bottom"/>
            <w:vMerge w:val="continue"/>
          </w:tcPr>
          <w:p>
            <w:pPr>
              <w:spacing w:after="0" w:line="20" w:lineRule="exact"/>
              <w:rPr>
                <w:sz w:val="1"/>
                <w:szCs w:val="1"/>
                <w:color w:val="auto"/>
              </w:rPr>
            </w:pPr>
          </w:p>
        </w:tc>
        <w:tc>
          <w:tcPr>
            <w:tcW w:w="920" w:type="dxa"/>
            <w:vAlign w:val="bottom"/>
            <w:vMerge w:val="continue"/>
          </w:tcPr>
          <w:p>
            <w:pPr>
              <w:spacing w:after="0" w:line="20" w:lineRule="exact"/>
              <w:rPr>
                <w:sz w:val="1"/>
                <w:szCs w:val="1"/>
                <w:color w:val="auto"/>
              </w:rPr>
            </w:pPr>
          </w:p>
        </w:tc>
        <w:tc>
          <w:tcPr>
            <w:tcW w:w="880" w:type="dxa"/>
            <w:vAlign w:val="bottom"/>
            <w:vMerge w:val="continu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020" w:type="dxa"/>
            <w:vAlign w:val="bottom"/>
            <w:vMerge w:val="continue"/>
          </w:tcPr>
          <w:p>
            <w:pPr>
              <w:spacing w:after="0"/>
              <w:rPr>
                <w:sz w:val="13"/>
                <w:szCs w:val="13"/>
                <w:color w:val="auto"/>
              </w:rPr>
            </w:pPr>
          </w:p>
        </w:tc>
        <w:tc>
          <w:tcPr>
            <w:tcW w:w="2900" w:type="dxa"/>
            <w:vAlign w:val="bottom"/>
            <w:gridSpan w:val="7"/>
          </w:tcPr>
          <w:p>
            <w:pPr>
              <w:spacing w:after="0" w:line="155" w:lineRule="exact"/>
              <w:rPr>
                <w:rFonts w:ascii="Arial" w:cs="Arial" w:eastAsia="Arial" w:hAnsi="Arial"/>
                <w:sz w:val="16"/>
                <w:szCs w:val="16"/>
                <w:color w:val="0000FF"/>
                <w:w w:val="95"/>
              </w:rPr>
            </w:pPr>
            <w:hyperlink r:id="rId228">
              <w:r>
                <w:rPr>
                  <w:rFonts w:ascii="Arial" w:cs="Arial" w:eastAsia="Arial" w:hAnsi="Arial"/>
                  <w:sz w:val="16"/>
                  <w:szCs w:val="16"/>
                  <w:color w:val="0000FF"/>
                  <w:w w:val="95"/>
                </w:rPr>
                <w:t>Specimen Stock Certificate evidencing the</w:t>
              </w:r>
            </w:hyperlink>
          </w:p>
        </w:tc>
        <w:tc>
          <w:tcPr>
            <w:tcW w:w="1140" w:type="dxa"/>
            <w:vAlign w:val="bottom"/>
            <w:gridSpan w:val="9"/>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116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20" w:type="dxa"/>
            <w:vAlign w:val="bottom"/>
            <w:vMerge w:val="restart"/>
          </w:tcPr>
          <w:p>
            <w:pPr>
              <w:spacing w:after="0"/>
              <w:rPr>
                <w:sz w:val="20"/>
                <w:szCs w:val="20"/>
                <w:color w:val="auto"/>
              </w:rPr>
            </w:pPr>
            <w:r>
              <w:rPr>
                <w:rFonts w:ascii="Arial" w:cs="Arial" w:eastAsia="Arial" w:hAnsi="Arial"/>
                <w:sz w:val="16"/>
                <w:szCs w:val="16"/>
                <w:color w:val="auto"/>
              </w:rPr>
              <w:t>4.3</w:t>
            </w:r>
          </w:p>
        </w:tc>
        <w:tc>
          <w:tcPr>
            <w:tcW w:w="4040" w:type="dxa"/>
            <w:vAlign w:val="bottom"/>
            <w:tcBorders>
              <w:top w:val="single" w:sz="8" w:color="0000FF"/>
            </w:tcBorders>
            <w:gridSpan w:val="16"/>
          </w:tcPr>
          <w:p>
            <w:pPr>
              <w:spacing w:after="0" w:line="155" w:lineRule="exact"/>
              <w:rPr>
                <w:rFonts w:ascii="Arial" w:cs="Arial" w:eastAsia="Arial" w:hAnsi="Arial"/>
                <w:sz w:val="16"/>
                <w:szCs w:val="16"/>
                <w:color w:val="0000FF"/>
              </w:rPr>
            </w:pPr>
            <w:hyperlink r:id="rId228">
              <w:r>
                <w:rPr>
                  <w:rFonts w:ascii="Arial" w:cs="Arial" w:eastAsia="Arial" w:hAnsi="Arial"/>
                  <w:sz w:val="16"/>
                  <w:szCs w:val="16"/>
                  <w:color w:val="0000FF"/>
                </w:rPr>
                <w:t>stock</w:t>
              </w:r>
            </w:hyperlink>
          </w:p>
        </w:tc>
        <w:tc>
          <w:tcPr>
            <w:tcW w:w="1440" w:type="dxa"/>
            <w:vAlign w:val="bottom"/>
            <w:vMerge w:val="restart"/>
          </w:tcPr>
          <w:p>
            <w:pPr>
              <w:ind w:left="140"/>
              <w:spacing w:after="0"/>
              <w:rPr>
                <w:sz w:val="20"/>
                <w:szCs w:val="20"/>
                <w:color w:val="auto"/>
              </w:rPr>
            </w:pPr>
            <w:r>
              <w:rPr>
                <w:rFonts w:ascii="Arial" w:cs="Arial" w:eastAsia="Arial" w:hAnsi="Arial"/>
                <w:sz w:val="16"/>
                <w:szCs w:val="16"/>
                <w:color w:val="auto"/>
              </w:rPr>
              <w:t>S-1</w:t>
            </w:r>
          </w:p>
        </w:tc>
        <w:tc>
          <w:tcPr>
            <w:tcW w:w="1160" w:type="dxa"/>
            <w:vAlign w:val="bottom"/>
            <w:vMerge w:val="restart"/>
          </w:tcPr>
          <w:p>
            <w:pPr>
              <w:ind w:left="160"/>
              <w:spacing w:after="0"/>
              <w:rPr>
                <w:sz w:val="20"/>
                <w:szCs w:val="20"/>
                <w:color w:val="auto"/>
              </w:rPr>
            </w:pPr>
            <w:r>
              <w:rPr>
                <w:rFonts w:ascii="Arial" w:cs="Arial" w:eastAsia="Arial" w:hAnsi="Arial"/>
                <w:sz w:val="16"/>
                <w:szCs w:val="16"/>
                <w:color w:val="auto"/>
              </w:rPr>
              <w:t>333-257320</w:t>
            </w:r>
          </w:p>
        </w:tc>
        <w:tc>
          <w:tcPr>
            <w:tcW w:w="920" w:type="dxa"/>
            <w:vAlign w:val="bottom"/>
            <w:vMerge w:val="restart"/>
          </w:tcPr>
          <w:p>
            <w:pPr>
              <w:ind w:left="220"/>
              <w:spacing w:after="0"/>
              <w:rPr>
                <w:sz w:val="20"/>
                <w:szCs w:val="20"/>
                <w:color w:val="auto"/>
              </w:rPr>
            </w:pPr>
            <w:r>
              <w:rPr>
                <w:rFonts w:ascii="Arial" w:cs="Arial" w:eastAsia="Arial" w:hAnsi="Arial"/>
                <w:sz w:val="16"/>
                <w:szCs w:val="16"/>
                <w:color w:val="auto"/>
              </w:rPr>
              <w:t>4.3</w:t>
            </w:r>
          </w:p>
        </w:tc>
        <w:tc>
          <w:tcPr>
            <w:tcW w:w="880" w:type="dxa"/>
            <w:vAlign w:val="bottom"/>
            <w:vMerge w:val="restart"/>
          </w:tcPr>
          <w:p>
            <w:pPr>
              <w:ind w:left="200"/>
              <w:spacing w:after="0"/>
              <w:rPr>
                <w:sz w:val="20"/>
                <w:szCs w:val="20"/>
                <w:color w:val="auto"/>
              </w:rPr>
            </w:pPr>
            <w:r>
              <w:rPr>
                <w:rFonts w:ascii="Arial" w:cs="Arial" w:eastAsia="Arial" w:hAnsi="Arial"/>
                <w:sz w:val="16"/>
                <w:szCs w:val="16"/>
                <w:color w:val="auto"/>
              </w:rPr>
              <w:t>6/23/21</w:t>
            </w: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vMerge w:val="continue"/>
          </w:tcPr>
          <w:p>
            <w:pPr>
              <w:spacing w:after="0" w:line="20" w:lineRule="exact"/>
              <w:rPr>
                <w:sz w:val="1"/>
                <w:szCs w:val="1"/>
                <w:color w:val="auto"/>
              </w:rPr>
            </w:pPr>
          </w:p>
        </w:tc>
        <w:tc>
          <w:tcPr>
            <w:tcW w:w="340" w:type="dxa"/>
            <w:vAlign w:val="bottom"/>
            <w:tcBorders>
              <w:left w:val="single" w:sz="8" w:color="0000EE"/>
            </w:tcBorders>
            <w:shd w:val="clear" w:color="auto" w:fill="0000FF"/>
          </w:tcPr>
          <w:p>
            <w:pPr>
              <w:spacing w:after="0" w:line="20" w:lineRule="exact"/>
              <w:rPr>
                <w:sz w:val="1"/>
                <w:szCs w:val="1"/>
                <w:color w:val="auto"/>
              </w:rPr>
            </w:pPr>
          </w:p>
        </w:tc>
        <w:tc>
          <w:tcPr>
            <w:tcW w:w="3700" w:type="dxa"/>
            <w:vAlign w:val="bottom"/>
            <w:gridSpan w:val="15"/>
            <w:vMerge w:val="restart"/>
          </w:tcPr>
          <w:p>
            <w:pPr>
              <w:ind w:left="60"/>
              <w:spacing w:after="0" w:line="175" w:lineRule="exact"/>
              <w:rPr>
                <w:rFonts w:ascii="Arial" w:cs="Arial" w:eastAsia="Arial" w:hAnsi="Arial"/>
                <w:sz w:val="16"/>
                <w:szCs w:val="16"/>
                <w:color w:val="0000FF"/>
              </w:rPr>
            </w:pPr>
            <w:hyperlink r:id="rId229">
              <w:r>
                <w:rPr>
                  <w:rFonts w:ascii="Arial" w:cs="Arial" w:eastAsia="Arial" w:hAnsi="Arial"/>
                  <w:sz w:val="16"/>
                  <w:szCs w:val="16"/>
                  <w:color w:val="0000FF"/>
                </w:rPr>
                <w:t>of Warrant to Purchase Stock</w:t>
              </w:r>
            </w:hyperlink>
          </w:p>
        </w:tc>
        <w:tc>
          <w:tcPr>
            <w:tcW w:w="1440" w:type="dxa"/>
            <w:vAlign w:val="bottom"/>
            <w:vMerge w:val="continue"/>
          </w:tcPr>
          <w:p>
            <w:pPr>
              <w:spacing w:after="0" w:line="20" w:lineRule="exact"/>
              <w:rPr>
                <w:sz w:val="1"/>
                <w:szCs w:val="1"/>
                <w:color w:val="auto"/>
              </w:rPr>
            </w:pPr>
          </w:p>
        </w:tc>
        <w:tc>
          <w:tcPr>
            <w:tcW w:w="1160" w:type="dxa"/>
            <w:vAlign w:val="bottom"/>
            <w:vMerge w:val="continue"/>
          </w:tcPr>
          <w:p>
            <w:pPr>
              <w:spacing w:after="0" w:line="20" w:lineRule="exact"/>
              <w:rPr>
                <w:sz w:val="1"/>
                <w:szCs w:val="1"/>
                <w:color w:val="auto"/>
              </w:rPr>
            </w:pPr>
          </w:p>
        </w:tc>
        <w:tc>
          <w:tcPr>
            <w:tcW w:w="920" w:type="dxa"/>
            <w:vAlign w:val="bottom"/>
            <w:vMerge w:val="continue"/>
          </w:tcPr>
          <w:p>
            <w:pPr>
              <w:spacing w:after="0" w:line="20" w:lineRule="exact"/>
              <w:rPr>
                <w:sz w:val="1"/>
                <w:szCs w:val="1"/>
                <w:color w:val="auto"/>
              </w:rPr>
            </w:pPr>
          </w:p>
        </w:tc>
        <w:tc>
          <w:tcPr>
            <w:tcW w:w="880" w:type="dxa"/>
            <w:vAlign w:val="bottom"/>
            <w:vMerge w:val="continu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020" w:type="dxa"/>
            <w:vAlign w:val="bottom"/>
            <w:vMerge w:val="continue"/>
          </w:tcPr>
          <w:p>
            <w:pPr>
              <w:spacing w:after="0"/>
              <w:rPr>
                <w:sz w:val="13"/>
                <w:szCs w:val="13"/>
                <w:color w:val="auto"/>
              </w:rPr>
            </w:pPr>
          </w:p>
        </w:tc>
        <w:tc>
          <w:tcPr>
            <w:tcW w:w="340" w:type="dxa"/>
            <w:vAlign w:val="bottom"/>
          </w:tcPr>
          <w:p>
            <w:pPr>
              <w:spacing w:after="0" w:line="155" w:lineRule="exact"/>
              <w:rPr>
                <w:rFonts w:ascii="Arial" w:cs="Arial" w:eastAsia="Arial" w:hAnsi="Arial"/>
                <w:sz w:val="16"/>
                <w:szCs w:val="16"/>
                <w:color w:val="0000FF"/>
                <w:w w:val="85"/>
              </w:rPr>
            </w:pPr>
            <w:hyperlink r:id="rId229">
              <w:r>
                <w:rPr>
                  <w:rFonts w:ascii="Arial" w:cs="Arial" w:eastAsia="Arial" w:hAnsi="Arial"/>
                  <w:sz w:val="16"/>
                  <w:szCs w:val="16"/>
                  <w:color w:val="0000FF"/>
                  <w:w w:val="85"/>
                </w:rPr>
                <w:t>Form</w:t>
              </w:r>
            </w:hyperlink>
          </w:p>
        </w:tc>
        <w:tc>
          <w:tcPr>
            <w:tcW w:w="3700" w:type="dxa"/>
            <w:vAlign w:val="bottom"/>
            <w:gridSpan w:val="15"/>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116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rPr>
                <w:sz w:val="20"/>
                <w:szCs w:val="20"/>
                <w:color w:val="auto"/>
              </w:rPr>
            </w:pPr>
            <w:r>
              <w:rPr>
                <w:rFonts w:ascii="Arial" w:cs="Arial" w:eastAsia="Arial" w:hAnsi="Arial"/>
                <w:sz w:val="16"/>
                <w:szCs w:val="16"/>
                <w:color w:val="auto"/>
              </w:rPr>
              <w:t>10.1</w:t>
            </w:r>
          </w:p>
        </w:tc>
        <w:tc>
          <w:tcPr>
            <w:tcW w:w="1060" w:type="dxa"/>
            <w:vAlign w:val="bottom"/>
            <w:tcBorders>
              <w:left w:val="single" w:sz="8" w:color="0000EE"/>
            </w:tcBorders>
            <w:gridSpan w:val="2"/>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20" w:type="dxa"/>
            <w:vAlign w:val="bottom"/>
            <w:vMerge w:val="restart"/>
          </w:tcPr>
          <w:p>
            <w:pPr>
              <w:jc w:val="center"/>
              <w:ind w:left="559"/>
              <w:spacing w:after="0"/>
              <w:rPr>
                <w:sz w:val="20"/>
                <w:szCs w:val="20"/>
                <w:color w:val="auto"/>
              </w:rPr>
            </w:pPr>
            <w:r>
              <w:rPr>
                <w:rFonts w:ascii="Arial" w:cs="Arial" w:eastAsia="Arial" w:hAnsi="Arial"/>
                <w:sz w:val="16"/>
                <w:szCs w:val="16"/>
                <w:color w:val="auto"/>
              </w:rPr>
              <w:t>*</w:t>
            </w:r>
          </w:p>
        </w:tc>
        <w:tc>
          <w:tcPr>
            <w:tcW w:w="0" w:type="dxa"/>
            <w:vAlign w:val="bottom"/>
          </w:tcPr>
          <w:p>
            <w:pPr>
              <w:spacing w:after="0" w:line="20" w:lineRule="exact"/>
              <w:rPr>
                <w:sz w:val="1"/>
                <w:szCs w:val="1"/>
                <w:color w:val="auto"/>
              </w:rPr>
            </w:pPr>
          </w:p>
        </w:tc>
      </w:tr>
      <w:tr>
        <w:trPr>
          <w:trHeight w:val="169"/>
        </w:trPr>
        <w:tc>
          <w:tcPr>
            <w:tcW w:w="1020" w:type="dxa"/>
            <w:vAlign w:val="bottom"/>
            <w:vMerge w:val="continue"/>
          </w:tcPr>
          <w:p>
            <w:pPr>
              <w:spacing w:after="0"/>
              <w:rPr>
                <w:sz w:val="14"/>
                <w:szCs w:val="14"/>
                <w:color w:val="auto"/>
              </w:rPr>
            </w:pPr>
          </w:p>
        </w:tc>
        <w:tc>
          <w:tcPr>
            <w:tcW w:w="4040" w:type="dxa"/>
            <w:vAlign w:val="bottom"/>
            <w:gridSpan w:val="16"/>
          </w:tcPr>
          <w:p>
            <w:pPr>
              <w:spacing w:after="0" w:line="169" w:lineRule="exact"/>
              <w:rPr>
                <w:sz w:val="20"/>
                <w:szCs w:val="20"/>
                <w:color w:val="auto"/>
              </w:rPr>
            </w:pPr>
            <w:r>
              <w:rPr>
                <w:rFonts w:ascii="Arial" w:cs="Arial" w:eastAsia="Arial" w:hAnsi="Arial"/>
                <w:sz w:val="16"/>
                <w:szCs w:val="16"/>
                <w:color w:val="0000FF"/>
              </w:rPr>
              <w:t>Amendment No. 2 to Supply Agreement by and between</w:t>
            </w:r>
          </w:p>
        </w:tc>
        <w:tc>
          <w:tcPr>
            <w:tcW w:w="1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3740" w:type="dxa"/>
            <w:vAlign w:val="bottom"/>
            <w:tcBorders>
              <w:top w:val="single" w:sz="8" w:color="0000FF"/>
            </w:tcBorders>
            <w:gridSpan w:val="9"/>
          </w:tcPr>
          <w:p>
            <w:pPr>
              <w:spacing w:after="0" w:line="155" w:lineRule="exact"/>
              <w:rPr>
                <w:sz w:val="20"/>
                <w:szCs w:val="20"/>
                <w:color w:val="auto"/>
              </w:rPr>
            </w:pPr>
            <w:r>
              <w:rPr>
                <w:rFonts w:ascii="Arial" w:cs="Arial" w:eastAsia="Arial" w:hAnsi="Arial"/>
                <w:sz w:val="16"/>
                <w:szCs w:val="16"/>
                <w:color w:val="0000FF"/>
                <w:w w:val="89"/>
              </w:rPr>
              <w:t>Sight Sciences, Inc. and Peter's Technology, Inc., effective</w:t>
            </w:r>
          </w:p>
        </w:tc>
        <w:tc>
          <w:tcPr>
            <w:tcW w:w="60" w:type="dxa"/>
            <w:vAlign w:val="bottom"/>
          </w:tcPr>
          <w:p>
            <w:pPr>
              <w:spacing w:after="0"/>
              <w:rPr>
                <w:sz w:val="13"/>
                <w:szCs w:val="13"/>
                <w:color w:val="auto"/>
              </w:rPr>
            </w:pPr>
          </w:p>
        </w:tc>
        <w:tc>
          <w:tcPr>
            <w:tcW w:w="240" w:type="dxa"/>
            <w:vAlign w:val="bottom"/>
            <w:gridSpan w:val="6"/>
          </w:tcPr>
          <w:p>
            <w:pPr>
              <w:ind w:left="40"/>
              <w:spacing w:after="0" w:line="155" w:lineRule="exact"/>
              <w:rPr>
                <w:sz w:val="20"/>
                <w:szCs w:val="20"/>
                <w:color w:val="auto"/>
              </w:rPr>
            </w:pPr>
            <w:r>
              <w:rPr>
                <w:rFonts w:ascii="Arial" w:cs="Arial" w:eastAsia="Arial" w:hAnsi="Arial"/>
                <w:sz w:val="16"/>
                <w:szCs w:val="16"/>
                <w:color w:val="0000FF"/>
              </w:rPr>
              <w:t>as</w:t>
            </w:r>
          </w:p>
        </w:tc>
        <w:tc>
          <w:tcPr>
            <w:tcW w:w="14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020" w:type="dxa"/>
            <w:vAlign w:val="bottom"/>
            <w:vMerge w:val="restart"/>
          </w:tcPr>
          <w:p>
            <w:pPr>
              <w:spacing w:after="0"/>
              <w:rPr>
                <w:sz w:val="20"/>
                <w:szCs w:val="20"/>
                <w:color w:val="auto"/>
              </w:rPr>
            </w:pPr>
            <w:r>
              <w:rPr>
                <w:rFonts w:ascii="Arial" w:cs="Arial" w:eastAsia="Arial" w:hAnsi="Arial"/>
                <w:sz w:val="16"/>
                <w:szCs w:val="16"/>
                <w:color w:val="auto"/>
              </w:rPr>
              <w:t>31.1</w:t>
            </w:r>
          </w:p>
        </w:tc>
        <w:tc>
          <w:tcPr>
            <w:tcW w:w="4000" w:type="dxa"/>
            <w:vAlign w:val="bottom"/>
            <w:tcBorders>
              <w:top w:val="single" w:sz="8" w:color="0000FF"/>
            </w:tcBorders>
            <w:gridSpan w:val="15"/>
          </w:tcPr>
          <w:p>
            <w:pPr>
              <w:spacing w:after="0" w:line="142" w:lineRule="exact"/>
              <w:rPr>
                <w:sz w:val="20"/>
                <w:szCs w:val="20"/>
                <w:color w:val="auto"/>
              </w:rPr>
            </w:pPr>
            <w:r>
              <w:rPr>
                <w:rFonts w:ascii="Arial" w:cs="Arial" w:eastAsia="Arial" w:hAnsi="Arial"/>
                <w:sz w:val="16"/>
                <w:szCs w:val="16"/>
                <w:color w:val="0000FF"/>
              </w:rPr>
              <w:t>of July 19, 2022</w:t>
            </w:r>
          </w:p>
        </w:tc>
        <w:tc>
          <w:tcPr>
            <w:tcW w:w="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20" w:type="dxa"/>
            <w:vAlign w:val="bottom"/>
            <w:vMerge w:val="restart"/>
          </w:tcPr>
          <w:p>
            <w:pPr>
              <w:jc w:val="center"/>
              <w:ind w:left="5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1020" w:type="dxa"/>
            <w:vAlign w:val="bottom"/>
            <w:vMerge w:val="continue"/>
          </w:tcPr>
          <w:p>
            <w:pPr>
              <w:spacing w:after="0" w:line="20" w:lineRule="exact"/>
              <w:rPr>
                <w:sz w:val="1"/>
                <w:szCs w:val="1"/>
                <w:color w:val="auto"/>
              </w:rPr>
            </w:pPr>
          </w:p>
        </w:tc>
        <w:tc>
          <w:tcPr>
            <w:tcW w:w="1060" w:type="dxa"/>
            <w:vAlign w:val="bottom"/>
            <w:tcBorders>
              <w:left w:val="single" w:sz="8" w:color="0000EE"/>
            </w:tcBorders>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2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20" w:type="dxa"/>
            <w:vAlign w:val="bottom"/>
            <w:vMerge w:val="continue"/>
          </w:tcPr>
          <w:p>
            <w:pPr>
              <w:spacing w:after="0"/>
              <w:rPr>
                <w:sz w:val="14"/>
                <w:szCs w:val="14"/>
                <w:color w:val="auto"/>
              </w:rPr>
            </w:pPr>
          </w:p>
        </w:tc>
        <w:tc>
          <w:tcPr>
            <w:tcW w:w="4040" w:type="dxa"/>
            <w:vAlign w:val="bottom"/>
            <w:gridSpan w:val="16"/>
          </w:tcPr>
          <w:p>
            <w:pPr>
              <w:spacing w:after="0" w:line="169" w:lineRule="exact"/>
              <w:rPr>
                <w:sz w:val="20"/>
                <w:szCs w:val="20"/>
                <w:color w:val="auto"/>
              </w:rPr>
            </w:pPr>
            <w:r>
              <w:rPr>
                <w:rFonts w:ascii="Arial" w:cs="Arial" w:eastAsia="Arial" w:hAnsi="Arial"/>
                <w:sz w:val="16"/>
                <w:szCs w:val="16"/>
                <w:color w:val="0000FF"/>
                <w:w w:val="96"/>
              </w:rPr>
              <w:t>Certification of the Chief Executive Officer pursuant to Rule</w:t>
            </w:r>
          </w:p>
        </w:tc>
        <w:tc>
          <w:tcPr>
            <w:tcW w:w="1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020" w:type="dxa"/>
            <w:vAlign w:val="bottom"/>
            <w:vMerge w:val="restart"/>
          </w:tcPr>
          <w:p>
            <w:pPr>
              <w:spacing w:after="0"/>
              <w:rPr>
                <w:sz w:val="20"/>
                <w:szCs w:val="20"/>
                <w:color w:val="auto"/>
              </w:rPr>
            </w:pPr>
            <w:r>
              <w:rPr>
                <w:rFonts w:ascii="Arial" w:cs="Arial" w:eastAsia="Arial" w:hAnsi="Arial"/>
                <w:sz w:val="16"/>
                <w:szCs w:val="16"/>
                <w:color w:val="auto"/>
              </w:rPr>
              <w:t>31.2</w:t>
            </w:r>
          </w:p>
        </w:tc>
        <w:tc>
          <w:tcPr>
            <w:tcW w:w="3980" w:type="dxa"/>
            <w:vAlign w:val="bottom"/>
            <w:tcBorders>
              <w:top w:val="single" w:sz="8" w:color="0000FF"/>
            </w:tcBorders>
            <w:gridSpan w:val="14"/>
          </w:tcPr>
          <w:p>
            <w:pPr>
              <w:spacing w:after="0" w:line="155" w:lineRule="exact"/>
              <w:rPr>
                <w:sz w:val="20"/>
                <w:szCs w:val="20"/>
                <w:color w:val="auto"/>
              </w:rPr>
            </w:pPr>
            <w:r>
              <w:rPr>
                <w:rFonts w:ascii="Arial" w:cs="Arial" w:eastAsia="Arial" w:hAnsi="Arial"/>
                <w:sz w:val="16"/>
                <w:szCs w:val="16"/>
                <w:color w:val="0000FF"/>
              </w:rPr>
              <w:t>13a-14(a)/15d-14(a)</w:t>
            </w:r>
          </w:p>
        </w:tc>
        <w:tc>
          <w:tcPr>
            <w:tcW w:w="60" w:type="dxa"/>
            <w:vAlign w:val="bottom"/>
            <w:gridSpan w:val="2"/>
          </w:tcPr>
          <w:p>
            <w:pPr>
              <w:spacing w:after="0"/>
              <w:rPr>
                <w:sz w:val="13"/>
                <w:szCs w:val="13"/>
                <w:color w:val="auto"/>
              </w:rPr>
            </w:pPr>
          </w:p>
        </w:tc>
        <w:tc>
          <w:tcPr>
            <w:tcW w:w="14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20" w:type="dxa"/>
            <w:vAlign w:val="bottom"/>
            <w:vMerge w:val="restart"/>
          </w:tcPr>
          <w:p>
            <w:pPr>
              <w:jc w:val="center"/>
              <w:ind w:left="5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1020" w:type="dxa"/>
            <w:vAlign w:val="bottom"/>
            <w:vMerge w:val="continue"/>
          </w:tcPr>
          <w:p>
            <w:pPr>
              <w:spacing w:after="0" w:line="20" w:lineRule="exact"/>
              <w:rPr>
                <w:sz w:val="1"/>
                <w:szCs w:val="1"/>
                <w:color w:val="auto"/>
              </w:rPr>
            </w:pPr>
          </w:p>
        </w:tc>
        <w:tc>
          <w:tcPr>
            <w:tcW w:w="1340" w:type="dxa"/>
            <w:vAlign w:val="bottom"/>
            <w:tcBorders>
              <w:left w:val="single" w:sz="8" w:color="0000EE"/>
              <w:right w:val="single" w:sz="8" w:color="0000EE"/>
            </w:tcBorders>
            <w:gridSpan w:val="3"/>
            <w:shd w:val="clear" w:color="auto" w:fill="0000FF"/>
          </w:tcPr>
          <w:p>
            <w:pPr>
              <w:spacing w:after="0" w:line="20" w:lineRule="exact"/>
              <w:rPr>
                <w:sz w:val="1"/>
                <w:szCs w:val="1"/>
                <w:color w:val="auto"/>
              </w:rPr>
            </w:pPr>
          </w:p>
        </w:tc>
        <w:tc>
          <w:tcPr>
            <w:tcW w:w="2700" w:type="dxa"/>
            <w:vAlign w:val="bottom"/>
            <w:gridSpan w:val="13"/>
            <w:vMerge w:val="restart"/>
          </w:tcPr>
          <w:p>
            <w:pPr>
              <w:spacing w:after="0" w:line="175" w:lineRule="exact"/>
              <w:rPr>
                <w:sz w:val="20"/>
                <w:szCs w:val="20"/>
                <w:color w:val="auto"/>
              </w:rPr>
            </w:pPr>
            <w:r>
              <w:rPr>
                <w:rFonts w:ascii="Arial" w:cs="Arial" w:eastAsia="Arial" w:hAnsi="Arial"/>
                <w:sz w:val="16"/>
                <w:szCs w:val="16"/>
                <w:color w:val="0000FF"/>
                <w:w w:val="95"/>
              </w:rPr>
              <w:t>Chief Financial Officer pursuant to Rule</w:t>
            </w:r>
          </w:p>
        </w:tc>
        <w:tc>
          <w:tcPr>
            <w:tcW w:w="14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020" w:type="dxa"/>
            <w:vAlign w:val="bottom"/>
            <w:vMerge w:val="continue"/>
          </w:tcPr>
          <w:p>
            <w:pPr>
              <w:spacing w:after="0"/>
              <w:rPr>
                <w:sz w:val="13"/>
                <w:szCs w:val="13"/>
                <w:color w:val="auto"/>
              </w:rPr>
            </w:pPr>
          </w:p>
        </w:tc>
        <w:tc>
          <w:tcPr>
            <w:tcW w:w="1340" w:type="dxa"/>
            <w:vAlign w:val="bottom"/>
            <w:gridSpan w:val="3"/>
          </w:tcPr>
          <w:p>
            <w:pPr>
              <w:spacing w:after="0" w:line="155" w:lineRule="exact"/>
              <w:rPr>
                <w:sz w:val="20"/>
                <w:szCs w:val="20"/>
                <w:color w:val="auto"/>
              </w:rPr>
            </w:pPr>
            <w:r>
              <w:rPr>
                <w:rFonts w:ascii="Arial" w:cs="Arial" w:eastAsia="Arial" w:hAnsi="Arial"/>
                <w:sz w:val="16"/>
                <w:szCs w:val="16"/>
                <w:color w:val="0000FF"/>
              </w:rPr>
              <w:t>Certification of the</w:t>
            </w:r>
          </w:p>
        </w:tc>
        <w:tc>
          <w:tcPr>
            <w:tcW w:w="2700" w:type="dxa"/>
            <w:vAlign w:val="bottom"/>
            <w:gridSpan w:val="13"/>
            <w:vMerge w:val="continue"/>
          </w:tcPr>
          <w:p>
            <w:pPr>
              <w:spacing w:after="0"/>
              <w:rPr>
                <w:sz w:val="13"/>
                <w:szCs w:val="13"/>
                <w:color w:val="auto"/>
              </w:rPr>
            </w:pPr>
          </w:p>
        </w:tc>
        <w:tc>
          <w:tcPr>
            <w:tcW w:w="14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20" w:type="dxa"/>
            <w:vAlign w:val="bottom"/>
            <w:vMerge w:val="restart"/>
          </w:tcPr>
          <w:p>
            <w:pPr>
              <w:spacing w:after="0"/>
              <w:rPr>
                <w:sz w:val="20"/>
                <w:szCs w:val="20"/>
                <w:color w:val="auto"/>
              </w:rPr>
            </w:pPr>
            <w:r>
              <w:rPr>
                <w:rFonts w:ascii="Arial" w:cs="Arial" w:eastAsia="Arial" w:hAnsi="Arial"/>
                <w:sz w:val="16"/>
                <w:szCs w:val="16"/>
                <w:color w:val="auto"/>
              </w:rPr>
              <w:t>32.1</w:t>
            </w:r>
          </w:p>
        </w:tc>
        <w:tc>
          <w:tcPr>
            <w:tcW w:w="3940" w:type="dxa"/>
            <w:vAlign w:val="bottom"/>
            <w:tcBorders>
              <w:top w:val="single" w:sz="8" w:color="0000FF"/>
            </w:tcBorders>
            <w:gridSpan w:val="13"/>
          </w:tcPr>
          <w:p>
            <w:pPr>
              <w:spacing w:after="0" w:line="155" w:lineRule="exact"/>
              <w:rPr>
                <w:sz w:val="20"/>
                <w:szCs w:val="20"/>
                <w:color w:val="auto"/>
              </w:rPr>
            </w:pPr>
            <w:r>
              <w:rPr>
                <w:rFonts w:ascii="Arial" w:cs="Arial" w:eastAsia="Arial" w:hAnsi="Arial"/>
                <w:sz w:val="16"/>
                <w:szCs w:val="16"/>
                <w:color w:val="0000FF"/>
              </w:rPr>
              <w:t>13a-14(a)/15d-14(a)</w:t>
            </w:r>
          </w:p>
        </w:tc>
        <w:tc>
          <w:tcPr>
            <w:tcW w:w="100" w:type="dxa"/>
            <w:vAlign w:val="bottom"/>
            <w:gridSpan w:val="3"/>
          </w:tcPr>
          <w:p>
            <w:pPr>
              <w:spacing w:after="0"/>
              <w:rPr>
                <w:sz w:val="13"/>
                <w:szCs w:val="13"/>
                <w:color w:val="auto"/>
              </w:rPr>
            </w:pPr>
          </w:p>
        </w:tc>
        <w:tc>
          <w:tcPr>
            <w:tcW w:w="14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20" w:type="dxa"/>
            <w:vAlign w:val="bottom"/>
            <w:vMerge w:val="restart"/>
          </w:tcPr>
          <w:p>
            <w:pPr>
              <w:jc w:val="center"/>
              <w:ind w:left="5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1020" w:type="dxa"/>
            <w:vAlign w:val="bottom"/>
            <w:vMerge w:val="continue"/>
          </w:tcPr>
          <w:p>
            <w:pPr>
              <w:spacing w:after="0" w:line="20" w:lineRule="exact"/>
              <w:rPr>
                <w:sz w:val="1"/>
                <w:szCs w:val="1"/>
                <w:color w:val="auto"/>
              </w:rPr>
            </w:pPr>
          </w:p>
        </w:tc>
        <w:tc>
          <w:tcPr>
            <w:tcW w:w="1340" w:type="dxa"/>
            <w:vAlign w:val="bottom"/>
            <w:tcBorders>
              <w:left w:val="single" w:sz="8" w:color="0000EE"/>
              <w:right w:val="single" w:sz="8" w:color="0000EE"/>
            </w:tcBorders>
            <w:gridSpan w:val="3"/>
            <w:shd w:val="clear" w:color="auto" w:fill="0000FF"/>
          </w:tcPr>
          <w:p>
            <w:pPr>
              <w:spacing w:after="0" w:line="20" w:lineRule="exact"/>
              <w:rPr>
                <w:sz w:val="1"/>
                <w:szCs w:val="1"/>
                <w:color w:val="auto"/>
              </w:rPr>
            </w:pPr>
          </w:p>
        </w:tc>
        <w:tc>
          <w:tcPr>
            <w:tcW w:w="2700" w:type="dxa"/>
            <w:vAlign w:val="bottom"/>
            <w:gridSpan w:val="13"/>
            <w:vMerge w:val="restart"/>
          </w:tcPr>
          <w:p>
            <w:pPr>
              <w:spacing w:after="0" w:line="175" w:lineRule="exact"/>
              <w:rPr>
                <w:sz w:val="20"/>
                <w:szCs w:val="20"/>
                <w:color w:val="auto"/>
              </w:rPr>
            </w:pPr>
            <w:r>
              <w:rPr>
                <w:rFonts w:ascii="Arial" w:cs="Arial" w:eastAsia="Arial" w:hAnsi="Arial"/>
                <w:sz w:val="16"/>
                <w:szCs w:val="16"/>
                <w:color w:val="0000FF"/>
                <w:w w:val="99"/>
              </w:rPr>
              <w:t>Chief Executive Officer pursuant to 18</w:t>
            </w:r>
          </w:p>
        </w:tc>
        <w:tc>
          <w:tcPr>
            <w:tcW w:w="14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020" w:type="dxa"/>
            <w:vAlign w:val="bottom"/>
            <w:vMerge w:val="continue"/>
          </w:tcPr>
          <w:p>
            <w:pPr>
              <w:spacing w:after="0"/>
              <w:rPr>
                <w:sz w:val="13"/>
                <w:szCs w:val="13"/>
                <w:color w:val="auto"/>
              </w:rPr>
            </w:pPr>
          </w:p>
        </w:tc>
        <w:tc>
          <w:tcPr>
            <w:tcW w:w="1340" w:type="dxa"/>
            <w:vAlign w:val="bottom"/>
            <w:gridSpan w:val="3"/>
          </w:tcPr>
          <w:p>
            <w:pPr>
              <w:spacing w:after="0" w:line="155" w:lineRule="exact"/>
              <w:rPr>
                <w:sz w:val="20"/>
                <w:szCs w:val="20"/>
                <w:color w:val="auto"/>
              </w:rPr>
            </w:pPr>
            <w:r>
              <w:rPr>
                <w:rFonts w:ascii="Arial" w:cs="Arial" w:eastAsia="Arial" w:hAnsi="Arial"/>
                <w:sz w:val="16"/>
                <w:szCs w:val="16"/>
                <w:color w:val="0000FF"/>
              </w:rPr>
              <w:t>Certification of the</w:t>
            </w:r>
          </w:p>
        </w:tc>
        <w:tc>
          <w:tcPr>
            <w:tcW w:w="2700" w:type="dxa"/>
            <w:vAlign w:val="bottom"/>
            <w:gridSpan w:val="13"/>
            <w:vMerge w:val="continue"/>
          </w:tcPr>
          <w:p>
            <w:pPr>
              <w:spacing w:after="0"/>
              <w:rPr>
                <w:sz w:val="13"/>
                <w:szCs w:val="13"/>
                <w:color w:val="auto"/>
              </w:rPr>
            </w:pPr>
          </w:p>
        </w:tc>
        <w:tc>
          <w:tcPr>
            <w:tcW w:w="14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20" w:type="dxa"/>
            <w:vAlign w:val="bottom"/>
            <w:vMerge w:val="restart"/>
          </w:tcPr>
          <w:p>
            <w:pPr>
              <w:spacing w:after="0"/>
              <w:rPr>
                <w:sz w:val="20"/>
                <w:szCs w:val="20"/>
                <w:color w:val="auto"/>
              </w:rPr>
            </w:pPr>
            <w:r>
              <w:rPr>
                <w:rFonts w:ascii="Arial" w:cs="Arial" w:eastAsia="Arial" w:hAnsi="Arial"/>
                <w:sz w:val="16"/>
                <w:szCs w:val="16"/>
                <w:color w:val="auto"/>
              </w:rPr>
              <w:t>32.2</w:t>
            </w:r>
          </w:p>
        </w:tc>
        <w:tc>
          <w:tcPr>
            <w:tcW w:w="1340" w:type="dxa"/>
            <w:vAlign w:val="bottom"/>
            <w:tcBorders>
              <w:top w:val="single" w:sz="8" w:color="0000FF"/>
              <w:bottom w:val="single" w:sz="8" w:color="0000FF"/>
            </w:tcBorders>
            <w:gridSpan w:val="3"/>
          </w:tcPr>
          <w:p>
            <w:pPr>
              <w:spacing w:after="0" w:line="155" w:lineRule="exact"/>
              <w:rPr>
                <w:sz w:val="20"/>
                <w:szCs w:val="20"/>
                <w:color w:val="auto"/>
              </w:rPr>
            </w:pPr>
            <w:r>
              <w:rPr>
                <w:rFonts w:ascii="Arial" w:cs="Arial" w:eastAsia="Arial" w:hAnsi="Arial"/>
                <w:sz w:val="16"/>
                <w:szCs w:val="16"/>
                <w:color w:val="0000FF"/>
                <w:w w:val="92"/>
              </w:rPr>
              <w:t>U.S.C Section 1350</w:t>
            </w:r>
          </w:p>
        </w:tc>
        <w:tc>
          <w:tcPr>
            <w:tcW w:w="2540" w:type="dxa"/>
            <w:vAlign w:val="bottom"/>
            <w:tcBorders>
              <w:top w:val="single" w:sz="8" w:color="0000FF"/>
            </w:tcBorders>
            <w:gridSpan w:val="8"/>
          </w:tcPr>
          <w:p>
            <w:pPr>
              <w:spacing w:after="0"/>
              <w:rPr>
                <w:sz w:val="13"/>
                <w:szCs w:val="13"/>
                <w:color w:val="auto"/>
              </w:rPr>
            </w:pPr>
          </w:p>
        </w:tc>
        <w:tc>
          <w:tcPr>
            <w:tcW w:w="160" w:type="dxa"/>
            <w:vAlign w:val="bottom"/>
            <w:gridSpan w:val="5"/>
          </w:tcPr>
          <w:p>
            <w:pPr>
              <w:spacing w:after="0"/>
              <w:rPr>
                <w:sz w:val="13"/>
                <w:szCs w:val="13"/>
                <w:color w:val="auto"/>
              </w:rPr>
            </w:pPr>
          </w:p>
        </w:tc>
        <w:tc>
          <w:tcPr>
            <w:tcW w:w="14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20" w:type="dxa"/>
            <w:vAlign w:val="bottom"/>
            <w:vMerge w:val="restart"/>
          </w:tcPr>
          <w:p>
            <w:pPr>
              <w:jc w:val="center"/>
              <w:ind w:left="5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5"/>
        </w:trPr>
        <w:tc>
          <w:tcPr>
            <w:tcW w:w="1020" w:type="dxa"/>
            <w:vAlign w:val="bottom"/>
            <w:vMerge w:val="continue"/>
          </w:tcPr>
          <w:p>
            <w:pPr>
              <w:spacing w:after="0"/>
              <w:rPr>
                <w:sz w:val="13"/>
                <w:szCs w:val="13"/>
                <w:color w:val="auto"/>
              </w:rPr>
            </w:pPr>
          </w:p>
        </w:tc>
        <w:tc>
          <w:tcPr>
            <w:tcW w:w="1340" w:type="dxa"/>
            <w:vAlign w:val="bottom"/>
            <w:gridSpan w:val="3"/>
          </w:tcPr>
          <w:p>
            <w:pPr>
              <w:spacing w:after="0" w:line="155" w:lineRule="exact"/>
              <w:rPr>
                <w:sz w:val="20"/>
                <w:szCs w:val="20"/>
                <w:color w:val="auto"/>
              </w:rPr>
            </w:pPr>
            <w:r>
              <w:rPr>
                <w:rFonts w:ascii="Arial" w:cs="Arial" w:eastAsia="Arial" w:hAnsi="Arial"/>
                <w:sz w:val="16"/>
                <w:szCs w:val="16"/>
                <w:color w:val="0000FF"/>
              </w:rPr>
              <w:t>Certification of the</w:t>
            </w:r>
          </w:p>
        </w:tc>
        <w:tc>
          <w:tcPr>
            <w:tcW w:w="2700" w:type="dxa"/>
            <w:vAlign w:val="bottom"/>
            <w:gridSpan w:val="13"/>
          </w:tcPr>
          <w:p>
            <w:pPr>
              <w:spacing w:after="0" w:line="155" w:lineRule="exact"/>
              <w:rPr>
                <w:sz w:val="20"/>
                <w:szCs w:val="20"/>
                <w:color w:val="auto"/>
              </w:rPr>
            </w:pPr>
            <w:r>
              <w:rPr>
                <w:rFonts w:ascii="Arial" w:cs="Arial" w:eastAsia="Arial" w:hAnsi="Arial"/>
                <w:sz w:val="16"/>
                <w:szCs w:val="16"/>
                <w:color w:val="0000FF"/>
              </w:rPr>
              <w:t>Chief Financial Officer pursuant to 18</w:t>
            </w:r>
          </w:p>
        </w:tc>
        <w:tc>
          <w:tcPr>
            <w:tcW w:w="14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20" w:type="dxa"/>
            <w:vAlign w:val="bottom"/>
            <w:vMerge w:val="restart"/>
          </w:tcPr>
          <w:p>
            <w:pPr>
              <w:spacing w:after="0"/>
              <w:rPr>
                <w:sz w:val="20"/>
                <w:szCs w:val="20"/>
                <w:color w:val="auto"/>
              </w:rPr>
            </w:pPr>
            <w:r>
              <w:rPr>
                <w:rFonts w:ascii="Arial" w:cs="Arial" w:eastAsia="Arial" w:hAnsi="Arial"/>
                <w:sz w:val="16"/>
                <w:szCs w:val="16"/>
                <w:color w:val="auto"/>
              </w:rPr>
              <w:t>101.INS</w:t>
            </w:r>
          </w:p>
        </w:tc>
        <w:tc>
          <w:tcPr>
            <w:tcW w:w="1360" w:type="dxa"/>
            <w:vAlign w:val="bottom"/>
            <w:tcBorders>
              <w:top w:val="single" w:sz="8" w:color="0000FF"/>
              <w:bottom w:val="single" w:sz="8" w:color="0000FF"/>
            </w:tcBorders>
            <w:gridSpan w:val="4"/>
          </w:tcPr>
          <w:p>
            <w:pPr>
              <w:spacing w:after="0" w:line="155" w:lineRule="exact"/>
              <w:rPr>
                <w:sz w:val="20"/>
                <w:szCs w:val="20"/>
                <w:color w:val="auto"/>
              </w:rPr>
            </w:pPr>
            <w:r>
              <w:rPr>
                <w:rFonts w:ascii="Arial" w:cs="Arial" w:eastAsia="Arial" w:hAnsi="Arial"/>
                <w:sz w:val="16"/>
                <w:szCs w:val="16"/>
                <w:color w:val="0000FF"/>
                <w:w w:val="92"/>
              </w:rPr>
              <w:t>U.S.C. Section 1350</w:t>
            </w:r>
          </w:p>
        </w:tc>
        <w:tc>
          <w:tcPr>
            <w:tcW w:w="20" w:type="dxa"/>
            <w:vAlign w:val="bottom"/>
            <w:tcBorders>
              <w:top w:val="single" w:sz="8" w:color="0000FF"/>
              <w:bottom w:val="single" w:sz="8" w:color="0000EE"/>
            </w:tcBorders>
          </w:tcPr>
          <w:p>
            <w:pPr>
              <w:spacing w:after="0"/>
              <w:rPr>
                <w:sz w:val="13"/>
                <w:szCs w:val="13"/>
                <w:color w:val="auto"/>
              </w:rPr>
            </w:pPr>
          </w:p>
        </w:tc>
        <w:tc>
          <w:tcPr>
            <w:tcW w:w="2420" w:type="dxa"/>
            <w:vAlign w:val="bottom"/>
            <w:tcBorders>
              <w:top w:val="single" w:sz="8" w:color="0000FF"/>
            </w:tcBorders>
            <w:gridSpan w:val="5"/>
          </w:tcPr>
          <w:p>
            <w:pPr>
              <w:spacing w:after="0"/>
              <w:rPr>
                <w:sz w:val="13"/>
                <w:szCs w:val="13"/>
                <w:color w:val="auto"/>
              </w:rPr>
            </w:pPr>
          </w:p>
        </w:tc>
        <w:tc>
          <w:tcPr>
            <w:tcW w:w="240" w:type="dxa"/>
            <w:vAlign w:val="bottom"/>
            <w:gridSpan w:val="6"/>
          </w:tcPr>
          <w:p>
            <w:pPr>
              <w:spacing w:after="0"/>
              <w:rPr>
                <w:sz w:val="13"/>
                <w:szCs w:val="13"/>
                <w:color w:val="auto"/>
              </w:rPr>
            </w:pPr>
          </w:p>
        </w:tc>
        <w:tc>
          <w:tcPr>
            <w:tcW w:w="14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20" w:type="dxa"/>
            <w:vAlign w:val="bottom"/>
            <w:vMerge w:val="restart"/>
          </w:tcPr>
          <w:p>
            <w:pPr>
              <w:jc w:val="center"/>
              <w:ind w:left="5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9"/>
        </w:trPr>
        <w:tc>
          <w:tcPr>
            <w:tcW w:w="1020" w:type="dxa"/>
            <w:vAlign w:val="bottom"/>
            <w:vMerge w:val="continue"/>
          </w:tcPr>
          <w:p>
            <w:pPr>
              <w:spacing w:after="0"/>
              <w:rPr>
                <w:sz w:val="13"/>
                <w:szCs w:val="13"/>
                <w:color w:val="auto"/>
              </w:rPr>
            </w:pPr>
          </w:p>
        </w:tc>
        <w:tc>
          <w:tcPr>
            <w:tcW w:w="1380" w:type="dxa"/>
            <w:vAlign w:val="bottom"/>
            <w:gridSpan w:val="5"/>
          </w:tcPr>
          <w:p>
            <w:pPr>
              <w:spacing w:after="0" w:line="159" w:lineRule="exact"/>
              <w:rPr>
                <w:sz w:val="20"/>
                <w:szCs w:val="20"/>
                <w:color w:val="auto"/>
              </w:rPr>
            </w:pPr>
            <w:r>
              <w:rPr>
                <w:rFonts w:ascii="Arial" w:cs="Arial" w:eastAsia="Arial" w:hAnsi="Arial"/>
                <w:sz w:val="16"/>
                <w:szCs w:val="16"/>
                <w:color w:val="auto"/>
                <w:w w:val="90"/>
              </w:rPr>
              <w:t>Inline XBRL Instance</w:t>
            </w:r>
          </w:p>
        </w:tc>
        <w:tc>
          <w:tcPr>
            <w:tcW w:w="2660" w:type="dxa"/>
            <w:vAlign w:val="bottom"/>
            <w:gridSpan w:val="11"/>
          </w:tcPr>
          <w:p>
            <w:pPr>
              <w:ind w:left="100"/>
              <w:spacing w:after="0" w:line="159" w:lineRule="exact"/>
              <w:rPr>
                <w:sz w:val="20"/>
                <w:szCs w:val="20"/>
                <w:color w:val="auto"/>
              </w:rPr>
            </w:pPr>
            <w:r>
              <w:rPr>
                <w:rFonts w:ascii="Arial" w:cs="Arial" w:eastAsia="Arial" w:hAnsi="Arial"/>
                <w:sz w:val="16"/>
                <w:szCs w:val="16"/>
                <w:color w:val="auto"/>
              </w:rPr>
              <w:t>Document - the instance document</w:t>
            </w:r>
          </w:p>
        </w:tc>
        <w:tc>
          <w:tcPr>
            <w:tcW w:w="14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020" w:type="dxa"/>
            <w:vAlign w:val="bottom"/>
          </w:tcPr>
          <w:p>
            <w:pPr>
              <w:spacing w:after="0"/>
              <w:rPr>
                <w:sz w:val="14"/>
                <w:szCs w:val="14"/>
                <w:color w:val="auto"/>
              </w:rPr>
            </w:pPr>
          </w:p>
        </w:tc>
        <w:tc>
          <w:tcPr>
            <w:tcW w:w="4040" w:type="dxa"/>
            <w:vAlign w:val="bottom"/>
            <w:gridSpan w:val="16"/>
          </w:tcPr>
          <w:p>
            <w:pPr>
              <w:spacing w:after="0" w:line="162" w:lineRule="exact"/>
              <w:rPr>
                <w:sz w:val="20"/>
                <w:szCs w:val="20"/>
                <w:color w:val="auto"/>
              </w:rPr>
            </w:pPr>
            <w:r>
              <w:rPr>
                <w:rFonts w:ascii="Arial" w:cs="Arial" w:eastAsia="Arial" w:hAnsi="Arial"/>
                <w:sz w:val="16"/>
                <w:szCs w:val="16"/>
                <w:color w:val="auto"/>
                <w:w w:val="91"/>
              </w:rPr>
              <w:t>does not appear in the Interactive Data File because its XBRL</w:t>
            </w:r>
          </w:p>
        </w:tc>
        <w:tc>
          <w:tcPr>
            <w:tcW w:w="1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020" w:type="dxa"/>
            <w:vAlign w:val="bottom"/>
          </w:tcPr>
          <w:p>
            <w:pPr>
              <w:spacing w:after="0"/>
              <w:rPr>
                <w:sz w:val="16"/>
                <w:szCs w:val="16"/>
                <w:color w:val="auto"/>
              </w:rPr>
            </w:pPr>
          </w:p>
        </w:tc>
        <w:tc>
          <w:tcPr>
            <w:tcW w:w="4040" w:type="dxa"/>
            <w:vAlign w:val="bottom"/>
            <w:gridSpan w:val="16"/>
          </w:tcPr>
          <w:p>
            <w:pPr>
              <w:spacing w:after="0"/>
              <w:rPr>
                <w:sz w:val="20"/>
                <w:szCs w:val="20"/>
                <w:color w:val="auto"/>
              </w:rPr>
            </w:pPr>
            <w:r>
              <w:rPr>
                <w:rFonts w:ascii="Arial" w:cs="Arial" w:eastAsia="Arial" w:hAnsi="Arial"/>
                <w:sz w:val="16"/>
                <w:szCs w:val="16"/>
                <w:color w:val="auto"/>
              </w:rPr>
              <w:t>tags are embedded within the Inline XBRL document</w:t>
            </w:r>
          </w:p>
        </w:tc>
        <w:tc>
          <w:tcPr>
            <w:tcW w:w="14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20" w:type="dxa"/>
            <w:vAlign w:val="bottom"/>
          </w:tcPr>
          <w:p>
            <w:pPr>
              <w:spacing w:after="0"/>
              <w:rPr>
                <w:sz w:val="20"/>
                <w:szCs w:val="20"/>
                <w:color w:val="auto"/>
              </w:rPr>
            </w:pPr>
            <w:r>
              <w:rPr>
                <w:rFonts w:ascii="Arial" w:cs="Arial" w:eastAsia="Arial" w:hAnsi="Arial"/>
                <w:sz w:val="16"/>
                <w:szCs w:val="16"/>
                <w:color w:val="auto"/>
              </w:rPr>
              <w:t>101.SCH</w:t>
            </w:r>
          </w:p>
        </w:tc>
        <w:tc>
          <w:tcPr>
            <w:tcW w:w="4040" w:type="dxa"/>
            <w:vAlign w:val="bottom"/>
            <w:gridSpan w:val="16"/>
          </w:tcPr>
          <w:p>
            <w:pPr>
              <w:spacing w:after="0"/>
              <w:rPr>
                <w:sz w:val="20"/>
                <w:szCs w:val="20"/>
                <w:color w:val="auto"/>
              </w:rPr>
            </w:pPr>
            <w:r>
              <w:rPr>
                <w:rFonts w:ascii="Arial" w:cs="Arial" w:eastAsia="Arial" w:hAnsi="Arial"/>
                <w:sz w:val="16"/>
                <w:szCs w:val="16"/>
                <w:color w:val="auto"/>
              </w:rPr>
              <w:t>Inline XBRL Taxonomy Extension Schema Document</w:t>
            </w:r>
          </w:p>
        </w:tc>
        <w:tc>
          <w:tcPr>
            <w:tcW w:w="14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20" w:type="dxa"/>
            <w:vAlign w:val="bottom"/>
          </w:tcPr>
          <w:p>
            <w:pPr>
              <w:jc w:val="center"/>
              <w:ind w:left="5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1020" w:type="dxa"/>
            <w:vAlign w:val="bottom"/>
          </w:tcPr>
          <w:p>
            <w:pPr>
              <w:spacing w:after="0" w:line="175" w:lineRule="exact"/>
              <w:rPr>
                <w:sz w:val="20"/>
                <w:szCs w:val="20"/>
                <w:color w:val="auto"/>
              </w:rPr>
            </w:pPr>
            <w:r>
              <w:rPr>
                <w:rFonts w:ascii="Arial" w:cs="Arial" w:eastAsia="Arial" w:hAnsi="Arial"/>
                <w:sz w:val="16"/>
                <w:szCs w:val="16"/>
                <w:color w:val="auto"/>
              </w:rPr>
              <w:t>101.CAL</w:t>
            </w:r>
          </w:p>
        </w:tc>
        <w:tc>
          <w:tcPr>
            <w:tcW w:w="4040" w:type="dxa"/>
            <w:vAlign w:val="bottom"/>
            <w:gridSpan w:val="16"/>
          </w:tcPr>
          <w:p>
            <w:pPr>
              <w:spacing w:after="0" w:line="175" w:lineRule="exact"/>
              <w:rPr>
                <w:sz w:val="20"/>
                <w:szCs w:val="20"/>
                <w:color w:val="auto"/>
              </w:rPr>
            </w:pPr>
            <w:r>
              <w:rPr>
                <w:rFonts w:ascii="Arial" w:cs="Arial" w:eastAsia="Arial" w:hAnsi="Arial"/>
                <w:sz w:val="16"/>
                <w:szCs w:val="16"/>
                <w:color w:val="auto"/>
              </w:rPr>
              <w:t>Inline XBRL Taxonomy Extension Calculation Linkbase</w:t>
            </w:r>
          </w:p>
        </w:tc>
        <w:tc>
          <w:tcPr>
            <w:tcW w:w="14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20" w:type="dxa"/>
            <w:vAlign w:val="bottom"/>
          </w:tcPr>
          <w:p>
            <w:pPr>
              <w:jc w:val="center"/>
              <w:ind w:left="559"/>
              <w:spacing w:after="0" w:line="175"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5"/>
        </w:trPr>
        <w:tc>
          <w:tcPr>
            <w:tcW w:w="1020" w:type="dxa"/>
            <w:vAlign w:val="bottom"/>
          </w:tcPr>
          <w:p>
            <w:pPr>
              <w:spacing w:after="0"/>
              <w:rPr>
                <w:sz w:val="15"/>
                <w:szCs w:val="15"/>
                <w:color w:val="auto"/>
              </w:rPr>
            </w:pPr>
          </w:p>
        </w:tc>
        <w:tc>
          <w:tcPr>
            <w:tcW w:w="4040" w:type="dxa"/>
            <w:vAlign w:val="bottom"/>
            <w:gridSpan w:val="16"/>
          </w:tcPr>
          <w:p>
            <w:pPr>
              <w:spacing w:after="0" w:line="175" w:lineRule="exact"/>
              <w:rPr>
                <w:sz w:val="20"/>
                <w:szCs w:val="20"/>
                <w:color w:val="auto"/>
              </w:rPr>
            </w:pPr>
            <w:r>
              <w:rPr>
                <w:rFonts w:ascii="Arial" w:cs="Arial" w:eastAsia="Arial" w:hAnsi="Arial"/>
                <w:sz w:val="16"/>
                <w:szCs w:val="16"/>
                <w:color w:val="auto"/>
              </w:rPr>
              <w:t>Document</w:t>
            </w:r>
          </w:p>
        </w:tc>
        <w:tc>
          <w:tcPr>
            <w:tcW w:w="14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20" w:type="dxa"/>
            <w:vAlign w:val="bottom"/>
          </w:tcPr>
          <w:p>
            <w:pPr>
              <w:spacing w:after="0" w:line="175" w:lineRule="exact"/>
              <w:rPr>
                <w:sz w:val="20"/>
                <w:szCs w:val="20"/>
                <w:color w:val="auto"/>
              </w:rPr>
            </w:pPr>
            <w:r>
              <w:rPr>
                <w:rFonts w:ascii="Arial" w:cs="Arial" w:eastAsia="Arial" w:hAnsi="Arial"/>
                <w:sz w:val="16"/>
                <w:szCs w:val="16"/>
                <w:color w:val="auto"/>
              </w:rPr>
              <w:t>101.DEF</w:t>
            </w:r>
          </w:p>
        </w:tc>
        <w:tc>
          <w:tcPr>
            <w:tcW w:w="4040" w:type="dxa"/>
            <w:vAlign w:val="bottom"/>
            <w:gridSpan w:val="16"/>
          </w:tcPr>
          <w:p>
            <w:pPr>
              <w:spacing w:after="0" w:line="175" w:lineRule="exact"/>
              <w:rPr>
                <w:sz w:val="20"/>
                <w:szCs w:val="20"/>
                <w:color w:val="auto"/>
              </w:rPr>
            </w:pPr>
            <w:r>
              <w:rPr>
                <w:rFonts w:ascii="Arial" w:cs="Arial" w:eastAsia="Arial" w:hAnsi="Arial"/>
                <w:sz w:val="16"/>
                <w:szCs w:val="16"/>
                <w:color w:val="auto"/>
              </w:rPr>
              <w:t>Inline XBRL Taxonomy Extension Definition Linkbase</w:t>
            </w:r>
          </w:p>
        </w:tc>
        <w:tc>
          <w:tcPr>
            <w:tcW w:w="14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20" w:type="dxa"/>
            <w:vAlign w:val="bottom"/>
          </w:tcPr>
          <w:p>
            <w:pPr>
              <w:jc w:val="center"/>
              <w:ind w:left="559"/>
              <w:spacing w:after="0" w:line="175"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5"/>
        </w:trPr>
        <w:tc>
          <w:tcPr>
            <w:tcW w:w="1020" w:type="dxa"/>
            <w:vAlign w:val="bottom"/>
          </w:tcPr>
          <w:p>
            <w:pPr>
              <w:spacing w:after="0"/>
              <w:rPr>
                <w:sz w:val="15"/>
                <w:szCs w:val="15"/>
                <w:color w:val="auto"/>
              </w:rPr>
            </w:pPr>
          </w:p>
        </w:tc>
        <w:tc>
          <w:tcPr>
            <w:tcW w:w="4040" w:type="dxa"/>
            <w:vAlign w:val="bottom"/>
            <w:gridSpan w:val="16"/>
          </w:tcPr>
          <w:p>
            <w:pPr>
              <w:spacing w:after="0" w:line="175" w:lineRule="exact"/>
              <w:rPr>
                <w:sz w:val="20"/>
                <w:szCs w:val="20"/>
                <w:color w:val="auto"/>
              </w:rPr>
            </w:pPr>
            <w:r>
              <w:rPr>
                <w:rFonts w:ascii="Arial" w:cs="Arial" w:eastAsia="Arial" w:hAnsi="Arial"/>
                <w:sz w:val="16"/>
                <w:szCs w:val="16"/>
                <w:color w:val="auto"/>
              </w:rPr>
              <w:t>Document</w:t>
            </w:r>
          </w:p>
        </w:tc>
        <w:tc>
          <w:tcPr>
            <w:tcW w:w="14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20" w:type="dxa"/>
            <w:vAlign w:val="bottom"/>
          </w:tcPr>
          <w:p>
            <w:pPr>
              <w:spacing w:after="0" w:line="175" w:lineRule="exact"/>
              <w:rPr>
                <w:sz w:val="20"/>
                <w:szCs w:val="20"/>
                <w:color w:val="auto"/>
              </w:rPr>
            </w:pPr>
            <w:r>
              <w:rPr>
                <w:rFonts w:ascii="Arial" w:cs="Arial" w:eastAsia="Arial" w:hAnsi="Arial"/>
                <w:sz w:val="16"/>
                <w:szCs w:val="16"/>
                <w:color w:val="auto"/>
              </w:rPr>
              <w:t>101.LAB</w:t>
            </w:r>
          </w:p>
        </w:tc>
        <w:tc>
          <w:tcPr>
            <w:tcW w:w="4040" w:type="dxa"/>
            <w:vAlign w:val="bottom"/>
            <w:gridSpan w:val="16"/>
          </w:tcPr>
          <w:p>
            <w:pPr>
              <w:spacing w:after="0" w:line="175" w:lineRule="exact"/>
              <w:rPr>
                <w:sz w:val="20"/>
                <w:szCs w:val="20"/>
                <w:color w:val="auto"/>
              </w:rPr>
            </w:pPr>
            <w:r>
              <w:rPr>
                <w:rFonts w:ascii="Arial" w:cs="Arial" w:eastAsia="Arial" w:hAnsi="Arial"/>
                <w:sz w:val="16"/>
                <w:szCs w:val="16"/>
                <w:color w:val="auto"/>
              </w:rPr>
              <w:t>Inline XBRL Taxonomy Extension Label Linkbase</w:t>
            </w:r>
          </w:p>
        </w:tc>
        <w:tc>
          <w:tcPr>
            <w:tcW w:w="14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20" w:type="dxa"/>
            <w:vAlign w:val="bottom"/>
          </w:tcPr>
          <w:p>
            <w:pPr>
              <w:jc w:val="center"/>
              <w:ind w:left="559"/>
              <w:spacing w:after="0" w:line="175"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5"/>
        </w:trPr>
        <w:tc>
          <w:tcPr>
            <w:tcW w:w="1020" w:type="dxa"/>
            <w:vAlign w:val="bottom"/>
          </w:tcPr>
          <w:p>
            <w:pPr>
              <w:spacing w:after="0"/>
              <w:rPr>
                <w:sz w:val="15"/>
                <w:szCs w:val="15"/>
                <w:color w:val="auto"/>
              </w:rPr>
            </w:pPr>
          </w:p>
        </w:tc>
        <w:tc>
          <w:tcPr>
            <w:tcW w:w="4040" w:type="dxa"/>
            <w:vAlign w:val="bottom"/>
            <w:gridSpan w:val="16"/>
          </w:tcPr>
          <w:p>
            <w:pPr>
              <w:spacing w:after="0" w:line="175" w:lineRule="exact"/>
              <w:rPr>
                <w:sz w:val="20"/>
                <w:szCs w:val="20"/>
                <w:color w:val="auto"/>
              </w:rPr>
            </w:pPr>
            <w:r>
              <w:rPr>
                <w:rFonts w:ascii="Arial" w:cs="Arial" w:eastAsia="Arial" w:hAnsi="Arial"/>
                <w:sz w:val="16"/>
                <w:szCs w:val="16"/>
                <w:color w:val="auto"/>
              </w:rPr>
              <w:t>Document</w:t>
            </w:r>
          </w:p>
        </w:tc>
        <w:tc>
          <w:tcPr>
            <w:tcW w:w="14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020" w:type="dxa"/>
            <w:vAlign w:val="bottom"/>
          </w:tcPr>
          <w:p>
            <w:pPr>
              <w:spacing w:after="0" w:line="175" w:lineRule="exact"/>
              <w:rPr>
                <w:sz w:val="20"/>
                <w:szCs w:val="20"/>
                <w:color w:val="auto"/>
              </w:rPr>
            </w:pPr>
            <w:r>
              <w:rPr>
                <w:rFonts w:ascii="Arial" w:cs="Arial" w:eastAsia="Arial" w:hAnsi="Arial"/>
                <w:sz w:val="16"/>
                <w:szCs w:val="16"/>
                <w:color w:val="auto"/>
              </w:rPr>
              <w:t>101.PRE</w:t>
            </w:r>
          </w:p>
        </w:tc>
        <w:tc>
          <w:tcPr>
            <w:tcW w:w="4040" w:type="dxa"/>
            <w:vAlign w:val="bottom"/>
            <w:gridSpan w:val="16"/>
          </w:tcPr>
          <w:p>
            <w:pPr>
              <w:spacing w:after="0" w:line="175" w:lineRule="exact"/>
              <w:rPr>
                <w:sz w:val="20"/>
                <w:szCs w:val="20"/>
                <w:color w:val="auto"/>
              </w:rPr>
            </w:pPr>
            <w:r>
              <w:rPr>
                <w:rFonts w:ascii="Arial" w:cs="Arial" w:eastAsia="Arial" w:hAnsi="Arial"/>
                <w:sz w:val="16"/>
                <w:szCs w:val="16"/>
                <w:color w:val="auto"/>
              </w:rPr>
              <w:t>Inline XBRL Taxonomy Extension Presentation Linkbase</w:t>
            </w:r>
          </w:p>
        </w:tc>
        <w:tc>
          <w:tcPr>
            <w:tcW w:w="14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20" w:type="dxa"/>
            <w:vAlign w:val="bottom"/>
          </w:tcPr>
          <w:p>
            <w:pPr>
              <w:jc w:val="center"/>
              <w:ind w:left="559"/>
              <w:spacing w:after="0" w:line="175"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5"/>
        </w:trPr>
        <w:tc>
          <w:tcPr>
            <w:tcW w:w="1020" w:type="dxa"/>
            <w:vAlign w:val="bottom"/>
          </w:tcPr>
          <w:p>
            <w:pPr>
              <w:spacing w:after="0"/>
              <w:rPr>
                <w:sz w:val="15"/>
                <w:szCs w:val="15"/>
                <w:color w:val="auto"/>
              </w:rPr>
            </w:pPr>
          </w:p>
        </w:tc>
        <w:tc>
          <w:tcPr>
            <w:tcW w:w="4040" w:type="dxa"/>
            <w:vAlign w:val="bottom"/>
            <w:gridSpan w:val="16"/>
          </w:tcPr>
          <w:p>
            <w:pPr>
              <w:spacing w:after="0" w:line="175" w:lineRule="exact"/>
              <w:rPr>
                <w:sz w:val="20"/>
                <w:szCs w:val="20"/>
                <w:color w:val="auto"/>
              </w:rPr>
            </w:pPr>
            <w:r>
              <w:rPr>
                <w:rFonts w:ascii="Arial" w:cs="Arial" w:eastAsia="Arial" w:hAnsi="Arial"/>
                <w:sz w:val="16"/>
                <w:szCs w:val="16"/>
                <w:color w:val="auto"/>
              </w:rPr>
              <w:t>Document</w:t>
            </w:r>
          </w:p>
        </w:tc>
        <w:tc>
          <w:tcPr>
            <w:tcW w:w="14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020" w:type="dxa"/>
            <w:vAlign w:val="bottom"/>
          </w:tcPr>
          <w:p>
            <w:pPr>
              <w:spacing w:after="0" w:line="175" w:lineRule="exact"/>
              <w:rPr>
                <w:sz w:val="20"/>
                <w:szCs w:val="20"/>
                <w:color w:val="auto"/>
              </w:rPr>
            </w:pPr>
            <w:r>
              <w:rPr>
                <w:rFonts w:ascii="Arial" w:cs="Arial" w:eastAsia="Arial" w:hAnsi="Arial"/>
                <w:sz w:val="16"/>
                <w:szCs w:val="16"/>
                <w:color w:val="auto"/>
              </w:rPr>
              <w:t>104</w:t>
            </w:r>
          </w:p>
        </w:tc>
        <w:tc>
          <w:tcPr>
            <w:tcW w:w="4040" w:type="dxa"/>
            <w:vAlign w:val="bottom"/>
            <w:gridSpan w:val="16"/>
          </w:tcPr>
          <w:p>
            <w:pPr>
              <w:spacing w:after="0" w:line="175" w:lineRule="exact"/>
              <w:rPr>
                <w:sz w:val="20"/>
                <w:szCs w:val="20"/>
                <w:color w:val="auto"/>
              </w:rPr>
            </w:pPr>
            <w:r>
              <w:rPr>
                <w:rFonts w:ascii="Arial" w:cs="Arial" w:eastAsia="Arial" w:hAnsi="Arial"/>
                <w:sz w:val="16"/>
                <w:szCs w:val="16"/>
                <w:color w:val="auto"/>
                <w:w w:val="95"/>
              </w:rPr>
              <w:t>Cover Page Interactive Data File (formatted as Inline XBRL</w:t>
            </w:r>
          </w:p>
        </w:tc>
        <w:tc>
          <w:tcPr>
            <w:tcW w:w="14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20" w:type="dxa"/>
            <w:vAlign w:val="bottom"/>
          </w:tcPr>
          <w:p>
            <w:pPr>
              <w:jc w:val="center"/>
              <w:ind w:left="559"/>
              <w:spacing w:after="0" w:line="175"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1020" w:type="dxa"/>
            <w:vAlign w:val="bottom"/>
          </w:tcPr>
          <w:p>
            <w:pPr>
              <w:spacing w:after="0"/>
              <w:rPr>
                <w:sz w:val="17"/>
                <w:szCs w:val="17"/>
                <w:color w:val="auto"/>
              </w:rPr>
            </w:pPr>
          </w:p>
        </w:tc>
        <w:tc>
          <w:tcPr>
            <w:tcW w:w="4040" w:type="dxa"/>
            <w:vAlign w:val="bottom"/>
            <w:gridSpan w:val="16"/>
          </w:tcPr>
          <w:p>
            <w:pPr>
              <w:spacing w:after="0"/>
              <w:rPr>
                <w:sz w:val="20"/>
                <w:szCs w:val="20"/>
                <w:color w:val="auto"/>
              </w:rPr>
            </w:pPr>
            <w:r>
              <w:rPr>
                <w:rFonts w:ascii="Arial" w:cs="Arial" w:eastAsia="Arial" w:hAnsi="Arial"/>
                <w:sz w:val="16"/>
                <w:szCs w:val="16"/>
                <w:color w:val="auto"/>
              </w:rPr>
              <w:t>and contained in Exhibit 101)</w:t>
            </w:r>
          </w:p>
        </w:tc>
        <w:tc>
          <w:tcPr>
            <w:tcW w:w="1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620" w:hanging="612"/>
        <w:spacing w:after="0"/>
        <w:tabs>
          <w:tab w:leader="none" w:pos="620" w:val="left"/>
        </w:tabs>
        <w:numPr>
          <w:ilvl w:val="0"/>
          <w:numId w:val="5"/>
        </w:numPr>
        <w:rPr>
          <w:rFonts w:ascii="Arial" w:cs="Arial" w:eastAsia="Arial" w:hAnsi="Arial"/>
          <w:sz w:val="16"/>
          <w:szCs w:val="16"/>
          <w:color w:val="auto"/>
        </w:rPr>
      </w:pPr>
      <w:r>
        <w:rPr>
          <w:rFonts w:ascii="Arial" w:cs="Arial" w:eastAsia="Arial" w:hAnsi="Arial"/>
          <w:sz w:val="16"/>
          <w:szCs w:val="16"/>
          <w:color w:val="auto"/>
        </w:rPr>
        <w:t>Filed herewith.</w:t>
      </w:r>
    </w:p>
    <w:p>
      <w:pPr>
        <w:spacing w:after="0" w:line="6" w:lineRule="exact"/>
        <w:rPr>
          <w:sz w:val="20"/>
          <w:szCs w:val="20"/>
          <w:color w:val="auto"/>
        </w:rPr>
      </w:pPr>
    </w:p>
    <w:p>
      <w:pPr>
        <w:ind w:left="620" w:hanging="612"/>
        <w:spacing w:after="0"/>
        <w:tabs>
          <w:tab w:leader="none" w:pos="620" w:val="left"/>
        </w:tabs>
        <w:numPr>
          <w:ilvl w:val="0"/>
          <w:numId w:val="6"/>
        </w:numPr>
        <w:rPr>
          <w:rFonts w:ascii="Arial" w:cs="Arial" w:eastAsia="Arial" w:hAnsi="Arial"/>
          <w:sz w:val="16"/>
          <w:szCs w:val="16"/>
          <w:color w:val="auto"/>
        </w:rPr>
      </w:pPr>
      <w:r>
        <w:rPr>
          <w:rFonts w:ascii="Arial" w:cs="Arial" w:eastAsia="Arial" w:hAnsi="Arial"/>
          <w:sz w:val="16"/>
          <w:szCs w:val="16"/>
          <w:color w:val="auto"/>
        </w:rPr>
        <w:t>Furnished herewith.</w:t>
      </w:r>
    </w:p>
    <w:p>
      <w:pPr>
        <w:spacing w:after="0" w:line="203"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324" w:right="779" w:bottom="1440" w:gutter="0" w:footer="0" w:header="0"/>
        </w:sectPr>
      </w:pPr>
    </w:p>
    <w:bookmarkStart w:id="37" w:name="page38"/>
    <w:bookmarkEnd w:id="37"/>
    <w:p>
      <w:pPr>
        <w:jc w:val="center"/>
        <w:ind w:right="-45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65"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SIGHT SCIENCES, INC</w:t>
      </w:r>
    </w:p>
    <w:p>
      <w:pPr>
        <w:spacing w:after="0" w:line="198" w:lineRule="exact"/>
        <w:rPr>
          <w:sz w:val="20"/>
          <w:szCs w:val="20"/>
          <w:color w:val="auto"/>
        </w:rPr>
      </w:pPr>
    </w:p>
    <w:p>
      <w:pPr>
        <w:ind w:left="6160" w:right="3060" w:hanging="6520"/>
        <w:spacing w:after="0" w:line="251" w:lineRule="auto"/>
        <w:tabs>
          <w:tab w:leader="none" w:pos="6140" w:val="left"/>
        </w:tabs>
        <w:rPr>
          <w:sz w:val="20"/>
          <w:szCs w:val="20"/>
          <w:color w:val="auto"/>
        </w:rPr>
      </w:pPr>
      <w:r>
        <w:rPr>
          <w:rFonts w:ascii="Arial" w:cs="Arial" w:eastAsia="Arial" w:hAnsi="Arial"/>
          <w:sz w:val="18"/>
          <w:szCs w:val="18"/>
          <w:color w:val="auto"/>
        </w:rPr>
        <w:t>November 10, 2022</w:t>
      </w:r>
      <w:r>
        <w:rPr>
          <w:sz w:val="20"/>
          <w:szCs w:val="20"/>
          <w:color w:val="auto"/>
        </w:rPr>
        <w:tab/>
      </w:r>
      <w:r>
        <w:rPr>
          <w:rFonts w:ascii="Arial" w:cs="Arial" w:eastAsia="Arial" w:hAnsi="Arial"/>
          <w:sz w:val="18"/>
          <w:szCs w:val="18"/>
          <w:color w:val="auto"/>
        </w:rPr>
        <w:t>By: /s/ Paul Badawi Paul Badawi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-128270</wp:posOffset>
            </wp:positionV>
            <wp:extent cx="291465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1">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324" w:right="779" w:bottom="1440" w:gutter="0" w:footer="0" w:header="0"/>
        </w:sectPr>
      </w:pPr>
    </w:p>
    <w:bookmarkStart w:id="38" w:name="page39"/>
    <w:bookmarkEnd w:id="38"/>
    <w:p>
      <w:pPr>
        <w:ind w:left="10220"/>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ind w:right="200"/>
        <w:spacing w:after="0" w:line="267" w:lineRule="auto"/>
        <w:rPr>
          <w:sz w:val="20"/>
          <w:szCs w:val="20"/>
          <w:color w:val="auto"/>
        </w:rPr>
      </w:pPr>
      <w:r>
        <w:rPr>
          <w:rFonts w:ascii="Arial" w:cs="Arial" w:eastAsia="Arial" w:hAnsi="Arial"/>
          <w:sz w:val="20"/>
          <w:szCs w:val="20"/>
          <w:b w:val="1"/>
          <w:bCs w:val="1"/>
          <w:color w:val="auto"/>
        </w:rPr>
        <w:t>Certain information marked as [****] has been excluded from this exhibit because it is both (i) not material and (ii) is the type that the Registrant treats as private or confidential.</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AMENDMENT #2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TO</w:t>
      </w:r>
    </w:p>
    <w:p>
      <w:pPr>
        <w:jc w:val="center"/>
        <w:spacing w:after="0"/>
        <w:rPr>
          <w:sz w:val="20"/>
          <w:szCs w:val="20"/>
          <w:color w:val="auto"/>
        </w:rPr>
      </w:pPr>
      <w:r>
        <w:rPr>
          <w:rFonts w:ascii="Arial" w:cs="Arial" w:eastAsia="Arial" w:hAnsi="Arial"/>
          <w:sz w:val="20"/>
          <w:szCs w:val="20"/>
          <w:b w:val="1"/>
          <w:bCs w:val="1"/>
          <w:color w:val="auto"/>
        </w:rPr>
        <w:t>SUPPLY AGREEMENT</w:t>
      </w:r>
    </w:p>
    <w:p>
      <w:pPr>
        <w:spacing w:after="0" w:line="200" w:lineRule="exact"/>
        <w:rPr>
          <w:sz w:val="20"/>
          <w:szCs w:val="20"/>
          <w:color w:val="auto"/>
        </w:rPr>
      </w:pPr>
    </w:p>
    <w:p>
      <w:pPr>
        <w:spacing w:after="0" w:line="202"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20"/>
          <w:szCs w:val="20"/>
          <w:color w:val="auto"/>
        </w:rPr>
        <w:t>This Amendment #2 to Supply Agreement (“Amendment”) is made effective as of July 19, 2022 (the “Amendment Effective Date”) and entered into by and between Sight Sciences, Inc., a Delaware corporation having a principal place of business at 4040 Campbell Ave., Suite 100, Menlo Park, California 94025 (“</w:t>
      </w:r>
      <w:r>
        <w:rPr>
          <w:rFonts w:ascii="Arial" w:cs="Arial" w:eastAsia="Arial" w:hAnsi="Arial"/>
          <w:sz w:val="20"/>
          <w:szCs w:val="20"/>
          <w:b w:val="1"/>
          <w:bCs w:val="1"/>
          <w:color w:val="auto"/>
        </w:rPr>
        <w:t>Buyer</w:t>
      </w:r>
      <w:r>
        <w:rPr>
          <w:rFonts w:ascii="Arial" w:cs="Arial" w:eastAsia="Arial" w:hAnsi="Arial"/>
          <w:sz w:val="20"/>
          <w:szCs w:val="20"/>
          <w:color w:val="auto"/>
        </w:rPr>
        <w:t>”) and Peter’s Technology (Suzhou) CO., LTD., a Suzhou, Jiangsu Province corporation, with its principal place of business at No. 99 Jishi East Road, Wu Jiang District, Suzhou City, Jiangsu Province, P.R. China 215200 (</w:t>
      </w:r>
      <w:r>
        <w:rPr>
          <w:rFonts w:ascii="Arial" w:cs="Arial" w:eastAsia="Arial" w:hAnsi="Arial"/>
          <w:sz w:val="20"/>
          <w:szCs w:val="20"/>
          <w:b w:val="1"/>
          <w:bCs w:val="1"/>
          <w:color w:val="auto"/>
        </w:rPr>
        <w:t>“Supplier”</w:t>
      </w:r>
      <w:r>
        <w:rPr>
          <w:rFonts w:ascii="Arial" w:cs="Arial" w:eastAsia="Arial" w:hAnsi="Arial"/>
          <w:sz w:val="20"/>
          <w:szCs w:val="20"/>
          <w:color w:val="auto"/>
        </w:rPr>
        <w: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RECITALS</w:t>
      </w:r>
    </w:p>
    <w:p>
      <w:pPr>
        <w:spacing w:after="0" w:line="208"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WHEREAS, Buyer and Supplier are parties to that certain Supply Agreement, effective as of January 14, 2020 (as the same has been or may be amended, the “Agreement”); and</w:t>
      </w:r>
    </w:p>
    <w:p>
      <w:pPr>
        <w:spacing w:after="0" w:line="16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WHEREAS, the Parties wish to amend certain of their respective rights and obligations under the Agreement as set forth herein.</w:t>
      </w:r>
    </w:p>
    <w:p>
      <w:pPr>
        <w:spacing w:after="0" w:line="225"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NOW, THEREFORE, in consideration of the covenants contained herein, and for other good and valuable consideration, the receipt and sufficiency of which is hereby acknowledged, the parties hereto agree as follows: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AGREEMENT</w:t>
      </w:r>
    </w:p>
    <w:p>
      <w:pPr>
        <w:spacing w:after="0" w:line="325" w:lineRule="exact"/>
        <w:rPr>
          <w:sz w:val="20"/>
          <w:szCs w:val="20"/>
          <w:color w:val="auto"/>
        </w:rPr>
      </w:pPr>
    </w:p>
    <w:p>
      <w:pPr>
        <w:ind w:left="1620" w:hanging="863"/>
        <w:spacing w:after="0"/>
        <w:tabs>
          <w:tab w:leader="none" w:pos="1620" w:val="left"/>
        </w:tabs>
        <w:numPr>
          <w:ilvl w:val="0"/>
          <w:numId w:val="7"/>
        </w:numPr>
        <w:rPr>
          <w:rFonts w:ascii="Arial" w:cs="Arial" w:eastAsia="Arial" w:hAnsi="Arial"/>
          <w:sz w:val="20"/>
          <w:szCs w:val="20"/>
          <w:color w:val="auto"/>
        </w:rPr>
      </w:pPr>
      <w:r>
        <w:rPr>
          <w:rFonts w:ascii="Arial" w:cs="Arial" w:eastAsia="Arial" w:hAnsi="Arial"/>
          <w:sz w:val="20"/>
          <w:szCs w:val="20"/>
          <w:color w:val="auto"/>
        </w:rPr>
        <w:t>This Amendment shall be effective as of the Amendment Effective Date.</w:t>
      </w:r>
    </w:p>
    <w:p>
      <w:pPr>
        <w:spacing w:after="0" w:line="202" w:lineRule="exact"/>
        <w:rPr>
          <w:rFonts w:ascii="Arial" w:cs="Arial" w:eastAsia="Arial" w:hAnsi="Arial"/>
          <w:sz w:val="20"/>
          <w:szCs w:val="20"/>
          <w:color w:val="auto"/>
        </w:rPr>
      </w:pPr>
    </w:p>
    <w:p>
      <w:pPr>
        <w:ind w:left="1620" w:hanging="863"/>
        <w:spacing w:after="0"/>
        <w:tabs>
          <w:tab w:leader="none" w:pos="162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shall be amended in its entirety and replaced with the attached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as of the Amendment Effective Date.</w:t>
      </w:r>
    </w:p>
    <w:p>
      <w:pPr>
        <w:spacing w:after="0" w:line="225" w:lineRule="exact"/>
        <w:rPr>
          <w:rFonts w:ascii="Arial" w:cs="Arial" w:eastAsia="Arial" w:hAnsi="Arial"/>
          <w:sz w:val="18"/>
          <w:szCs w:val="18"/>
          <w:color w:val="auto"/>
        </w:rPr>
      </w:pPr>
    </w:p>
    <w:p>
      <w:pPr>
        <w:ind w:left="1620" w:hanging="863"/>
        <w:spacing w:after="0"/>
        <w:tabs>
          <w:tab w:leader="none" w:pos="1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capitalized terms not defined in this Amendment shall have the meanings ascribed to such terms in the Agreement.</w:t>
      </w:r>
    </w:p>
    <w:p>
      <w:pPr>
        <w:spacing w:after="0" w:line="238" w:lineRule="exact"/>
        <w:rPr>
          <w:rFonts w:ascii="Arial" w:cs="Arial" w:eastAsia="Arial" w:hAnsi="Arial"/>
          <w:sz w:val="18"/>
          <w:szCs w:val="18"/>
          <w:color w:val="auto"/>
        </w:rPr>
      </w:pPr>
    </w:p>
    <w:p>
      <w:pPr>
        <w:ind w:right="20" w:firstLine="757"/>
        <w:spacing w:after="0" w:line="246" w:lineRule="auto"/>
        <w:tabs>
          <w:tab w:leader="none" w:pos="1613" w:val="left"/>
        </w:tabs>
        <w:numPr>
          <w:ilvl w:val="0"/>
          <w:numId w:val="7"/>
        </w:numPr>
        <w:rPr>
          <w:rFonts w:ascii="Arial" w:cs="Arial" w:eastAsia="Arial" w:hAnsi="Arial"/>
          <w:sz w:val="20"/>
          <w:szCs w:val="20"/>
          <w:color w:val="auto"/>
        </w:rPr>
      </w:pPr>
      <w:r>
        <w:rPr>
          <w:rFonts w:ascii="Arial" w:cs="Arial" w:eastAsia="Arial" w:hAnsi="Arial"/>
          <w:sz w:val="20"/>
          <w:szCs w:val="20"/>
          <w:color w:val="auto"/>
        </w:rPr>
        <w:t>Unless specifically amended herein, all other terms and conditions of the Agreement, including the remainder of Exhibit A, shall continue in full force and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39" w:name="page40"/>
    <w:bookmarkEnd w:id="39"/>
    <w:p>
      <w:pPr>
        <w:spacing w:after="0"/>
        <w:rPr>
          <w:sz w:val="20"/>
          <w:szCs w:val="20"/>
          <w:color w:val="auto"/>
        </w:rPr>
      </w:pPr>
      <w:r>
        <w:rPr>
          <w:rFonts w:ascii="Arial" w:cs="Arial" w:eastAsia="Arial" w:hAnsi="Arial"/>
          <w:sz w:val="20"/>
          <w:szCs w:val="20"/>
          <w:color w:val="auto"/>
        </w:rPr>
        <w:t>The parties have caused this Agreement to be executed as of the Effective Date.</w:t>
      </w:r>
    </w:p>
    <w:p>
      <w:pPr>
        <w:spacing w:after="0" w:line="196" w:lineRule="exact"/>
        <w:rPr>
          <w:sz w:val="20"/>
          <w:szCs w:val="20"/>
          <w:color w:val="auto"/>
        </w:rPr>
      </w:pPr>
    </w:p>
    <w:p>
      <w:pPr>
        <w:ind w:left="200"/>
        <w:spacing w:after="0"/>
        <w:tabs>
          <w:tab w:leader="none" w:pos="5900" w:val="left"/>
        </w:tabs>
        <w:rPr>
          <w:sz w:val="20"/>
          <w:szCs w:val="20"/>
          <w:color w:val="auto"/>
        </w:rPr>
      </w:pPr>
      <w:r>
        <w:rPr>
          <w:rFonts w:ascii="Arial" w:cs="Arial" w:eastAsia="Arial" w:hAnsi="Arial"/>
          <w:sz w:val="39"/>
          <w:szCs w:val="39"/>
          <w:b w:val="1"/>
          <w:bCs w:val="1"/>
          <w:color w:val="auto"/>
          <w:vertAlign w:val="superscript"/>
        </w:rPr>
        <w:t>SIGHT SCIENCES, INC.</w:t>
      </w:r>
      <w:r>
        <w:rPr>
          <w:sz w:val="20"/>
          <w:szCs w:val="20"/>
          <w:color w:val="auto"/>
        </w:rPr>
        <w:tab/>
      </w:r>
      <w:r>
        <w:rPr>
          <w:rFonts w:ascii="Arial" w:cs="Arial" w:eastAsia="Arial" w:hAnsi="Arial"/>
          <w:sz w:val="19"/>
          <w:szCs w:val="19"/>
          <w:b w:val="1"/>
          <w:bCs w:val="1"/>
          <w:color w:val="auto"/>
        </w:rPr>
        <w:t>PETER’S TECHNOLOGY (SUZHOU) CO., LTD.</w:t>
      </w:r>
    </w:p>
    <w:p>
      <w:pPr>
        <w:ind w:left="5920"/>
        <w:spacing w:after="0" w:line="217" w:lineRule="auto"/>
        <w:rPr>
          <w:sz w:val="20"/>
          <w:szCs w:val="20"/>
          <w:color w:val="auto"/>
        </w:rPr>
      </w:pPr>
      <w:r>
        <w:rPr>
          <w:rFonts w:ascii="Arial" w:cs="Arial" w:eastAsia="Arial" w:hAnsi="Arial"/>
          <w:sz w:val="20"/>
          <w:szCs w:val="20"/>
          <w:color w:val="auto"/>
        </w:rPr>
        <w:t>By /</w:t>
      </w:r>
      <w:r>
        <w:rPr>
          <w:rFonts w:ascii="Arial" w:cs="Arial" w:eastAsia="Arial" w:hAnsi="Arial"/>
          <w:sz w:val="20"/>
          <w:szCs w:val="20"/>
          <w:u w:val="single" w:color="auto"/>
          <w:color w:val="auto"/>
        </w:rPr>
        <w:t>s/ Calvin Kuo</w:t>
      </w:r>
    </w:p>
    <w:p>
      <w:pPr>
        <w:ind w:left="200"/>
        <w:spacing w:after="0" w:line="211" w:lineRule="auto"/>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Ken Gillette – Dir. Global Supply Chain</w:t>
      </w:r>
    </w:p>
    <w:p>
      <w:pPr>
        <w:ind w:left="260"/>
        <w:spacing w:after="0" w:line="181" w:lineRule="auto"/>
        <w:tabs>
          <w:tab w:leader="none" w:pos="5900" w:val="left"/>
        </w:tabs>
        <w:rPr>
          <w:sz w:val="20"/>
          <w:szCs w:val="20"/>
          <w:color w:val="auto"/>
        </w:rPr>
      </w:pPr>
      <w:r>
        <w:rPr>
          <w:rFonts w:ascii="Arial" w:cs="Arial" w:eastAsia="Arial" w:hAnsi="Arial"/>
          <w:sz w:val="20"/>
          <w:szCs w:val="20"/>
          <w:color w:val="auto"/>
        </w:rPr>
        <w:t>[Name and Title]</w:t>
      </w:r>
      <w:r>
        <w:rPr>
          <w:sz w:val="20"/>
          <w:szCs w:val="20"/>
          <w:color w:val="auto"/>
        </w:rPr>
        <w:tab/>
      </w:r>
      <w:r>
        <w:rPr>
          <w:rFonts w:ascii="Arial" w:cs="Arial" w:eastAsia="Arial" w:hAnsi="Arial"/>
          <w:sz w:val="28"/>
          <w:szCs w:val="28"/>
          <w:u w:val="single" w:color="auto"/>
          <w:color w:val="auto"/>
          <w:vertAlign w:val="subscript"/>
        </w:rPr>
        <w:t>Calvin Kuo</w:t>
      </w:r>
    </w:p>
    <w:p>
      <w:pPr>
        <w:spacing w:after="0" w:line="1" w:lineRule="exact"/>
        <w:rPr>
          <w:sz w:val="20"/>
          <w:szCs w:val="20"/>
          <w:color w:val="auto"/>
        </w:rPr>
      </w:pPr>
    </w:p>
    <w:p>
      <w:pPr>
        <w:ind w:left="5920"/>
        <w:spacing w:after="0"/>
        <w:rPr>
          <w:sz w:val="20"/>
          <w:szCs w:val="20"/>
          <w:color w:val="auto"/>
        </w:rPr>
      </w:pPr>
      <w:r>
        <w:rPr>
          <w:rFonts w:ascii="Arial" w:cs="Arial" w:eastAsia="Arial" w:hAnsi="Arial"/>
          <w:sz w:val="20"/>
          <w:szCs w:val="20"/>
          <w:i w:val="1"/>
          <w:iCs w:val="1"/>
          <w:color w:val="auto"/>
        </w:rPr>
        <w:t>(print name)</w:t>
      </w:r>
    </w:p>
    <w:p>
      <w:pPr>
        <w:sectPr>
          <w:pgSz w:w="11900" w:h="16838" w:orient="portrait"/>
          <w:cols w:equalWidth="0" w:num="1">
            <w:col w:w="10180"/>
          </w:cols>
          <w:pgMar w:left="320" w:top="325" w:right="1399" w:bottom="1440" w:gutter="0" w:footer="0" w:header="0"/>
        </w:sectPr>
      </w:pPr>
    </w:p>
    <w:p>
      <w:pPr>
        <w:spacing w:after="0" w:line="3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 xml:space="preserve">Date </w:t>
      </w:r>
      <w:r>
        <w:rPr>
          <w:rFonts w:ascii="Arial" w:cs="Arial" w:eastAsia="Arial" w:hAnsi="Arial"/>
          <w:sz w:val="16"/>
          <w:szCs w:val="16"/>
          <w:u w:val="single" w:color="auto"/>
          <w:color w:val="auto"/>
        </w:rPr>
        <w:t>July 25, 2022</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Title: </w:t>
      </w:r>
      <w:r>
        <w:rPr>
          <w:rFonts w:ascii="Arial" w:cs="Arial" w:eastAsia="Arial" w:hAnsi="Arial"/>
          <w:sz w:val="16"/>
          <w:szCs w:val="16"/>
          <w:u w:val="single" w:color="auto"/>
          <w:color w:val="auto"/>
        </w:rPr>
        <w:t>General Manager</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Date: </w:t>
      </w:r>
      <w:r>
        <w:rPr>
          <w:rFonts w:ascii="Arial" w:cs="Arial" w:eastAsia="Arial" w:hAnsi="Arial"/>
          <w:sz w:val="20"/>
          <w:szCs w:val="20"/>
          <w:u w:val="single" w:color="auto"/>
          <w:color w:val="auto"/>
        </w:rPr>
        <w:t>July 26,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-3766185</wp:posOffset>
            </wp:positionH>
            <wp:positionV relativeFrom="paragraph">
              <wp:posOffset>1060450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200" w:space="720"/>
            <w:col w:w="4260"/>
          </w:cols>
          <w:pgMar w:left="320" w:top="325" w:right="1399" w:bottom="1440" w:gutter="0" w:footer="0" w:header="0"/>
          <w:type w:val="continuous"/>
        </w:sectPr>
      </w:pPr>
    </w:p>
    <w:bookmarkStart w:id="40" w:name="page41"/>
    <w:bookmarkEnd w:id="40"/>
    <w:p>
      <w:pPr>
        <w:jc w:val="center"/>
        <w:ind w:right="-311"/>
        <w:spacing w:after="0"/>
        <w:rPr>
          <w:sz w:val="20"/>
          <w:szCs w:val="20"/>
          <w:color w:val="auto"/>
        </w:rPr>
      </w:pPr>
      <w:r>
        <w:rPr>
          <w:rFonts w:ascii="Arial" w:cs="Arial" w:eastAsia="Arial" w:hAnsi="Arial"/>
          <w:sz w:val="22"/>
          <w:szCs w:val="22"/>
          <w:b w:val="1"/>
          <w:bCs w:val="1"/>
          <w:u w:val="single" w:color="auto"/>
          <w:color w:val="auto"/>
        </w:rPr>
        <w:t>EXHIBIT A</w:t>
      </w:r>
    </w:p>
    <w:p>
      <w:pPr>
        <w:spacing w:after="0" w:line="220" w:lineRule="exact"/>
        <w:rPr>
          <w:sz w:val="20"/>
          <w:szCs w:val="20"/>
          <w:color w:val="auto"/>
        </w:rPr>
      </w:pPr>
    </w:p>
    <w:p>
      <w:pPr>
        <w:jc w:val="center"/>
        <w:ind w:right="-311"/>
        <w:spacing w:after="0"/>
        <w:rPr>
          <w:sz w:val="20"/>
          <w:szCs w:val="20"/>
          <w:color w:val="auto"/>
        </w:rPr>
      </w:pPr>
      <w:r>
        <w:rPr>
          <w:rFonts w:ascii="Arial" w:cs="Arial" w:eastAsia="Arial" w:hAnsi="Arial"/>
          <w:sz w:val="22"/>
          <w:szCs w:val="22"/>
          <w:b w:val="1"/>
          <w:bCs w:val="1"/>
          <w:u w:val="single" w:color="auto"/>
          <w:color w:val="auto"/>
        </w:rPr>
        <w:t>PRODUCTS; PRODUCT PRICING</w:t>
      </w:r>
    </w:p>
    <w:p>
      <w:pPr>
        <w:spacing w:after="0" w:line="200" w:lineRule="exact"/>
        <w:rPr>
          <w:sz w:val="20"/>
          <w:szCs w:val="20"/>
          <w:color w:val="auto"/>
        </w:rPr>
      </w:pPr>
    </w:p>
    <w:p>
      <w:pPr>
        <w:spacing w:after="0" w:line="317" w:lineRule="exact"/>
        <w:rPr>
          <w:sz w:val="20"/>
          <w:szCs w:val="20"/>
          <w:color w:val="auto"/>
        </w:rPr>
      </w:pPr>
    </w:p>
    <w:p>
      <w:pPr>
        <w:ind w:left="332" w:hanging="332"/>
        <w:spacing w:after="0"/>
        <w:tabs>
          <w:tab w:leader="none" w:pos="332" w:val="left"/>
        </w:tabs>
        <w:numPr>
          <w:ilvl w:val="0"/>
          <w:numId w:val="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Products; Prices</w:t>
      </w:r>
      <w:r>
        <w:rPr>
          <w:rFonts w:ascii="Arial" w:cs="Arial" w:eastAsia="Arial" w:hAnsi="Arial"/>
          <w:sz w:val="22"/>
          <w:szCs w:val="22"/>
          <w:b w:val="1"/>
          <w:bCs w:val="1"/>
          <w:color w:val="auto"/>
        </w:rPr>
        <w:t xml:space="preserve">. </w:t>
      </w:r>
      <w:r>
        <w:rPr>
          <w:rFonts w:ascii="Arial" w:cs="Arial" w:eastAsia="Arial" w:hAnsi="Arial"/>
          <w:sz w:val="22"/>
          <w:szCs w:val="22"/>
          <w:color w:val="auto"/>
        </w:rPr>
        <w:t>Products and Product prices are as follows:</w:t>
      </w:r>
    </w:p>
    <w:p>
      <w:pPr>
        <w:spacing w:after="0" w:line="318" w:lineRule="exact"/>
        <w:rPr>
          <w:sz w:val="20"/>
          <w:szCs w:val="20"/>
          <w:color w:val="auto"/>
        </w:rPr>
      </w:pPr>
    </w:p>
    <w:tbl>
      <w:tblPr>
        <w:tblLayout w:type="fixed"/>
        <w:tblInd w:w="322" w:type="dxa"/>
        <w:tblCellMar>
          <w:top w:w="0" w:type="dxa"/>
          <w:left w:w="0" w:type="dxa"/>
          <w:bottom w:w="0" w:type="dxa"/>
          <w:right w:w="0" w:type="dxa"/>
        </w:tblCellMar>
      </w:tblPr>
      <w:tr>
        <w:trPr>
          <w:trHeight w:val="378"/>
        </w:trPr>
        <w:tc>
          <w:tcPr>
            <w:tcW w:w="1740" w:type="dxa"/>
            <w:vAlign w:val="bottom"/>
            <w:tcBorders>
              <w:top w:val="single" w:sz="8" w:color="auto"/>
              <w:left w:val="single" w:sz="8" w:color="auto"/>
              <w:right w:val="single" w:sz="8" w:color="auto"/>
            </w:tcBorders>
            <w:shd w:val="clear" w:color="auto" w:fill="F2F2F2"/>
          </w:tcPr>
          <w:p>
            <w:pPr>
              <w:ind w:left="120"/>
              <w:spacing w:after="0"/>
              <w:rPr>
                <w:sz w:val="20"/>
                <w:szCs w:val="20"/>
                <w:color w:val="auto"/>
              </w:rPr>
            </w:pPr>
            <w:r>
              <w:rPr>
                <w:rFonts w:ascii="Arial" w:cs="Arial" w:eastAsia="Arial" w:hAnsi="Arial"/>
                <w:sz w:val="22"/>
                <w:szCs w:val="22"/>
                <w:b w:val="1"/>
                <w:bCs w:val="1"/>
                <w:color w:val="auto"/>
              </w:rPr>
              <w:t>Product No.</w:t>
            </w:r>
          </w:p>
        </w:tc>
        <w:tc>
          <w:tcPr>
            <w:tcW w:w="5740" w:type="dxa"/>
            <w:vAlign w:val="bottom"/>
            <w:tcBorders>
              <w:top w:val="single" w:sz="8" w:color="auto"/>
              <w:right w:val="single" w:sz="8" w:color="auto"/>
            </w:tcBorders>
            <w:gridSpan w:val="2"/>
            <w:shd w:val="clear" w:color="auto" w:fill="F2F2F2"/>
          </w:tcPr>
          <w:p>
            <w:pPr>
              <w:ind w:left="80"/>
              <w:spacing w:after="0"/>
              <w:rPr>
                <w:sz w:val="20"/>
                <w:szCs w:val="20"/>
                <w:color w:val="auto"/>
              </w:rPr>
            </w:pPr>
            <w:r>
              <w:rPr>
                <w:rFonts w:ascii="Arial" w:cs="Arial" w:eastAsia="Arial" w:hAnsi="Arial"/>
                <w:sz w:val="22"/>
                <w:szCs w:val="22"/>
                <w:b w:val="1"/>
                <w:bCs w:val="1"/>
                <w:color w:val="auto"/>
              </w:rPr>
              <w:t>Product Description</w:t>
            </w:r>
          </w:p>
        </w:tc>
        <w:tc>
          <w:tcPr>
            <w:tcW w:w="3200" w:type="dxa"/>
            <w:vAlign w:val="bottom"/>
            <w:tcBorders>
              <w:top w:val="single" w:sz="8" w:color="auto"/>
              <w:right w:val="single" w:sz="8" w:color="auto"/>
            </w:tcBorders>
            <w:shd w:val="clear" w:color="auto" w:fill="F2F2F2"/>
          </w:tcPr>
          <w:p>
            <w:pPr>
              <w:ind w:left="80"/>
              <w:spacing w:after="0"/>
              <w:rPr>
                <w:sz w:val="20"/>
                <w:szCs w:val="20"/>
                <w:color w:val="auto"/>
              </w:rPr>
            </w:pPr>
            <w:r>
              <w:rPr>
                <w:rFonts w:ascii="Arial" w:cs="Arial" w:eastAsia="Arial" w:hAnsi="Arial"/>
                <w:sz w:val="22"/>
                <w:szCs w:val="22"/>
                <w:b w:val="1"/>
                <w:bCs w:val="1"/>
                <w:color w:val="auto"/>
              </w:rPr>
              <w:t>Price Per Unit</w:t>
            </w:r>
          </w:p>
        </w:tc>
      </w:tr>
      <w:tr>
        <w:trPr>
          <w:trHeight w:val="108"/>
        </w:trPr>
        <w:tc>
          <w:tcPr>
            <w:tcW w:w="1740" w:type="dxa"/>
            <w:vAlign w:val="bottom"/>
            <w:tcBorders>
              <w:left w:val="single" w:sz="8" w:color="auto"/>
              <w:bottom w:val="single" w:sz="8" w:color="auto"/>
              <w:right w:val="single" w:sz="8" w:color="auto"/>
            </w:tcBorders>
            <w:shd w:val="clear" w:color="auto" w:fill="F2F2F2"/>
          </w:tcPr>
          <w:p>
            <w:pPr>
              <w:spacing w:after="0"/>
              <w:rPr>
                <w:sz w:val="9"/>
                <w:szCs w:val="9"/>
                <w:color w:val="auto"/>
              </w:rPr>
            </w:pPr>
          </w:p>
        </w:tc>
        <w:tc>
          <w:tcPr>
            <w:tcW w:w="5740" w:type="dxa"/>
            <w:vAlign w:val="bottom"/>
            <w:tcBorders>
              <w:bottom w:val="single" w:sz="8" w:color="auto"/>
              <w:right w:val="single" w:sz="8" w:color="auto"/>
            </w:tcBorders>
            <w:gridSpan w:val="2"/>
            <w:shd w:val="clear" w:color="auto" w:fill="F2F2F2"/>
          </w:tcPr>
          <w:p>
            <w:pPr>
              <w:spacing w:after="0"/>
              <w:rPr>
                <w:sz w:val="9"/>
                <w:szCs w:val="9"/>
                <w:color w:val="auto"/>
              </w:rPr>
            </w:pPr>
          </w:p>
        </w:tc>
        <w:tc>
          <w:tcPr>
            <w:tcW w:w="3200" w:type="dxa"/>
            <w:vAlign w:val="bottom"/>
            <w:tcBorders>
              <w:bottom w:val="single" w:sz="8" w:color="auto"/>
              <w:right w:val="single" w:sz="8" w:color="auto"/>
            </w:tcBorders>
            <w:shd w:val="clear" w:color="auto" w:fill="F2F2F2"/>
          </w:tcPr>
          <w:p>
            <w:pPr>
              <w:spacing w:after="0"/>
              <w:rPr>
                <w:sz w:val="9"/>
                <w:szCs w:val="9"/>
                <w:color w:val="auto"/>
              </w:rPr>
            </w:pPr>
          </w:p>
        </w:tc>
      </w:tr>
      <w:tr>
        <w:trPr>
          <w:trHeight w:val="284"/>
        </w:trPr>
        <w:tc>
          <w:tcPr>
            <w:tcW w:w="17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FG-06721</w:t>
            </w:r>
          </w:p>
        </w:tc>
        <w:tc>
          <w:tcPr>
            <w:tcW w:w="5740" w:type="dxa"/>
            <w:vAlign w:val="bottom"/>
            <w:tcBorders>
              <w:right w:val="single" w:sz="8" w:color="auto"/>
            </w:tcBorders>
            <w:gridSpan w:val="2"/>
          </w:tcPr>
          <w:p>
            <w:pPr>
              <w:ind w:left="80"/>
              <w:spacing w:after="0"/>
              <w:rPr>
                <w:sz w:val="20"/>
                <w:szCs w:val="20"/>
                <w:color w:val="auto"/>
              </w:rPr>
            </w:pPr>
            <w:r>
              <w:rPr>
                <w:rFonts w:ascii="Arial" w:cs="Arial" w:eastAsia="Arial" w:hAnsi="Arial"/>
                <w:sz w:val="20"/>
                <w:szCs w:val="20"/>
                <w:color w:val="auto"/>
              </w:rPr>
              <w:t>1-102 OMNI Surgical System (US)</w:t>
            </w:r>
          </w:p>
        </w:tc>
        <w:tc>
          <w:tcPr>
            <w:tcW w:w="320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w:t>
            </w:r>
          </w:p>
        </w:tc>
      </w:tr>
      <w:tr>
        <w:trPr>
          <w:trHeight w:val="50"/>
        </w:trPr>
        <w:tc>
          <w:tcPr>
            <w:tcW w:w="1740" w:type="dxa"/>
            <w:vAlign w:val="bottom"/>
            <w:tcBorders>
              <w:left w:val="single" w:sz="8" w:color="auto"/>
              <w:bottom w:val="single" w:sz="8" w:color="auto"/>
              <w:right w:val="single" w:sz="8" w:color="auto"/>
            </w:tcBorders>
          </w:tcPr>
          <w:p>
            <w:pPr>
              <w:spacing w:after="0"/>
              <w:rPr>
                <w:sz w:val="4"/>
                <w:szCs w:val="4"/>
                <w:color w:val="auto"/>
              </w:rPr>
            </w:pPr>
          </w:p>
        </w:tc>
        <w:tc>
          <w:tcPr>
            <w:tcW w:w="5740" w:type="dxa"/>
            <w:vAlign w:val="bottom"/>
            <w:tcBorders>
              <w:bottom w:val="single" w:sz="8" w:color="auto"/>
              <w:right w:val="single" w:sz="8" w:color="auto"/>
            </w:tcBorders>
            <w:gridSpan w:val="2"/>
          </w:tcPr>
          <w:p>
            <w:pPr>
              <w:spacing w:after="0"/>
              <w:rPr>
                <w:sz w:val="4"/>
                <w:szCs w:val="4"/>
                <w:color w:val="auto"/>
              </w:rPr>
            </w:pPr>
          </w:p>
        </w:tc>
        <w:tc>
          <w:tcPr>
            <w:tcW w:w="3200" w:type="dxa"/>
            <w:vAlign w:val="bottom"/>
            <w:tcBorders>
              <w:bottom w:val="single" w:sz="8" w:color="auto"/>
              <w:right w:val="single" w:sz="8" w:color="auto"/>
            </w:tcBorders>
          </w:tcPr>
          <w:p>
            <w:pPr>
              <w:spacing w:after="0"/>
              <w:rPr>
                <w:sz w:val="4"/>
                <w:szCs w:val="4"/>
                <w:color w:val="auto"/>
              </w:rPr>
            </w:pPr>
          </w:p>
        </w:tc>
      </w:tr>
      <w:tr>
        <w:trPr>
          <w:trHeight w:val="281"/>
        </w:trPr>
        <w:tc>
          <w:tcPr>
            <w:tcW w:w="17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FG-06722</w:t>
            </w:r>
          </w:p>
        </w:tc>
        <w:tc>
          <w:tcPr>
            <w:tcW w:w="5740" w:type="dxa"/>
            <w:vAlign w:val="bottom"/>
            <w:tcBorders>
              <w:right w:val="single" w:sz="8" w:color="auto"/>
            </w:tcBorders>
            <w:gridSpan w:val="2"/>
          </w:tcPr>
          <w:p>
            <w:pPr>
              <w:ind w:left="80"/>
              <w:spacing w:after="0"/>
              <w:rPr>
                <w:sz w:val="20"/>
                <w:szCs w:val="20"/>
                <w:color w:val="auto"/>
              </w:rPr>
            </w:pPr>
            <w:r>
              <w:rPr>
                <w:rFonts w:ascii="Arial" w:cs="Arial" w:eastAsia="Arial" w:hAnsi="Arial"/>
                <w:sz w:val="20"/>
                <w:szCs w:val="20"/>
                <w:color w:val="auto"/>
              </w:rPr>
              <w:t>1-103 OMNI Surgical System (OUS)</w:t>
            </w:r>
          </w:p>
        </w:tc>
        <w:tc>
          <w:tcPr>
            <w:tcW w:w="320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w:t>
            </w:r>
          </w:p>
        </w:tc>
      </w:tr>
      <w:tr>
        <w:trPr>
          <w:trHeight w:val="50"/>
        </w:trPr>
        <w:tc>
          <w:tcPr>
            <w:tcW w:w="1740" w:type="dxa"/>
            <w:vAlign w:val="bottom"/>
            <w:tcBorders>
              <w:left w:val="single" w:sz="8" w:color="auto"/>
              <w:bottom w:val="single" w:sz="8" w:color="auto"/>
              <w:right w:val="single" w:sz="8" w:color="auto"/>
            </w:tcBorders>
          </w:tcPr>
          <w:p>
            <w:pPr>
              <w:spacing w:after="0"/>
              <w:rPr>
                <w:sz w:val="4"/>
                <w:szCs w:val="4"/>
                <w:color w:val="auto"/>
              </w:rPr>
            </w:pPr>
          </w:p>
        </w:tc>
        <w:tc>
          <w:tcPr>
            <w:tcW w:w="5740" w:type="dxa"/>
            <w:vAlign w:val="bottom"/>
            <w:tcBorders>
              <w:bottom w:val="single" w:sz="8" w:color="auto"/>
              <w:right w:val="single" w:sz="8" w:color="auto"/>
            </w:tcBorders>
            <w:gridSpan w:val="2"/>
          </w:tcPr>
          <w:p>
            <w:pPr>
              <w:spacing w:after="0"/>
              <w:rPr>
                <w:sz w:val="4"/>
                <w:szCs w:val="4"/>
                <w:color w:val="auto"/>
              </w:rPr>
            </w:pPr>
          </w:p>
        </w:tc>
        <w:tc>
          <w:tcPr>
            <w:tcW w:w="3200" w:type="dxa"/>
            <w:vAlign w:val="bottom"/>
            <w:tcBorders>
              <w:bottom w:val="single" w:sz="8" w:color="auto"/>
              <w:right w:val="single" w:sz="8" w:color="auto"/>
            </w:tcBorders>
          </w:tcPr>
          <w:p>
            <w:pPr>
              <w:spacing w:after="0"/>
              <w:rPr>
                <w:sz w:val="4"/>
                <w:szCs w:val="4"/>
                <w:color w:val="auto"/>
              </w:rPr>
            </w:pPr>
          </w:p>
        </w:tc>
      </w:tr>
      <w:tr>
        <w:trPr>
          <w:trHeight w:val="281"/>
        </w:trPr>
        <w:tc>
          <w:tcPr>
            <w:tcW w:w="17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FG-06011</w:t>
            </w:r>
          </w:p>
        </w:tc>
        <w:tc>
          <w:tcPr>
            <w:tcW w:w="5740" w:type="dxa"/>
            <w:vAlign w:val="bottom"/>
            <w:tcBorders>
              <w:right w:val="single" w:sz="8" w:color="auto"/>
            </w:tcBorders>
            <w:gridSpan w:val="2"/>
          </w:tcPr>
          <w:p>
            <w:pPr>
              <w:ind w:left="80"/>
              <w:spacing w:after="0"/>
              <w:rPr>
                <w:sz w:val="20"/>
                <w:szCs w:val="20"/>
                <w:color w:val="auto"/>
              </w:rPr>
            </w:pPr>
            <w:r>
              <w:rPr>
                <w:rFonts w:ascii="Arial" w:cs="Arial" w:eastAsia="Arial" w:hAnsi="Arial"/>
                <w:sz w:val="20"/>
                <w:szCs w:val="20"/>
                <w:color w:val="auto"/>
              </w:rPr>
              <w:t>1-104 OMNI Plus Surgical System (US)</w:t>
            </w:r>
          </w:p>
        </w:tc>
        <w:tc>
          <w:tcPr>
            <w:tcW w:w="320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w:t>
            </w:r>
          </w:p>
        </w:tc>
      </w:tr>
      <w:tr>
        <w:trPr>
          <w:trHeight w:val="50"/>
        </w:trPr>
        <w:tc>
          <w:tcPr>
            <w:tcW w:w="1740" w:type="dxa"/>
            <w:vAlign w:val="bottom"/>
            <w:tcBorders>
              <w:left w:val="single" w:sz="8" w:color="auto"/>
              <w:bottom w:val="single" w:sz="8" w:color="auto"/>
              <w:right w:val="single" w:sz="8" w:color="auto"/>
            </w:tcBorders>
          </w:tcPr>
          <w:p>
            <w:pPr>
              <w:spacing w:after="0"/>
              <w:rPr>
                <w:sz w:val="4"/>
                <w:szCs w:val="4"/>
                <w:color w:val="auto"/>
              </w:rPr>
            </w:pPr>
          </w:p>
        </w:tc>
        <w:tc>
          <w:tcPr>
            <w:tcW w:w="5740" w:type="dxa"/>
            <w:vAlign w:val="bottom"/>
            <w:tcBorders>
              <w:bottom w:val="single" w:sz="8" w:color="auto"/>
              <w:right w:val="single" w:sz="8" w:color="auto"/>
            </w:tcBorders>
            <w:gridSpan w:val="2"/>
          </w:tcPr>
          <w:p>
            <w:pPr>
              <w:spacing w:after="0"/>
              <w:rPr>
                <w:sz w:val="4"/>
                <w:szCs w:val="4"/>
                <w:color w:val="auto"/>
              </w:rPr>
            </w:pPr>
          </w:p>
        </w:tc>
        <w:tc>
          <w:tcPr>
            <w:tcW w:w="3200" w:type="dxa"/>
            <w:vAlign w:val="bottom"/>
            <w:tcBorders>
              <w:bottom w:val="single" w:sz="8" w:color="auto"/>
              <w:right w:val="single" w:sz="8" w:color="auto"/>
            </w:tcBorders>
          </w:tcPr>
          <w:p>
            <w:pPr>
              <w:spacing w:after="0"/>
              <w:rPr>
                <w:sz w:val="4"/>
                <w:szCs w:val="4"/>
                <w:color w:val="auto"/>
              </w:rPr>
            </w:pPr>
          </w:p>
        </w:tc>
      </w:tr>
      <w:tr>
        <w:trPr>
          <w:trHeight w:val="281"/>
        </w:trPr>
        <w:tc>
          <w:tcPr>
            <w:tcW w:w="17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FG-06047</w:t>
            </w:r>
          </w:p>
        </w:tc>
        <w:tc>
          <w:tcPr>
            <w:tcW w:w="5740" w:type="dxa"/>
            <w:vAlign w:val="bottom"/>
            <w:tcBorders>
              <w:right w:val="single" w:sz="8" w:color="auto"/>
            </w:tcBorders>
            <w:gridSpan w:val="2"/>
          </w:tcPr>
          <w:p>
            <w:pPr>
              <w:ind w:left="80"/>
              <w:spacing w:after="0"/>
              <w:rPr>
                <w:sz w:val="20"/>
                <w:szCs w:val="20"/>
                <w:color w:val="auto"/>
              </w:rPr>
            </w:pPr>
            <w:r>
              <w:rPr>
                <w:rFonts w:ascii="Arial" w:cs="Arial" w:eastAsia="Arial" w:hAnsi="Arial"/>
                <w:sz w:val="20"/>
                <w:szCs w:val="20"/>
                <w:color w:val="auto"/>
              </w:rPr>
              <w:t>1-105 OMNI Plus Surgical System (OUS)</w:t>
            </w:r>
          </w:p>
        </w:tc>
        <w:tc>
          <w:tcPr>
            <w:tcW w:w="320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w:t>
            </w:r>
          </w:p>
        </w:tc>
      </w:tr>
      <w:tr>
        <w:trPr>
          <w:trHeight w:val="50"/>
        </w:trPr>
        <w:tc>
          <w:tcPr>
            <w:tcW w:w="1740" w:type="dxa"/>
            <w:vAlign w:val="bottom"/>
            <w:tcBorders>
              <w:left w:val="single" w:sz="8" w:color="auto"/>
              <w:bottom w:val="single" w:sz="8" w:color="auto"/>
              <w:right w:val="single" w:sz="8" w:color="auto"/>
            </w:tcBorders>
          </w:tcPr>
          <w:p>
            <w:pPr>
              <w:spacing w:after="0"/>
              <w:rPr>
                <w:sz w:val="4"/>
                <w:szCs w:val="4"/>
                <w:color w:val="auto"/>
              </w:rPr>
            </w:pPr>
          </w:p>
        </w:tc>
        <w:tc>
          <w:tcPr>
            <w:tcW w:w="5740" w:type="dxa"/>
            <w:vAlign w:val="bottom"/>
            <w:tcBorders>
              <w:bottom w:val="single" w:sz="8" w:color="auto"/>
              <w:right w:val="single" w:sz="8" w:color="auto"/>
            </w:tcBorders>
            <w:gridSpan w:val="2"/>
          </w:tcPr>
          <w:p>
            <w:pPr>
              <w:spacing w:after="0"/>
              <w:rPr>
                <w:sz w:val="4"/>
                <w:szCs w:val="4"/>
                <w:color w:val="auto"/>
              </w:rPr>
            </w:pPr>
          </w:p>
        </w:tc>
        <w:tc>
          <w:tcPr>
            <w:tcW w:w="3200" w:type="dxa"/>
            <w:vAlign w:val="bottom"/>
            <w:tcBorders>
              <w:bottom w:val="single" w:sz="8" w:color="auto"/>
              <w:right w:val="single" w:sz="8" w:color="auto"/>
            </w:tcBorders>
          </w:tcPr>
          <w:p>
            <w:pPr>
              <w:spacing w:after="0"/>
              <w:rPr>
                <w:sz w:val="4"/>
                <w:szCs w:val="4"/>
                <w:color w:val="auto"/>
              </w:rPr>
            </w:pPr>
          </w:p>
        </w:tc>
      </w:tr>
      <w:tr>
        <w:trPr>
          <w:trHeight w:val="281"/>
        </w:trPr>
        <w:tc>
          <w:tcPr>
            <w:tcW w:w="17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FG-07938</w:t>
            </w:r>
          </w:p>
        </w:tc>
        <w:tc>
          <w:tcPr>
            <w:tcW w:w="5740" w:type="dxa"/>
            <w:vAlign w:val="bottom"/>
            <w:tcBorders>
              <w:right w:val="single" w:sz="8" w:color="auto"/>
            </w:tcBorders>
            <w:gridSpan w:val="2"/>
          </w:tcPr>
          <w:p>
            <w:pPr>
              <w:ind w:left="80"/>
              <w:spacing w:after="0"/>
              <w:rPr>
                <w:sz w:val="20"/>
                <w:szCs w:val="20"/>
                <w:color w:val="auto"/>
              </w:rPr>
            </w:pPr>
            <w:r>
              <w:rPr>
                <w:rFonts w:ascii="Arial" w:cs="Arial" w:eastAsia="Arial" w:hAnsi="Arial"/>
                <w:sz w:val="20"/>
                <w:szCs w:val="20"/>
                <w:color w:val="auto"/>
              </w:rPr>
              <w:t>5-117 SmartLids, Single Pair, Gen 1.5</w:t>
            </w:r>
          </w:p>
        </w:tc>
        <w:tc>
          <w:tcPr>
            <w:tcW w:w="320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w:t>
            </w:r>
          </w:p>
        </w:tc>
      </w:tr>
      <w:tr>
        <w:trPr>
          <w:trHeight w:val="50"/>
        </w:trPr>
        <w:tc>
          <w:tcPr>
            <w:tcW w:w="1740" w:type="dxa"/>
            <w:vAlign w:val="bottom"/>
            <w:tcBorders>
              <w:left w:val="single" w:sz="8" w:color="auto"/>
              <w:bottom w:val="single" w:sz="8" w:color="auto"/>
              <w:right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5180" w:type="dxa"/>
            <w:vAlign w:val="bottom"/>
            <w:tcBorders>
              <w:bottom w:val="single" w:sz="8" w:color="auto"/>
              <w:right w:val="single" w:sz="8" w:color="auto"/>
            </w:tcBorders>
          </w:tcPr>
          <w:p>
            <w:pPr>
              <w:spacing w:after="0"/>
              <w:rPr>
                <w:sz w:val="4"/>
                <w:szCs w:val="4"/>
                <w:color w:val="auto"/>
              </w:rPr>
            </w:pPr>
          </w:p>
        </w:tc>
        <w:tc>
          <w:tcPr>
            <w:tcW w:w="3200" w:type="dxa"/>
            <w:vAlign w:val="bottom"/>
            <w:tcBorders>
              <w:bottom w:val="single" w:sz="8" w:color="auto"/>
              <w:right w:val="single" w:sz="8" w:color="auto"/>
            </w:tcBorders>
          </w:tcPr>
          <w:p>
            <w:pPr>
              <w:spacing w:after="0"/>
              <w:rPr>
                <w:sz w:val="4"/>
                <w:szCs w:val="4"/>
                <w:color w:val="auto"/>
              </w:rPr>
            </w:pPr>
          </w:p>
        </w:tc>
      </w:tr>
      <w:tr>
        <w:trPr>
          <w:trHeight w:val="281"/>
        </w:trPr>
        <w:tc>
          <w:tcPr>
            <w:tcW w:w="17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FG-08255</w:t>
            </w:r>
          </w:p>
        </w:tc>
        <w:tc>
          <w:tcPr>
            <w:tcW w:w="560" w:type="dxa"/>
            <w:vAlign w:val="bottom"/>
          </w:tcPr>
          <w:p>
            <w:pPr>
              <w:ind w:left="80"/>
              <w:spacing w:after="0"/>
              <w:rPr>
                <w:sz w:val="20"/>
                <w:szCs w:val="20"/>
                <w:color w:val="auto"/>
              </w:rPr>
            </w:pPr>
            <w:r>
              <w:rPr>
                <w:rFonts w:ascii="Arial" w:cs="Arial" w:eastAsia="Arial" w:hAnsi="Arial"/>
                <w:sz w:val="20"/>
                <w:szCs w:val="20"/>
                <w:color w:val="auto"/>
                <w:w w:val="89"/>
              </w:rPr>
              <w:t>1-107</w:t>
            </w:r>
          </w:p>
        </w:tc>
        <w:tc>
          <w:tcPr>
            <w:tcW w:w="518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Sion Surgical System</w:t>
            </w:r>
          </w:p>
        </w:tc>
        <w:tc>
          <w:tcPr>
            <w:tcW w:w="320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w:t>
            </w:r>
          </w:p>
        </w:tc>
      </w:tr>
      <w:tr>
        <w:trPr>
          <w:trHeight w:val="50"/>
        </w:trPr>
        <w:tc>
          <w:tcPr>
            <w:tcW w:w="1740" w:type="dxa"/>
            <w:vAlign w:val="bottom"/>
            <w:tcBorders>
              <w:left w:val="single" w:sz="8" w:color="auto"/>
              <w:bottom w:val="single" w:sz="8" w:color="auto"/>
              <w:right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5180" w:type="dxa"/>
            <w:vAlign w:val="bottom"/>
            <w:tcBorders>
              <w:bottom w:val="single" w:sz="8" w:color="auto"/>
              <w:right w:val="single" w:sz="8" w:color="auto"/>
            </w:tcBorders>
          </w:tcPr>
          <w:p>
            <w:pPr>
              <w:spacing w:after="0"/>
              <w:rPr>
                <w:sz w:val="4"/>
                <w:szCs w:val="4"/>
                <w:color w:val="auto"/>
              </w:rPr>
            </w:pPr>
          </w:p>
        </w:tc>
        <w:tc>
          <w:tcPr>
            <w:tcW w:w="3200" w:type="dxa"/>
            <w:vAlign w:val="bottom"/>
            <w:tcBorders>
              <w:bottom w:val="single" w:sz="8" w:color="auto"/>
              <w:right w:val="single" w:sz="8" w:color="auto"/>
            </w:tcBorders>
          </w:tcPr>
          <w:p>
            <w:pPr>
              <w:spacing w:after="0"/>
              <w:rPr>
                <w:sz w:val="4"/>
                <w:szCs w:val="4"/>
                <w:color w:val="auto"/>
              </w:rPr>
            </w:pPr>
          </w:p>
        </w:tc>
      </w:tr>
      <w:tr>
        <w:trPr>
          <w:trHeight w:val="281"/>
        </w:trPr>
        <w:tc>
          <w:tcPr>
            <w:tcW w:w="17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FG-07441</w:t>
            </w:r>
          </w:p>
        </w:tc>
        <w:tc>
          <w:tcPr>
            <w:tcW w:w="560" w:type="dxa"/>
            <w:vAlign w:val="bottom"/>
          </w:tcPr>
          <w:p>
            <w:pPr>
              <w:ind w:left="80"/>
              <w:spacing w:after="0"/>
              <w:rPr>
                <w:sz w:val="20"/>
                <w:szCs w:val="20"/>
                <w:color w:val="auto"/>
              </w:rPr>
            </w:pPr>
            <w:r>
              <w:rPr>
                <w:rFonts w:ascii="Arial" w:cs="Arial" w:eastAsia="Arial" w:hAnsi="Arial"/>
                <w:sz w:val="20"/>
                <w:szCs w:val="20"/>
                <w:color w:val="auto"/>
                <w:w w:val="89"/>
              </w:rPr>
              <w:t>1-108</w:t>
            </w:r>
          </w:p>
        </w:tc>
        <w:tc>
          <w:tcPr>
            <w:tcW w:w="518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OMNI Surgical System (US)</w:t>
            </w:r>
          </w:p>
        </w:tc>
        <w:tc>
          <w:tcPr>
            <w:tcW w:w="320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w:t>
            </w:r>
          </w:p>
        </w:tc>
      </w:tr>
      <w:tr>
        <w:trPr>
          <w:trHeight w:val="50"/>
        </w:trPr>
        <w:tc>
          <w:tcPr>
            <w:tcW w:w="1740" w:type="dxa"/>
            <w:vAlign w:val="bottom"/>
            <w:tcBorders>
              <w:left w:val="single" w:sz="8" w:color="auto"/>
              <w:bottom w:val="single" w:sz="8" w:color="auto"/>
              <w:right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5180" w:type="dxa"/>
            <w:vAlign w:val="bottom"/>
            <w:tcBorders>
              <w:bottom w:val="single" w:sz="8" w:color="auto"/>
              <w:right w:val="single" w:sz="8" w:color="auto"/>
            </w:tcBorders>
          </w:tcPr>
          <w:p>
            <w:pPr>
              <w:spacing w:after="0"/>
              <w:rPr>
                <w:sz w:val="4"/>
                <w:szCs w:val="4"/>
                <w:color w:val="auto"/>
              </w:rPr>
            </w:pPr>
          </w:p>
        </w:tc>
        <w:tc>
          <w:tcPr>
            <w:tcW w:w="3200" w:type="dxa"/>
            <w:vAlign w:val="bottom"/>
            <w:tcBorders>
              <w:bottom w:val="single" w:sz="8" w:color="auto"/>
              <w:right w:val="single" w:sz="8" w:color="auto"/>
            </w:tcBorders>
          </w:tcPr>
          <w:p>
            <w:pPr>
              <w:spacing w:after="0"/>
              <w:rPr>
                <w:sz w:val="4"/>
                <w:szCs w:val="4"/>
                <w:color w:val="auto"/>
              </w:rPr>
            </w:pPr>
          </w:p>
        </w:tc>
      </w:tr>
      <w:tr>
        <w:trPr>
          <w:trHeight w:val="281"/>
        </w:trPr>
        <w:tc>
          <w:tcPr>
            <w:tcW w:w="17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FG-07442</w:t>
            </w:r>
          </w:p>
        </w:tc>
        <w:tc>
          <w:tcPr>
            <w:tcW w:w="560" w:type="dxa"/>
            <w:vAlign w:val="bottom"/>
          </w:tcPr>
          <w:p>
            <w:pPr>
              <w:ind w:left="80"/>
              <w:spacing w:after="0"/>
              <w:rPr>
                <w:sz w:val="20"/>
                <w:szCs w:val="20"/>
                <w:color w:val="auto"/>
              </w:rPr>
            </w:pPr>
            <w:r>
              <w:rPr>
                <w:rFonts w:ascii="Arial" w:cs="Arial" w:eastAsia="Arial" w:hAnsi="Arial"/>
                <w:sz w:val="20"/>
                <w:szCs w:val="20"/>
                <w:color w:val="auto"/>
                <w:w w:val="89"/>
              </w:rPr>
              <w:t>1-109</w:t>
            </w:r>
          </w:p>
        </w:tc>
        <w:tc>
          <w:tcPr>
            <w:tcW w:w="518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OMNI Surgical System (OUS)</w:t>
            </w:r>
          </w:p>
        </w:tc>
        <w:tc>
          <w:tcPr>
            <w:tcW w:w="320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w:t>
            </w:r>
          </w:p>
        </w:tc>
      </w:tr>
      <w:tr>
        <w:trPr>
          <w:trHeight w:val="50"/>
        </w:trPr>
        <w:tc>
          <w:tcPr>
            <w:tcW w:w="1740" w:type="dxa"/>
            <w:vAlign w:val="bottom"/>
            <w:tcBorders>
              <w:left w:val="single" w:sz="8" w:color="auto"/>
              <w:bottom w:val="single" w:sz="8" w:color="auto"/>
              <w:right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5180" w:type="dxa"/>
            <w:vAlign w:val="bottom"/>
            <w:tcBorders>
              <w:bottom w:val="single" w:sz="8" w:color="auto"/>
              <w:right w:val="single" w:sz="8" w:color="auto"/>
            </w:tcBorders>
          </w:tcPr>
          <w:p>
            <w:pPr>
              <w:spacing w:after="0"/>
              <w:rPr>
                <w:sz w:val="4"/>
                <w:szCs w:val="4"/>
                <w:color w:val="auto"/>
              </w:rPr>
            </w:pPr>
          </w:p>
        </w:tc>
        <w:tc>
          <w:tcPr>
            <w:tcW w:w="3200" w:type="dxa"/>
            <w:vAlign w:val="bottom"/>
            <w:tcBorders>
              <w:bottom w:val="single" w:sz="8" w:color="auto"/>
              <w:right w:val="single" w:sz="8" w:color="auto"/>
            </w:tcBorders>
          </w:tcPr>
          <w:p>
            <w:pPr>
              <w:spacing w:after="0"/>
              <w:rPr>
                <w:sz w:val="4"/>
                <w:szCs w:val="4"/>
                <w:color w:val="auto"/>
              </w:rPr>
            </w:pPr>
          </w:p>
        </w:tc>
      </w:tr>
    </w:tbl>
    <w:p>
      <w:pPr>
        <w:spacing w:after="0" w:line="200" w:lineRule="exact"/>
        <w:rPr>
          <w:sz w:val="20"/>
          <w:szCs w:val="20"/>
          <w:color w:val="auto"/>
        </w:rPr>
      </w:pPr>
    </w:p>
    <w:p>
      <w:pPr>
        <w:spacing w:after="0" w:line="400" w:lineRule="exact"/>
        <w:rPr>
          <w:sz w:val="20"/>
          <w:szCs w:val="20"/>
          <w:color w:val="auto"/>
        </w:rPr>
      </w:pPr>
    </w:p>
    <w:p>
      <w:pPr>
        <w:ind w:left="372"/>
        <w:spacing w:after="0"/>
        <w:rPr>
          <w:sz w:val="20"/>
          <w:szCs w:val="20"/>
          <w:color w:val="auto"/>
        </w:rPr>
      </w:pPr>
      <w:r>
        <w:rPr>
          <w:rFonts w:ascii="Arial" w:cs="Arial" w:eastAsia="Arial" w:hAnsi="Arial"/>
          <w:sz w:val="22"/>
          <w:szCs w:val="22"/>
          <w:color w:val="auto"/>
        </w:rPr>
        <w:t>Products are current revision in accordance with Sight Sciences’ released specifications.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397510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92"/>
          </w:cols>
          <w:pgMar w:left="328" w:top="328" w:right="57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31.1</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 Paul Badawi, certify that:</w:t>
      </w:r>
    </w:p>
    <w:p>
      <w:pPr>
        <w:spacing w:after="0" w:line="198" w:lineRule="exact"/>
        <w:rPr>
          <w:sz w:val="20"/>
          <w:szCs w:val="20"/>
          <w:color w:val="auto"/>
        </w:rPr>
      </w:pPr>
    </w:p>
    <w:p>
      <w:pPr>
        <w:ind w:left="520" w:hanging="512"/>
        <w:spacing w:after="0"/>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period ended September 30, 2022 of Sight Sciences, Inc.;</w:t>
      </w:r>
    </w:p>
    <w:p>
      <w:pPr>
        <w:spacing w:after="0" w:line="211" w:lineRule="exact"/>
        <w:rPr>
          <w:rFonts w:ascii="Arial" w:cs="Arial" w:eastAsia="Arial" w:hAnsi="Arial"/>
          <w:sz w:val="18"/>
          <w:szCs w:val="18"/>
          <w:color w:val="auto"/>
        </w:rPr>
      </w:pPr>
    </w:p>
    <w:p>
      <w:pPr>
        <w:jc w:val="both"/>
        <w:ind w:left="520" w:right="240" w:hanging="512"/>
        <w:spacing w:after="0" w:line="248"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220" w:hanging="512"/>
        <w:spacing w:after="0" w:line="291" w:lineRule="auto"/>
        <w:tabs>
          <w:tab w:leader="none" w:pos="52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right="240" w:hanging="512"/>
        <w:spacing w:after="0" w:line="256"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1" w:lineRule="exact"/>
        <w:rPr>
          <w:rFonts w:ascii="Arial" w:cs="Arial" w:eastAsia="Arial" w:hAnsi="Arial"/>
          <w:sz w:val="18"/>
          <w:szCs w:val="18"/>
          <w:color w:val="auto"/>
        </w:rPr>
      </w:pPr>
    </w:p>
    <w:p>
      <w:pPr>
        <w:ind w:left="1500" w:right="140" w:hanging="369"/>
        <w:spacing w:after="0" w:line="278" w:lineRule="auto"/>
        <w:tabs>
          <w:tab w:leader="none" w:pos="1500" w:val="left"/>
        </w:tabs>
        <w:numPr>
          <w:ilvl w:val="1"/>
          <w:numId w:val="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7" w:lineRule="exact"/>
        <w:rPr>
          <w:rFonts w:ascii="Arial" w:cs="Arial" w:eastAsia="Arial" w:hAnsi="Arial"/>
          <w:sz w:val="17"/>
          <w:szCs w:val="17"/>
          <w:color w:val="auto"/>
        </w:rPr>
      </w:pPr>
    </w:p>
    <w:p>
      <w:pPr>
        <w:ind w:left="1500" w:right="200" w:hanging="369"/>
        <w:spacing w:after="0" w:line="248" w:lineRule="auto"/>
        <w:tabs>
          <w:tab w:leader="none" w:pos="15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500" w:hanging="369"/>
        <w:spacing w:after="0" w:line="324" w:lineRule="auto"/>
        <w:tabs>
          <w:tab w:leader="none" w:pos="150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500" w:right="40" w:hanging="369"/>
        <w:spacing w:after="0" w:line="248" w:lineRule="auto"/>
        <w:tabs>
          <w:tab w:leader="none" w:pos="15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140" w:hanging="512"/>
        <w:spacing w:after="0" w:line="291" w:lineRule="auto"/>
        <w:tabs>
          <w:tab w:leader="none" w:pos="52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500" w:right="300" w:hanging="369"/>
        <w:spacing w:after="0" w:line="324" w:lineRule="auto"/>
        <w:tabs>
          <w:tab w:leader="none" w:pos="1500"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6"/>
          <w:szCs w:val="16"/>
          <w:color w:val="auto"/>
        </w:rPr>
      </w:pPr>
    </w:p>
    <w:p>
      <w:pPr>
        <w:ind w:left="1500" w:right="580" w:hanging="369"/>
        <w:spacing w:after="0" w:line="261" w:lineRule="auto"/>
        <w:tabs>
          <w:tab w:leader="none" w:pos="15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ind w:left="20"/>
        <w:spacing w:after="0"/>
        <w:tabs>
          <w:tab w:leader="none" w:pos="5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November 10, 2022</w:t>
      </w:r>
    </w:p>
    <w:p>
      <w:pPr>
        <w:spacing w:after="0" w:line="23" w:lineRule="exact"/>
        <w:rPr>
          <w:sz w:val="20"/>
          <w:szCs w:val="20"/>
          <w:color w:val="auto"/>
        </w:rPr>
      </w:pPr>
    </w:p>
    <w:p>
      <w:pPr>
        <w:ind w:left="7260"/>
        <w:spacing w:after="0"/>
        <w:rPr>
          <w:sz w:val="20"/>
          <w:szCs w:val="20"/>
          <w:color w:val="auto"/>
        </w:rPr>
      </w:pPr>
      <w:r>
        <w:rPr>
          <w:rFonts w:ascii="Arial" w:cs="Arial" w:eastAsia="Arial" w:hAnsi="Arial"/>
          <w:sz w:val="18"/>
          <w:szCs w:val="18"/>
          <w:u w:val="single" w:color="auto"/>
          <w:color w:val="auto"/>
        </w:rPr>
        <w:t>/s/ Paul Badawi</w:t>
      </w:r>
    </w:p>
    <w:p>
      <w:pPr>
        <w:ind w:left="7420"/>
        <w:spacing w:after="0" w:line="231" w:lineRule="auto"/>
        <w:rPr>
          <w:sz w:val="20"/>
          <w:szCs w:val="20"/>
          <w:color w:val="auto"/>
        </w:rPr>
      </w:pPr>
      <w:r>
        <w:rPr>
          <w:rFonts w:ascii="Arial" w:cs="Arial" w:eastAsia="Arial" w:hAnsi="Arial"/>
          <w:sz w:val="18"/>
          <w:szCs w:val="18"/>
          <w:b w:val="1"/>
          <w:bCs w:val="1"/>
          <w:color w:val="auto"/>
        </w:rPr>
        <w:t>Paul Badawi</w:t>
      </w:r>
    </w:p>
    <w:p>
      <w:pPr>
        <w:ind w:left="6580"/>
        <w:spacing w:after="0"/>
        <w:rPr>
          <w:sz w:val="20"/>
          <w:szCs w:val="20"/>
          <w:color w:val="auto"/>
        </w:rPr>
      </w:pPr>
      <w:r>
        <w:rPr>
          <w:rFonts w:ascii="Arial" w:cs="Arial" w:eastAsia="Arial" w:hAnsi="Arial"/>
          <w:sz w:val="18"/>
          <w:szCs w:val="18"/>
          <w:b w:val="1"/>
          <w:bCs w:val="1"/>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31.2</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rPr>
          <w:sz w:val="20"/>
          <w:szCs w:val="20"/>
          <w:color w:val="auto"/>
        </w:rPr>
      </w:pPr>
      <w:r>
        <w:rPr>
          <w:rFonts w:ascii="Arial" w:cs="Arial" w:eastAsia="Arial" w:hAnsi="Arial"/>
          <w:sz w:val="18"/>
          <w:szCs w:val="18"/>
          <w:color w:val="auto"/>
        </w:rPr>
        <w:t>I, Jesse Selnick, certify that:</w:t>
      </w:r>
    </w:p>
    <w:p>
      <w:pPr>
        <w:spacing w:after="0" w:line="196" w:lineRule="exact"/>
        <w:rPr>
          <w:sz w:val="20"/>
          <w:szCs w:val="20"/>
          <w:color w:val="auto"/>
        </w:rPr>
      </w:pPr>
    </w:p>
    <w:p>
      <w:pPr>
        <w:ind w:left="520" w:hanging="512"/>
        <w:spacing w:after="0"/>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period ended September 30, 2022 of Sight Sciences, Inc.;</w:t>
      </w:r>
    </w:p>
    <w:p>
      <w:pPr>
        <w:spacing w:after="0" w:line="198" w:lineRule="exact"/>
        <w:rPr>
          <w:rFonts w:ascii="Arial" w:cs="Arial" w:eastAsia="Arial" w:hAnsi="Arial"/>
          <w:sz w:val="18"/>
          <w:szCs w:val="18"/>
          <w:color w:val="auto"/>
        </w:rPr>
      </w:pPr>
    </w:p>
    <w:p>
      <w:pPr>
        <w:jc w:val="both"/>
        <w:ind w:left="520" w:right="240" w:hanging="512"/>
        <w:spacing w:after="0" w:line="256" w:lineRule="auto"/>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ind w:left="520" w:right="240" w:hanging="512"/>
        <w:spacing w:after="0" w:line="256" w:lineRule="auto"/>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4" w:lineRule="exact"/>
        <w:rPr>
          <w:rFonts w:ascii="Arial" w:cs="Arial" w:eastAsia="Arial" w:hAnsi="Arial"/>
          <w:sz w:val="18"/>
          <w:szCs w:val="18"/>
          <w:color w:val="auto"/>
        </w:rPr>
      </w:pPr>
    </w:p>
    <w:p>
      <w:pPr>
        <w:ind w:left="1500" w:right="140" w:hanging="369"/>
        <w:spacing w:after="0" w:line="270" w:lineRule="auto"/>
        <w:tabs>
          <w:tab w:leader="none" w:pos="1500" w:val="left"/>
        </w:tabs>
        <w:numPr>
          <w:ilvl w:val="1"/>
          <w:numId w:val="1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3" w:lineRule="exact"/>
        <w:rPr>
          <w:rFonts w:ascii="Arial" w:cs="Arial" w:eastAsia="Arial" w:hAnsi="Arial"/>
          <w:sz w:val="17"/>
          <w:szCs w:val="17"/>
          <w:color w:val="auto"/>
        </w:rPr>
      </w:pPr>
    </w:p>
    <w:p>
      <w:pPr>
        <w:ind w:left="1500" w:right="200" w:hanging="369"/>
        <w:spacing w:after="0" w:line="256" w:lineRule="auto"/>
        <w:tabs>
          <w:tab w:leader="none" w:pos="15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1" w:lineRule="exact"/>
        <w:rPr>
          <w:rFonts w:ascii="Arial" w:cs="Arial" w:eastAsia="Arial" w:hAnsi="Arial"/>
          <w:sz w:val="18"/>
          <w:szCs w:val="18"/>
          <w:color w:val="auto"/>
        </w:rPr>
      </w:pPr>
    </w:p>
    <w:p>
      <w:pPr>
        <w:jc w:val="both"/>
        <w:ind w:left="1500" w:hanging="369"/>
        <w:spacing w:after="0" w:line="324" w:lineRule="auto"/>
        <w:tabs>
          <w:tab w:leader="none" w:pos="15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500" w:right="40" w:hanging="369"/>
        <w:spacing w:after="0" w:line="256" w:lineRule="auto"/>
        <w:tabs>
          <w:tab w:leader="none" w:pos="15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1" w:lineRule="exact"/>
        <w:rPr>
          <w:rFonts w:ascii="Arial" w:cs="Arial" w:eastAsia="Arial" w:hAnsi="Arial"/>
          <w:sz w:val="18"/>
          <w:szCs w:val="18"/>
          <w:color w:val="auto"/>
        </w:rPr>
      </w:pPr>
    </w:p>
    <w:p>
      <w:pPr>
        <w:ind w:left="520" w:right="140" w:hanging="512"/>
        <w:spacing w:after="0" w:line="308" w:lineRule="auto"/>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9" w:lineRule="exact"/>
        <w:rPr>
          <w:rFonts w:ascii="Arial" w:cs="Arial" w:eastAsia="Arial" w:hAnsi="Arial"/>
          <w:sz w:val="17"/>
          <w:szCs w:val="17"/>
          <w:color w:val="auto"/>
        </w:rPr>
      </w:pPr>
    </w:p>
    <w:p>
      <w:pPr>
        <w:ind w:left="1500" w:right="300" w:hanging="369"/>
        <w:spacing w:after="0" w:line="342" w:lineRule="auto"/>
        <w:tabs>
          <w:tab w:leader="none" w:pos="15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6" w:lineRule="exact"/>
        <w:rPr>
          <w:rFonts w:ascii="Arial" w:cs="Arial" w:eastAsia="Arial" w:hAnsi="Arial"/>
          <w:sz w:val="16"/>
          <w:szCs w:val="16"/>
          <w:color w:val="auto"/>
        </w:rPr>
      </w:pPr>
    </w:p>
    <w:p>
      <w:pPr>
        <w:ind w:left="1500" w:right="580" w:hanging="369"/>
        <w:spacing w:after="0" w:line="277" w:lineRule="auto"/>
        <w:tabs>
          <w:tab w:leader="none" w:pos="15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November 10, 2022</w:t>
      </w:r>
    </w:p>
    <w:p>
      <w:pPr>
        <w:spacing w:after="0" w:line="23" w:lineRule="exact"/>
        <w:rPr>
          <w:sz w:val="20"/>
          <w:szCs w:val="20"/>
          <w:color w:val="auto"/>
        </w:rPr>
      </w:pPr>
    </w:p>
    <w:p>
      <w:pPr>
        <w:ind w:left="7820"/>
        <w:spacing w:after="0"/>
        <w:rPr>
          <w:sz w:val="20"/>
          <w:szCs w:val="20"/>
          <w:color w:val="auto"/>
        </w:rPr>
      </w:pPr>
      <w:r>
        <w:rPr>
          <w:rFonts w:ascii="Arial" w:cs="Arial" w:eastAsia="Arial" w:hAnsi="Arial"/>
          <w:sz w:val="18"/>
          <w:szCs w:val="18"/>
          <w:u w:val="single" w:color="auto"/>
          <w:color w:val="auto"/>
        </w:rPr>
        <w:t>/s/ Jesse Selnick</w:t>
      </w:r>
    </w:p>
    <w:p>
      <w:pPr>
        <w:ind w:left="8000"/>
        <w:spacing w:after="0" w:line="231" w:lineRule="auto"/>
        <w:rPr>
          <w:sz w:val="20"/>
          <w:szCs w:val="20"/>
          <w:color w:val="auto"/>
        </w:rPr>
      </w:pPr>
      <w:r>
        <w:rPr>
          <w:rFonts w:ascii="Arial" w:cs="Arial" w:eastAsia="Arial" w:hAnsi="Arial"/>
          <w:sz w:val="18"/>
          <w:szCs w:val="18"/>
          <w:b w:val="1"/>
          <w:bCs w:val="1"/>
          <w:color w:val="auto"/>
        </w:rPr>
        <w:t>Jesse Selnick</w:t>
      </w:r>
    </w:p>
    <w:p>
      <w:pPr>
        <w:ind w:left="7200"/>
        <w:spacing w:after="0" w:line="219" w:lineRule="auto"/>
        <w:rPr>
          <w:sz w:val="20"/>
          <w:szCs w:val="20"/>
          <w:color w:val="auto"/>
        </w:rPr>
      </w:pPr>
      <w:r>
        <w:rPr>
          <w:rFonts w:ascii="Arial" w:cs="Arial" w:eastAsia="Arial" w:hAnsi="Arial"/>
          <w:sz w:val="18"/>
          <w:szCs w:val="18"/>
          <w:b w:val="1"/>
          <w:bCs w:val="1"/>
          <w:color w:val="auto"/>
        </w:rPr>
        <w:t>Chief Financial Officer</w:t>
      </w:r>
    </w:p>
    <w:p>
      <w:pPr>
        <w:spacing w:after="0" w:line="1" w:lineRule="exact"/>
        <w:rPr>
          <w:sz w:val="20"/>
          <w:szCs w:val="20"/>
          <w:color w:val="auto"/>
        </w:rPr>
      </w:pPr>
    </w:p>
    <w:p>
      <w:pPr>
        <w:ind w:left="688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22"/>
          <w:szCs w:val="22"/>
          <w:b w:val="1"/>
          <w:bCs w:val="1"/>
          <w:color w:val="auto"/>
        </w:rPr>
        <w:t>Exhibit 32.1</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of Chief Executive Officer</w:t>
      </w:r>
    </w:p>
    <w:p>
      <w:pPr>
        <w:spacing w:after="0" w:line="188" w:lineRule="exact"/>
        <w:rPr>
          <w:sz w:val="20"/>
          <w:szCs w:val="20"/>
          <w:color w:val="auto"/>
        </w:rPr>
      </w:pPr>
    </w:p>
    <w:p>
      <w:pPr>
        <w:ind w:right="20" w:firstLine="432"/>
        <w:spacing w:after="0" w:line="250" w:lineRule="auto"/>
        <w:rPr>
          <w:sz w:val="20"/>
          <w:szCs w:val="20"/>
          <w:color w:val="auto"/>
        </w:rPr>
      </w:pPr>
      <w:r>
        <w:rPr>
          <w:rFonts w:ascii="Arial" w:cs="Arial" w:eastAsia="Arial" w:hAnsi="Arial"/>
          <w:sz w:val="22"/>
          <w:szCs w:val="22"/>
          <w:color w:val="auto"/>
        </w:rPr>
        <w:t>Pursuant to 18 U.S.C. § 1350, as created by Section 906 of the Sarbanes-Oxley Act of 2002, the undersigned officer of Sight Sciences, Inc. (the “</w:t>
      </w:r>
      <w:r>
        <w:rPr>
          <w:rFonts w:ascii="Arial" w:cs="Arial" w:eastAsia="Arial" w:hAnsi="Arial"/>
          <w:sz w:val="22"/>
          <w:szCs w:val="22"/>
          <w:u w:val="single" w:color="auto"/>
          <w:color w:val="auto"/>
        </w:rPr>
        <w:t>Company</w:t>
      </w:r>
      <w:r>
        <w:rPr>
          <w:rFonts w:ascii="Arial" w:cs="Arial" w:eastAsia="Arial" w:hAnsi="Arial"/>
          <w:sz w:val="22"/>
          <w:szCs w:val="22"/>
          <w:color w:val="auto"/>
        </w:rPr>
        <w:t>”) hereby certifies that:</w:t>
      </w:r>
    </w:p>
    <w:p>
      <w:pPr>
        <w:spacing w:after="0" w:line="175" w:lineRule="exact"/>
        <w:rPr>
          <w:sz w:val="20"/>
          <w:szCs w:val="20"/>
          <w:color w:val="auto"/>
        </w:rPr>
      </w:pPr>
    </w:p>
    <w:p>
      <w:pPr>
        <w:ind w:left="1280" w:hanging="757"/>
        <w:spacing w:after="0"/>
        <w:tabs>
          <w:tab w:leader="none" w:pos="1280" w:val="left"/>
        </w:tabs>
        <w:numPr>
          <w:ilvl w:val="0"/>
          <w:numId w:val="11"/>
        </w:numPr>
        <w:rPr>
          <w:rFonts w:ascii="Arial" w:cs="Arial" w:eastAsia="Arial" w:hAnsi="Arial"/>
          <w:sz w:val="19"/>
          <w:szCs w:val="19"/>
          <w:color w:val="auto"/>
        </w:rPr>
      </w:pPr>
      <w:r>
        <w:rPr>
          <w:rFonts w:ascii="Arial" w:cs="Arial" w:eastAsia="Arial" w:hAnsi="Arial"/>
          <w:sz w:val="19"/>
          <w:szCs w:val="19"/>
          <w:color w:val="auto"/>
        </w:rPr>
        <w:t>the Quarterly Report on Form 10-Q of the Company for the quarterly period ended September 30, 2022 (the</w:t>
      </w:r>
    </w:p>
    <w:p>
      <w:pPr>
        <w:spacing w:after="0" w:line="42" w:lineRule="exact"/>
        <w:rPr>
          <w:rFonts w:ascii="Arial" w:cs="Arial" w:eastAsia="Arial" w:hAnsi="Arial"/>
          <w:sz w:val="19"/>
          <w:szCs w:val="19"/>
          <w:color w:val="auto"/>
        </w:rPr>
      </w:pPr>
    </w:p>
    <w:p>
      <w:pPr>
        <w:ind w:left="1280" w:right="240"/>
        <w:spacing w:after="0" w:line="246" w:lineRule="auto"/>
        <w:rPr>
          <w:rFonts w:ascii="Arial" w:cs="Arial" w:eastAsia="Arial" w:hAnsi="Arial"/>
          <w:sz w:val="19"/>
          <w:szCs w:val="19"/>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Report</w:t>
      </w:r>
      <w:r>
        <w:rPr>
          <w:rFonts w:ascii="Arial" w:cs="Arial" w:eastAsia="Arial" w:hAnsi="Arial"/>
          <w:sz w:val="22"/>
          <w:szCs w:val="22"/>
          <w:color w:val="auto"/>
        </w:rPr>
        <w:t>”) fully complies with the requirements of Section 13(a) or Section 15(d), as applicable, of the Securities Exchange Act of 1934, as amended; and</w:t>
      </w:r>
    </w:p>
    <w:p>
      <w:pPr>
        <w:spacing w:after="0" w:line="165" w:lineRule="exact"/>
        <w:rPr>
          <w:rFonts w:ascii="Arial" w:cs="Arial" w:eastAsia="Arial" w:hAnsi="Arial"/>
          <w:sz w:val="19"/>
          <w:szCs w:val="19"/>
          <w:color w:val="auto"/>
        </w:rPr>
      </w:pPr>
    </w:p>
    <w:p>
      <w:pPr>
        <w:ind w:left="1280" w:right="180" w:hanging="757"/>
        <w:spacing w:after="0" w:line="263" w:lineRule="auto"/>
        <w:tabs>
          <w:tab w:leader="none" w:pos="1280" w:val="left"/>
        </w:tabs>
        <w:numPr>
          <w:ilvl w:val="0"/>
          <w:numId w:val="11"/>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37" w:lineRule="exact"/>
        <w:rPr>
          <w:sz w:val="20"/>
          <w:szCs w:val="20"/>
          <w:color w:val="auto"/>
        </w:rPr>
      </w:pPr>
    </w:p>
    <w:tbl>
      <w:tblPr>
        <w:tblLayout w:type="fixed"/>
        <w:tblInd w:w="360" w:type="dxa"/>
        <w:tblCellMar>
          <w:top w:w="0" w:type="dxa"/>
          <w:left w:w="0" w:type="dxa"/>
          <w:bottom w:w="0" w:type="dxa"/>
          <w:right w:w="0" w:type="dxa"/>
        </w:tblCellMar>
      </w:tblPr>
      <w:tr>
        <w:trPr>
          <w:trHeight w:val="253"/>
        </w:trPr>
        <w:tc>
          <w:tcPr>
            <w:tcW w:w="5460" w:type="dxa"/>
            <w:vAlign w:val="bottom"/>
          </w:tcPr>
          <w:p>
            <w:pPr>
              <w:spacing w:after="0"/>
              <w:rPr>
                <w:sz w:val="20"/>
                <w:szCs w:val="20"/>
                <w:color w:val="auto"/>
              </w:rPr>
            </w:pPr>
            <w:r>
              <w:rPr>
                <w:rFonts w:ascii="Arial" w:cs="Arial" w:eastAsia="Arial" w:hAnsi="Arial"/>
                <w:sz w:val="22"/>
                <w:szCs w:val="22"/>
                <w:color w:val="auto"/>
              </w:rPr>
              <w:t>Dated:  November 10, 2022</w:t>
            </w:r>
          </w:p>
        </w:tc>
        <w:tc>
          <w:tcPr>
            <w:tcW w:w="5060" w:type="dxa"/>
            <w:vAlign w:val="bottom"/>
            <w:gridSpan w:val="2"/>
          </w:tcPr>
          <w:p>
            <w:pPr>
              <w:jc w:val="right"/>
              <w:spacing w:after="0"/>
              <w:rPr>
                <w:sz w:val="20"/>
                <w:szCs w:val="20"/>
                <w:color w:val="auto"/>
              </w:rPr>
            </w:pPr>
            <w:r>
              <w:rPr>
                <w:rFonts w:ascii="Arial" w:cs="Arial" w:eastAsia="Arial" w:hAnsi="Arial"/>
                <w:sz w:val="22"/>
                <w:szCs w:val="22"/>
                <w:color w:val="auto"/>
              </w:rPr>
              <w:t>/s/ Paul Badawi</w:t>
            </w:r>
          </w:p>
        </w:tc>
      </w:tr>
      <w:tr>
        <w:trPr>
          <w:trHeight w:val="269"/>
        </w:trPr>
        <w:tc>
          <w:tcPr>
            <w:tcW w:w="5460" w:type="dxa"/>
            <w:vAlign w:val="bottom"/>
          </w:tcPr>
          <w:p>
            <w:pPr>
              <w:spacing w:after="0"/>
              <w:rPr>
                <w:sz w:val="23"/>
                <w:szCs w:val="23"/>
                <w:color w:val="auto"/>
              </w:rPr>
            </w:pPr>
          </w:p>
        </w:tc>
        <w:tc>
          <w:tcPr>
            <w:tcW w:w="3720" w:type="dxa"/>
            <w:vAlign w:val="bottom"/>
          </w:tcPr>
          <w:p>
            <w:pPr>
              <w:spacing w:after="0"/>
              <w:rPr>
                <w:sz w:val="23"/>
                <w:szCs w:val="23"/>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Paul Badawi</w:t>
            </w:r>
          </w:p>
        </w:tc>
      </w:tr>
      <w:tr>
        <w:trPr>
          <w:trHeight w:val="274"/>
        </w:trPr>
        <w:tc>
          <w:tcPr>
            <w:tcW w:w="5460" w:type="dxa"/>
            <w:vAlign w:val="bottom"/>
          </w:tcPr>
          <w:p>
            <w:pPr>
              <w:spacing w:after="0"/>
              <w:rPr>
                <w:sz w:val="23"/>
                <w:szCs w:val="23"/>
                <w:color w:val="auto"/>
              </w:rPr>
            </w:pPr>
          </w:p>
        </w:tc>
        <w:tc>
          <w:tcPr>
            <w:tcW w:w="5060" w:type="dxa"/>
            <w:vAlign w:val="bottom"/>
            <w:gridSpan w:val="2"/>
          </w:tcPr>
          <w:p>
            <w:pPr>
              <w:jc w:val="right"/>
              <w:spacing w:after="0"/>
              <w:rPr>
                <w:sz w:val="20"/>
                <w:szCs w:val="20"/>
                <w:color w:val="auto"/>
              </w:rPr>
            </w:pPr>
            <w:r>
              <w:rPr>
                <w:rFonts w:ascii="Arial" w:cs="Arial" w:eastAsia="Arial" w:hAnsi="Arial"/>
                <w:sz w:val="22"/>
                <w:szCs w:val="22"/>
                <w:color w:val="auto"/>
              </w:rPr>
              <w:t>Chief Executive Officer</w:t>
            </w:r>
          </w:p>
        </w:tc>
      </w:tr>
    </w:tbl>
    <w:p>
      <w:pPr>
        <w:spacing w:after="0" w:line="185" w:lineRule="exact"/>
        <w:rPr>
          <w:sz w:val="20"/>
          <w:szCs w:val="20"/>
          <w:color w:val="auto"/>
        </w:rPr>
      </w:pPr>
    </w:p>
    <w:p>
      <w:pPr>
        <w:spacing w:after="0" w:line="245" w:lineRule="auto"/>
        <w:rPr>
          <w:sz w:val="20"/>
          <w:szCs w:val="20"/>
          <w:color w:val="auto"/>
        </w:rPr>
      </w:pPr>
      <w:r>
        <w:rPr>
          <w:rFonts w:ascii="Arial" w:cs="Arial" w:eastAsia="Arial" w:hAnsi="Arial"/>
          <w:sz w:val="22"/>
          <w:szCs w:val="22"/>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553720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1"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22"/>
          <w:szCs w:val="22"/>
          <w:b w:val="1"/>
          <w:bCs w:val="1"/>
          <w:color w:val="auto"/>
        </w:rPr>
        <w:t>Exhibit 32.2</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of Chief Financial Officer</w:t>
      </w:r>
    </w:p>
    <w:p>
      <w:pPr>
        <w:spacing w:after="0" w:line="188" w:lineRule="exact"/>
        <w:rPr>
          <w:sz w:val="20"/>
          <w:szCs w:val="20"/>
          <w:color w:val="auto"/>
        </w:rPr>
      </w:pPr>
    </w:p>
    <w:p>
      <w:pPr>
        <w:ind w:right="20" w:firstLine="432"/>
        <w:spacing w:after="0" w:line="250" w:lineRule="auto"/>
        <w:rPr>
          <w:sz w:val="20"/>
          <w:szCs w:val="20"/>
          <w:color w:val="auto"/>
        </w:rPr>
      </w:pPr>
      <w:r>
        <w:rPr>
          <w:rFonts w:ascii="Arial" w:cs="Arial" w:eastAsia="Arial" w:hAnsi="Arial"/>
          <w:sz w:val="22"/>
          <w:szCs w:val="22"/>
          <w:color w:val="auto"/>
        </w:rPr>
        <w:t>Pursuant to 18 U.S.C. § 1350, as created by Section 906 of the Sarbanes-Oxley Act of 2002, the undersigned officer of Sight Sciences, Inc. (the “</w:t>
      </w:r>
      <w:r>
        <w:rPr>
          <w:rFonts w:ascii="Arial" w:cs="Arial" w:eastAsia="Arial" w:hAnsi="Arial"/>
          <w:sz w:val="22"/>
          <w:szCs w:val="22"/>
          <w:u w:val="single" w:color="auto"/>
          <w:color w:val="auto"/>
        </w:rPr>
        <w:t>Company</w:t>
      </w:r>
      <w:r>
        <w:rPr>
          <w:rFonts w:ascii="Arial" w:cs="Arial" w:eastAsia="Arial" w:hAnsi="Arial"/>
          <w:sz w:val="22"/>
          <w:szCs w:val="22"/>
          <w:color w:val="auto"/>
        </w:rPr>
        <w:t>”) hereby certifies that:</w:t>
      </w:r>
    </w:p>
    <w:p>
      <w:pPr>
        <w:spacing w:after="0" w:line="175" w:lineRule="exact"/>
        <w:rPr>
          <w:sz w:val="20"/>
          <w:szCs w:val="20"/>
          <w:color w:val="auto"/>
        </w:rPr>
      </w:pPr>
    </w:p>
    <w:p>
      <w:pPr>
        <w:ind w:left="1280" w:hanging="757"/>
        <w:spacing w:after="0"/>
        <w:tabs>
          <w:tab w:leader="none" w:pos="1280" w:val="left"/>
        </w:tabs>
        <w:numPr>
          <w:ilvl w:val="0"/>
          <w:numId w:val="12"/>
        </w:numPr>
        <w:rPr>
          <w:rFonts w:ascii="Arial" w:cs="Arial" w:eastAsia="Arial" w:hAnsi="Arial"/>
          <w:sz w:val="19"/>
          <w:szCs w:val="19"/>
          <w:color w:val="auto"/>
        </w:rPr>
      </w:pPr>
      <w:r>
        <w:rPr>
          <w:rFonts w:ascii="Arial" w:cs="Arial" w:eastAsia="Arial" w:hAnsi="Arial"/>
          <w:sz w:val="19"/>
          <w:szCs w:val="19"/>
          <w:color w:val="auto"/>
        </w:rPr>
        <w:t>the Quarterly Report on Form 10-Q of the Company for the quarterly period ended September 30, 2022 (the</w:t>
      </w:r>
    </w:p>
    <w:p>
      <w:pPr>
        <w:spacing w:after="0" w:line="42" w:lineRule="exact"/>
        <w:rPr>
          <w:rFonts w:ascii="Arial" w:cs="Arial" w:eastAsia="Arial" w:hAnsi="Arial"/>
          <w:sz w:val="19"/>
          <w:szCs w:val="19"/>
          <w:color w:val="auto"/>
        </w:rPr>
      </w:pPr>
    </w:p>
    <w:p>
      <w:pPr>
        <w:ind w:left="1280" w:right="240"/>
        <w:spacing w:after="0" w:line="246" w:lineRule="auto"/>
        <w:rPr>
          <w:rFonts w:ascii="Arial" w:cs="Arial" w:eastAsia="Arial" w:hAnsi="Arial"/>
          <w:sz w:val="19"/>
          <w:szCs w:val="19"/>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Report</w:t>
      </w:r>
      <w:r>
        <w:rPr>
          <w:rFonts w:ascii="Arial" w:cs="Arial" w:eastAsia="Arial" w:hAnsi="Arial"/>
          <w:sz w:val="22"/>
          <w:szCs w:val="22"/>
          <w:color w:val="auto"/>
        </w:rPr>
        <w:t>”) fully complies with the requirements of Section 13(a) or Section 15(d), as applicable, of the Securities Exchange Act of 1934, as amended; and</w:t>
      </w:r>
    </w:p>
    <w:p>
      <w:pPr>
        <w:spacing w:after="0" w:line="165" w:lineRule="exact"/>
        <w:rPr>
          <w:rFonts w:ascii="Arial" w:cs="Arial" w:eastAsia="Arial" w:hAnsi="Arial"/>
          <w:sz w:val="19"/>
          <w:szCs w:val="19"/>
          <w:color w:val="auto"/>
        </w:rPr>
      </w:pPr>
    </w:p>
    <w:p>
      <w:pPr>
        <w:ind w:left="1280" w:right="180" w:hanging="757"/>
        <w:spacing w:after="0" w:line="263" w:lineRule="auto"/>
        <w:tabs>
          <w:tab w:leader="none" w:pos="1280" w:val="left"/>
        </w:tabs>
        <w:numPr>
          <w:ilvl w:val="0"/>
          <w:numId w:val="12"/>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37" w:lineRule="exact"/>
        <w:rPr>
          <w:sz w:val="20"/>
          <w:szCs w:val="20"/>
          <w:color w:val="auto"/>
        </w:rPr>
      </w:pPr>
    </w:p>
    <w:tbl>
      <w:tblPr>
        <w:tblLayout w:type="fixed"/>
        <w:tblInd w:w="360" w:type="dxa"/>
        <w:tblCellMar>
          <w:top w:w="0" w:type="dxa"/>
          <w:left w:w="0" w:type="dxa"/>
          <w:bottom w:w="0" w:type="dxa"/>
          <w:right w:w="0" w:type="dxa"/>
        </w:tblCellMar>
      </w:tblPr>
      <w:tr>
        <w:trPr>
          <w:trHeight w:val="253"/>
        </w:trPr>
        <w:tc>
          <w:tcPr>
            <w:tcW w:w="5480" w:type="dxa"/>
            <w:vAlign w:val="bottom"/>
          </w:tcPr>
          <w:p>
            <w:pPr>
              <w:spacing w:after="0"/>
              <w:rPr>
                <w:sz w:val="20"/>
                <w:szCs w:val="20"/>
                <w:color w:val="auto"/>
              </w:rPr>
            </w:pPr>
            <w:r>
              <w:rPr>
                <w:rFonts w:ascii="Arial" w:cs="Arial" w:eastAsia="Arial" w:hAnsi="Arial"/>
                <w:sz w:val="22"/>
                <w:szCs w:val="22"/>
                <w:color w:val="auto"/>
              </w:rPr>
              <w:t>Dated:  November 10, 2022</w:t>
            </w:r>
          </w:p>
        </w:tc>
        <w:tc>
          <w:tcPr>
            <w:tcW w:w="5040" w:type="dxa"/>
            <w:vAlign w:val="bottom"/>
            <w:gridSpan w:val="2"/>
          </w:tcPr>
          <w:p>
            <w:pPr>
              <w:jc w:val="right"/>
              <w:spacing w:after="0"/>
              <w:rPr>
                <w:sz w:val="20"/>
                <w:szCs w:val="20"/>
                <w:color w:val="auto"/>
              </w:rPr>
            </w:pPr>
            <w:r>
              <w:rPr>
                <w:rFonts w:ascii="Arial" w:cs="Arial" w:eastAsia="Arial" w:hAnsi="Arial"/>
                <w:sz w:val="22"/>
                <w:szCs w:val="22"/>
                <w:color w:val="auto"/>
              </w:rPr>
              <w:t>/s/ Jesse Selnick</w:t>
            </w:r>
          </w:p>
        </w:tc>
      </w:tr>
      <w:tr>
        <w:trPr>
          <w:trHeight w:val="269"/>
        </w:trPr>
        <w:tc>
          <w:tcPr>
            <w:tcW w:w="5480" w:type="dxa"/>
            <w:vAlign w:val="bottom"/>
          </w:tcPr>
          <w:p>
            <w:pPr>
              <w:spacing w:after="0"/>
              <w:rPr>
                <w:sz w:val="23"/>
                <w:szCs w:val="23"/>
                <w:color w:val="auto"/>
              </w:rPr>
            </w:pPr>
          </w:p>
        </w:tc>
        <w:tc>
          <w:tcPr>
            <w:tcW w:w="3640" w:type="dxa"/>
            <w:vAlign w:val="bottom"/>
          </w:tcPr>
          <w:p>
            <w:pPr>
              <w:spacing w:after="0"/>
              <w:rPr>
                <w:sz w:val="23"/>
                <w:szCs w:val="23"/>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Jesse Selnick</w:t>
            </w:r>
          </w:p>
        </w:tc>
      </w:tr>
      <w:tr>
        <w:trPr>
          <w:trHeight w:val="274"/>
        </w:trPr>
        <w:tc>
          <w:tcPr>
            <w:tcW w:w="5480" w:type="dxa"/>
            <w:vAlign w:val="bottom"/>
          </w:tcPr>
          <w:p>
            <w:pPr>
              <w:spacing w:after="0"/>
              <w:rPr>
                <w:sz w:val="23"/>
                <w:szCs w:val="23"/>
                <w:color w:val="auto"/>
              </w:rPr>
            </w:pPr>
          </w:p>
        </w:tc>
        <w:tc>
          <w:tcPr>
            <w:tcW w:w="5040" w:type="dxa"/>
            <w:vAlign w:val="bottom"/>
            <w:gridSpan w:val="2"/>
          </w:tcPr>
          <w:p>
            <w:pPr>
              <w:jc w:val="right"/>
              <w:spacing w:after="0"/>
              <w:rPr>
                <w:sz w:val="20"/>
                <w:szCs w:val="20"/>
                <w:color w:val="auto"/>
              </w:rPr>
            </w:pPr>
            <w:r>
              <w:rPr>
                <w:rFonts w:ascii="Arial" w:cs="Arial" w:eastAsia="Arial" w:hAnsi="Arial"/>
                <w:sz w:val="22"/>
                <w:szCs w:val="22"/>
                <w:color w:val="auto"/>
              </w:rPr>
              <w:t>Chief Financial Officer</w:t>
            </w:r>
          </w:p>
        </w:tc>
      </w:tr>
    </w:tbl>
    <w:p>
      <w:pPr>
        <w:spacing w:after="0" w:line="200" w:lineRule="exact"/>
        <w:rPr>
          <w:sz w:val="20"/>
          <w:szCs w:val="20"/>
          <w:color w:val="auto"/>
        </w:rPr>
      </w:pPr>
    </w:p>
    <w:p>
      <w:pPr>
        <w:spacing w:after="0" w:line="201" w:lineRule="exact"/>
        <w:rPr>
          <w:sz w:val="20"/>
          <w:szCs w:val="20"/>
          <w:color w:val="auto"/>
        </w:rPr>
      </w:pPr>
    </w:p>
    <w:p>
      <w:pPr>
        <w:spacing w:after="0" w:line="241" w:lineRule="auto"/>
        <w:rPr>
          <w:sz w:val="20"/>
          <w:szCs w:val="20"/>
          <w:color w:val="auto"/>
        </w:rPr>
      </w:pPr>
      <w:r>
        <w:rPr>
          <w:rFonts w:ascii="Arial" w:cs="Arial" w:eastAsia="Arial" w:hAnsi="Arial"/>
          <w:sz w:val="22"/>
          <w:szCs w:val="22"/>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427355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1" w:right="339" w:bottom="1440" w:gutter="0" w:footer="0" w:header="0"/>
        </w:sectPr>
      </w:pPr>
    </w:p>
    <w:bookmarkStart w:id="45" w:name="page46"/>
    <w:bookmarkEnd w:id="4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1."/>
      <w:numFmt w:val="decimal"/>
      <w:start w:val="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30" Type="http://schemas.openxmlformats.org/officeDocument/2006/relationships/image" Target="media/image218.png"/><Relationship Id="rId231" Type="http://schemas.openxmlformats.org/officeDocument/2006/relationships/image" Target="media/image219.png"/><Relationship Id="rId232" Type="http://schemas.openxmlformats.org/officeDocument/2006/relationships/image" Target="media/image220.png"/><Relationship Id="rId233" Type="http://schemas.openxmlformats.org/officeDocument/2006/relationships/image" Target="media/image221.png"/><Relationship Id="rId234" Type="http://schemas.openxmlformats.org/officeDocument/2006/relationships/image" Target="media/image222.png"/><Relationship Id="rId235" Type="http://schemas.openxmlformats.org/officeDocument/2006/relationships/image" Target="media/image223.png"/><Relationship Id="rId236" Type="http://schemas.openxmlformats.org/officeDocument/2006/relationships/image" Target="media/image224.png"/><Relationship Id="rId237" Type="http://schemas.openxmlformats.org/officeDocument/2006/relationships/image" Target="media/image225.png"/><Relationship Id="rId238" Type="http://schemas.openxmlformats.org/officeDocument/2006/relationships/image" Target="media/image226.png"/><Relationship Id="rId239" Type="http://schemas.openxmlformats.org/officeDocument/2006/relationships/image" Target="media/image227.png"/><Relationship Id="rId225" Type="http://schemas.openxmlformats.org/officeDocument/2006/relationships/hyperlink" Target="https://www.sec.gov/Archives/edgar/data/1531177/000119312521218705/d116785dex31.htm" TargetMode="External"/><Relationship Id="rId226" Type="http://schemas.openxmlformats.org/officeDocument/2006/relationships/hyperlink" Target="https://www.sec.gov/Archives/edgar/data/1531177/000119312521218705/d116785dex32.htm" TargetMode="External"/><Relationship Id="rId227" Type="http://schemas.openxmlformats.org/officeDocument/2006/relationships/hyperlink" Target="https://www.sec.gov/Archives/edgar/data/1531177/000119312521210231/d90195dex41.htm" TargetMode="External"/><Relationship Id="rId228" Type="http://schemas.openxmlformats.org/officeDocument/2006/relationships/hyperlink" Target="https://www.sec.gov/Archives/edgar/data/1531177/000119312521210231/d90195dex42.htm" TargetMode="External"/><Relationship Id="rId229" Type="http://schemas.openxmlformats.org/officeDocument/2006/relationships/hyperlink" Target="https://www.sec.gov/Archives/edgar/data/1531177/000119312521197314/d90195dex4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2022-11-10T16:10:15Z</dcterms:created>
  <dcterms:modified xsi:type="dcterms:W3CDTF">2022-11-10T16:10:15Z</dcterms:modified>
</cp:coreProperties>
</file>