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0001961970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Rodberg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6902</w:t>
            </w:r>
          </w:p>
        </w:tc>
        <w:tc>
          <w:tcPr>
            <w:tcW w:w="1377" w:type="dxa"/>
            <w:tcBorders/>
            <w:vAlign w:val="center"/>
          </w:tcPr>
          <w:p>
            <w:pPr>
              <w:pStyle w:val="TableContents"/>
              <w:bidi w:val="0"/>
              <w:spacing w:before="0" w:after="283"/>
              <w:jc w:val="left"/>
              <w:rPr/>
            </w:pPr>
            <w:r>
              <w:rPr/>
              <w:t>36959.51</w:t>
            </w:r>
          </w:p>
        </w:tc>
        <w:tc>
          <w:tcPr>
            <w:tcW w:w="1552" w:type="dxa"/>
            <w:tcBorders/>
            <w:vAlign w:val="center"/>
          </w:tcPr>
          <w:p>
            <w:pPr>
              <w:pStyle w:val="TableContents"/>
              <w:bidi w:val="0"/>
              <w:spacing w:before="0" w:after="283"/>
              <w:jc w:val="left"/>
              <w:rPr/>
            </w:pPr>
            <w:r>
              <w:rPr/>
              <w:t>54409942</w:t>
            </w:r>
          </w:p>
        </w:tc>
        <w:tc>
          <w:tcPr>
            <w:tcW w:w="1567" w:type="dxa"/>
            <w:tcBorders/>
            <w:vAlign w:val="center"/>
          </w:tcPr>
          <w:p>
            <w:pPr>
              <w:pStyle w:val="TableContents"/>
              <w:bidi w:val="0"/>
              <w:spacing w:before="0" w:after="283"/>
              <w:jc w:val="left"/>
              <w:rPr/>
            </w:pPr>
            <w:r>
              <w:rPr/>
              <w:t>07/02/2026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6902</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James Rodberg</w:t>
              <w:br/>
              <w:t>4040 Campbell Ave</w:t>
              <w:br/>
              <w:t>Suite 100</w:t>
              <w:br/>
              <w:t>Menlo Park   CA   94025</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04/06/2026</w:t>
            </w:r>
          </w:p>
        </w:tc>
        <w:tc>
          <w:tcPr>
            <w:tcW w:w="1577" w:type="dxa"/>
            <w:tcBorders/>
            <w:vAlign w:val="center"/>
          </w:tcPr>
          <w:p>
            <w:pPr>
              <w:pStyle w:val="TableContents"/>
              <w:bidi w:val="0"/>
              <w:spacing w:before="0" w:after="283"/>
              <w:jc w:val="left"/>
              <w:rPr/>
            </w:pPr>
            <w:r>
              <w:rPr/>
              <w:t>7231</w:t>
            </w:r>
          </w:p>
        </w:tc>
        <w:tc>
          <w:tcPr>
            <w:tcW w:w="1704" w:type="dxa"/>
            <w:tcBorders/>
            <w:vAlign w:val="center"/>
          </w:tcPr>
          <w:p>
            <w:pPr>
              <w:pStyle w:val="TableContents"/>
              <w:bidi w:val="0"/>
              <w:spacing w:before="0" w:after="283"/>
              <w:jc w:val="left"/>
              <w:rPr/>
            </w:pPr>
            <w:r>
              <w:rPr/>
              <w:t>25632.43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07/02/2026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 Joshua Schmitt, as a duly authorized representative of Fidelity Brokerage Services LLC, as attorney-in-fact for James Rodberg.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3249</Characters>
  <CharactersWithSpaces>3826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