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4" w:lineRule="exact"/>
        <w:rPr>
          <w:sz w:val="24"/>
          <w:szCs w:val="24"/>
          <w:color w:val="auto"/>
        </w:rPr>
      </w:pPr>
    </w:p>
    <w:p>
      <w:pPr>
        <w:ind w:left="4100" w:right="2840" w:hanging="4079"/>
        <w:spacing w:after="0" w:line="334" w:lineRule="auto"/>
        <w:tabs>
          <w:tab w:leader="none" w:pos="485"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2022</w:t>
      </w:r>
    </w:p>
    <w:p>
      <w:pPr>
        <w:ind w:left="5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8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w:t>
      </w:r>
    </w:p>
    <w:p>
      <w:pPr>
        <w:spacing w:after="0" w:line="39" w:lineRule="exact"/>
        <w:rPr>
          <w:sz w:val="24"/>
          <w:szCs w:val="24"/>
          <w:color w:val="auto"/>
        </w:rPr>
      </w:pPr>
    </w:p>
    <w:p>
      <w:pPr>
        <w:ind w:left="480"/>
        <w:spacing w:after="0"/>
        <w:tabs>
          <w:tab w:leader="none" w:pos="2520" w:val="left"/>
        </w:tabs>
        <w:rPr>
          <w:sz w:val="20"/>
          <w:szCs w:val="20"/>
          <w:color w:val="auto"/>
        </w:rPr>
      </w:pPr>
      <w:r>
        <w:rPr>
          <w:rFonts w:ascii="Times New Roman" w:cs="Times New Roman" w:eastAsia="Times New Roman" w:hAnsi="Times New Roman"/>
          <w:sz w:val="16"/>
          <w:szCs w:val="16"/>
          <w:b w:val="1"/>
          <w:bCs w:val="1"/>
          <w:color w:val="auto"/>
        </w:rPr>
        <w:t>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SIGHT SCIENCES, INC.</w:t>
      </w:r>
    </w:p>
    <w:p>
      <w:pPr>
        <w:sectPr>
          <w:pgSz w:w="11900" w:h="16838" w:orient="portrait"/>
          <w:cols w:equalWidth="0" w:num="1">
            <w:col w:w="11240"/>
          </w:cols>
          <w:pgMar w:left="320" w:top="425" w:right="339" w:bottom="1440" w:gutter="0" w:footer="0" w:header="0"/>
        </w:sectPr>
      </w:pPr>
    </w:p>
    <w:p>
      <w:pPr>
        <w:spacing w:after="0" w:line="5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2"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8"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4040 Campbell Ave, Suite 100</w:t>
      </w:r>
    </w:p>
    <w:p>
      <w:pPr>
        <w:spacing w:after="0" w:line="43"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Menlo Park, CA</w:t>
      </w:r>
    </w:p>
    <w:p>
      <w:pPr>
        <w:spacing w:after="0" w:line="20" w:lineRule="exact"/>
        <w:rPr>
          <w:sz w:val="24"/>
          <w:szCs w:val="24"/>
          <w:color w:val="auto"/>
        </w:rPr>
      </w:pPr>
      <w:r>
        <w:rPr>
          <w:sz w:val="24"/>
          <w:szCs w:val="24"/>
          <w:color w:val="auto"/>
        </w:rPr>
        <w:br w:type="column"/>
      </w:r>
    </w:p>
    <w:p>
      <w:pPr>
        <w:spacing w:after="0" w:line="39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80-0625749</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49"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94025</w:t>
      </w:r>
    </w:p>
    <w:p>
      <w:pPr>
        <w:spacing w:after="0" w:line="38" w:lineRule="exact"/>
        <w:rPr>
          <w:sz w:val="24"/>
          <w:szCs w:val="24"/>
          <w:color w:val="auto"/>
        </w:rPr>
      </w:pPr>
    </w:p>
    <w:p>
      <w:pPr>
        <w:sectPr>
          <w:pgSz w:w="11900" w:h="16838" w:orient="portrait"/>
          <w:cols w:equalWidth="0" w:num="2">
            <w:col w:w="7460" w:space="480"/>
            <w:col w:w="3300"/>
          </w:cols>
          <w:pgMar w:left="320" w:top="425"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57"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(877) 266-1144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680" w:type="dxa"/>
            <w:vAlign w:val="bottom"/>
            <w:gridSpan w:val="3"/>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160" w:type="dxa"/>
            <w:vAlign w:val="bottom"/>
            <w:vMerge w:val="restart"/>
          </w:tcPr>
          <w:p>
            <w:pPr>
              <w:jc w:val="center"/>
              <w:ind w:right="807"/>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w:t>
            </w:r>
          </w:p>
        </w:tc>
        <w:tc>
          <w:tcPr>
            <w:tcW w:w="120" w:type="dxa"/>
            <w:vAlign w:val="bottom"/>
          </w:tcPr>
          <w:p>
            <w:pPr>
              <w:spacing w:after="0"/>
              <w:rPr>
                <w:sz w:val="19"/>
                <w:szCs w:val="19"/>
                <w:color w:val="auto"/>
              </w:rPr>
            </w:pPr>
          </w:p>
        </w:tc>
        <w:tc>
          <w:tcPr>
            <w:tcW w:w="2680" w:type="dxa"/>
            <w:vAlign w:val="bottom"/>
            <w:gridSpan w:val="3"/>
          </w:tcPr>
          <w:p>
            <w:pPr>
              <w:jc w:val="center"/>
              <w:ind w:right="1000"/>
              <w:spacing w:after="0"/>
              <w:rPr>
                <w:sz w:val="20"/>
                <w:szCs w:val="20"/>
                <w:color w:val="auto"/>
              </w:rPr>
            </w:pPr>
            <w:r>
              <w:rPr>
                <w:rFonts w:ascii="Times New Roman" w:cs="Times New Roman" w:eastAsia="Times New Roman" w:hAnsi="Times New Roman"/>
                <w:sz w:val="15"/>
                <w:szCs w:val="15"/>
                <w:color w:val="auto"/>
              </w:rPr>
              <w:t>SGHT</w:t>
            </w:r>
          </w:p>
        </w:tc>
        <w:tc>
          <w:tcPr>
            <w:tcW w:w="4160" w:type="dxa"/>
            <w:vAlign w:val="bottom"/>
          </w:tcPr>
          <w:p>
            <w:pPr>
              <w:jc w:val="center"/>
              <w:ind w:right="807"/>
              <w:spacing w:after="0"/>
              <w:rPr>
                <w:sz w:val="20"/>
                <w:szCs w:val="20"/>
                <w:color w:val="auto"/>
              </w:rPr>
            </w:pPr>
            <w:r>
              <w:rPr>
                <w:rFonts w:ascii="Times New Roman" w:cs="Times New Roman" w:eastAsia="Times New Roman" w:hAnsi="Times New Roman"/>
                <w:sz w:val="15"/>
                <w:szCs w:val="15"/>
                <w:color w:val="auto"/>
              </w:rPr>
              <w:t>The Nasdaq Global Select Market</w:t>
            </w:r>
          </w:p>
        </w:tc>
        <w:tc>
          <w:tcPr>
            <w:tcW w:w="0" w:type="dxa"/>
            <w:vAlign w:val="bottom"/>
          </w:tcPr>
          <w:p>
            <w:pPr>
              <w:spacing w:after="0"/>
              <w:rPr>
                <w:sz w:val="1"/>
                <w:szCs w:val="1"/>
                <w:color w:val="auto"/>
              </w:rPr>
            </w:pPr>
          </w:p>
        </w:tc>
      </w:tr>
      <w:tr>
        <w:trPr>
          <w:trHeight w:val="211"/>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1240" w:type="dxa"/>
            <w:vAlign w:val="bottom"/>
            <w:gridSpan w:val="6"/>
          </w:tcPr>
          <w:p>
            <w:pPr>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35"/>
        </w:trPr>
        <w:tc>
          <w:tcPr>
            <w:tcW w:w="7080" w:type="dxa"/>
            <w:vAlign w:val="bottom"/>
            <w:gridSpan w:val="5"/>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p>
        </w:tc>
        <w:tc>
          <w:tcPr>
            <w:tcW w:w="4160" w:type="dxa"/>
            <w:vAlign w:val="bottom"/>
          </w:tcPr>
          <w:p>
            <w:pPr>
              <w:ind w:left="8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4" w:lineRule="exact"/>
        <w:rPr>
          <w:sz w:val="24"/>
          <w:szCs w:val="24"/>
          <w:color w:val="auto"/>
        </w:rPr>
      </w:pPr>
    </w:p>
    <w:p>
      <w:pPr>
        <w:ind w:right="1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right="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right="4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86"/>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64"/>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46" w:lineRule="exact"/>
        <w:rPr>
          <w:sz w:val="24"/>
          <w:szCs w:val="24"/>
          <w:color w:val="auto"/>
        </w:rPr>
      </w:pPr>
    </w:p>
    <w:p>
      <w:pPr>
        <w:ind w:right="5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 w:lineRule="exact"/>
        <w:rPr>
          <w:sz w:val="24"/>
          <w:szCs w:val="24"/>
          <w:color w:val="auto"/>
        </w:rPr>
      </w:pPr>
    </w:p>
    <w:p>
      <w:pPr>
        <w:ind w:right="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84" w:lineRule="exact"/>
        <w:tabs>
          <w:tab w:leader="none" w:pos="72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6"/>
          <w:szCs w:val="16"/>
          <w:color w:val="auto"/>
        </w:rPr>
        <w:t>☒</w:t>
      </w:r>
    </w:p>
    <w:p>
      <w:pPr>
        <w:spacing w:after="0" w:line="86" w:lineRule="exact"/>
        <w:rPr>
          <w:sz w:val="24"/>
          <w:szCs w:val="24"/>
          <w:color w:val="auto"/>
        </w:rPr>
      </w:pPr>
    </w:p>
    <w:p>
      <w:pPr>
        <w:ind w:right="80"/>
        <w:spacing w:after="0" w:line="236" w:lineRule="auto"/>
        <w:rPr>
          <w:sz w:val="20"/>
          <w:szCs w:val="20"/>
          <w:color w:val="auto"/>
        </w:rPr>
      </w:pPr>
      <w:r>
        <w:rPr>
          <w:rFonts w:ascii="Times New Roman" w:cs="Times New Roman" w:eastAsia="Times New Roman" w:hAnsi="Times New Roman"/>
          <w:sz w:val="14"/>
          <w:szCs w:val="14"/>
          <w:color w:val="auto"/>
        </w:rPr>
        <w:t>As of June 30, 2022, the last business day of the Registrant's most recently completed second fiscal quarter, the aggregate market value of the Registrant's common stock held by non-affiliates was approximately $290 million based on the closing price for the Registrant's common stock of $8.99 on that date. Share of common stock held by each executive, director, and their affiliated stockholders have been excluded from this calculation as such persons may be deemed to be affiliates. This determination of affiliate status is not necessarily a conclusive determination for other purposes.</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March 9, 2023 was 48,419,542.</w:t>
      </w:r>
    </w:p>
    <w:p>
      <w:pPr>
        <w:spacing w:after="0" w:line="42"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42" w:lineRule="exact"/>
        <w:rPr>
          <w:sz w:val="24"/>
          <w:szCs w:val="24"/>
          <w:color w:val="auto"/>
        </w:rPr>
      </w:pPr>
    </w:p>
    <w:p>
      <w:pPr>
        <w:ind w:right="600"/>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its 2023 Annual Meeting of Stockholders to be filed with the SEC within 120 days after the end of the fiscal year ended December 31, 2022 are incorporated herein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40" w:type="dxa"/>
            <w:vAlign w:val="bottom"/>
            <w:gridSpan w:val="9"/>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5"/>
        </w:trPr>
        <w:tc>
          <w:tcPr>
            <w:tcW w:w="126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475"/>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475"/>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18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475"/>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18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04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3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Annual Report on Form 10-K to the “Company,” “Sight Sciences,” “we,” “us” and “our” refer to Sight Sciences, Inc.</w:t>
      </w:r>
    </w:p>
    <w:p>
      <w:pPr>
        <w:spacing w:after="0" w:line="5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Annual Report on Form 10-K for the fiscal year ended December 31, 2022 (this "Annual Report on Form 10-K")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spacing w:after="0" w:line="80" w:lineRule="exact"/>
        <w:rPr>
          <w:sz w:val="20"/>
          <w:szCs w:val="20"/>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total addressable market, future revenue, expenses,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and compete in new markets;</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business, our customers’ and suppliers’ businesses and the general economy;</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infrastructure;</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by expanding our sales to existing customers or introducing our products to new customers;</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claims of infringement;</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extensive government regulation;</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sufficient reimbursement for our products;</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abilities to protect and scale our intellectual property portfolio;</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in future offerings;</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117" w:lineRule="exact"/>
        <w:rPr>
          <w:rFonts w:ascii="Times New Roman" w:cs="Times New Roman" w:eastAsia="Times New Roman" w:hAnsi="Times New Roman"/>
          <w:sz w:val="18"/>
          <w:szCs w:val="18"/>
          <w:color w:val="auto"/>
        </w:rPr>
      </w:pPr>
    </w:p>
    <w:p>
      <w:pPr>
        <w:ind w:left="960" w:right="60" w:hanging="323"/>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time during which we will be an emerging growth company under the Jumpstart Our Business Startups Act (the “JOBS Act”); and</w:t>
      </w:r>
    </w:p>
    <w:p>
      <w:pPr>
        <w:spacing w:after="0" w:line="53"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and effective internal controls.</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Actual events or results may differ from those expressed in forward-looking statements. As such, 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Annual Report on Form 10-K. Moreover, we operate in a highly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 w:name="page4"/>
    <w:bookmarkEnd w:id="3"/>
    <w:p>
      <w:pPr>
        <w:ind w:right="40"/>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Annual Report on Form 10-K are based on information available to us as of the date of this Annual Report on Form 10-K.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reference in this Annual Report on Form 10-K and have filed as exhibits to this Annual Report on Form 10-K with the understanding that our actual future results, performance and achievements may be materially different from what we expect. We qualify all of our forward-looking statements by these cautionary statements. 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spacing w:after="0" w:line="68" w:lineRule="exact"/>
        <w:rPr>
          <w:sz w:val="20"/>
          <w:szCs w:val="20"/>
          <w:color w:val="auto"/>
        </w:rPr>
      </w:pPr>
    </w:p>
    <w:p>
      <w:pPr>
        <w:ind w:left="960" w:right="400" w:hanging="323"/>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expect to incur significant additional losses for the foreseeable future, which may make it difficult to evaluate the success of our business to date and to assess the prospects for our future viability;</w:t>
      </w:r>
    </w:p>
    <w:p>
      <w:pPr>
        <w:spacing w:after="0" w:line="53" w:lineRule="exact"/>
        <w:rPr>
          <w:rFonts w:ascii="Times New Roman" w:cs="Times New Roman" w:eastAsia="Times New Roman" w:hAnsi="Times New Roman"/>
          <w:sz w:val="18"/>
          <w:szCs w:val="18"/>
          <w:color w:val="auto"/>
        </w:rPr>
      </w:pPr>
    </w:p>
    <w:p>
      <w:pPr>
        <w:ind w:left="960" w:right="80" w:hanging="323"/>
        <w:spacing w:after="0" w:line="258"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success of our three current commercial products, particularly our OMNI® Surgical System (“OMNI”). Our SION™ Surgical Instrument (“SION”) underwent its initial commercial launch in the second half of 2022, and is in the early stages of customer awareness, acceptance and utilization. The successful widespread adoption of our TearCare® System (“TearCare”) depends on positive clinical data to drive customer acceptance and payer reimbursement. The safety and efficacy of our products are not yet supported by long-term clinical data, which could delay or prevent clearance by regulatory authorities or limit sales if cleared, certified or approved;</w:t>
      </w:r>
    </w:p>
    <w:p>
      <w:pPr>
        <w:spacing w:after="0" w:line="75" w:lineRule="exact"/>
        <w:rPr>
          <w:rFonts w:ascii="Times New Roman" w:cs="Times New Roman" w:eastAsia="Times New Roman" w:hAnsi="Times New Roman"/>
          <w:sz w:val="18"/>
          <w:szCs w:val="18"/>
          <w:color w:val="auto"/>
        </w:rPr>
      </w:pPr>
    </w:p>
    <w:p>
      <w:pPr>
        <w:ind w:left="960" w:right="300" w:hanging="323"/>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funding to finance our planned operations. Our inability to raise funds on acceptable terms, if at all, when needed, may force us to delay, reduce or eliminate our product development programs and commercialization efforts;</w:t>
      </w:r>
    </w:p>
    <w:p>
      <w:pPr>
        <w:spacing w:after="0" w:line="53" w:lineRule="exact"/>
        <w:rPr>
          <w:rFonts w:ascii="Times New Roman" w:cs="Times New Roman" w:eastAsia="Times New Roman" w:hAnsi="Times New Roman"/>
          <w:sz w:val="18"/>
          <w:szCs w:val="18"/>
          <w:color w:val="auto"/>
        </w:rPr>
      </w:pPr>
    </w:p>
    <w:p>
      <w:pPr>
        <w:ind w:left="960" w:right="220" w:hanging="323"/>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threats and other highly communicable diseases and outbreaks have impacted and may continue to impact, our operations and financial results and may materially and adversely affect our business and financial results in the future;</w:t>
      </w:r>
    </w:p>
    <w:p>
      <w:pPr>
        <w:spacing w:after="0" w:line="53" w:lineRule="exact"/>
        <w:rPr>
          <w:rFonts w:ascii="Times New Roman" w:cs="Times New Roman" w:eastAsia="Times New Roman" w:hAnsi="Times New Roman"/>
          <w:sz w:val="18"/>
          <w:szCs w:val="18"/>
          <w:color w:val="auto"/>
        </w:rPr>
      </w:pPr>
    </w:p>
    <w:p>
      <w:pPr>
        <w:ind w:left="960" w:right="80" w:hanging="323"/>
        <w:spacing w:after="0" w:line="261"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private and public health insurance coverage and reimbursement rates or coverage, including changes in the definition or scope of Current Procedural Terminology ("CPT") code 66174 which is the code under which OMNI procedures are currently reported, may affect the adoption or continued use of our OMNI products and our future revenue. If we are unable to obtain sufficient governmental and commercial payer reimbursement for TearCare, we may not be able to realize TearCare's full commercial potential;</w:t>
      </w:r>
    </w:p>
    <w:p>
      <w:pPr>
        <w:spacing w:after="0" w:line="71" w:lineRule="exact"/>
        <w:rPr>
          <w:rFonts w:ascii="Times New Roman" w:cs="Times New Roman" w:eastAsia="Times New Roman" w:hAnsi="Times New Roman"/>
          <w:sz w:val="18"/>
          <w:szCs w:val="18"/>
          <w:color w:val="auto"/>
        </w:rPr>
      </w:pPr>
    </w:p>
    <w:p>
      <w:pPr>
        <w:jc w:val="both"/>
        <w:ind w:left="960" w:right="160" w:hanging="323"/>
        <w:spacing w:after="0" w:line="312" w:lineRule="auto"/>
        <w:tabs>
          <w:tab w:leader="none" w:pos="9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extensive and costly government regulation on federal, state and foreign levels and we may not receive, or may be delayed in receiving, the necessary regulatory clearances, certifications or approvals for our future products or modifications to our current products;</w:t>
      </w:r>
    </w:p>
    <w:p>
      <w:pPr>
        <w:spacing w:after="0" w:line="31" w:lineRule="exact"/>
        <w:rPr>
          <w:rFonts w:ascii="Times New Roman" w:cs="Times New Roman" w:eastAsia="Times New Roman" w:hAnsi="Times New Roman"/>
          <w:sz w:val="17"/>
          <w:szCs w:val="17"/>
          <w:color w:val="auto"/>
        </w:rPr>
      </w:pPr>
    </w:p>
    <w:p>
      <w:pPr>
        <w:ind w:left="960" w:right="100" w:hanging="323"/>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liability if it is determined that we are not in compliance with federal, state or foreign regulatory requirements, such as if it is determined that we are promoting off-label uses of our products;</w:t>
      </w:r>
    </w:p>
    <w:p>
      <w:pPr>
        <w:spacing w:after="0" w:line="53" w:lineRule="exact"/>
        <w:rPr>
          <w:rFonts w:ascii="Times New Roman" w:cs="Times New Roman" w:eastAsia="Times New Roman" w:hAnsi="Times New Roman"/>
          <w:sz w:val="18"/>
          <w:szCs w:val="18"/>
          <w:color w:val="auto"/>
        </w:rPr>
      </w:pPr>
    </w:p>
    <w:p>
      <w:pPr>
        <w:ind w:left="960" w:right="320" w:hanging="323"/>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by competitors may render our products or technologies obsolete or noncompetitive, and the development of new products, technologies, procedures, medications or other therapies could replace or reduce the importance of our products;</w:t>
      </w:r>
    </w:p>
    <w:p>
      <w:pPr>
        <w:spacing w:after="0" w:line="53"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for the manufacture and supply of our OMNI, TearCare and SION products;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 w:name="page5"/>
    <w:bookmarkEnd w:id="4"/>
    <w:p>
      <w:pPr>
        <w:ind w:left="323" w:right="20" w:hanging="323"/>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single source suppliers for some of the components, accessories, and materials used in the manufacture and assembly of our OMNI, TearCare and SION products, and any shortfall in the supply chain may cause our business to materially suffer;</w:t>
      </w:r>
    </w:p>
    <w:p>
      <w:pPr>
        <w:spacing w:after="0" w:line="53" w:lineRule="exact"/>
        <w:rPr>
          <w:rFonts w:ascii="Times New Roman" w:cs="Times New Roman" w:eastAsia="Times New Roman" w:hAnsi="Times New Roman"/>
          <w:sz w:val="18"/>
          <w:szCs w:val="18"/>
          <w:color w:val="auto"/>
        </w:rPr>
      </w:pPr>
    </w:p>
    <w:p>
      <w:pPr>
        <w:ind w:left="323" w:right="40" w:hanging="323"/>
        <w:spacing w:after="0" w:line="261"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protect, maintain, enforce and adequately protect our intellectual property rights with respect to our technology and current and future products, or if the scope of the patent protection obtained is not sufficiently broad, our competitors could develop and commercialize technology and products similar or identical to ours, and our ability to successfully develop and commercialize our technology and current and future products may be adversely affected;</w:t>
      </w:r>
    </w:p>
    <w:p>
      <w:pPr>
        <w:spacing w:after="0" w:line="71" w:lineRule="exact"/>
        <w:rPr>
          <w:rFonts w:ascii="Times New Roman" w:cs="Times New Roman" w:eastAsia="Times New Roman" w:hAnsi="Times New Roman"/>
          <w:sz w:val="18"/>
          <w:szCs w:val="18"/>
          <w:color w:val="auto"/>
        </w:rPr>
      </w:pPr>
    </w:p>
    <w:p>
      <w:pPr>
        <w:ind w:left="323" w:hanging="323"/>
        <w:spacing w:after="0" w:line="261"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related to infringement and other intellectual property claims, with or without merit, is unpredictable, may be expensive and time-consuming and may divert management's attention from our core business. Our intellectual property has not been tested in litigation. Litigation that we initiate to protect our rights could result in invalidation of our patents, which may undermine our competitive position in our current or anticipated markets; and</w:t>
      </w:r>
    </w:p>
    <w:p>
      <w:pPr>
        <w:spacing w:after="0" w:line="71" w:lineRule="exact"/>
        <w:rPr>
          <w:rFonts w:ascii="Times New Roman" w:cs="Times New Roman" w:eastAsia="Times New Roman" w:hAnsi="Times New Roman"/>
          <w:sz w:val="18"/>
          <w:szCs w:val="18"/>
          <w:color w:val="auto"/>
        </w:rPr>
      </w:pPr>
    </w:p>
    <w:p>
      <w:pPr>
        <w:ind w:left="323" w:right="360" w:hanging="323"/>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lose key management or scientific personnel, cannot recruit qualified employees, directors, officers or other significant personnel or experience increases in our compensation costs, our business may materially suffer.</w:t>
      </w:r>
    </w:p>
    <w:p>
      <w:pPr>
        <w:spacing w:after="0" w:line="200" w:lineRule="exact"/>
        <w:rPr>
          <w:sz w:val="20"/>
          <w:szCs w:val="20"/>
          <w:color w:val="auto"/>
        </w:rPr>
      </w:pPr>
    </w:p>
    <w:p>
      <w:pPr>
        <w:spacing w:after="0" w:line="286" w:lineRule="exact"/>
        <w:rPr>
          <w:sz w:val="20"/>
          <w:szCs w:val="20"/>
          <w:color w:val="auto"/>
        </w:rPr>
      </w:pPr>
    </w:p>
    <w:p>
      <w:pPr>
        <w:ind w:left="4923"/>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3"/>
          </w:cols>
          <w:pgMar w:left="957" w:top="337" w:right="35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229" w:lineRule="exact"/>
        <w:rPr>
          <w:sz w:val="20"/>
          <w:szCs w:val="20"/>
          <w:color w:val="auto"/>
        </w:rPr>
      </w:pPr>
    </w:p>
    <w:p>
      <w:pPr>
        <w:ind w:right="60" w:firstLine="419"/>
        <w:spacing w:after="0" w:line="253" w:lineRule="auto"/>
        <w:rPr>
          <w:sz w:val="20"/>
          <w:szCs w:val="20"/>
          <w:color w:val="auto"/>
        </w:rPr>
      </w:pPr>
      <w:r>
        <w:rPr>
          <w:rFonts w:ascii="Times New Roman" w:cs="Times New Roman" w:eastAsia="Times New Roman" w:hAnsi="Times New Roman"/>
          <w:sz w:val="18"/>
          <w:szCs w:val="18"/>
          <w:color w:val="231F20"/>
        </w:rPr>
        <w:t>Our mission is to transform ophthalmology and optometry through the development and commercialization of proprietary devices that target the underlying causes of the world’s most prevalent eye diseases. We are passionate about improving patients’ lives. Our business philosophy is grounded in the following principles: comprehensively understanding disease physiology; developing products that are intended to restore natural physiological functionality to diseased eyes; developing and marketing products that achieve superior effectiveness versus current treatment paradigms while minimizing complications or side effects; providing intuitive, patient friendly solutions to ophthalmologists and optometrists (together, "eyecare professionals" or "ECPs"); and delivering compelling economic value to all stakeholders, including patients, providers and third-party payors such as Medicare and commercial insurers. Our objective is to develop and market products for use in new treatment paradigms and to create an interventional mindset in eyecare whereby our products may be used in procedures which supplant conventional outdated approaches. We believe current eyecare treatment models rely heavily on prescription medications, symptom relief, or either flawed or highly invasive, later-stage procedural interventions, and often fail to adequately address the true underlying cause of disease.</w:t>
      </w:r>
    </w:p>
    <w:p>
      <w:pPr>
        <w:spacing w:after="0" w:line="194" w:lineRule="exact"/>
        <w:rPr>
          <w:sz w:val="20"/>
          <w:szCs w:val="20"/>
          <w:color w:val="auto"/>
        </w:rPr>
      </w:pPr>
    </w:p>
    <w:p>
      <w:pPr>
        <w:ind w:right="260" w:firstLine="419"/>
        <w:spacing w:after="0" w:line="258" w:lineRule="auto"/>
        <w:rPr>
          <w:sz w:val="20"/>
          <w:szCs w:val="20"/>
          <w:color w:val="auto"/>
        </w:rPr>
      </w:pPr>
      <w:r>
        <w:rPr>
          <w:rFonts w:ascii="Times New Roman" w:cs="Times New Roman" w:eastAsia="Times New Roman" w:hAnsi="Times New Roman"/>
          <w:sz w:val="18"/>
          <w:szCs w:val="18"/>
          <w:color w:val="231F20"/>
        </w:rPr>
        <w:t>We have focused our initial product development efforts on the treatment of two of the world’s most prevalent and underserved eye diseases, glaucoma and dry eye disease ("DED"). We estimate the annual addressable U.S. market opportunities for the products in our surgical glaucoma ("Surgical Glaucoma") and dry eye ("Dry Eye") segments are approximately $6 billion and approximately $10 billion, respectively, while 2022 U.S. manufacturer revenues in the surgical glaucoma and DED markets were approximately $466 million and $2.1 billion, respectively, demonstrating that currently available solutions have not addressed a large part of the market need.</w:t>
      </w:r>
    </w:p>
    <w:p>
      <w:pPr>
        <w:spacing w:after="0" w:line="183"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231F20"/>
        </w:rPr>
        <w:t>Glaucoma, a group of chronic, often asymptomatic, diseases that damage the optic nerve, is the world’s leading cause of irreversible blindness. Glaucoma does not have a cure and is a progressive disease; if left untreated or insufficiently treated, glaucoma can lead to irreversible disability and blindness. An estimated 149 million people worldwide suffer from glaucoma. Primary open-angle glaucoma ("POAG"), is the most prevalent form of glaucoma and affects over 60 million people worldwide, including approximately 4.3 million people in the United States, of whom an estimated 3.4 million have been diagnosed. One of the greatest risk factors for POAG, and the only risk factor that can be controlled, is elevated intraocular pressure ("IOP"). Elevated IOP is often caused by malfunctioning drainage pathways in the eye that provide abnormal resistance to the outflow of aqueous humor, a clear, watery fluid which bathes and nourishes the lens and maintains pressure within the eye.</w:t>
      </w:r>
    </w:p>
    <w:p>
      <w:pPr>
        <w:spacing w:after="0" w:line="189" w:lineRule="exact"/>
        <w:rPr>
          <w:sz w:val="20"/>
          <w:szCs w:val="20"/>
          <w:color w:val="auto"/>
        </w:rPr>
      </w:pPr>
    </w:p>
    <w:p>
      <w:pPr>
        <w:ind w:right="80" w:firstLine="419"/>
        <w:spacing w:after="0" w:line="266" w:lineRule="auto"/>
        <w:rPr>
          <w:sz w:val="20"/>
          <w:szCs w:val="20"/>
          <w:color w:val="auto"/>
        </w:rPr>
      </w:pPr>
      <w:r>
        <w:rPr>
          <w:rFonts w:ascii="Times New Roman" w:cs="Times New Roman" w:eastAsia="Times New Roman" w:hAnsi="Times New Roman"/>
          <w:sz w:val="18"/>
          <w:szCs w:val="18"/>
          <w:color w:val="231F20"/>
        </w:rPr>
        <w:t>We currently have two commercial products in our Surgical Glaucoma segment. OMNI is a handheld, single use, therapeutic device that allows ophthalmic surgeons to reduce IOP in adult glaucoma patients. SION is a bladeless, manually operated device used in ophthalmic surgical procedures to excise trabecular meshwork, which is the tissue located near the cornea through which aqueous humor, or fluid, flows out of the eye.</w:t>
      </w:r>
    </w:p>
    <w:p>
      <w:pPr>
        <w:spacing w:after="0" w:line="174" w:lineRule="exact"/>
        <w:rPr>
          <w:sz w:val="20"/>
          <w:szCs w:val="20"/>
          <w:color w:val="auto"/>
        </w:rPr>
      </w:pPr>
    </w:p>
    <w:p>
      <w:pPr>
        <w:ind w:firstLine="419"/>
        <w:spacing w:after="0" w:line="272" w:lineRule="auto"/>
        <w:rPr>
          <w:sz w:val="20"/>
          <w:szCs w:val="20"/>
          <w:color w:val="auto"/>
        </w:rPr>
      </w:pPr>
      <w:r>
        <w:rPr>
          <w:rFonts w:ascii="Times New Roman" w:cs="Times New Roman" w:eastAsia="Times New Roman" w:hAnsi="Times New Roman"/>
          <w:sz w:val="17"/>
          <w:szCs w:val="17"/>
          <w:color w:val="231F20"/>
        </w:rPr>
        <w:t xml:space="preserve">OMNI allows the ophthalmic surgeon to sequentially complete two distinct, well-established but historically invasive </w:t>
      </w:r>
      <w:r>
        <w:rPr>
          <w:rFonts w:ascii="Times New Roman" w:cs="Times New Roman" w:eastAsia="Times New Roman" w:hAnsi="Times New Roman"/>
          <w:sz w:val="17"/>
          <w:szCs w:val="17"/>
          <w:i w:val="1"/>
          <w:iCs w:val="1"/>
          <w:color w:val="231F20"/>
        </w:rPr>
        <w:t>ab externo</w:t>
      </w:r>
      <w:r>
        <w:rPr>
          <w:rFonts w:ascii="Times New Roman" w:cs="Times New Roman" w:eastAsia="Times New Roman" w:hAnsi="Times New Roman"/>
          <w:sz w:val="17"/>
          <w:szCs w:val="17"/>
          <w:color w:val="231F20"/>
        </w:rPr>
        <w:t xml:space="preserve"> glaucoma procedures, canaloplasty and trabeculotomy, in an efficient, minimally invasive manner using a single, bloodless and sutureless clear corneal microincision. Microinvasive glaucoma surgery ("MIGS") procedures have a strong demonstrated safety profile, characterized by minimal trauma to the eye and quick patient recovery times. The U.S. Food and Drug Administration ("FDA") has cleared the use of OMNI for reducing IOP in all adult POAG patients both by itself on a standalone basis ("Standalone procedures"), or in combination with cataract surgery ("Combination Cataract procedures"). Several competing MIGS devices, including the current market leaders, have only been cleared or approved by the FDA for use in Combination Cataract procedures for adult patients with mild-to-moderate severity. We estimate that over 85% of the U.S. addressable market opportunity for POAG cannot be served with Combination Cataract procedures because less than 15% of POAG patients receive cataract surgery in any given year.</w:t>
      </w:r>
    </w:p>
    <w:p>
      <w:pPr>
        <w:spacing w:after="0" w:line="174" w:lineRule="exact"/>
        <w:rPr>
          <w:sz w:val="20"/>
          <w:szCs w:val="20"/>
          <w:color w:val="auto"/>
        </w:rPr>
      </w:pPr>
    </w:p>
    <w:p>
      <w:pPr>
        <w:ind w:right="20" w:firstLine="419"/>
        <w:spacing w:after="0" w:line="266" w:lineRule="auto"/>
        <w:rPr>
          <w:sz w:val="20"/>
          <w:szCs w:val="20"/>
          <w:color w:val="auto"/>
        </w:rPr>
      </w:pPr>
      <w:r>
        <w:rPr>
          <w:rFonts w:ascii="Times New Roman" w:cs="Times New Roman" w:eastAsia="Times New Roman" w:hAnsi="Times New Roman"/>
          <w:sz w:val="18"/>
          <w:szCs w:val="18"/>
          <w:color w:val="231F20"/>
        </w:rPr>
        <w:t>We believe that OMNI delivers the highest level of effectiveness of any available MIGS product, as it is the only device that provides access to 360 degrees of the diseased conventional outflow pathway through a clear corneal incision to address all three primary points of resistance in the conventional outflow pathway (trabecular meshwork, Schlemm’s canal, and the distal collector channels).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33" w:right="419" w:bottom="1440" w:gutter="0" w:footer="0" w:header="0"/>
        </w:sectPr>
      </w:pPr>
    </w:p>
    <w:bookmarkStart w:id="6" w:name="page7"/>
    <w:bookmarkEnd w:id="6"/>
    <w:p>
      <w:pPr>
        <w:ind w:firstLine="419"/>
        <w:spacing w:after="0" w:line="254" w:lineRule="auto"/>
        <w:rPr>
          <w:sz w:val="20"/>
          <w:szCs w:val="20"/>
          <w:color w:val="auto"/>
        </w:rPr>
      </w:pPr>
      <w:r>
        <w:rPr>
          <w:rFonts w:ascii="Times New Roman" w:cs="Times New Roman" w:eastAsia="Times New Roman" w:hAnsi="Times New Roman"/>
          <w:sz w:val="18"/>
          <w:szCs w:val="18"/>
          <w:color w:val="231F20"/>
        </w:rPr>
        <w:t>OMNI’s indication for use was cleared by the FDA in March 2021 based upon the review of clinical data from ROMEO, our U.S. multi-center clinical study of OMNI in Combination Cataract and Standalone procedures. OMNI has received 510(k) clearance from the FDA and a CE mark to be marketed in the U.S. and the European Union ("EU") respectively, for canaloplasty (microcatheterization and transluminal viscodilation of Schlemm’s canal) followed by trabeculotomy (cutting of trabecular meshwork) to reduce IOP in adult patients with POAG in the U.S. or with open-angle glaucoma ("OAG") in the EU. OMNI is cleared by the FDA to lower IOP in both Combination Cataract and Standalone cases for all adults with POAG. We are pursuing an FDA Investigational Device Exemption ("IDE"), that would authorize us to conduct a clinical study, which we refer to as PRECISION, to assess the safety and effectiveness of a new, higher volume investigational OMNI device to perform canaloplasty alone to lower IOP in adults with POAG. We are intending to conduct this canaloplasty-alone IDE trial to support a premarket notification to the FDA seeking clearance for use to perform canaloplasty-alone procedures in adults with POAG.</w:t>
      </w:r>
    </w:p>
    <w:p>
      <w:pPr>
        <w:spacing w:after="0" w:line="188" w:lineRule="exact"/>
        <w:rPr>
          <w:sz w:val="20"/>
          <w:szCs w:val="20"/>
          <w:color w:val="auto"/>
        </w:rPr>
      </w:pPr>
    </w:p>
    <w:p>
      <w:pPr>
        <w:ind w:right="160" w:firstLine="419"/>
        <w:spacing w:after="0" w:line="256" w:lineRule="auto"/>
        <w:rPr>
          <w:sz w:val="20"/>
          <w:szCs w:val="20"/>
          <w:color w:val="auto"/>
        </w:rPr>
      </w:pPr>
      <w:r>
        <w:rPr>
          <w:rFonts w:ascii="Times New Roman" w:cs="Times New Roman" w:eastAsia="Times New Roman" w:hAnsi="Times New Roman"/>
          <w:sz w:val="18"/>
          <w:szCs w:val="18"/>
          <w:color w:val="231F20"/>
        </w:rPr>
        <w:t>We introduced SION in the third quarter of 2022. SION is registered with the FDA as a Class I 510(k) exempt device. SION’s bladeless design, micro-engineered and precision manufactured using specialized lasers, excises tissue without cutting. SION grasps and removes diseased tissue as the surgeon sweeps the instrument around Schlemm’s canal with a single smooth motion. The bladeless technology of SION was developed with leading ophthalmic surgeons to improve safety and ease of use by eliminating the need to navigate sharp instrumentation within the eye’s anterior chamber and iridocorneal angle anatomy. We believe SION represents our third consecutive best-in-category device and satisfies the American Academy of Ophthalmology definition of goniotomy.</w:t>
      </w:r>
    </w:p>
    <w:p>
      <w:pPr>
        <w:spacing w:after="0" w:line="187" w:lineRule="exact"/>
        <w:rPr>
          <w:sz w:val="20"/>
          <w:szCs w:val="20"/>
          <w:color w:val="auto"/>
        </w:rPr>
      </w:pPr>
    </w:p>
    <w:p>
      <w:pPr>
        <w:ind w:right="160" w:firstLine="419"/>
        <w:spacing w:after="0" w:line="258" w:lineRule="auto"/>
        <w:rPr>
          <w:sz w:val="20"/>
          <w:szCs w:val="20"/>
          <w:color w:val="auto"/>
        </w:rPr>
      </w:pPr>
      <w:r>
        <w:rPr>
          <w:rFonts w:ascii="Times New Roman" w:cs="Times New Roman" w:eastAsia="Times New Roman" w:hAnsi="Times New Roman"/>
          <w:sz w:val="18"/>
          <w:szCs w:val="18"/>
          <w:color w:val="231F20"/>
        </w:rPr>
        <w:t>SION allows us to serve specific subsets of customers who may prioritize a faster or simpler procedure. Our target customers for SION include three types of combination cataract MIGS surgeons that are distinct from target OMNI customers: 1) high volume cataract surgeons seeking to perform the quickest MIGS procedures, 2) surgeons who are initially less experienced with MIGS such as surgical fellows at academic institutions and 3) surgeons looking for the most cost effective MIGS procedures in facilities that may emphasize procedural profitability. We believe that these use cases have very little overlap with the use cases for our OMNI device.</w:t>
      </w:r>
    </w:p>
    <w:p>
      <w:pPr>
        <w:spacing w:after="0" w:line="183" w:lineRule="exact"/>
        <w:rPr>
          <w:sz w:val="20"/>
          <w:szCs w:val="20"/>
          <w:color w:val="auto"/>
        </w:rPr>
      </w:pPr>
    </w:p>
    <w:p>
      <w:pPr>
        <w:ind w:right="80" w:firstLine="419"/>
        <w:spacing w:after="0" w:line="258" w:lineRule="auto"/>
        <w:rPr>
          <w:sz w:val="20"/>
          <w:szCs w:val="20"/>
          <w:color w:val="auto"/>
        </w:rPr>
      </w:pPr>
      <w:r>
        <w:rPr>
          <w:rFonts w:ascii="Times New Roman" w:cs="Times New Roman" w:eastAsia="Times New Roman" w:hAnsi="Times New Roman"/>
          <w:sz w:val="18"/>
          <w:szCs w:val="18"/>
          <w:color w:val="231F20"/>
        </w:rPr>
        <w:t>Our goal is to establish OMNI and SION as the standards of care for POAG patients and goniotomy patients, respectively, by continuing to grow their adoption and utilization in the existing Combination Cataract market segment, which we believe remains underpenetrated and estimate is capturing less than one-third of its current potential procedural volume. We believe training ophthalmic surgeons to use OMNI will help us pioneer the development of the Standalone market segment (over 85% of the potential U.S. POAG market). We believe the consistent therapeutic outcomes OMNI delivers are important for patients and surgeons alike, especially those considering a Standalone MIGS procedure.</w:t>
      </w:r>
    </w:p>
    <w:p>
      <w:pPr>
        <w:spacing w:after="0" w:line="183"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231F20"/>
        </w:rPr>
        <w:t>We primarily sell OMNI and SION in the U.S. through our dedicated Surgical Glaucoma sales team. Our commercial strategy for OMNI centers on building confidence and conviction among the glaucoma community through continued execution of our clinical trials and publication of their results in peer-reviewed journals. The procedure enabled by OMNI, canaloplasty followed by trabeculotomy, is covered and reimbursed by all Medicare Administrative Contractors ("MACs") and numerous private insurers, covering an estimated 74% of medical benefit covered lives in the U.S. Designed for use in well-established clinical procedures, and with advantages that have been observed to promote safe, effective and highly consistent clinical outcomes, we believe that OMNI has the potential to establish a more proactive, interventional paradigm for IOP reduction in POAG. Our Surgical Glaucoma segment, which includes OMNI and SION, represented 92% of our total revenues for the year ended December 31, 2022.</w:t>
      </w:r>
    </w:p>
    <w:p>
      <w:pPr>
        <w:spacing w:after="0" w:line="189"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231F20"/>
        </w:rPr>
        <w:t>We currently have one commercial product in our Dry Eye segment. TearCare is a unique open-eye heating and expression device designed to melt and remove meibomian gland obstructions. We believe TearCare has a compelling physiological profile to address obstruction from meibomian gland disease ("MGD") which is the primary cause of evaporative DED, a disease characterized by low quality tears that evaporate prematurely. Dry eye complaints are the most common reason for a patient visit to an eye doctor. There are an estimated 757 million people globally who suffer from DED. DED is the most common reason for a patient visit to an eye doctor, yet of the 38 million people with DED in the U.S., only an estimated 17 million have been diagnosed with DED. Dry eye symptoms have a significant impact on the quality of life and productivity of patients suffering from DED. If left untreated, DED can be extremely painful, leading to permanent cornea damage and vision impairment.</w:t>
      </w:r>
    </w:p>
    <w:p>
      <w:pPr>
        <w:spacing w:after="0" w:line="189" w:lineRule="exact"/>
        <w:rPr>
          <w:sz w:val="20"/>
          <w:szCs w:val="20"/>
          <w:color w:val="auto"/>
        </w:rPr>
      </w:pPr>
    </w:p>
    <w:p>
      <w:pPr>
        <w:ind w:right="120" w:firstLine="419"/>
        <w:spacing w:after="0" w:line="282" w:lineRule="auto"/>
        <w:rPr>
          <w:sz w:val="20"/>
          <w:szCs w:val="20"/>
          <w:color w:val="auto"/>
        </w:rPr>
      </w:pPr>
      <w:r>
        <w:rPr>
          <w:rFonts w:ascii="Times New Roman" w:cs="Times New Roman" w:eastAsia="Times New Roman" w:hAnsi="Times New Roman"/>
          <w:sz w:val="18"/>
          <w:szCs w:val="18"/>
          <w:color w:val="231F20"/>
        </w:rPr>
        <w:t>Studies have shown that evaporative DED resulting from MGD is associated with approximately 86% of all DED cases. In healthy eyes, there are 25-30 meibomian glands located within each of the upper and lower eyelids. These glands</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37" w:right="419" w:bottom="1440" w:gutter="0" w:footer="0" w:header="0"/>
        </w:sectPr>
      </w:pPr>
    </w:p>
    <w:bookmarkStart w:id="7" w:name="page8"/>
    <w:bookmarkEnd w:id="7"/>
    <w:p>
      <w:pPr>
        <w:ind w:right="20"/>
        <w:spacing w:after="0" w:line="256" w:lineRule="auto"/>
        <w:rPr>
          <w:sz w:val="20"/>
          <w:szCs w:val="20"/>
          <w:color w:val="auto"/>
        </w:rPr>
      </w:pPr>
      <w:r>
        <w:rPr>
          <w:rFonts w:ascii="Times New Roman" w:cs="Times New Roman" w:eastAsia="Times New Roman" w:hAnsi="Times New Roman"/>
          <w:sz w:val="18"/>
          <w:szCs w:val="18"/>
          <w:color w:val="231F20"/>
        </w:rPr>
        <w:t>produce and secrete an oily substance called meibum which forms the outer layer of healthy tears, which is also known as the lipid layer. Meibum normally has an olive oil-like consistency and contributes a vital element of the tear film that prevents premature tear evaporation. In patients with MGD, meibum hardens within the glands causing obstructions that can partially or completely block the oily secretions from reaching the tear film. The resulting compromised outer surface of the tear leads to accelerated tear evaporation and DED. Third-party clinical studies have also demonstrated that treating MGD by liquefying and removing clogged meibum is the most effective method of eliminating obstructions and restoring a healthy tear film lipid layer, thereby preventing premature evaporation of tears.</w:t>
      </w:r>
    </w:p>
    <w:p>
      <w:pPr>
        <w:spacing w:after="0" w:line="187" w:lineRule="exact"/>
        <w:rPr>
          <w:sz w:val="20"/>
          <w:szCs w:val="20"/>
          <w:color w:val="auto"/>
        </w:rPr>
      </w:pPr>
    </w:p>
    <w:p>
      <w:pPr>
        <w:ind w:right="60" w:firstLine="419"/>
        <w:spacing w:after="0" w:line="253" w:lineRule="auto"/>
        <w:rPr>
          <w:sz w:val="20"/>
          <w:szCs w:val="20"/>
          <w:color w:val="auto"/>
        </w:rPr>
      </w:pPr>
      <w:r>
        <w:rPr>
          <w:rFonts w:ascii="Times New Roman" w:cs="Times New Roman" w:eastAsia="Times New Roman" w:hAnsi="Times New Roman"/>
          <w:sz w:val="18"/>
          <w:szCs w:val="18"/>
          <w:color w:val="231F20"/>
        </w:rPr>
        <w:t>Our TearCare System is designed to enable ECPs to heat and liquefy meibomian gland blockages, followed promptly by manual, comprehensive clearing of these blockages with a separate clearance tool. We developed TearCare to serve as an elegant, compact, portable, and intuitive solution comprised of the SmartHub</w:t>
      </w:r>
      <w:r>
        <w:rPr>
          <w:rFonts w:ascii="Times New Roman" w:cs="Times New Roman" w:eastAsia="Times New Roman" w:hAnsi="Times New Roman"/>
          <w:sz w:val="18"/>
          <w:szCs w:val="18"/>
          <w:color w:val="000000"/>
        </w:rPr>
        <w:t>™ ("SmartHub")</w:t>
      </w:r>
      <w:r>
        <w:rPr>
          <w:rFonts w:ascii="Times New Roman" w:cs="Times New Roman" w:eastAsia="Times New Roman" w:hAnsi="Times New Roman"/>
          <w:sz w:val="18"/>
          <w:szCs w:val="18"/>
          <w:color w:val="231F20"/>
        </w:rPr>
        <w:t>, a reusable hardware controller, and the TearCare SmartLids</w:t>
      </w:r>
      <w:r>
        <w:rPr>
          <w:rFonts w:ascii="Times New Roman" w:cs="Times New Roman" w:eastAsia="Times New Roman" w:hAnsi="Times New Roman"/>
          <w:sz w:val="18"/>
          <w:szCs w:val="18"/>
          <w:color w:val="000000"/>
        </w:rPr>
        <w:t>® ("SmartLids")</w:t>
      </w:r>
      <w:r>
        <w:rPr>
          <w:rFonts w:ascii="Times New Roman" w:cs="Times New Roman" w:eastAsia="Times New Roman" w:hAnsi="Times New Roman"/>
          <w:sz w:val="18"/>
          <w:szCs w:val="18"/>
          <w:color w:val="231F20"/>
        </w:rPr>
        <w:t>, a breakthrough, wearable, single-use software-controlled eyelid technology. Applied adhesively and non-invasively to the outside of the eyelids, single-use SmartLids deliver a precise therapeutic level of heat into the meibomian glands. Engineering SmartLids to remain comfortably adhered to virtually all shapes and sizes of eyelids while allowing freedom to blink and delivering precise therapeutic heat is one of our most significant design accomplishments. This heating process follows clinically proven guidelines for temperature and duration required to melt obstructions in the glands and restore the production and secretion of healthy, clear meibum onto the tear surface. The proprietary, highly conformant, open-eye design of TearCare allows patients to blink naturally throughout the thermal portion of the procedure, which provides a comfortable patient experience. TearCare can be utilized by an ECP in a straightforward in-office procedure and can be accommodated during the course of a routine patient visit. Additionally, TearCare does not require a large capital equipment investment by ECPs, and we believe that it offers an attractive economic value proposition to providers, patients and third- party payors.</w:t>
      </w:r>
    </w:p>
    <w:p>
      <w:pPr>
        <w:spacing w:after="0" w:line="190" w:lineRule="exact"/>
        <w:rPr>
          <w:sz w:val="20"/>
          <w:szCs w:val="20"/>
          <w:color w:val="auto"/>
        </w:rPr>
      </w:pPr>
    </w:p>
    <w:p>
      <w:pPr>
        <w:ind w:right="20" w:firstLine="419"/>
        <w:spacing w:after="0" w:line="258" w:lineRule="auto"/>
        <w:rPr>
          <w:sz w:val="20"/>
          <w:szCs w:val="20"/>
          <w:color w:val="auto"/>
        </w:rPr>
      </w:pPr>
      <w:r>
        <w:rPr>
          <w:rFonts w:ascii="Times New Roman" w:cs="Times New Roman" w:eastAsia="Times New Roman" w:hAnsi="Times New Roman"/>
          <w:sz w:val="18"/>
          <w:szCs w:val="18"/>
          <w:color w:val="231F20"/>
        </w:rPr>
        <w:t>In OLYMPIA, our large multi-center, randomized control trial ("RCT"), the TearCare procedure was associated with statistically significant clinical improvements in all assessed signs and symptoms of DED. This included tear breakup time ("TBUT"), and meibomian gland secretion score ("MGSS"), objective measurements of DED that were the trial’s primary endpoints, as well as patient-reported symptoms surveys, including Ehlers Danlos syndrome ("EDS"), ocular surface disease index ("OSDI"), and symptom assessment in dry eye ("SANDE"), at all time periods measured (both two weeks and four weeks post-treatment).</w:t>
      </w:r>
    </w:p>
    <w:p>
      <w:pPr>
        <w:spacing w:after="0" w:line="183" w:lineRule="exact"/>
        <w:rPr>
          <w:sz w:val="20"/>
          <w:szCs w:val="20"/>
          <w:color w:val="auto"/>
        </w:rPr>
      </w:pPr>
    </w:p>
    <w:p>
      <w:pPr>
        <w:ind w:right="20" w:firstLine="419"/>
        <w:spacing w:after="0" w:line="258" w:lineRule="auto"/>
        <w:rPr>
          <w:sz w:val="20"/>
          <w:szCs w:val="20"/>
          <w:color w:val="auto"/>
        </w:rPr>
      </w:pPr>
      <w:r>
        <w:rPr>
          <w:rFonts w:ascii="Times New Roman" w:cs="Times New Roman" w:eastAsia="Times New Roman" w:hAnsi="Times New Roman"/>
          <w:sz w:val="18"/>
          <w:szCs w:val="18"/>
          <w:color w:val="231F20"/>
        </w:rPr>
        <w:t>We believe the MGD market requires additional ECP and patient education, including clinical data to differentiate procedural and product alternatives, and enhanced patient access through the potential advancement of reimbursement coverage. Our goals with the development of TearCare are to fully transform the current outdated treatment paradigm based primarily on over-the-counter, or OTC, and prescription eyedrops which do not address obstruction of the meibomian glands, the primary root cause of MGD, and establish use of TearCare as the standard of care for the millions of patients suffering from evaporative DED caused by MGD.</w:t>
      </w:r>
    </w:p>
    <w:p>
      <w:pPr>
        <w:spacing w:after="0" w:line="183" w:lineRule="exact"/>
        <w:rPr>
          <w:sz w:val="20"/>
          <w:szCs w:val="20"/>
          <w:color w:val="auto"/>
        </w:rPr>
      </w:pPr>
    </w:p>
    <w:p>
      <w:pPr>
        <w:ind w:right="280" w:firstLine="419"/>
        <w:spacing w:after="0" w:line="282" w:lineRule="auto"/>
        <w:rPr>
          <w:sz w:val="20"/>
          <w:szCs w:val="20"/>
          <w:color w:val="auto"/>
        </w:rPr>
      </w:pPr>
      <w:r>
        <w:rPr>
          <w:rFonts w:ascii="Times New Roman" w:cs="Times New Roman" w:eastAsia="Times New Roman" w:hAnsi="Times New Roman"/>
          <w:sz w:val="18"/>
          <w:szCs w:val="18"/>
          <w:color w:val="231F20"/>
        </w:rPr>
        <w:t>In December 2021, the FDA cleared TearCare for the application of localized heat therapy in adult patients with evaporative DED due to MGD, when used in conjunction with manual expression of the meibomian glands.</w:t>
      </w:r>
    </w:p>
    <w:p>
      <w:pPr>
        <w:spacing w:after="0" w:line="162" w:lineRule="exact"/>
        <w:rPr>
          <w:sz w:val="20"/>
          <w:szCs w:val="20"/>
          <w:color w:val="auto"/>
        </w:rPr>
      </w:pPr>
    </w:p>
    <w:p>
      <w:pPr>
        <w:ind w:right="180" w:firstLine="419"/>
        <w:spacing w:after="0" w:line="266" w:lineRule="auto"/>
        <w:rPr>
          <w:sz w:val="20"/>
          <w:szCs w:val="20"/>
          <w:color w:val="auto"/>
        </w:rPr>
      </w:pPr>
      <w:r>
        <w:rPr>
          <w:rFonts w:ascii="Times New Roman" w:cs="Times New Roman" w:eastAsia="Times New Roman" w:hAnsi="Times New Roman"/>
          <w:sz w:val="18"/>
          <w:szCs w:val="18"/>
          <w:color w:val="231F20"/>
        </w:rPr>
        <w:t>We focus on continuous innovation and seek regular input from our network of expert employees (including several ophthalmologists on staff), advisors and customers to rapidly iterate our pre- and post-commercial product designs with the aim of better satisfying the needs of our customers and their patients, and increasing adoption and utilization of our solutions.</w:t>
      </w:r>
    </w:p>
    <w:p>
      <w:pPr>
        <w:spacing w:after="0" w:line="176" w:lineRule="exact"/>
        <w:rPr>
          <w:sz w:val="20"/>
          <w:szCs w:val="20"/>
          <w:color w:val="auto"/>
        </w:rPr>
      </w:pPr>
    </w:p>
    <w:p>
      <w:pPr>
        <w:ind w:right="340" w:firstLine="419"/>
        <w:spacing w:after="0" w:line="261" w:lineRule="auto"/>
        <w:rPr>
          <w:sz w:val="20"/>
          <w:szCs w:val="20"/>
          <w:color w:val="auto"/>
        </w:rPr>
      </w:pPr>
      <w:r>
        <w:rPr>
          <w:rFonts w:ascii="Times New Roman" w:cs="Times New Roman" w:eastAsia="Times New Roman" w:hAnsi="Times New Roman"/>
          <w:sz w:val="18"/>
          <w:szCs w:val="18"/>
          <w:color w:val="231F20"/>
        </w:rPr>
        <w:t>Our ability to continuously and rapidly innovate our products is a core competency of our company. Our product innovation has resulted in a comprehensive portfolio of 37 issued U.S. patents, 48 issued patents outside of the U.S. (including five issued European patents and their national validations), 19 pending U.S. non-provisional patent applications, 19 pending foreign patent applications and two pending Patent Cooperation Treaty patent applications as of December 31, 2022.</w:t>
      </w:r>
    </w:p>
    <w:p>
      <w:pPr>
        <w:spacing w:after="0" w:line="180" w:lineRule="exact"/>
        <w:rPr>
          <w:sz w:val="20"/>
          <w:szCs w:val="20"/>
          <w:color w:val="auto"/>
        </w:rPr>
      </w:pPr>
    </w:p>
    <w:p>
      <w:pPr>
        <w:ind w:firstLine="419"/>
        <w:spacing w:after="0" w:line="266" w:lineRule="auto"/>
        <w:rPr>
          <w:sz w:val="20"/>
          <w:szCs w:val="20"/>
          <w:color w:val="auto"/>
        </w:rPr>
      </w:pPr>
      <w:r>
        <w:rPr>
          <w:rFonts w:ascii="Times New Roman" w:cs="Times New Roman" w:eastAsia="Times New Roman" w:hAnsi="Times New Roman"/>
          <w:sz w:val="18"/>
          <w:szCs w:val="18"/>
          <w:color w:val="231F20"/>
        </w:rPr>
        <w:t>The overall success of our innovative approach to eyecare to date is evidenced by the over 150,000 estimated uses of OMNI and its direct predicates in over 1,600 hospitals and ambulatory service centers ("ASCs") in the U.S. and EU, and over 25,000 estimated uses of TearCare in over 1,000 eyecare facilities in the U.S. through December 31, 2022.</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37"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231F20"/>
        </w:rPr>
        <w:t>Our Solutions</w:t>
      </w:r>
    </w:p>
    <w:p>
      <w:pPr>
        <w:spacing w:after="0" w:line="229" w:lineRule="exact"/>
        <w:rPr>
          <w:sz w:val="20"/>
          <w:szCs w:val="20"/>
          <w:color w:val="auto"/>
        </w:rPr>
      </w:pPr>
    </w:p>
    <w:p>
      <w:pPr>
        <w:ind w:right="500" w:firstLine="419"/>
        <w:spacing w:after="0" w:line="266" w:lineRule="auto"/>
        <w:rPr>
          <w:sz w:val="20"/>
          <w:szCs w:val="20"/>
          <w:color w:val="auto"/>
        </w:rPr>
      </w:pPr>
      <w:r>
        <w:rPr>
          <w:rFonts w:ascii="Times New Roman" w:cs="Times New Roman" w:eastAsia="Times New Roman" w:hAnsi="Times New Roman"/>
          <w:sz w:val="18"/>
          <w:szCs w:val="18"/>
          <w:color w:val="231F20"/>
        </w:rPr>
        <w:t>We have designed OMNI, SION, and TearCare to be interventional ophthalmology devices. We believe that both glaucoma and DED are significantly underserved by current treatment offerings and that there are large market opportunities for effective solutions that restore the natural functionality of diseased eyes.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Product Development Approach</w:t>
      </w:r>
    </w:p>
    <w:p>
      <w:pPr>
        <w:spacing w:after="0" w:line="229"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231F20"/>
        </w:rPr>
        <w:t>The past, current, and ongoing development of OMNI, SION, and TearCare follows our internal product development approach, which is governed by four fundamental requirements that we believe are critical to delivering the most effective, safe and consistent clinical outcomes for patients with eye disease.</w:t>
      </w:r>
    </w:p>
    <w:p>
      <w:pPr>
        <w:spacing w:after="0" w:line="172" w:lineRule="exact"/>
        <w:rPr>
          <w:sz w:val="20"/>
          <w:szCs w:val="20"/>
          <w:color w:val="auto"/>
        </w:rPr>
      </w:pPr>
    </w:p>
    <w:p>
      <w:pPr>
        <w:ind w:left="820" w:hanging="303"/>
        <w:spacing w:after="0"/>
        <w:tabs>
          <w:tab w:leader="none" w:pos="8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Comprehensive Understanding of Disease Physiology</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Treatment of Underlying Causes</w:t>
      </w:r>
    </w:p>
    <w:p>
      <w:pPr>
        <w:spacing w:after="0" w:line="117" w:lineRule="exact"/>
        <w:rPr>
          <w:rFonts w:ascii="Times New Roman" w:cs="Times New Roman" w:eastAsia="Times New Roman" w:hAnsi="Times New Roman"/>
          <w:sz w:val="18"/>
          <w:szCs w:val="18"/>
          <w:color w:val="231F20"/>
        </w:rPr>
      </w:pPr>
    </w:p>
    <w:p>
      <w:pPr>
        <w:ind w:left="820" w:hanging="303"/>
        <w:spacing w:after="0"/>
        <w:tabs>
          <w:tab w:leader="none" w:pos="8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Intuitive Design</w:t>
      </w:r>
    </w:p>
    <w:p>
      <w:pPr>
        <w:spacing w:after="0" w:line="117" w:lineRule="exact"/>
        <w:rPr>
          <w:rFonts w:ascii="Times New Roman" w:cs="Times New Roman" w:eastAsia="Times New Roman" w:hAnsi="Times New Roman"/>
          <w:sz w:val="18"/>
          <w:szCs w:val="18"/>
          <w:color w:val="231F20"/>
        </w:rPr>
      </w:pPr>
    </w:p>
    <w:p>
      <w:pPr>
        <w:ind w:left="820" w:hanging="303"/>
        <w:spacing w:after="0"/>
        <w:tabs>
          <w:tab w:leader="none" w:pos="8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Patient Access</w:t>
      </w:r>
    </w:p>
    <w:p>
      <w:pPr>
        <w:spacing w:after="0" w:line="121" w:lineRule="exact"/>
        <w:rPr>
          <w:sz w:val="20"/>
          <w:szCs w:val="20"/>
          <w:color w:val="auto"/>
        </w:rPr>
      </w:pPr>
    </w:p>
    <w:p>
      <w:pPr>
        <w:jc w:val="both"/>
        <w:ind w:right="40" w:firstLine="419"/>
        <w:spacing w:after="0" w:line="281" w:lineRule="auto"/>
        <w:rPr>
          <w:sz w:val="20"/>
          <w:szCs w:val="20"/>
          <w:color w:val="auto"/>
        </w:rPr>
      </w:pPr>
      <w:r>
        <w:rPr>
          <w:rFonts w:ascii="Times New Roman" w:cs="Times New Roman" w:eastAsia="Times New Roman" w:hAnsi="Times New Roman"/>
          <w:sz w:val="17"/>
          <w:szCs w:val="17"/>
          <w:color w:val="231F20"/>
        </w:rPr>
        <w:t>We aim and expect to be a clinical leader in every eyecare segment we enter and seek to achieve all four criteria in all of our product development projects. From device ideation to commercialization, we take into consideration the perspectives of patients, providers and third-party payors throughout our product development process. When possible, we seek to streamline our product commercialization process by judiciously designing our products to achieve the most efficient routes for FDA clearance or authorization for each applicable indication and reimbursement coverage by third-party payors.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OMNI Surgical System</w:t>
      </w:r>
    </w:p>
    <w:p>
      <w:pPr>
        <w:spacing w:after="0" w:line="229" w:lineRule="exact"/>
        <w:rPr>
          <w:sz w:val="20"/>
          <w:szCs w:val="20"/>
          <w:color w:val="auto"/>
        </w:rPr>
      </w:pPr>
    </w:p>
    <w:p>
      <w:pPr>
        <w:ind w:right="1000" w:firstLine="419"/>
        <w:spacing w:after="0" w:line="282" w:lineRule="auto"/>
        <w:rPr>
          <w:sz w:val="20"/>
          <w:szCs w:val="20"/>
          <w:color w:val="auto"/>
        </w:rPr>
      </w:pPr>
      <w:r>
        <w:rPr>
          <w:rFonts w:ascii="Times New Roman" w:cs="Times New Roman" w:eastAsia="Times New Roman" w:hAnsi="Times New Roman"/>
          <w:sz w:val="18"/>
          <w:szCs w:val="18"/>
          <w:color w:val="231F20"/>
        </w:rPr>
        <w:t>OMNI is a handheld, single use, therapeutic device for MIGS. OMNI is designed to restore the eye’s natural drainage system without compromising the structural integrity of the eye or leaving implants behind post-surgery.</w:t>
      </w:r>
    </w:p>
    <w:p>
      <w:pPr>
        <w:spacing w:after="0" w:line="162" w:lineRule="exact"/>
        <w:rPr>
          <w:sz w:val="20"/>
          <w:szCs w:val="20"/>
          <w:color w:val="auto"/>
        </w:rPr>
      </w:pPr>
    </w:p>
    <w:p>
      <w:pPr>
        <w:ind w:right="160" w:firstLine="419"/>
        <w:spacing w:after="0" w:line="254" w:lineRule="auto"/>
        <w:rPr>
          <w:sz w:val="20"/>
          <w:szCs w:val="20"/>
          <w:color w:val="auto"/>
        </w:rPr>
      </w:pPr>
      <w:r>
        <w:rPr>
          <w:rFonts w:ascii="Times New Roman" w:cs="Times New Roman" w:eastAsia="Times New Roman" w:hAnsi="Times New Roman"/>
          <w:sz w:val="18"/>
          <w:szCs w:val="18"/>
          <w:color w:val="231F20"/>
        </w:rPr>
        <w:t>We believe that OMNI is the first and only multi-procedure MIGS device dually indicated for canaloplasty followed by trabeculotomy. Canaloplasty primarily addresses distal resistance (i.e., collapsed Schlemm’s canal, blocked collector channel ostia) and has some presumed effects on the inner wall of Schlemm’s canal and the trabecular meshwork due to dilation and stretching. In a trabeculotomy procedure, a surgeon unroofs Schlemm’s canal by cutting the trabecular meshwork to provide aqueous humor with direct access to the drainage points in the conventional outflow pathway. Trabeculotomy addresses proximal resistance, which is the outflow resistance in the trabecular meshwork and inner wall of Schlemm’s canal. We believe that the sequential combination of canaloplasty followed by trabeculotomy is uniquely capable of treating all three primary points of resistance in the conventional outflow pathway of the eye. We believe treating all three primary points of resistance is critical to achieving the consistency and level of effectiveness in reducing IOP and medication requirements necessary to expand the use case for MIGS procedures to the Standalone market and to all disease severities among adult POAG patients.</w:t>
      </w:r>
    </w:p>
    <w:p>
      <w:pPr>
        <w:spacing w:after="0" w:line="188" w:lineRule="exact"/>
        <w:rPr>
          <w:sz w:val="20"/>
          <w:szCs w:val="20"/>
          <w:color w:val="auto"/>
        </w:rPr>
      </w:pPr>
    </w:p>
    <w:p>
      <w:pPr>
        <w:ind w:right="20" w:firstLine="419"/>
        <w:spacing w:after="0" w:line="271" w:lineRule="auto"/>
        <w:rPr>
          <w:sz w:val="20"/>
          <w:szCs w:val="20"/>
          <w:color w:val="auto"/>
        </w:rPr>
      </w:pPr>
      <w:r>
        <w:rPr>
          <w:rFonts w:ascii="Times New Roman" w:cs="Times New Roman" w:eastAsia="Times New Roman" w:hAnsi="Times New Roman"/>
          <w:sz w:val="17"/>
          <w:szCs w:val="17"/>
          <w:color w:val="231F20"/>
        </w:rPr>
        <w:t>We have applied our medical expertise, as well as specialized design and engineering capabilities, to create a complex device that is simple in appearance and intuitive to use. Each OMNI device consists of 29 separate precision-engineered parts that have been optimized for performance, effectiveness and usability. After inserting the cannula tip into the corneal microincision and accessing Schlemm’s canal, the surgeon can advance and retract the catheter with a fingertip dial up to 180 degrees. Upon retraction of the catheter, OMNI delivers viscoelastic fluid to complete the viscodilation of the relevant portion of Schlemm’s canal. The surgeon can complete a full 360 degree canaloplasty by reinserting the catheter and advancing it in the opposite direction. To perform the trabeculotomy following the canaloplasty, the same microcatheter can be reinserted into Schlemm’s canal and used to deroof the trabecular meshwork in a titratable manner (90, 180, 270 or 360 degrees). OMNI’s versatility and titratable functionality, which we believe is unmatched by other MIGS products currently on the market, enables surgeons to perform sequential comprehensive outflow treatments that they can customize based on an individual patient’s disease severity and eye anatomy in both Combination Cataract and Standalone settings.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33"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231F20"/>
        </w:rPr>
        <w:t>SION Surgical Instrument</w:t>
      </w:r>
    </w:p>
    <w:p>
      <w:pPr>
        <w:spacing w:after="0" w:line="229"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231F20"/>
        </w:rPr>
        <w:t>We introduced SION in the third quarter of 2022. SION’s bladeless design, micro-engineered and precision manufactured using specialized lasers, excises tissue without cutting. SION grasps and removes diseased tissue as the surgeon sweeps the instrument around Schlemm’s canal with a single smooth motion. The bladeless technology of SION was developed with leading ophthalmic surgeons to improve safety and ease of use by eliminating the need to navigate sharp instrumentation within the eye’s anterior chamber and iridocorneal angle anatomy. We believe SION represents our third consecutive best-in-category device and satisfies the American Academy of Ophthalmology definition of goniotomy.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TearCare System</w:t>
      </w:r>
    </w:p>
    <w:p>
      <w:pPr>
        <w:spacing w:after="0" w:line="229" w:lineRule="exact"/>
        <w:rPr>
          <w:sz w:val="20"/>
          <w:szCs w:val="20"/>
          <w:color w:val="auto"/>
        </w:rPr>
      </w:pPr>
    </w:p>
    <w:p>
      <w:pPr>
        <w:ind w:right="100" w:firstLine="419"/>
        <w:spacing w:after="0" w:line="258" w:lineRule="auto"/>
        <w:rPr>
          <w:sz w:val="20"/>
          <w:szCs w:val="20"/>
          <w:color w:val="auto"/>
        </w:rPr>
      </w:pPr>
      <w:r>
        <w:rPr>
          <w:rFonts w:ascii="Times New Roman" w:cs="Times New Roman" w:eastAsia="Times New Roman" w:hAnsi="Times New Roman"/>
          <w:sz w:val="18"/>
          <w:szCs w:val="18"/>
          <w:color w:val="231F20"/>
        </w:rPr>
        <w:t>In an effort to address the treatment of evaporative DED due to MGD, we custom designed TearCare to facilitate what we believe is the optimal method for clearing meibomian gland obstructions based on numerous clinical studies: warming the glands to a minimum of 41 degrees Celsius for 15 minutes to melt congealed meibum followed by manual, clinician customized and performed removal of the liquefied obstructions using forceps to help facilitate restoration of healthy meibum production to naturally fortify the tear’s protective lipid layer. The goal of TearCare treatments is to restore the eyelid’s natural ability to produce healthy lipid secretions and recover the integrity of the tear film.</w:t>
      </w:r>
    </w:p>
    <w:p>
      <w:pPr>
        <w:spacing w:after="0" w:line="183"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231F20"/>
        </w:rPr>
        <w:t>Our TearCare System includes a pair of single-use SmartLids, the first wearable, highly conformant, precision heating device for the eyelids. SmartLids allow for eyes to be open and blink during the thermal portion of the process and are software-controlled, delivering precise heat to the tarsal plates of the eyelids directly overlying the meibomian glands while continuously monitoring temperature and communicating 144 times per second with the SmartHub, a compact, finely calibrated power source and control unit which can make instantaneous adjustments to ensure delivery of the desired amount of heat and therapeutic temperature level. Engineering SmartLids to remain comfortably adhered to virtually all shapes and sizes of eyelids while allowing freedom to blink and delivering precise therapeutic heat is one of our most significant design accomplishments. Following therapeutic heat application by TearCare, ECPs may use forceps to manually express melted meibum from each gland. ECPs can tailor the amount of pressure applied during expression to specific glands based on a desired full evacuation of the glands, thereby allowing the eyelids to resume the production and secretion of meibum to coat and protect tears.</w:t>
      </w:r>
    </w:p>
    <w:p>
      <w:pPr>
        <w:spacing w:after="0" w:line="188" w:lineRule="exact"/>
        <w:rPr>
          <w:sz w:val="20"/>
          <w:szCs w:val="20"/>
          <w:color w:val="auto"/>
        </w:rPr>
      </w:pPr>
    </w:p>
    <w:p>
      <w:pPr>
        <w:ind w:right="100" w:firstLine="419"/>
        <w:spacing w:after="0" w:line="256" w:lineRule="auto"/>
        <w:rPr>
          <w:sz w:val="20"/>
          <w:szCs w:val="20"/>
          <w:color w:val="auto"/>
        </w:rPr>
      </w:pPr>
      <w:r>
        <w:rPr>
          <w:rFonts w:ascii="Times New Roman" w:cs="Times New Roman" w:eastAsia="Times New Roman" w:hAnsi="Times New Roman"/>
          <w:sz w:val="18"/>
          <w:szCs w:val="18"/>
          <w:color w:val="231F20"/>
        </w:rPr>
        <w:t>According to patient and ECP feedback, treatments using TearCare are comfortable for patients since they can keep their eyes open during the thermal portion of the procedure and have the freedom to blink naturally. Additionally, TearCare was designed to be administered during the course of a routine office visit to an ECP, which makes it convenient for patients, and allows providers to maintain procedural throughput in their practices. We believe that these features of the patient and ECP experience with TearCare procedures offer a stark contrast to other available alternatives which we believe are burdened by ineffective and suboptimal product design, including awkward and uncomfortable patient experiences through closed eye solutions and/or manual solutions that require extremely close patient proximity to the ECP throughout the treatment.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Success Factors</w:t>
      </w:r>
    </w:p>
    <w:p>
      <w:pPr>
        <w:spacing w:after="0" w:line="229" w:lineRule="exact"/>
        <w:rPr>
          <w:sz w:val="20"/>
          <w:szCs w:val="20"/>
          <w:color w:val="auto"/>
        </w:rPr>
      </w:pPr>
    </w:p>
    <w:p>
      <w:pPr>
        <w:jc w:val="both"/>
        <w:ind w:right="400" w:firstLine="419"/>
        <w:spacing w:after="0" w:line="266" w:lineRule="auto"/>
        <w:rPr>
          <w:sz w:val="20"/>
          <w:szCs w:val="20"/>
          <w:color w:val="auto"/>
        </w:rPr>
      </w:pPr>
      <w:r>
        <w:rPr>
          <w:rFonts w:ascii="Times New Roman" w:cs="Times New Roman" w:eastAsia="Times New Roman" w:hAnsi="Times New Roman"/>
          <w:sz w:val="18"/>
          <w:szCs w:val="18"/>
          <w:color w:val="231F20"/>
        </w:rPr>
        <w:t>Our mission is to transform eyecare by developing products that address the underlying causes of the world’s most prevalent eye diseases. We design our products to enable ECPs to perform safe and effective interventional procedures that can transform treatment paradigms. We believe the following success factors will drive the growth of our company:</w:t>
      </w:r>
    </w:p>
    <w:p>
      <w:pPr>
        <w:spacing w:after="0" w:line="172" w:lineRule="exact"/>
        <w:rPr>
          <w:sz w:val="20"/>
          <w:szCs w:val="20"/>
          <w:color w:val="auto"/>
        </w:rPr>
      </w:pPr>
    </w:p>
    <w:p>
      <w:pPr>
        <w:ind w:left="800" w:hanging="283"/>
        <w:spacing w:after="0"/>
        <w:tabs>
          <w:tab w:leader="none" w:pos="80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Large market opportunities in eyecare with flawed treatment paradigms</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Continual development of innovative technologies</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Consistent delivery of exceptional customer experience</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Prioritization of clinical excellence and market education</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Focus on compelling economics and value creation for all eyecare stakeholders</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Scale culture built on community, passion, courage, integrity and perseverance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33"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231F20"/>
        </w:rPr>
        <w:t>Our Growth Strategy</w:t>
      </w:r>
    </w:p>
    <w:p>
      <w:pPr>
        <w:spacing w:after="0" w:line="229" w:lineRule="exact"/>
        <w:rPr>
          <w:sz w:val="20"/>
          <w:szCs w:val="20"/>
          <w:color w:val="auto"/>
        </w:rPr>
      </w:pPr>
    </w:p>
    <w:p>
      <w:pPr>
        <w:ind w:right="160" w:firstLine="419"/>
        <w:spacing w:after="0" w:line="266" w:lineRule="auto"/>
        <w:rPr>
          <w:sz w:val="20"/>
          <w:szCs w:val="20"/>
          <w:color w:val="auto"/>
        </w:rPr>
      </w:pPr>
      <w:r>
        <w:rPr>
          <w:rFonts w:ascii="Times New Roman" w:cs="Times New Roman" w:eastAsia="Times New Roman" w:hAnsi="Times New Roman"/>
          <w:sz w:val="18"/>
          <w:szCs w:val="18"/>
          <w:color w:val="231F20"/>
        </w:rPr>
        <w:t>The fundamental objectives of our growth strategy are to establish robust clinical data to support the development of our target markets and the continued commercialization of our products and to deliver an exceptional customer experience to the ECPs and patients who utilize our products. Our current growth strategies include:</w:t>
      </w:r>
    </w:p>
    <w:p>
      <w:pPr>
        <w:spacing w:after="0" w:line="172" w:lineRule="exact"/>
        <w:rPr>
          <w:sz w:val="20"/>
          <w:szCs w:val="20"/>
          <w:color w:val="auto"/>
        </w:rPr>
      </w:pPr>
    </w:p>
    <w:p>
      <w:pPr>
        <w:ind w:left="800" w:hanging="283"/>
        <w:spacing w:after="0"/>
        <w:tabs>
          <w:tab w:leader="none" w:pos="80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Establish OMNI and SION as the standards of care for interventional glaucoma treatment among MIGS-trained surgeons</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Pioneer the Standalone MIGS segment with OMNI</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Develop the MGD treatment market through a patient access-led strategy</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Drive adoption and utilization of our products by leveraging additional clinical trials and market education</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Deepen and broaden our commercial capabilities and expertise</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Expand into international markets</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Continuously innovate premium product offerings throughout eyecare</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Obtain and maintain appropriate reimbursement coverage by governmental and commercial payors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Clinical Data</w:t>
      </w:r>
    </w:p>
    <w:p>
      <w:pPr>
        <w:spacing w:after="0" w:line="229" w:lineRule="exact"/>
        <w:rPr>
          <w:sz w:val="20"/>
          <w:szCs w:val="20"/>
          <w:color w:val="auto"/>
        </w:rPr>
      </w:pPr>
    </w:p>
    <w:p>
      <w:pPr>
        <w:ind w:right="40" w:firstLine="419"/>
        <w:spacing w:after="0" w:line="258" w:lineRule="auto"/>
        <w:rPr>
          <w:sz w:val="20"/>
          <w:szCs w:val="20"/>
          <w:color w:val="auto"/>
        </w:rPr>
      </w:pPr>
      <w:r>
        <w:rPr>
          <w:rFonts w:ascii="Times New Roman" w:cs="Times New Roman" w:eastAsia="Times New Roman" w:hAnsi="Times New Roman"/>
          <w:sz w:val="18"/>
          <w:szCs w:val="18"/>
          <w:color w:val="231F20"/>
        </w:rPr>
        <w:t>We believe that treatment decisions should be evidence-based and hold ourselves to the highest clinical and ethical standards to build and maintain credibility in the medical community. We are deeply committed to conducting studies to evaluate the safety, effectiveness and durability of treatments using our products, and subjecting the results to the rigorous peer review process for publication in leading journals. Our robust and growing libraries of evidence to support OMNI, SION and TearCare are helping to drive their awareness and adoption, and ultimately advancing patient care in ophthalmology and optometry.</w:t>
      </w:r>
    </w:p>
    <w:p>
      <w:pPr>
        <w:spacing w:after="0" w:line="183" w:lineRule="exact"/>
        <w:rPr>
          <w:sz w:val="20"/>
          <w:szCs w:val="20"/>
          <w:color w:val="auto"/>
        </w:rPr>
      </w:pPr>
    </w:p>
    <w:p>
      <w:pPr>
        <w:jc w:val="both"/>
        <w:ind w:right="500" w:firstLine="419"/>
        <w:spacing w:after="0" w:line="266" w:lineRule="auto"/>
        <w:rPr>
          <w:sz w:val="20"/>
          <w:szCs w:val="20"/>
          <w:color w:val="auto"/>
        </w:rPr>
      </w:pPr>
      <w:r>
        <w:rPr>
          <w:rFonts w:ascii="Times New Roman" w:cs="Times New Roman" w:eastAsia="Times New Roman" w:hAnsi="Times New Roman"/>
          <w:sz w:val="18"/>
          <w:szCs w:val="18"/>
          <w:color w:val="231F20"/>
        </w:rPr>
        <w:t>We are currently conducting active and robust clinical trial programs in both POAG and MGD. Our clinical trial designs include both RCTs, prospective, and retrospective real-world studies, based on our belief that each of these approaches has unique strengths. We also plan to continue supporting our investigator-initiated trial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OMNI Surgical System</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231F20"/>
        </w:rPr>
        <w:t>OMNI Clinical Program Overview</w:t>
      </w:r>
    </w:p>
    <w:p>
      <w:pPr>
        <w:spacing w:after="0" w:line="225" w:lineRule="exact"/>
        <w:rPr>
          <w:sz w:val="20"/>
          <w:szCs w:val="20"/>
          <w:color w:val="auto"/>
        </w:rPr>
      </w:pPr>
    </w:p>
    <w:p>
      <w:pPr>
        <w:ind w:firstLine="419"/>
        <w:spacing w:after="0" w:line="256" w:lineRule="auto"/>
        <w:rPr>
          <w:sz w:val="20"/>
          <w:szCs w:val="20"/>
          <w:color w:val="auto"/>
        </w:rPr>
      </w:pPr>
      <w:r>
        <w:rPr>
          <w:rFonts w:ascii="Times New Roman" w:cs="Times New Roman" w:eastAsia="Times New Roman" w:hAnsi="Times New Roman"/>
          <w:sz w:val="18"/>
          <w:szCs w:val="18"/>
          <w:color w:val="231F20"/>
        </w:rPr>
        <w:t>Building on a solid foundation of completed and ongoing clinical trials, we are investing significant resources to further develop clinical data regarding the use of OMNI. Since 2018, there have been 21 articles published in peer-reviewed journals for OMNI and its Sight Sciences predicate devices and procedures. Our completed trials include ROMEO, GEMINI, and TREY. ROMEO was used to support OMNI’s indication for use expansion in the U.S. in March 2021 and resulted in two published articles in peer-reviewed journals. GEMINI was a prospective, multi-center, historical control, single-arm, U.S. study. TREY was a multi-center study evaluating the effectiveness of Standalone intervention using OMNI in eyes with uncontrolled IOP previously treated with trabecular bypass canal implants.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33"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231F20"/>
        </w:rPr>
        <w:t>Table 1: Sight Sciences OMNI Ongoing and Planned Clinical Studies</w:t>
      </w:r>
    </w:p>
    <w:p>
      <w:pPr>
        <w:spacing w:after="0" w:line="227" w:lineRule="exact"/>
        <w:rPr>
          <w:sz w:val="20"/>
          <w:szCs w:val="20"/>
          <w:color w:val="auto"/>
        </w:rPr>
      </w:pPr>
    </w:p>
    <w:tbl>
      <w:tblPr>
        <w:tblLayout w:type="fixed"/>
        <w:tblInd w:w="430" w:type="dxa"/>
        <w:tblCellMar>
          <w:top w:w="0" w:type="dxa"/>
          <w:left w:w="0" w:type="dxa"/>
          <w:bottom w:w="0" w:type="dxa"/>
          <w:right w:w="0" w:type="dxa"/>
        </w:tblCellMar>
      </w:tblPr>
      <w:tr>
        <w:trPr>
          <w:trHeight w:val="237"/>
        </w:trPr>
        <w:tc>
          <w:tcPr>
            <w:tcW w:w="1860" w:type="dxa"/>
            <w:vAlign w:val="bottom"/>
            <w:tcBorders>
              <w:top w:val="single" w:sz="8" w:color="auto"/>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8720" w:type="dxa"/>
            <w:vAlign w:val="bottom"/>
            <w:tcBorders>
              <w:top w:val="single" w:sz="8" w:color="auto"/>
              <w:bottom w:val="single" w:sz="8" w:color="auto"/>
              <w:right w:val="single" w:sz="8" w:color="auto"/>
            </w:tcBorders>
          </w:tcPr>
          <w:p>
            <w:pPr>
              <w:ind w:left="41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39"/>
        </w:trPr>
        <w:tc>
          <w:tcPr>
            <w:tcW w:w="1860" w:type="dxa"/>
            <w:vAlign w:val="bottom"/>
            <w:tcBorders>
              <w:left w:val="single" w:sz="8" w:color="auto"/>
            </w:tcBorders>
          </w:tcPr>
          <w:p>
            <w:pPr>
              <w:ind w:left="120"/>
              <w:spacing w:after="0" w:line="139" w:lineRule="exact"/>
              <w:rPr>
                <w:sz w:val="20"/>
                <w:szCs w:val="20"/>
                <w:color w:val="auto"/>
              </w:rPr>
            </w:pPr>
            <w:r>
              <w:rPr>
                <w:rFonts w:ascii="Times New Roman" w:cs="Times New Roman" w:eastAsia="Times New Roman" w:hAnsi="Times New Roman"/>
                <w:sz w:val="14"/>
                <w:szCs w:val="14"/>
                <w:b w:val="1"/>
                <w:bCs w:val="1"/>
                <w:color w:val="auto"/>
              </w:rPr>
              <w:t>PRECISION</w:t>
            </w:r>
          </w:p>
        </w:tc>
        <w:tc>
          <w:tcPr>
            <w:tcW w:w="8720" w:type="dxa"/>
            <w:vAlign w:val="bottom"/>
            <w:tcBorders>
              <w:right w:val="single" w:sz="8" w:color="auto"/>
            </w:tcBorders>
          </w:tcPr>
          <w:p>
            <w:pPr>
              <w:ind w:left="440"/>
              <w:spacing w:after="0" w:line="139" w:lineRule="exact"/>
              <w:rPr>
                <w:sz w:val="20"/>
                <w:szCs w:val="20"/>
                <w:color w:val="auto"/>
              </w:rPr>
            </w:pPr>
            <w:r>
              <w:rPr>
                <w:rFonts w:ascii="Times New Roman" w:cs="Times New Roman" w:eastAsia="Times New Roman" w:hAnsi="Times New Roman"/>
                <w:sz w:val="14"/>
                <w:szCs w:val="14"/>
                <w:color w:val="auto"/>
              </w:rPr>
              <w:t>IDE study evaluating the safety and effectiveness of canaloplasty alone using new higher volume OMNI. IDE could be used to support a</w:t>
            </w:r>
          </w:p>
        </w:tc>
        <w:tc>
          <w:tcPr>
            <w:tcW w:w="0" w:type="dxa"/>
            <w:vAlign w:val="bottom"/>
          </w:tcPr>
          <w:p>
            <w:pPr>
              <w:spacing w:after="0"/>
              <w:rPr>
                <w:sz w:val="1"/>
                <w:szCs w:val="1"/>
                <w:color w:val="auto"/>
              </w:rPr>
            </w:pPr>
          </w:p>
        </w:tc>
      </w:tr>
      <w:tr>
        <w:trPr>
          <w:trHeight w:val="176"/>
        </w:trPr>
        <w:tc>
          <w:tcPr>
            <w:tcW w:w="186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ROMEO II</w:t>
            </w:r>
          </w:p>
        </w:tc>
        <w:tc>
          <w:tcPr>
            <w:tcW w:w="87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canaloplasty alone indication for use for OMNI</w:t>
            </w:r>
          </w:p>
        </w:tc>
        <w:tc>
          <w:tcPr>
            <w:tcW w:w="0" w:type="dxa"/>
            <w:vAlign w:val="bottom"/>
          </w:tcPr>
          <w:p>
            <w:pPr>
              <w:spacing w:after="0"/>
              <w:rPr>
                <w:sz w:val="1"/>
                <w:szCs w:val="1"/>
                <w:color w:val="auto"/>
              </w:rPr>
            </w:pPr>
          </w:p>
        </w:tc>
      </w:tr>
      <w:tr>
        <w:trPr>
          <w:trHeight w:val="173"/>
        </w:trPr>
        <w:tc>
          <w:tcPr>
            <w:tcW w:w="1860" w:type="dxa"/>
            <w:vAlign w:val="bottom"/>
            <w:tcBorders>
              <w:left w:val="single" w:sz="8" w:color="auto"/>
            </w:tcBorders>
            <w:vMerge w:val="continue"/>
          </w:tcPr>
          <w:p>
            <w:pPr>
              <w:spacing w:after="0"/>
              <w:rPr>
                <w:sz w:val="15"/>
                <w:szCs w:val="15"/>
                <w:color w:val="auto"/>
              </w:rPr>
            </w:pPr>
          </w:p>
        </w:tc>
        <w:tc>
          <w:tcPr>
            <w:tcW w:w="87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Multi-center study to evaluate longer term outcomes (18-24 months) from Elevated IOP cohort (&gt;18 mmHg) in ROMEO study</w:t>
            </w:r>
          </w:p>
        </w:tc>
        <w:tc>
          <w:tcPr>
            <w:tcW w:w="0" w:type="dxa"/>
            <w:vAlign w:val="bottom"/>
          </w:tcPr>
          <w:p>
            <w:pPr>
              <w:spacing w:after="0"/>
              <w:rPr>
                <w:sz w:val="1"/>
                <w:szCs w:val="1"/>
                <w:color w:val="auto"/>
              </w:rPr>
            </w:pPr>
          </w:p>
        </w:tc>
      </w:tr>
      <w:tr>
        <w:trPr>
          <w:trHeight w:val="151"/>
        </w:trPr>
        <w:tc>
          <w:tcPr>
            <w:tcW w:w="1860" w:type="dxa"/>
            <w:vAlign w:val="bottom"/>
            <w:tcBorders>
              <w:left w:val="single" w:sz="8" w:color="auto"/>
            </w:tcBorders>
          </w:tcPr>
          <w:p>
            <w:pPr>
              <w:ind w:left="120"/>
              <w:spacing w:after="0" w:line="151" w:lineRule="exact"/>
              <w:rPr>
                <w:sz w:val="20"/>
                <w:szCs w:val="20"/>
                <w:color w:val="auto"/>
              </w:rPr>
            </w:pPr>
            <w:r>
              <w:rPr>
                <w:rFonts w:ascii="Times New Roman" w:cs="Times New Roman" w:eastAsia="Times New Roman" w:hAnsi="Times New Roman"/>
                <w:sz w:val="14"/>
                <w:szCs w:val="14"/>
                <w:b w:val="1"/>
                <w:bCs w:val="1"/>
                <w:color w:val="auto"/>
              </w:rPr>
              <w:t>GEMINI 2.0</w:t>
            </w:r>
          </w:p>
        </w:tc>
        <w:tc>
          <w:tcPr>
            <w:tcW w:w="8720" w:type="dxa"/>
            <w:vAlign w:val="bottom"/>
            <w:tcBorders>
              <w:right w:val="single" w:sz="8" w:color="auto"/>
            </w:tcBorders>
          </w:tcPr>
          <w:p>
            <w:pPr>
              <w:ind w:left="440"/>
              <w:spacing w:after="0" w:line="151" w:lineRule="exact"/>
              <w:rPr>
                <w:sz w:val="20"/>
                <w:szCs w:val="20"/>
                <w:color w:val="auto"/>
              </w:rPr>
            </w:pPr>
            <w:r>
              <w:rPr>
                <w:rFonts w:ascii="Times New Roman" w:cs="Times New Roman" w:eastAsia="Times New Roman" w:hAnsi="Times New Roman"/>
                <w:sz w:val="14"/>
                <w:szCs w:val="14"/>
                <w:color w:val="auto"/>
              </w:rPr>
              <w:t>NCT05044793: An Observational Multicenter Clinical Study To Assess The Long-Term Safety And Effectiveness Of The OMNI® Surgical</w:t>
            </w:r>
          </w:p>
        </w:tc>
        <w:tc>
          <w:tcPr>
            <w:tcW w:w="0" w:type="dxa"/>
            <w:vAlign w:val="bottom"/>
          </w:tcPr>
          <w:p>
            <w:pPr>
              <w:spacing w:after="0"/>
              <w:rPr>
                <w:sz w:val="1"/>
                <w:szCs w:val="1"/>
                <w:color w:val="auto"/>
              </w:rPr>
            </w:pPr>
          </w:p>
        </w:tc>
      </w:tr>
      <w:tr>
        <w:trPr>
          <w:trHeight w:val="148"/>
        </w:trPr>
        <w:tc>
          <w:tcPr>
            <w:tcW w:w="1860" w:type="dxa"/>
            <w:vAlign w:val="bottom"/>
            <w:tcBorders>
              <w:left w:val="single" w:sz="8" w:color="auto"/>
            </w:tcBorders>
          </w:tcPr>
          <w:p>
            <w:pPr>
              <w:spacing w:after="0"/>
              <w:rPr>
                <w:sz w:val="12"/>
                <w:szCs w:val="12"/>
                <w:color w:val="auto"/>
              </w:rPr>
            </w:pPr>
          </w:p>
        </w:tc>
        <w:tc>
          <w:tcPr>
            <w:tcW w:w="8720" w:type="dxa"/>
            <w:vAlign w:val="bottom"/>
            <w:tcBorders>
              <w:right w:val="single" w:sz="8" w:color="auto"/>
            </w:tcBorders>
          </w:tcPr>
          <w:p>
            <w:pPr>
              <w:ind w:left="440"/>
              <w:spacing w:after="0" w:line="149" w:lineRule="exact"/>
              <w:rPr>
                <w:sz w:val="20"/>
                <w:szCs w:val="20"/>
                <w:color w:val="auto"/>
              </w:rPr>
            </w:pPr>
            <w:r>
              <w:rPr>
                <w:rFonts w:ascii="Times New Roman" w:cs="Times New Roman" w:eastAsia="Times New Roman" w:hAnsi="Times New Roman"/>
                <w:sz w:val="14"/>
                <w:szCs w:val="14"/>
                <w:color w:val="auto"/>
              </w:rPr>
              <w:t>System In Combination With Cataract Surgery In Eyes With Open Angle Glaucoma. Evaluate 36-month durability of effectiveness and</w:t>
            </w:r>
          </w:p>
        </w:tc>
        <w:tc>
          <w:tcPr>
            <w:tcW w:w="0" w:type="dxa"/>
            <w:vAlign w:val="bottom"/>
          </w:tcPr>
          <w:p>
            <w:pPr>
              <w:spacing w:after="0"/>
              <w:rPr>
                <w:sz w:val="1"/>
                <w:szCs w:val="1"/>
                <w:color w:val="auto"/>
              </w:rPr>
            </w:pPr>
          </w:p>
        </w:tc>
      </w:tr>
      <w:tr>
        <w:trPr>
          <w:trHeight w:val="176"/>
        </w:trPr>
        <w:tc>
          <w:tcPr>
            <w:tcW w:w="186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ORION 2.0</w:t>
            </w:r>
          </w:p>
        </w:tc>
        <w:tc>
          <w:tcPr>
            <w:tcW w:w="87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safety for OMNI</w:t>
            </w:r>
          </w:p>
        </w:tc>
        <w:tc>
          <w:tcPr>
            <w:tcW w:w="0" w:type="dxa"/>
            <w:vAlign w:val="bottom"/>
          </w:tcPr>
          <w:p>
            <w:pPr>
              <w:spacing w:after="0"/>
              <w:rPr>
                <w:sz w:val="1"/>
                <w:szCs w:val="1"/>
                <w:color w:val="auto"/>
              </w:rPr>
            </w:pPr>
          </w:p>
        </w:tc>
      </w:tr>
      <w:tr>
        <w:trPr>
          <w:trHeight w:val="148"/>
        </w:trPr>
        <w:tc>
          <w:tcPr>
            <w:tcW w:w="1860" w:type="dxa"/>
            <w:vAlign w:val="bottom"/>
            <w:tcBorders>
              <w:left w:val="single" w:sz="8" w:color="auto"/>
            </w:tcBorders>
            <w:vMerge w:val="continue"/>
          </w:tcPr>
          <w:p>
            <w:pPr>
              <w:spacing w:after="0"/>
              <w:rPr>
                <w:sz w:val="12"/>
                <w:szCs w:val="12"/>
                <w:color w:val="auto"/>
              </w:rPr>
            </w:pPr>
          </w:p>
        </w:tc>
        <w:tc>
          <w:tcPr>
            <w:tcW w:w="8720" w:type="dxa"/>
            <w:vAlign w:val="bottom"/>
            <w:tcBorders>
              <w:right w:val="single" w:sz="8" w:color="auto"/>
            </w:tcBorders>
          </w:tcPr>
          <w:p>
            <w:pPr>
              <w:ind w:left="440"/>
              <w:spacing w:after="0" w:line="149" w:lineRule="exact"/>
              <w:rPr>
                <w:sz w:val="20"/>
                <w:szCs w:val="20"/>
                <w:color w:val="auto"/>
              </w:rPr>
            </w:pPr>
            <w:r>
              <w:rPr>
                <w:rFonts w:ascii="Times New Roman" w:cs="Times New Roman" w:eastAsia="Times New Roman" w:hAnsi="Times New Roman"/>
                <w:sz w:val="14"/>
                <w:szCs w:val="14"/>
                <w:color w:val="auto"/>
              </w:rPr>
              <w:t>NCT04872348: An Observational Multicenter Clinical Study To Assess The Safety And Effectiveness Of The OMNI® Surgical System In</w:t>
            </w:r>
          </w:p>
        </w:tc>
        <w:tc>
          <w:tcPr>
            <w:tcW w:w="0" w:type="dxa"/>
            <w:vAlign w:val="bottom"/>
          </w:tcPr>
          <w:p>
            <w:pPr>
              <w:spacing w:after="0"/>
              <w:rPr>
                <w:sz w:val="1"/>
                <w:szCs w:val="1"/>
                <w:color w:val="auto"/>
              </w:rPr>
            </w:pPr>
          </w:p>
        </w:tc>
      </w:tr>
      <w:tr>
        <w:trPr>
          <w:trHeight w:val="176"/>
        </w:trPr>
        <w:tc>
          <w:tcPr>
            <w:tcW w:w="186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AAO/IRIS® Registry</w:t>
            </w:r>
          </w:p>
        </w:tc>
        <w:tc>
          <w:tcPr>
            <w:tcW w:w="87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Pseudophakic Eyes With Primary Open Angle Glaucoma. Evaluate 24-month durability of effectiveness and safety for OMNI</w:t>
            </w:r>
          </w:p>
        </w:tc>
        <w:tc>
          <w:tcPr>
            <w:tcW w:w="0" w:type="dxa"/>
            <w:vAlign w:val="bottom"/>
          </w:tcPr>
          <w:p>
            <w:pPr>
              <w:spacing w:after="0"/>
              <w:rPr>
                <w:sz w:val="1"/>
                <w:szCs w:val="1"/>
                <w:color w:val="auto"/>
              </w:rPr>
            </w:pPr>
          </w:p>
        </w:tc>
      </w:tr>
      <w:tr>
        <w:trPr>
          <w:trHeight w:val="185"/>
        </w:trPr>
        <w:tc>
          <w:tcPr>
            <w:tcW w:w="1860" w:type="dxa"/>
            <w:vAlign w:val="bottom"/>
            <w:tcBorders>
              <w:left w:val="single" w:sz="8" w:color="auto"/>
              <w:bottom w:val="single" w:sz="8" w:color="auto"/>
            </w:tcBorders>
            <w:vMerge w:val="continue"/>
          </w:tcPr>
          <w:p>
            <w:pPr>
              <w:spacing w:after="0"/>
              <w:rPr>
                <w:sz w:val="16"/>
                <w:szCs w:val="16"/>
                <w:color w:val="auto"/>
              </w:rPr>
            </w:pPr>
          </w:p>
        </w:tc>
        <w:tc>
          <w:tcPr>
            <w:tcW w:w="872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Evaluate retrospective, real-world data for OMNI and competing products from IRIS® Registry in the U.S.</w:t>
            </w:r>
          </w:p>
        </w:tc>
        <w:tc>
          <w:tcPr>
            <w:tcW w:w="0" w:type="dxa"/>
            <w:vAlign w:val="bottom"/>
          </w:tcPr>
          <w:p>
            <w:pPr>
              <w:spacing w:after="0"/>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TearCare System</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231F20"/>
        </w:rPr>
        <w:t>TearCare Clinical Program Overview</w:t>
      </w:r>
    </w:p>
    <w:p>
      <w:pPr>
        <w:spacing w:after="0" w:line="225" w:lineRule="exact"/>
        <w:rPr>
          <w:sz w:val="20"/>
          <w:szCs w:val="20"/>
          <w:color w:val="auto"/>
        </w:rPr>
      </w:pPr>
    </w:p>
    <w:p>
      <w:pPr>
        <w:ind w:right="40" w:firstLine="419"/>
        <w:spacing w:after="0" w:line="258" w:lineRule="auto"/>
        <w:rPr>
          <w:sz w:val="20"/>
          <w:szCs w:val="20"/>
          <w:color w:val="auto"/>
        </w:rPr>
      </w:pPr>
      <w:r>
        <w:rPr>
          <w:rFonts w:ascii="Times New Roman" w:cs="Times New Roman" w:eastAsia="Times New Roman" w:hAnsi="Times New Roman"/>
          <w:sz w:val="18"/>
          <w:szCs w:val="18"/>
          <w:color w:val="231F20"/>
        </w:rPr>
        <w:t>We designed TearCare to comprehensively address MGD, which we believe to be the primary underlying cause of evaporative DED. We have developed robust clinical data evaluating TearCare. We have completed one RCT for TearCare ("OLYMPIA") and we completed enrolling patients in our SAHARA RCT ("SAHARA") in the third quarter of 2022. Data from OLYMPIA supported the FDA clearance of TearCare’s expanded indication for use in December 2021. We plan to leverage the results of our OLYMPIA and SAHARA studies to support FDA clearances to further expand indications for use of TearCare and to support our patient access strategy.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Table 2: Sight Sciences TearCare Ongoing Clinical Study</w:t>
      </w:r>
    </w:p>
    <w:p>
      <w:pPr>
        <w:spacing w:after="0" w:line="224" w:lineRule="exact"/>
        <w:rPr>
          <w:sz w:val="20"/>
          <w:szCs w:val="20"/>
          <w:color w:val="auto"/>
        </w:rPr>
      </w:pPr>
    </w:p>
    <w:tbl>
      <w:tblPr>
        <w:tblLayout w:type="fixed"/>
        <w:tblInd w:w="430" w:type="dxa"/>
        <w:tblCellMar>
          <w:top w:w="0" w:type="dxa"/>
          <w:left w:w="0" w:type="dxa"/>
          <w:bottom w:w="0" w:type="dxa"/>
          <w:right w:w="0" w:type="dxa"/>
        </w:tblCellMar>
      </w:tblPr>
      <w:tr>
        <w:trPr>
          <w:trHeight w:val="235"/>
        </w:trPr>
        <w:tc>
          <w:tcPr>
            <w:tcW w:w="2420" w:type="dxa"/>
            <w:vAlign w:val="bottom"/>
            <w:tcBorders>
              <w:top w:val="single" w:sz="8" w:color="auto"/>
              <w:left w:val="single" w:sz="8" w:color="auto"/>
              <w:right w:val="single" w:sz="8" w:color="auto"/>
            </w:tcBorders>
          </w:tcPr>
          <w:p>
            <w:pPr>
              <w:ind w:left="100"/>
              <w:spacing w:after="0"/>
              <w:rPr>
                <w:sz w:val="20"/>
                <w:szCs w:val="20"/>
                <w:color w:val="auto"/>
              </w:rPr>
            </w:pPr>
            <w:r>
              <w:rPr>
                <w:rFonts w:ascii="Calibri" w:cs="Calibri" w:eastAsia="Calibri" w:hAnsi="Calibri"/>
                <w:sz w:val="18"/>
                <w:szCs w:val="18"/>
                <w:b w:val="1"/>
                <w:bCs w:val="1"/>
                <w:color w:val="auto"/>
              </w:rPr>
              <w:t>Name</w:t>
            </w:r>
          </w:p>
        </w:tc>
        <w:tc>
          <w:tcPr>
            <w:tcW w:w="8240" w:type="dxa"/>
            <w:vAlign w:val="bottom"/>
            <w:tcBorders>
              <w:top w:val="single" w:sz="8" w:color="auto"/>
              <w:right w:val="single" w:sz="8" w:color="auto"/>
            </w:tcBorders>
          </w:tcPr>
          <w:p>
            <w:pPr>
              <w:ind w:left="3700"/>
              <w:spacing w:after="0"/>
              <w:rPr>
                <w:sz w:val="20"/>
                <w:szCs w:val="20"/>
                <w:color w:val="auto"/>
              </w:rPr>
            </w:pPr>
            <w:r>
              <w:rPr>
                <w:rFonts w:ascii="Calibri" w:cs="Calibri" w:eastAsia="Calibri" w:hAnsi="Calibri"/>
                <w:sz w:val="18"/>
                <w:szCs w:val="18"/>
                <w:b w:val="1"/>
                <w:bCs w:val="1"/>
                <w:color w:val="auto"/>
              </w:rPr>
              <w:t>Descripton</w:t>
            </w:r>
          </w:p>
        </w:tc>
      </w:tr>
      <w:tr>
        <w:trPr>
          <w:trHeight w:val="150"/>
        </w:trPr>
        <w:tc>
          <w:tcPr>
            <w:tcW w:w="2420" w:type="dxa"/>
            <w:vAlign w:val="bottom"/>
            <w:tcBorders>
              <w:left w:val="single" w:sz="8" w:color="auto"/>
              <w:bottom w:val="single" w:sz="8" w:color="auto"/>
              <w:right w:val="single" w:sz="8" w:color="auto"/>
            </w:tcBorders>
          </w:tcPr>
          <w:p>
            <w:pPr>
              <w:spacing w:after="0"/>
              <w:rPr>
                <w:sz w:val="13"/>
                <w:szCs w:val="13"/>
                <w:color w:val="auto"/>
              </w:rPr>
            </w:pPr>
          </w:p>
        </w:tc>
        <w:tc>
          <w:tcPr>
            <w:tcW w:w="8240" w:type="dxa"/>
            <w:vAlign w:val="bottom"/>
            <w:tcBorders>
              <w:bottom w:val="single" w:sz="8" w:color="auto"/>
              <w:right w:val="single" w:sz="8" w:color="auto"/>
            </w:tcBorders>
          </w:tcPr>
          <w:p>
            <w:pPr>
              <w:spacing w:after="0"/>
              <w:rPr>
                <w:sz w:val="13"/>
                <w:szCs w:val="13"/>
                <w:color w:val="auto"/>
              </w:rPr>
            </w:pPr>
          </w:p>
        </w:tc>
      </w:tr>
      <w:tr>
        <w:trPr>
          <w:trHeight w:val="188"/>
        </w:trPr>
        <w:tc>
          <w:tcPr>
            <w:tcW w:w="2420" w:type="dxa"/>
            <w:vAlign w:val="bottom"/>
            <w:tcBorders>
              <w:left w:val="single" w:sz="8" w:color="auto"/>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SAHARA</w:t>
            </w:r>
          </w:p>
        </w:tc>
        <w:tc>
          <w:tcPr>
            <w:tcW w:w="824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NCT04795752: Prospective, Randomized, Masked, Controlled Trial To Evaluate The Safety And Effectiveness</w:t>
            </w:r>
          </w:p>
        </w:tc>
      </w:tr>
      <w:tr>
        <w:trPr>
          <w:trHeight w:val="216"/>
        </w:trPr>
        <w:tc>
          <w:tcPr>
            <w:tcW w:w="2420" w:type="dxa"/>
            <w:vAlign w:val="bottom"/>
            <w:tcBorders>
              <w:left w:val="single" w:sz="8" w:color="auto"/>
              <w:right w:val="single" w:sz="8" w:color="auto"/>
            </w:tcBorders>
          </w:tcPr>
          <w:p>
            <w:pPr>
              <w:spacing w:after="0"/>
              <w:rPr>
                <w:sz w:val="18"/>
                <w:szCs w:val="18"/>
                <w:color w:val="auto"/>
              </w:rPr>
            </w:pPr>
          </w:p>
        </w:tc>
        <w:tc>
          <w:tcPr>
            <w:tcW w:w="8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The TearCare® System In The Treatment Of The Signs And Symptoms Of Dry Eye Disease. Control group</w:t>
            </w:r>
          </w:p>
        </w:tc>
      </w:tr>
      <w:tr>
        <w:trPr>
          <w:trHeight w:val="234"/>
        </w:trPr>
        <w:tc>
          <w:tcPr>
            <w:tcW w:w="2420" w:type="dxa"/>
            <w:vAlign w:val="bottom"/>
            <w:tcBorders>
              <w:left w:val="single" w:sz="8" w:color="auto"/>
              <w:right w:val="single" w:sz="8" w:color="auto"/>
            </w:tcBorders>
          </w:tcPr>
          <w:p>
            <w:pPr>
              <w:spacing w:after="0"/>
              <w:rPr>
                <w:sz w:val="20"/>
                <w:szCs w:val="20"/>
                <w:color w:val="auto"/>
              </w:rPr>
            </w:pPr>
          </w:p>
        </w:tc>
        <w:tc>
          <w:tcPr>
            <w:tcW w:w="8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will self-administer Restasis® for six months then receive one TearCare treatment</w:t>
            </w:r>
          </w:p>
        </w:tc>
      </w:tr>
      <w:tr>
        <w:trPr>
          <w:trHeight w:val="432"/>
        </w:trPr>
        <w:tc>
          <w:tcPr>
            <w:tcW w:w="2420" w:type="dxa"/>
            <w:vAlign w:val="bottom"/>
            <w:tcBorders>
              <w:left w:val="single" w:sz="8" w:color="auto"/>
              <w:bottom w:val="single" w:sz="8" w:color="auto"/>
              <w:right w:val="single" w:sz="8" w:color="auto"/>
            </w:tcBorders>
          </w:tcPr>
          <w:p>
            <w:pPr>
              <w:spacing w:after="0"/>
              <w:rPr>
                <w:sz w:val="24"/>
                <w:szCs w:val="24"/>
                <w:color w:val="auto"/>
              </w:rPr>
            </w:pPr>
          </w:p>
        </w:tc>
        <w:tc>
          <w:tcPr>
            <w:tcW w:w="8240" w:type="dxa"/>
            <w:vAlign w:val="bottom"/>
            <w:tcBorders>
              <w:bottom w:val="single" w:sz="8" w:color="auto"/>
              <w:right w:val="single" w:sz="8" w:color="auto"/>
            </w:tcBorders>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Commercial Approach</w:t>
      </w:r>
    </w:p>
    <w:p>
      <w:pPr>
        <w:spacing w:after="0" w:line="229" w:lineRule="exact"/>
        <w:rPr>
          <w:sz w:val="20"/>
          <w:szCs w:val="20"/>
          <w:color w:val="auto"/>
        </w:rPr>
      </w:pPr>
    </w:p>
    <w:p>
      <w:pPr>
        <w:ind w:right="120" w:firstLine="419"/>
        <w:spacing w:after="0" w:line="254" w:lineRule="auto"/>
        <w:rPr>
          <w:sz w:val="20"/>
          <w:szCs w:val="20"/>
          <w:color w:val="auto"/>
        </w:rPr>
      </w:pPr>
      <w:r>
        <w:rPr>
          <w:rFonts w:ascii="Times New Roman" w:cs="Times New Roman" w:eastAsia="Times New Roman" w:hAnsi="Times New Roman"/>
          <w:sz w:val="18"/>
          <w:szCs w:val="18"/>
          <w:color w:val="231F20"/>
        </w:rPr>
        <w:t>We have built a world-class direct sales commercial organization that features professionals and executives with substantial leadership experience from leading ophthalmic product companies. In particular, we have recruited professionals with track records that include launching new technologies, growing primary demand, changing treatment paradigms and securing market access from payors. We believe this expertise is crucial to achieve our market development objectives for interventional Standalone MIGS and MGD treatment. Sales representatives typically have relevant experience across all facets of medical device and/or pharmaceutical sales focused on eyecare to ensure the development of a trusted consultative relationship with our ECPs. As we have continued to develop additional clinical data and brand recognition, we believe our team has differentiated our product offerings and gained commercial traction through exceptional, highly involved training, support and ongoing professional education. As of December 31, 2022, our overall commercial team consisted of over 150 professionals dedicated to sales, marketing, commercial support, training and professional relations.</w:t>
      </w:r>
    </w:p>
    <w:p>
      <w:pPr>
        <w:spacing w:after="0" w:line="192" w:lineRule="exact"/>
        <w:rPr>
          <w:sz w:val="20"/>
          <w:szCs w:val="20"/>
          <w:color w:val="auto"/>
        </w:rPr>
      </w:pPr>
    </w:p>
    <w:p>
      <w:pPr>
        <w:ind w:right="120" w:firstLine="419"/>
        <w:spacing w:after="0" w:line="261" w:lineRule="auto"/>
        <w:rPr>
          <w:sz w:val="20"/>
          <w:szCs w:val="20"/>
          <w:color w:val="auto"/>
        </w:rPr>
      </w:pPr>
      <w:r>
        <w:rPr>
          <w:rFonts w:ascii="Times New Roman" w:cs="Times New Roman" w:eastAsia="Times New Roman" w:hAnsi="Times New Roman"/>
          <w:sz w:val="18"/>
          <w:szCs w:val="18"/>
          <w:color w:val="231F20"/>
        </w:rPr>
        <w:t>We created distinct sales, marketing, and training teams for each of our business units because their products are predominantly sold to different types of customers and require specialized product specific sales expertise and ECP training to integrate our products into their practices. We sell OMNI and SION to facilities where ophthalmic surgeons perform outpatient procedures, mainly ASCs and hospital outpatient departments ("HOPDs"). We sell TearCare to optometry and ophthalmology practices.</w:t>
      </w:r>
    </w:p>
    <w:p>
      <w:pPr>
        <w:spacing w:after="0" w:line="180" w:lineRule="exact"/>
        <w:rPr>
          <w:sz w:val="20"/>
          <w:szCs w:val="20"/>
          <w:color w:val="auto"/>
        </w:rPr>
      </w:pPr>
    </w:p>
    <w:p>
      <w:pPr>
        <w:ind w:right="500" w:firstLine="419"/>
        <w:spacing w:after="0" w:line="282" w:lineRule="auto"/>
        <w:rPr>
          <w:sz w:val="20"/>
          <w:szCs w:val="20"/>
          <w:color w:val="auto"/>
        </w:rPr>
      </w:pPr>
      <w:r>
        <w:rPr>
          <w:rFonts w:ascii="Times New Roman" w:cs="Times New Roman" w:eastAsia="Times New Roman" w:hAnsi="Times New Roman"/>
          <w:sz w:val="18"/>
          <w:szCs w:val="18"/>
          <w:color w:val="231F20"/>
        </w:rPr>
        <w:t>Our marketing efforts are centered around increasing awareness of our products and presenting clinical study results through leading medical publications and at large industry and scientific meetings, both directly and through our advisors.</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40" w:top="333" w:right="37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231F20"/>
        </w:rPr>
        <w:t>We have also partnered with qualified ECPs to speak to peers on our behalf through educational forums either in-person or via virtual meetings. Clinical data that demonstrate the benefits of OMNI and TearCare for their authorized uses will continue to underpin our commercial efforts and we will continue to devote significant resources to conduct new clinical studies and publish articles in peer-reviewed journals.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Reimbursement</w:t>
      </w:r>
    </w:p>
    <w:p>
      <w:pPr>
        <w:spacing w:after="0" w:line="229" w:lineRule="exact"/>
        <w:rPr>
          <w:sz w:val="20"/>
          <w:szCs w:val="20"/>
          <w:color w:val="auto"/>
        </w:rPr>
      </w:pPr>
    </w:p>
    <w:p>
      <w:pPr>
        <w:ind w:right="100" w:firstLine="419"/>
        <w:spacing w:after="0" w:line="282" w:lineRule="auto"/>
        <w:rPr>
          <w:sz w:val="20"/>
          <w:szCs w:val="20"/>
          <w:color w:val="auto"/>
        </w:rPr>
      </w:pPr>
      <w:r>
        <w:rPr>
          <w:rFonts w:ascii="Times New Roman" w:cs="Times New Roman" w:eastAsia="Times New Roman" w:hAnsi="Times New Roman"/>
          <w:sz w:val="18"/>
          <w:szCs w:val="18"/>
          <w:color w:val="231F20"/>
        </w:rPr>
        <w:t>There are three primary aspects of reimbursement in the United States: coding, coverage and payment. Each aspect is an important determinant of our customers’ ability to obtain appropriate reimbursement.</w:t>
      </w:r>
    </w:p>
    <w:p>
      <w:pPr>
        <w:spacing w:after="0" w:line="158" w:lineRule="exact"/>
        <w:rPr>
          <w:sz w:val="20"/>
          <w:szCs w:val="20"/>
          <w:color w:val="auto"/>
        </w:rPr>
      </w:pPr>
    </w:p>
    <w:p>
      <w:pPr>
        <w:ind w:left="800" w:right="820" w:hanging="283"/>
        <w:spacing w:after="0" w:line="254" w:lineRule="auto"/>
        <w:tabs>
          <w:tab w:leader="none" w:pos="80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 xml:space="preserve">Coding </w:t>
      </w:r>
      <w:r>
        <w:rPr>
          <w:rFonts w:ascii="Times New Roman" w:cs="Times New Roman" w:eastAsia="Times New Roman" w:hAnsi="Times New Roman"/>
          <w:sz w:val="18"/>
          <w:szCs w:val="18"/>
          <w:color w:val="231F20"/>
        </w:rPr>
        <w:t>refers to the availability of billing codes for use by healthcare providers to report the provision of medical procedures, and</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the use of supplies and resources for specific patients, to insurance providers and organizations that make payments for healthcare, commonly referred to as third-party payors. The Healthcare Common Procedure Coding System ("HCPCS"), is a national, standardized code set used by providers to capture and report healthcare services and products. This code set consists of two subsystems: Level I CPT codes, representing procedures performed, and Level II, commonly referred to as HCPCS codes, representing healthcare products (e.g. devices, drugs, durable medical equipment), supplies and services not captured in the CPT code set. CPT codes are published by the American Medical Association ("AMA"), and are used to report medical services and procedures performed in the outpatient setting of care by or under the direction of physicians. HCPCS codes are established and maintained by the Centers for Medicare and Medicaid Services ("CMS") and identify items used in the course of care delivery. Health plans pay outpatient facilities and physicians for services based on submission of a claim using one or more CPT and/or HCPCS codes. CPT codes fall into one of three categories.</w:t>
      </w:r>
    </w:p>
    <w:p>
      <w:pPr>
        <w:spacing w:after="0" w:line="78" w:lineRule="exact"/>
        <w:rPr>
          <w:rFonts w:ascii="Times New Roman" w:cs="Times New Roman" w:eastAsia="Times New Roman" w:hAnsi="Times New Roman"/>
          <w:sz w:val="18"/>
          <w:szCs w:val="18"/>
          <w:color w:val="231F20"/>
        </w:rPr>
      </w:pPr>
    </w:p>
    <w:p>
      <w:pPr>
        <w:ind w:left="1220" w:right="660" w:hanging="298"/>
        <w:spacing w:after="0" w:line="256" w:lineRule="auto"/>
        <w:tabs>
          <w:tab w:leader="none" w:pos="1220" w:val="left"/>
        </w:tabs>
        <w:numPr>
          <w:ilvl w:val="1"/>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Category I CPT codes have been approved by the AMA as permanent procedure codes based on a number of factors, including the level of published clinical evidence. They are identified with a five-digit number and official code description. Approved Category I CPT codes have typically been endorsed by relevant medical specialty societies, are consistent with contemporary medical practice, and represent procedures performed by many physicians in clinical practice in multiple locations. Category I codes are only available to procedures for which the technology (e.g., device, drug, test) has been FDA approved/cleared when such a regulatory requirement exists.</w:t>
      </w:r>
    </w:p>
    <w:p>
      <w:pPr>
        <w:spacing w:after="0" w:line="79" w:lineRule="exact"/>
        <w:rPr>
          <w:rFonts w:ascii="Times New Roman" w:cs="Times New Roman" w:eastAsia="Times New Roman" w:hAnsi="Times New Roman"/>
          <w:sz w:val="18"/>
          <w:szCs w:val="18"/>
          <w:color w:val="231F20"/>
        </w:rPr>
      </w:pPr>
    </w:p>
    <w:p>
      <w:pPr>
        <w:ind w:left="1220" w:right="800" w:hanging="298"/>
        <w:spacing w:after="0" w:line="261" w:lineRule="auto"/>
        <w:tabs>
          <w:tab w:leader="none" w:pos="1220" w:val="left"/>
        </w:tabs>
        <w:numPr>
          <w:ilvl w:val="1"/>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Category II CPT codes are supplemental tracking codes used for performance measurement. They are intended to facilitate data collection about quality of care by coding certain services and/or test results that support performance measures and that have been agreed upon as contributing to good patient care. Some codes in this category may relate to compliance by health care professionals with state or federal law.</w:t>
      </w:r>
    </w:p>
    <w:p>
      <w:pPr>
        <w:spacing w:after="0" w:line="71" w:lineRule="exact"/>
        <w:rPr>
          <w:rFonts w:ascii="Times New Roman" w:cs="Times New Roman" w:eastAsia="Times New Roman" w:hAnsi="Times New Roman"/>
          <w:sz w:val="18"/>
          <w:szCs w:val="18"/>
          <w:color w:val="231F20"/>
        </w:rPr>
      </w:pPr>
    </w:p>
    <w:p>
      <w:pPr>
        <w:ind w:left="1220" w:right="780" w:hanging="298"/>
        <w:spacing w:after="0" w:line="254" w:lineRule="auto"/>
        <w:tabs>
          <w:tab w:leader="none" w:pos="1220" w:val="left"/>
        </w:tabs>
        <w:numPr>
          <w:ilvl w:val="1"/>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Category III CPT codes are a temporary set of tracking codes for new and emerging technologies, and generally are not initially covered and reimbursed by payors, though coverage and reimbursement may subsequently follow. These codes are designed to facilitate data collection for the assessment of new procedures. Additionally, Category III codes provide a mechanism for payors to value a new procedure. Temporary codes are not automatically assigned Relative Value Units ("RVUs") or weights and, therefore, do not typically have a widely accepted payment rate methodology. To achieve Category III status, a new procedure is required to have either an approved protocol for a study of procedures being performed, support from the specialties that would use the procedure, availability of US peer-reviewed literature, or current clinical trials that outline the effectiveness of the procedure. Once granted, Category III CPT codes expire five years after the initial application was approved, although they can be extended beyond the five-year limit.</w:t>
      </w:r>
    </w:p>
    <w:p>
      <w:pPr>
        <w:spacing w:after="0" w:line="80" w:lineRule="exact"/>
        <w:rPr>
          <w:rFonts w:ascii="Times New Roman" w:cs="Times New Roman" w:eastAsia="Times New Roman" w:hAnsi="Times New Roman"/>
          <w:sz w:val="18"/>
          <w:szCs w:val="18"/>
          <w:color w:val="231F20"/>
        </w:rPr>
      </w:pPr>
    </w:p>
    <w:p>
      <w:pPr>
        <w:ind w:left="800" w:right="680" w:hanging="283"/>
        <w:spacing w:after="0" w:line="261" w:lineRule="auto"/>
        <w:tabs>
          <w:tab w:leader="none" w:pos="80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Level II HCPCS codes are alpha-numeric codes governed by CMS that identify medical products and items or services that are not appropriately designated by another code set (e.g., CPT). Criteria must be met in order to qualify for an HCPCS code, including such requirements as regulatory approval (if necessary), national programmatic need, and a distinct difference from existing HCPCS codes.</w:t>
      </w:r>
    </w:p>
    <w:p>
      <w:pPr>
        <w:spacing w:after="0" w:line="67" w:lineRule="exact"/>
        <w:rPr>
          <w:rFonts w:ascii="Times New Roman" w:cs="Times New Roman" w:eastAsia="Times New Roman" w:hAnsi="Times New Roman"/>
          <w:sz w:val="18"/>
          <w:szCs w:val="18"/>
          <w:color w:val="231F20"/>
        </w:rPr>
      </w:pPr>
    </w:p>
    <w:p>
      <w:pPr>
        <w:ind w:left="800" w:right="1060" w:hanging="283"/>
        <w:spacing w:after="0" w:line="286" w:lineRule="auto"/>
        <w:tabs>
          <w:tab w:leader="none" w:pos="80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 xml:space="preserve">Coverage </w:t>
      </w:r>
      <w:r>
        <w:rPr>
          <w:rFonts w:ascii="Times New Roman" w:cs="Times New Roman" w:eastAsia="Times New Roman" w:hAnsi="Times New Roman"/>
          <w:sz w:val="18"/>
          <w:szCs w:val="18"/>
          <w:color w:val="231F20"/>
        </w:rPr>
        <w:t>refers to decisions made by third-party payors as to whether there is sufficient published clinical evidence to support</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medical necessity, or to consider a healthcare item or service “reasonable and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37" w:right="439" w:bottom="1440" w:gutter="0" w:footer="0" w:header="0"/>
        </w:sectPr>
      </w:pPr>
    </w:p>
    <w:bookmarkStart w:id="13" w:name="page14"/>
    <w:bookmarkEnd w:id="13"/>
    <w:p>
      <w:pPr>
        <w:ind w:left="800" w:right="640"/>
        <w:spacing w:after="0" w:line="255" w:lineRule="auto"/>
        <w:rPr>
          <w:sz w:val="20"/>
          <w:szCs w:val="20"/>
          <w:color w:val="auto"/>
        </w:rPr>
      </w:pPr>
      <w:r>
        <w:rPr>
          <w:rFonts w:ascii="Times New Roman" w:cs="Times New Roman" w:eastAsia="Times New Roman" w:hAnsi="Times New Roman"/>
          <w:sz w:val="18"/>
          <w:szCs w:val="18"/>
          <w:color w:val="231F20"/>
        </w:rPr>
        <w:t>necessary” (as per Medicare guidelines). Coverage can be established by explicit medical policies that outline specific parameters covering procedures and/or technologies, and under what conditions coverage is permitted, including specific diagnoses, clinical indications and therapeutic prerequisites. Coverage can also be implicit, as when payors are “silent” on a procedure or technology (i.e., no formal policy is developed). In the absence of formal policy, coverage may be granted one of two ways: (1) with no required review, as with long-standing established healthcare items or services, or (2) on a case-by-case basis via review of each patient’s circumstance, as may be the case with newer procedures/technologies. Each payor can make its own decision as to which procedures or technologies warrant formal policy coverage.</w:t>
      </w:r>
    </w:p>
    <w:p>
      <w:pPr>
        <w:spacing w:after="0" w:line="77" w:lineRule="exact"/>
        <w:rPr>
          <w:sz w:val="20"/>
          <w:szCs w:val="20"/>
          <w:color w:val="auto"/>
        </w:rPr>
      </w:pPr>
    </w:p>
    <w:p>
      <w:pPr>
        <w:ind w:left="800" w:right="660" w:hanging="283"/>
        <w:spacing w:after="0" w:line="253" w:lineRule="auto"/>
        <w:tabs>
          <w:tab w:leader="none" w:pos="80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 xml:space="preserve">Payment </w:t>
      </w:r>
      <w:r>
        <w:rPr>
          <w:rFonts w:ascii="Times New Roman" w:cs="Times New Roman" w:eastAsia="Times New Roman" w:hAnsi="Times New Roman"/>
          <w:sz w:val="18"/>
          <w:szCs w:val="18"/>
          <w:color w:val="231F20"/>
        </w:rPr>
        <w:t>refers to the reimbursement rate for a healthcare item or service. The amount paid by third- party payors to providers,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including facilities and doctors, for specific procedures and items (e.g., medical devices, drugs, ancillary supplies) is determined by each payor. Payments for professional services under CPT coding are generally determined by the RVUs of a specific billing code. These RVUs identify the time and intensity of the work required, the practice expense incurred and the level of risk related to the procedure. Payors can use their organization-specific formula or conversion factor to translate RVUs into payment rates, or may establish payment by reference to a national Medicare payment amount. Likewise, facility payments are weighted based on the resources (e.g., operating suite time, devices and supplies) needed for the procedure to be performed in the facility setting. Most payment rates are geographically adjusted, taking into account the cost of providing services in different wage index areas across the country. As with procedure payments, payments for healthcare items (e.g., products reported using HCPCS coding) are determined by individual health plans, often based on some form of manufacturer’s invoice or billed charges based on the provider’s mark-up methodology, or based on established fee schedule rates. It is important to recognize that not all reportable codes are separately payable. Some codes are bundled with related items or services and do not have a separate payment allowance.</w:t>
      </w:r>
    </w:p>
    <w:p>
      <w:pPr>
        <w:spacing w:after="0" w:line="86" w:lineRule="exact"/>
        <w:rPr>
          <w:sz w:val="20"/>
          <w:szCs w:val="20"/>
          <w:color w:val="auto"/>
        </w:rPr>
      </w:pPr>
    </w:p>
    <w:p>
      <w:pPr>
        <w:ind w:right="20" w:firstLine="419"/>
        <w:spacing w:after="0" w:line="256" w:lineRule="auto"/>
        <w:rPr>
          <w:sz w:val="20"/>
          <w:szCs w:val="20"/>
          <w:color w:val="auto"/>
        </w:rPr>
      </w:pPr>
      <w:r>
        <w:rPr>
          <w:rFonts w:ascii="Times New Roman" w:cs="Times New Roman" w:eastAsia="Times New Roman" w:hAnsi="Times New Roman"/>
          <w:sz w:val="18"/>
          <w:szCs w:val="18"/>
          <w:color w:val="231F20"/>
        </w:rPr>
        <w:t>Our commercial activities are substantially within the United States. We sell our Surgical Glaucoma products primarily to ASCs and HOPDs, who in turn bill various third-party payors, such as Medicare and private health insurance plans for the healthcare services and resources rendered to treat a patient. TearCare is not currently covered or paid by Medicare or private payors under any formal policy, although some payors may agree to provide case-based coverage outside of a formal policy. Our market access team facilitates patient access to the OMNI, SION and TearCare systems by engaging payors on coverage, coding and payment matters, and by providing support to patients and our customers as they seek reimbursement from payors that do not have positive coverage or those that do not have formal policies in place regarding our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Reimbursement for Uses of the OMNI Surgical System and SION Surgical Instrument</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Surgeons are able to use OMNI to sequentially perform two well-established glaucoma procedures, canaloplasty followed by trabeculotomy.</w:t>
      </w:r>
    </w:p>
    <w:p>
      <w:pPr>
        <w:spacing w:after="0" w:line="225"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231F20"/>
        </w:rPr>
        <w:t>Canaloplasty and goniotomy are covered by the Medicare Administrative Contractors ("MACs"), outside of a formal coverage policy. Widespread coverage is important for commercial adoption. Based on POAG prevalence, we estimate that currently over 60% of patients who receive glaucoma treatment using OMNI are covered by Medicare, and that this percentage may decline modestly over time as usage of OMNI expands to include patients with a broader range of OAG progression. Private payor coverage policies vary for canaloplasty and for goniotomy. In the United States, some commercial payors, including numerous Blue Cross Blue Shield plans, have published medical policies that consider canaloplasty medically necessary for the treatment of glaucoma, though specific criteria for coverage may vary depending on the payor. Additionally, as with many healthcare items and services, some health plans cover the procedures performed using OMNI and SION outside of a formal coverage policy. Where coverage is less consistent or is limited, as is the case with certain commercial payors, our market access team works with payors directly and with customers to facilitate patient access to our Surgical Glaucoma products by working towards securing appropriate coverage and reimbursement. We have established and continue to build a substantial library of clinical trial and health economics outcomes research ("HEOR") data and published articles to directly address the needs of payors. We believe that the results from our completed, in-progress and planned clinical trials and subsequent accompanying peer-reviewed articles will help to expand and solidify coverage of canaloplasty and goniotomy and the use of OMNI and SION. We estimate that, as of December 31, 2022, approximately 74%­ of people with medical benefit coverage have reimbursed access to the canaloplasty procedures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37" w:right="439" w:bottom="1440" w:gutter="0" w:footer="0" w:header="0"/>
        </w:sectPr>
      </w:pPr>
    </w:p>
    <w:bookmarkStart w:id="14" w:name="page15"/>
    <w:bookmarkEnd w:id="14"/>
    <w:p>
      <w:pPr>
        <w:ind w:right="300"/>
        <w:spacing w:after="0" w:line="282" w:lineRule="auto"/>
        <w:rPr>
          <w:sz w:val="20"/>
          <w:szCs w:val="20"/>
          <w:color w:val="auto"/>
        </w:rPr>
      </w:pPr>
      <w:r>
        <w:rPr>
          <w:rFonts w:ascii="Times New Roman" w:cs="Times New Roman" w:eastAsia="Times New Roman" w:hAnsi="Times New Roman"/>
          <w:sz w:val="18"/>
          <w:szCs w:val="18"/>
          <w:color w:val="231F20"/>
        </w:rPr>
        <w:t>and/or OMNI specifically under such coverage. In particular, we continue to proactively engage with the remaining key national and regional payors currently not covering canaloplasty and/or OMNI to seek reversals of their current non-coverage policies.</w:t>
      </w:r>
    </w:p>
    <w:p>
      <w:pPr>
        <w:spacing w:after="0" w:line="162" w:lineRule="exact"/>
        <w:rPr>
          <w:sz w:val="20"/>
          <w:szCs w:val="20"/>
          <w:color w:val="auto"/>
        </w:rPr>
      </w:pPr>
    </w:p>
    <w:p>
      <w:pPr>
        <w:ind w:firstLine="419"/>
        <w:spacing w:after="0" w:line="270" w:lineRule="auto"/>
        <w:rPr>
          <w:sz w:val="20"/>
          <w:szCs w:val="20"/>
          <w:color w:val="auto"/>
        </w:rPr>
      </w:pPr>
      <w:r>
        <w:rPr>
          <w:rFonts w:ascii="Times New Roman" w:cs="Times New Roman" w:eastAsia="Times New Roman" w:hAnsi="Times New Roman"/>
          <w:sz w:val="17"/>
          <w:szCs w:val="17"/>
          <w:color w:val="231F20"/>
        </w:rPr>
        <w:t>Virtually all sales of OMNI and SION in the U.S. are to ASCs and HOPDs. Surgeons may use OMNI to perform canaloplasty and trabeculotomy sequentially, with CPT code 66174 used to report the procedure. Surgeons may use SION to perform goniotomy, using CPT code 65820, to report the procedure. Per Medicare and many private payor payment policies, when certain procedures are performed in the ASC setting, such as cataract surgery, canaloplasty and goniotomy, multiple procedure payment reduction rules apply. Therefore, when a canaloplasty or goniotomy is performed with cataract surgery on the same patient on the same day, payment of the lower-cost procedure (most commonly the cataract procedure) is reduced by 50%. Multiple procedure payment reduction rules also typically apply to professional services. Physicians are likely to be paid at a reduced rate for lower valued procedures when performed concomitantly. In the HOPD setting, Medicare procedures performed using OMNI and SION as well as cataract procedures, are paid under comprehensive ambulatory payment classifications ("C-APCs"). In these circumstances, the highest valued code is paid at 100%, with payment for additional procedures performed during the same operative session bundled into the single highest payment rate. Many commercial payers use a similar payment methodology, but payment rules can vary across health plans, particularly across plan types (e.g., HMO, PPO, POS).</w:t>
      </w:r>
    </w:p>
    <w:p>
      <w:pPr>
        <w:spacing w:after="0" w:line="177" w:lineRule="exact"/>
        <w:rPr>
          <w:sz w:val="20"/>
          <w:szCs w:val="20"/>
          <w:color w:val="auto"/>
        </w:rPr>
      </w:pPr>
    </w:p>
    <w:p>
      <w:pPr>
        <w:ind w:right="20" w:firstLine="419"/>
        <w:spacing w:after="0" w:line="255" w:lineRule="auto"/>
        <w:rPr>
          <w:sz w:val="20"/>
          <w:szCs w:val="20"/>
          <w:color w:val="auto"/>
        </w:rPr>
      </w:pPr>
      <w:r>
        <w:rPr>
          <w:rFonts w:ascii="Times New Roman" w:cs="Times New Roman" w:eastAsia="Times New Roman" w:hAnsi="Times New Roman"/>
          <w:sz w:val="18"/>
          <w:szCs w:val="18"/>
          <w:color w:val="231F20"/>
        </w:rPr>
        <w:t xml:space="preserve">In the ASC setting, the 2023 Medicare national unadjusted average facility payment rate for CPT code 66174 and CPT code 65820 are $1,968.66. In the HOPD setting, the 2023 Medicare national unadjusted average facility payment rates for CPT </w:t>
      </w:r>
      <w:r>
        <w:rPr>
          <w:rFonts w:ascii="Times New Roman" w:cs="Times New Roman" w:eastAsia="Times New Roman" w:hAnsi="Times New Roman"/>
          <w:sz w:val="18"/>
          <w:szCs w:val="18"/>
          <w:color w:val="000000"/>
        </w:rPr>
        <w:t>code</w:t>
      </w:r>
      <w:r>
        <w:rPr>
          <w:rFonts w:ascii="Times New Roman" w:cs="Times New Roman" w:eastAsia="Times New Roman" w:hAnsi="Times New Roman"/>
          <w:sz w:val="18"/>
          <w:szCs w:val="18"/>
          <w:color w:val="231F20"/>
        </w:rPr>
        <w:t xml:space="preserve"> 66174 and CPT code 65820 are $3,995.58. These payments are classified as comprehensive C-APCs, therefore in the HOPD setting, the highest valued code will be paid and other C-APC classified procedures will be bundled into the highest paid procedure. Regardless of facility setting, the Medicare national unadjusted physician payment rates for CPT code 66174 and CPT code 65820 are $622.17 and $827.19, respectively. Based on customer feedback, we believe the rates for facility and physician reimbursement in both settings reflect attractive and reasonable payments to cover all of our customers’ costs and economic needs related to glaucoma treatments using OMNI and SION.</w:t>
      </w:r>
    </w:p>
    <w:p>
      <w:pPr>
        <w:spacing w:after="0" w:line="189" w:lineRule="exact"/>
        <w:rPr>
          <w:sz w:val="20"/>
          <w:szCs w:val="20"/>
          <w:color w:val="auto"/>
        </w:rPr>
      </w:pPr>
    </w:p>
    <w:p>
      <w:pPr>
        <w:ind w:right="20" w:firstLine="419"/>
        <w:spacing w:after="0" w:line="254" w:lineRule="auto"/>
        <w:rPr>
          <w:sz w:val="20"/>
          <w:szCs w:val="20"/>
          <w:color w:val="auto"/>
        </w:rPr>
      </w:pPr>
      <w:r>
        <w:rPr>
          <w:rFonts w:ascii="Times New Roman" w:cs="Times New Roman" w:eastAsia="Times New Roman" w:hAnsi="Times New Roman"/>
          <w:sz w:val="18"/>
          <w:szCs w:val="18"/>
          <w:color w:val="231F20"/>
        </w:rPr>
        <w:t>While commercialization of OMNI has primarily been focused on the U.S., we have also begun international commercialization efforts. Outside the U.S., we have focused our efforts in the United Kingdom and Germany, where we have hired local commercial and market access teams to promote OMNI to health care professionals. Although Germany employs a single-payor health system and national MIGS procedure codes which include canaloplasty and trabeculotomy, coverage decisions are made on a decentralized basis by the Physician’s Associations (</w:t>
      </w:r>
      <w:r>
        <w:rPr>
          <w:rFonts w:ascii="Times New Roman" w:cs="Times New Roman" w:eastAsia="Times New Roman" w:hAnsi="Times New Roman"/>
          <w:sz w:val="18"/>
          <w:szCs w:val="18"/>
          <w:i w:val="1"/>
          <w:iCs w:val="1"/>
          <w:color w:val="231F20"/>
        </w:rPr>
        <w:t>Kassenärztliche Vereinigung</w:t>
      </w:r>
      <w:r>
        <w:rPr>
          <w:rFonts w:ascii="Times New Roman" w:cs="Times New Roman" w:eastAsia="Times New Roman" w:hAnsi="Times New Roman"/>
          <w:sz w:val="18"/>
          <w:szCs w:val="18"/>
          <w:color w:val="231F20"/>
        </w:rPr>
        <w:t>) ("KVs") in each of Germany's 17 regions. To date, canaloplasty and trabeculotomy procedures are covered in all 17 regions and we are working towards educating ECPs across all these regions regarding the appropriate procurement and submission of claims for reimbursement from the KVs to facilitate access to OMNI for patients and ECPs. In the United Kingdom, we are in the process of working to expand reimbursed access to OMNI procedures, and we believe that the National Health System’s tariffs, or payments, for MIGS procedures (including OMNI) will continue to be favorable. As we expand into other countries, we will establish payor coverage and reimbursement strategies that are appropriate for each local market.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Reimbursement for Uses of the TearCare System</w:t>
      </w:r>
    </w:p>
    <w:p>
      <w:pPr>
        <w:spacing w:after="0" w:line="229" w:lineRule="exact"/>
        <w:rPr>
          <w:sz w:val="20"/>
          <w:szCs w:val="20"/>
          <w:color w:val="auto"/>
        </w:rPr>
      </w:pPr>
    </w:p>
    <w:p>
      <w:pPr>
        <w:ind w:right="20" w:firstLine="419"/>
        <w:spacing w:after="0" w:line="256" w:lineRule="auto"/>
        <w:rPr>
          <w:sz w:val="20"/>
          <w:szCs w:val="20"/>
          <w:color w:val="auto"/>
        </w:rPr>
      </w:pPr>
      <w:r>
        <w:rPr>
          <w:rFonts w:ascii="Times New Roman" w:cs="Times New Roman" w:eastAsia="Times New Roman" w:hAnsi="Times New Roman"/>
          <w:sz w:val="18"/>
          <w:szCs w:val="18"/>
          <w:color w:val="231F20"/>
        </w:rPr>
        <w:t>TearCare is not currently covered by Medicare or private payors via formal medical policy, although some payors may agree to provide coverage and payment outside of formal policy. In December 2021, the FDA cleared TearCare for the application of localized heat therapy in adult patients with evaporative dry eye disease due to meibomian gland dysfunction, when used in conjunction with manual expression of the meibomian glands. We believe that the current standard of care (representing over 95% of the existing market), which primarily consists of warm compresses, over-the-counter artificial tears, or lubricating eyedrops, and prescription eyedrops, does not treat the root cause of MGD. We believe TearCare has the potential to offer a better standard of care for evaporative dry eye patients and reduce overall costs for payors.</w:t>
      </w:r>
    </w:p>
    <w:p>
      <w:pPr>
        <w:spacing w:after="0" w:line="187" w:lineRule="exact"/>
        <w:rPr>
          <w:sz w:val="20"/>
          <w:szCs w:val="20"/>
          <w:color w:val="auto"/>
        </w:rPr>
      </w:pPr>
    </w:p>
    <w:p>
      <w:pPr>
        <w:ind w:firstLine="419"/>
        <w:spacing w:after="0" w:line="261" w:lineRule="auto"/>
        <w:rPr>
          <w:sz w:val="20"/>
          <w:szCs w:val="20"/>
          <w:color w:val="auto"/>
        </w:rPr>
      </w:pPr>
      <w:r>
        <w:rPr>
          <w:rFonts w:ascii="Times New Roman" w:cs="Times New Roman" w:eastAsia="Times New Roman" w:hAnsi="Times New Roman"/>
          <w:sz w:val="18"/>
          <w:szCs w:val="18"/>
          <w:color w:val="231F20"/>
        </w:rPr>
        <w:t>Despite the presence of a large and growing patient-pay market for TearCare as shown in our controlled launch, we believe that improving access to TearCare through positive coverage decisions by Medicare and private payors will help grow the market for the TearCare procedures. We are pursuing a vigorous market access development plan to obtain more favorable policies from Medicare and private payors for procedures using TearCare in the 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337" w:right="459" w:bottom="1440" w:gutter="0" w:footer="0" w:header="0"/>
        </w:sectPr>
      </w:pPr>
    </w:p>
    <w:bookmarkStart w:id="15" w:name="page16"/>
    <w:bookmarkEnd w:id="15"/>
    <w:p>
      <w:pPr>
        <w:ind w:right="200" w:firstLine="419"/>
        <w:spacing w:after="0" w:line="261" w:lineRule="auto"/>
        <w:rPr>
          <w:sz w:val="20"/>
          <w:szCs w:val="20"/>
          <w:color w:val="auto"/>
        </w:rPr>
      </w:pPr>
      <w:r>
        <w:rPr>
          <w:rFonts w:ascii="Times New Roman" w:cs="Times New Roman" w:eastAsia="Times New Roman" w:hAnsi="Times New Roman"/>
          <w:sz w:val="18"/>
          <w:szCs w:val="18"/>
          <w:color w:val="231F20"/>
        </w:rPr>
        <w:t>Category III CPT code 0563T, which became effective January 1, 2020, describes the heating of meibomian glands using a wearable open-eye device and manual evacuation of meibomian glands. This code allows providers to pursue reimbursement claims and payors to establish payment rates for the procedure. Prior to formal coverage decisions or a permanent Category I code, third-party payors may cover procedures billed with temporary Category III codes on a case-by-case basis.</w:t>
      </w:r>
    </w:p>
    <w:p>
      <w:pPr>
        <w:spacing w:after="0" w:line="180" w:lineRule="exact"/>
        <w:rPr>
          <w:sz w:val="20"/>
          <w:szCs w:val="20"/>
          <w:color w:val="auto"/>
        </w:rPr>
      </w:pPr>
    </w:p>
    <w:p>
      <w:pPr>
        <w:ind w:right="100" w:firstLine="419"/>
        <w:spacing w:after="0" w:line="255" w:lineRule="auto"/>
        <w:rPr>
          <w:sz w:val="20"/>
          <w:szCs w:val="20"/>
          <w:color w:val="auto"/>
        </w:rPr>
      </w:pPr>
      <w:r>
        <w:rPr>
          <w:rFonts w:ascii="Times New Roman" w:cs="Times New Roman" w:eastAsia="Times New Roman" w:hAnsi="Times New Roman"/>
          <w:sz w:val="18"/>
          <w:szCs w:val="18"/>
          <w:color w:val="231F20"/>
        </w:rPr>
        <w:t xml:space="preserve">We continue to generate clinical data to support positive coverage decisions from Medicare and private payors. In September 2021, an article discussing results from our OLYMPIA RCT was published in </w:t>
      </w:r>
      <w:r>
        <w:rPr>
          <w:rFonts w:ascii="Times New Roman" w:cs="Times New Roman" w:eastAsia="Times New Roman" w:hAnsi="Times New Roman"/>
          <w:sz w:val="18"/>
          <w:szCs w:val="18"/>
          <w:i w:val="1"/>
          <w:iCs w:val="1"/>
          <w:color w:val="231F20"/>
        </w:rPr>
        <w:t>Cornea</w:t>
      </w:r>
      <w:r>
        <w:rPr>
          <w:rFonts w:ascii="Times New Roman" w:cs="Times New Roman" w:eastAsia="Times New Roman" w:hAnsi="Times New Roman"/>
          <w:sz w:val="18"/>
          <w:szCs w:val="18"/>
          <w:color w:val="231F20"/>
        </w:rPr>
        <w:t xml:space="preserve">. This randomized controlled trial compared treatment using TearCare to the leading alternative MGD treatment device on the market. In the study, we observed that a single use of TearCare was associated with improvement in each of the signs and symptoms of DED within two weeks of treatment in subjects with MGD. A subset analysis of patients in the OLYMPIA trial with advanced dry eye disease demonstrating superior symptoms improvements with TearCare compared to an alternative MGD treatment device was published in </w:t>
      </w:r>
      <w:r>
        <w:rPr>
          <w:rFonts w:ascii="Times New Roman" w:cs="Times New Roman" w:eastAsia="Times New Roman" w:hAnsi="Times New Roman"/>
          <w:sz w:val="18"/>
          <w:szCs w:val="18"/>
          <w:i w:val="1"/>
          <w:iCs w:val="1"/>
          <w:color w:val="231F20"/>
        </w:rPr>
        <w:t>Clinical Ophthalmology</w:t>
      </w:r>
      <w:r>
        <w:rPr>
          <w:rFonts w:ascii="Times New Roman" w:cs="Times New Roman" w:eastAsia="Times New Roman" w:hAnsi="Times New Roman"/>
          <w:sz w:val="18"/>
          <w:szCs w:val="18"/>
          <w:color w:val="231F20"/>
        </w:rPr>
        <w:t xml:space="preserve"> (August 2022). Additionally, results from the CHEETAH study suggesting that a single TearCare procedure is safe and effective in treatment signs and symptoms of DED were published in </w:t>
      </w:r>
      <w:r>
        <w:rPr>
          <w:rFonts w:ascii="Times New Roman" w:cs="Times New Roman" w:eastAsia="Times New Roman" w:hAnsi="Times New Roman"/>
          <w:sz w:val="18"/>
          <w:szCs w:val="18"/>
          <w:i w:val="1"/>
          <w:iCs w:val="1"/>
          <w:color w:val="231F20"/>
        </w:rPr>
        <w:t>Clinical Ophthalmology</w:t>
      </w:r>
      <w:r>
        <w:rPr>
          <w:rFonts w:ascii="Times New Roman" w:cs="Times New Roman" w:eastAsia="Times New Roman" w:hAnsi="Times New Roman"/>
          <w:sz w:val="18"/>
          <w:szCs w:val="18"/>
          <w:color w:val="231F20"/>
        </w:rPr>
        <w:t xml:space="preserve"> (December 2020).</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Our comprehensive long-term strategy to improve patient access to TearCare includes the following key initiatives:</w:t>
      </w:r>
    </w:p>
    <w:p>
      <w:pPr>
        <w:spacing w:after="0" w:line="221" w:lineRule="exact"/>
        <w:rPr>
          <w:sz w:val="20"/>
          <w:szCs w:val="20"/>
          <w:color w:val="auto"/>
        </w:rPr>
      </w:pPr>
    </w:p>
    <w:p>
      <w:pPr>
        <w:ind w:left="800" w:hanging="283"/>
        <w:spacing w:after="0"/>
        <w:tabs>
          <w:tab w:leader="none" w:pos="80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Demonstrate the effectiveness, safety and durability of TearCare with rigorous clinical data</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Augment library of published articles on TearCare</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Support coverage applications</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Convert to permanent Category I CPT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Competition</w:t>
      </w:r>
    </w:p>
    <w:p>
      <w:pPr>
        <w:spacing w:after="0" w:line="229"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231F20"/>
        </w:rPr>
        <w:t>We believe our focus on developing and marketing intuitively designed products that are intended to restore the eye’s natural physiological function by addressing underlying causes of eye disease will be an important factor in our future success. The medical device and pharmaceutical industries are intensely competitive, subject to rapid change and significantly affected by new product introductions and other market activities of industry participants. We compete with medical device and pharmaceutical companies that develop and commercialize products for eye conditions. Notable competitors with approved MIGS products include Glaukos, Alcon/Ivantis and AbbVie/Allergan and New World Medical. Notable competitors with approved DED products include AbbVie/Allergan, Novartis, Johnson &amp; Johnson, and Alcon. Some of our competitors are larger, well-capitalized companies with greater current market share and resources. We also compete with several smaller medical device companies that have single products or a limited range of products. Some of our competitors have:</w:t>
      </w:r>
    </w:p>
    <w:p>
      <w:pPr>
        <w:spacing w:after="0" w:line="84" w:lineRule="exact"/>
        <w:rPr>
          <w:sz w:val="20"/>
          <w:szCs w:val="20"/>
          <w:color w:val="auto"/>
        </w:rPr>
      </w:pPr>
    </w:p>
    <w:p>
      <w:pPr>
        <w:ind w:left="800" w:hanging="283"/>
        <w:spacing w:after="0"/>
        <w:tabs>
          <w:tab w:leader="none" w:pos="80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Significantly greater name recognition;</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Broader or deeper relations with healthcare professionals, customers, industry associations and third-party payors;</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More established distribution networks;</w:t>
      </w:r>
    </w:p>
    <w:p>
      <w:pPr>
        <w:spacing w:after="0" w:line="117" w:lineRule="exact"/>
        <w:rPr>
          <w:rFonts w:ascii="Times New Roman" w:cs="Times New Roman" w:eastAsia="Times New Roman" w:hAnsi="Times New Roman"/>
          <w:sz w:val="18"/>
          <w:szCs w:val="18"/>
          <w:color w:val="231F20"/>
        </w:rPr>
      </w:pPr>
    </w:p>
    <w:p>
      <w:pPr>
        <w:ind w:left="800" w:right="720" w:hanging="283"/>
        <w:spacing w:after="0" w:line="282" w:lineRule="auto"/>
        <w:tabs>
          <w:tab w:leader="none" w:pos="80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Additional lines of products and the ability to offer rebates or bundle products to offer greater discounts or other incentives to attract adoption;</w:t>
      </w:r>
    </w:p>
    <w:p>
      <w:pPr>
        <w:spacing w:after="0" w:line="53" w:lineRule="exact"/>
        <w:rPr>
          <w:rFonts w:ascii="Times New Roman" w:cs="Times New Roman" w:eastAsia="Times New Roman" w:hAnsi="Times New Roman"/>
          <w:sz w:val="18"/>
          <w:szCs w:val="18"/>
          <w:color w:val="231F20"/>
        </w:rPr>
      </w:pPr>
    </w:p>
    <w:p>
      <w:pPr>
        <w:ind w:left="800" w:right="1140" w:hanging="283"/>
        <w:spacing w:after="0" w:line="282" w:lineRule="auto"/>
        <w:tabs>
          <w:tab w:leader="none" w:pos="80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Greater experience in conducting research and development, manufacturing, clinical trials, marketing and obtaining regulatory clearance or approval for products; and</w:t>
      </w:r>
    </w:p>
    <w:p>
      <w:pPr>
        <w:spacing w:after="0" w:line="53" w:lineRule="exact"/>
        <w:rPr>
          <w:rFonts w:ascii="Times New Roman" w:cs="Times New Roman" w:eastAsia="Times New Roman" w:hAnsi="Times New Roman"/>
          <w:sz w:val="18"/>
          <w:szCs w:val="18"/>
          <w:color w:val="231F20"/>
        </w:rPr>
      </w:pPr>
    </w:p>
    <w:p>
      <w:pPr>
        <w:ind w:left="800" w:right="1120" w:hanging="283"/>
        <w:spacing w:after="0" w:line="282" w:lineRule="auto"/>
        <w:tabs>
          <w:tab w:leader="none" w:pos="80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Greater financial and human resources for product development, sales and marketing and patent and other intellectual property litigation.</w:t>
      </w:r>
    </w:p>
    <w:p>
      <w:pPr>
        <w:spacing w:after="0" w:line="162" w:lineRule="exact"/>
        <w:rPr>
          <w:sz w:val="20"/>
          <w:szCs w:val="20"/>
          <w:color w:val="auto"/>
        </w:rPr>
      </w:pPr>
    </w:p>
    <w:p>
      <w:pPr>
        <w:ind w:right="640" w:firstLine="419"/>
        <w:spacing w:after="0" w:line="282" w:lineRule="auto"/>
        <w:rPr>
          <w:sz w:val="20"/>
          <w:szCs w:val="20"/>
          <w:color w:val="auto"/>
        </w:rPr>
      </w:pPr>
      <w:r>
        <w:rPr>
          <w:rFonts w:ascii="Times New Roman" w:cs="Times New Roman" w:eastAsia="Times New Roman" w:hAnsi="Times New Roman"/>
          <w:sz w:val="18"/>
          <w:szCs w:val="18"/>
          <w:color w:val="231F20"/>
        </w:rPr>
        <w:t>We compete primarily on the basis that our medical devices are able to treat patients with prevalent eye diseases safely and effectively. Our continued success depends on our ability to:</w:t>
      </w:r>
    </w:p>
    <w:p>
      <w:pPr>
        <w:spacing w:after="0" w:line="162" w:lineRule="exact"/>
        <w:rPr>
          <w:sz w:val="20"/>
          <w:szCs w:val="20"/>
          <w:color w:val="auto"/>
        </w:rPr>
      </w:pPr>
    </w:p>
    <w:p>
      <w:pPr>
        <w:ind w:left="5420" w:right="1880" w:hanging="4903"/>
        <w:spacing w:after="0" w:line="532" w:lineRule="auto"/>
        <w:tabs>
          <w:tab w:leader="none" w:pos="835"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Develop innovative, proprietary technology and products that can cost-effectively address significant clinical needs; </w:t>
      </w:r>
      <w:r>
        <w:rPr>
          <w:rFonts w:ascii="Times New Roman" w:cs="Times New Roman" w:eastAsia="Times New Roman" w:hAnsi="Times New Roman"/>
          <w:sz w:val="18"/>
          <w:szCs w:val="18"/>
          <w:color w:val="00000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-102870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37" w:right="399" w:bottom="1440" w:gutter="0" w:footer="0" w:header="0"/>
        </w:sectPr>
      </w:pPr>
    </w:p>
    <w:bookmarkStart w:id="16" w:name="page17"/>
    <w:bookmarkEnd w:id="16"/>
    <w:p>
      <w:pPr>
        <w:ind w:left="820" w:hanging="303"/>
        <w:spacing w:after="0"/>
        <w:tabs>
          <w:tab w:leader="none" w:pos="82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 and maintain regulatory clearances or approvals for the use of our products;</w:t>
      </w:r>
    </w:p>
    <w:p>
      <w:pPr>
        <w:spacing w:after="0" w:line="117" w:lineRule="exact"/>
        <w:rPr>
          <w:rFonts w:ascii="Times New Roman" w:cs="Times New Roman" w:eastAsia="Times New Roman" w:hAnsi="Times New Roman"/>
          <w:sz w:val="18"/>
          <w:szCs w:val="18"/>
          <w:color w:val="231F20"/>
        </w:rPr>
      </w:pPr>
    </w:p>
    <w:p>
      <w:pPr>
        <w:ind w:left="820" w:hanging="303"/>
        <w:spacing w:after="0"/>
        <w:tabs>
          <w:tab w:leader="none" w:pos="82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 and maintain favorable reimbursement decisions relating to the use of our products;</w:t>
      </w:r>
    </w:p>
    <w:p>
      <w:pPr>
        <w:spacing w:after="0" w:line="117" w:lineRule="exact"/>
        <w:rPr>
          <w:rFonts w:ascii="Times New Roman" w:cs="Times New Roman" w:eastAsia="Times New Roman" w:hAnsi="Times New Roman"/>
          <w:sz w:val="18"/>
          <w:szCs w:val="18"/>
          <w:color w:val="231F20"/>
        </w:rPr>
      </w:pPr>
    </w:p>
    <w:p>
      <w:pPr>
        <w:ind w:left="820" w:hanging="303"/>
        <w:spacing w:after="0"/>
        <w:tabs>
          <w:tab w:leader="none" w:pos="82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Demonstrate clinical safety and effectiveness in our sponsored and third-party trials and studies;</w:t>
      </w:r>
    </w:p>
    <w:p>
      <w:pPr>
        <w:spacing w:after="0" w:line="117" w:lineRule="exact"/>
        <w:rPr>
          <w:rFonts w:ascii="Times New Roman" w:cs="Times New Roman" w:eastAsia="Times New Roman" w:hAnsi="Times New Roman"/>
          <w:sz w:val="18"/>
          <w:szCs w:val="18"/>
          <w:color w:val="231F20"/>
        </w:rPr>
      </w:pPr>
    </w:p>
    <w:p>
      <w:pPr>
        <w:ind w:left="820" w:hanging="303"/>
        <w:spacing w:after="0"/>
        <w:tabs>
          <w:tab w:leader="none" w:pos="82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Attract and retain skilled research and development and sales personnel; and</w:t>
      </w:r>
    </w:p>
    <w:p>
      <w:pPr>
        <w:spacing w:after="0" w:line="117" w:lineRule="exact"/>
        <w:rPr>
          <w:rFonts w:ascii="Times New Roman" w:cs="Times New Roman" w:eastAsia="Times New Roman" w:hAnsi="Times New Roman"/>
          <w:sz w:val="18"/>
          <w:szCs w:val="18"/>
          <w:color w:val="231F20"/>
        </w:rPr>
      </w:pPr>
    </w:p>
    <w:p>
      <w:pPr>
        <w:ind w:left="820" w:hanging="303"/>
        <w:spacing w:after="0"/>
        <w:tabs>
          <w:tab w:leader="none" w:pos="82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Successfully market and sell products.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Manufacturing</w:t>
      </w:r>
    </w:p>
    <w:p>
      <w:pPr>
        <w:spacing w:after="0" w:line="229"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231F20"/>
        </w:rPr>
        <w:t>On January 14, 2021, we entered into a Supply Agreement with Peter’s Technology (Suzhou) CO LTD. ("PTCS"), a Chinese subsidiary of Peter’s Co., Ltd., a Taiwan-based contract manufacturer ("the Peter's Supply Agreement"). In February 2021, PTCS began to produce commercially saleable OMNI units for us at its Suzhou City, China production facility. In May 2021, we entered into a separate supply agreement with a U.S.-based manufacturer with multiple manufacturing sites for the production in the United States of our OMNI Surgical System. Our supply agreements with these manufacturers contain customary terms and conditions. Pursuant to the Peter’s Supply Agreement, PTCS purchases components from our approved suppliers for assembly, and we make purchases from PTCS on a purchase order basis. The initial three-year term of the Peter’s Supply Agreement expires January 14, 2024, and the agreement provides for automatic renewals of additional one-year periods if neither party provides notification that they intend to terminate the agreement within 90 days of the term ending. We also have the right to terminate the agreement without cause during its term by providing 180 days’ advance written notice, or with 30 days’ written notice with any material agreement default by the manufacturer. We subsequently amended the Peter’s Supply Agreement in January and November 2022 to, among other things, contract with PTCS to manufacture our SmartLids and SION surgical instruments.</w:t>
      </w:r>
    </w:p>
    <w:p>
      <w:pPr>
        <w:spacing w:after="0" w:line="192" w:lineRule="exact"/>
        <w:rPr>
          <w:sz w:val="20"/>
          <w:szCs w:val="20"/>
          <w:color w:val="auto"/>
        </w:rPr>
      </w:pPr>
    </w:p>
    <w:p>
      <w:pPr>
        <w:ind w:right="220" w:firstLine="419"/>
        <w:spacing w:after="0" w:line="266" w:lineRule="auto"/>
        <w:rPr>
          <w:sz w:val="20"/>
          <w:szCs w:val="20"/>
          <w:color w:val="auto"/>
        </w:rPr>
      </w:pPr>
      <w:r>
        <w:rPr>
          <w:rFonts w:ascii="Times New Roman" w:cs="Times New Roman" w:eastAsia="Times New Roman" w:hAnsi="Times New Roman"/>
          <w:sz w:val="18"/>
          <w:szCs w:val="18"/>
          <w:color w:val="231F20"/>
        </w:rPr>
        <w:t>For the production of our TearCare System components, we currently have supply arrangements with several medical device manufacturers. In addition to our agreement with PTCS for the production of SmartLids, we partner with various other suppliers for the production of the SmartHub and Clearance Assistant components of our TearCare System.</w:t>
      </w:r>
    </w:p>
    <w:p>
      <w:pPr>
        <w:spacing w:after="0" w:line="176" w:lineRule="exact"/>
        <w:rPr>
          <w:sz w:val="20"/>
          <w:szCs w:val="20"/>
          <w:color w:val="auto"/>
        </w:rPr>
      </w:pPr>
    </w:p>
    <w:p>
      <w:pPr>
        <w:ind w:right="120" w:firstLine="419"/>
        <w:spacing w:after="0" w:line="266" w:lineRule="auto"/>
        <w:rPr>
          <w:sz w:val="20"/>
          <w:szCs w:val="20"/>
          <w:color w:val="auto"/>
        </w:rPr>
      </w:pPr>
      <w:r>
        <w:rPr>
          <w:rFonts w:ascii="Times New Roman" w:cs="Times New Roman" w:eastAsia="Times New Roman" w:hAnsi="Times New Roman"/>
          <w:sz w:val="18"/>
          <w:szCs w:val="18"/>
          <w:color w:val="231F20"/>
        </w:rPr>
        <w:t>We directly engage with several third-party suppliers for key components used in our products. We believe that our approved third-party suppliers will be adequate to meet our current and anticipated manufacturing needs. We do not currently plan to manufacture our products or any related components ourselves.</w:t>
      </w:r>
    </w:p>
    <w:p>
      <w:pPr>
        <w:spacing w:after="0" w:line="176" w:lineRule="exact"/>
        <w:rPr>
          <w:sz w:val="20"/>
          <w:szCs w:val="20"/>
          <w:color w:val="auto"/>
        </w:rPr>
      </w:pPr>
    </w:p>
    <w:p>
      <w:pPr>
        <w:jc w:val="both"/>
        <w:ind w:right="40" w:firstLine="419"/>
        <w:spacing w:after="0" w:line="281" w:lineRule="auto"/>
        <w:rPr>
          <w:sz w:val="20"/>
          <w:szCs w:val="20"/>
          <w:color w:val="auto"/>
        </w:rPr>
      </w:pPr>
      <w:r>
        <w:rPr>
          <w:rFonts w:ascii="Times New Roman" w:cs="Times New Roman" w:eastAsia="Times New Roman" w:hAnsi="Times New Roman"/>
          <w:sz w:val="17"/>
          <w:szCs w:val="17"/>
          <w:color w:val="231F20"/>
        </w:rPr>
        <w:t>Manufacturing facilities that produce medical devices or their component parts intended for distribution world-wide are subject to regulation and periodic unannounced inspection or audits by the FDA and other domestic and international regulatory agencies or notified bodies. In the United States, any products we sell are required to be manufactured in compliance with the FDA’s Quality System Regulation ("QSR"), which covers the methods used in, and the facilities used for, the design, testing, control, manufacturing, labeling, quality assurance, packaging, storage and shipping of our products.</w:t>
      </w:r>
    </w:p>
    <w:p>
      <w:pPr>
        <w:spacing w:after="0" w:line="164" w:lineRule="exact"/>
        <w:rPr>
          <w:sz w:val="20"/>
          <w:szCs w:val="20"/>
          <w:color w:val="auto"/>
        </w:rPr>
      </w:pPr>
    </w:p>
    <w:p>
      <w:pPr>
        <w:ind w:right="480" w:firstLine="419"/>
        <w:spacing w:after="0" w:line="312" w:lineRule="auto"/>
        <w:rPr>
          <w:sz w:val="20"/>
          <w:szCs w:val="20"/>
          <w:color w:val="auto"/>
        </w:rPr>
      </w:pPr>
      <w:r>
        <w:rPr>
          <w:rFonts w:ascii="Times New Roman" w:cs="Times New Roman" w:eastAsia="Times New Roman" w:hAnsi="Times New Roman"/>
          <w:sz w:val="17"/>
          <w:szCs w:val="17"/>
          <w:color w:val="231F20"/>
        </w:rPr>
        <w:t>The distribution of our products is handled directly through a third-party logistics provider. Our finished goods are shipped from our contract manufacturers to a local gamma sterilization facility after which they are shipped to distribution facilities and, ultimately, to our customers.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Intellectual Property</w:t>
      </w:r>
    </w:p>
    <w:p>
      <w:pPr>
        <w:spacing w:after="0" w:line="229"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231F20"/>
        </w:rPr>
        <w:t>Our commercial success depends in part on our ability to obtain and maintain proprietary protection for our current and future products and product candidates, novel discoveries, product development technologies and know-how; to operate without infringing on the proprietary rights of others; and to prevent others from infringing our proprietary rights. Our policy is to seek to protect our proprietary position by, among other methods, seeking to obtain or in-licensing U.S. and foreign patents and patent applications related to our proprietary technology that are important to the development and implementation of our business. We seek to obtain domestic and international patent protection, and endeavor to promptly file patent applications for new commercially valuable inventions. We file new patent applications as we conduct research and development, initiate new programs, and monitor the activities of others. We also rely on other approaches to protecting our proprietary position, such as trademarks, trade secrets, know-how, and/or continuing technological innovation to develop and maintain our proprietary position.</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37" w:right="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231F20"/>
        </w:rPr>
        <w:t>Patent Term</w:t>
      </w:r>
    </w:p>
    <w:p>
      <w:pPr>
        <w:spacing w:after="0" w:line="229" w:lineRule="exact"/>
        <w:rPr>
          <w:sz w:val="20"/>
          <w:szCs w:val="20"/>
          <w:color w:val="auto"/>
        </w:rPr>
      </w:pPr>
    </w:p>
    <w:p>
      <w:pPr>
        <w:ind w:right="20" w:firstLine="419"/>
        <w:spacing w:after="0" w:line="261" w:lineRule="auto"/>
        <w:rPr>
          <w:sz w:val="20"/>
          <w:szCs w:val="20"/>
          <w:color w:val="auto"/>
        </w:rPr>
      </w:pPr>
      <w:r>
        <w:rPr>
          <w:rFonts w:ascii="Times New Roman" w:cs="Times New Roman" w:eastAsia="Times New Roman" w:hAnsi="Times New Roman"/>
          <w:sz w:val="18"/>
          <w:szCs w:val="18"/>
          <w:color w:val="231F20"/>
        </w:rPr>
        <w:t>Generally, issued patents are granted a term of 20 years from the earliest claimed non-provisional filing date. In certain instances, U.S. patent terms can be adjusted to recapture a portion of delay by the U.S. Patent &amp; Trademark Office ("USPTO"), in examining the patent application ("patent term adjustment") or extended to account for term effectively lost as a result of the FDA regulatory review period ("patent term extension"), or both. In some cases, the term of a U.S. patent may be shortened by terminal disclaimer, such that its term is reduced to end with that of an earlier-expiring patent.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Trade Secrets</w:t>
      </w:r>
    </w:p>
    <w:p>
      <w:pPr>
        <w:spacing w:after="0" w:line="229" w:lineRule="exact"/>
        <w:rPr>
          <w:sz w:val="20"/>
          <w:szCs w:val="20"/>
          <w:color w:val="auto"/>
        </w:rPr>
      </w:pPr>
    </w:p>
    <w:p>
      <w:pPr>
        <w:ind w:right="120" w:firstLine="419"/>
        <w:spacing w:after="0" w:line="254" w:lineRule="auto"/>
        <w:rPr>
          <w:sz w:val="20"/>
          <w:szCs w:val="20"/>
          <w:color w:val="auto"/>
        </w:rPr>
      </w:pPr>
      <w:r>
        <w:rPr>
          <w:rFonts w:ascii="Times New Roman" w:cs="Times New Roman" w:eastAsia="Times New Roman" w:hAnsi="Times New Roman"/>
          <w:sz w:val="18"/>
          <w:szCs w:val="18"/>
          <w:color w:val="231F20"/>
        </w:rPr>
        <w:t>In addition to patents, we rely on trade secrets and know-how to develop and maintain our competitive position. We typically rely on trade secrets to protect aspects of our business that are not amenable to, or that we do not consider appropriate for, patent protection. It is our policy to protect trade secrets and/or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entity’s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information by third parties.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Patents</w:t>
      </w:r>
    </w:p>
    <w:p>
      <w:pPr>
        <w:spacing w:after="0" w:line="229" w:lineRule="exact"/>
        <w:rPr>
          <w:sz w:val="20"/>
          <w:szCs w:val="20"/>
          <w:color w:val="auto"/>
        </w:rPr>
      </w:pPr>
    </w:p>
    <w:p>
      <w:pPr>
        <w:ind w:firstLine="419"/>
        <w:spacing w:after="0" w:line="256" w:lineRule="auto"/>
        <w:rPr>
          <w:sz w:val="20"/>
          <w:szCs w:val="20"/>
          <w:color w:val="auto"/>
        </w:rPr>
      </w:pPr>
      <w:r>
        <w:rPr>
          <w:rFonts w:ascii="Times New Roman" w:cs="Times New Roman" w:eastAsia="Times New Roman" w:hAnsi="Times New Roman"/>
          <w:sz w:val="18"/>
          <w:szCs w:val="18"/>
          <w:color w:val="231F20"/>
        </w:rPr>
        <w:t>As of December 31, 2022, we owned 37 issued U.S. patents, 48 issued patents outside the U.S. (which includes five issued European patents and their national validations), 19 pending U.S. non-provisional patent applications, 19 pending foreign patent applications and two pending Patent Cooperation Treaty patent applications. Our issued patents include claims directed to devices and methods for canaloplasty and/or trabeculotomy, ocular implants and related methods, the TearCare apparatus and methods of using the TearCare apparatus, components of the TearCare apparatus (including the SmartHub and SmartLids) and methods of their use, the TearCare apparatus in combination with an eyelid compression instrument and methods of their use, and methods of using the TearCare apparatus with patients wearing contact lenses.</w:t>
      </w:r>
    </w:p>
    <w:p>
      <w:pPr>
        <w:spacing w:after="0" w:line="187" w:lineRule="exact"/>
        <w:rPr>
          <w:sz w:val="20"/>
          <w:szCs w:val="20"/>
          <w:color w:val="auto"/>
        </w:rPr>
      </w:pPr>
    </w:p>
    <w:p>
      <w:pPr>
        <w:ind w:right="80" w:firstLine="419"/>
        <w:spacing w:after="0" w:line="256" w:lineRule="auto"/>
        <w:rPr>
          <w:sz w:val="20"/>
          <w:szCs w:val="20"/>
          <w:color w:val="auto"/>
        </w:rPr>
      </w:pPr>
      <w:r>
        <w:rPr>
          <w:rFonts w:ascii="Times New Roman" w:cs="Times New Roman" w:eastAsia="Times New Roman" w:hAnsi="Times New Roman"/>
          <w:sz w:val="18"/>
          <w:szCs w:val="18"/>
          <w:color w:val="231F20"/>
        </w:rPr>
        <w:t>Subject to payment of required maintenance fees, annuities, and other charges, our issued U.S. patents have expiration dates between 2027 and 2041, with seven of our issued U.S. patents having expiration dates before 2030, 27 having expiration dates between 2031 and 2035, one having an expiration date in 2037, and the remaining two expiring in 2041, in each case exclusive of possible patent term extensions. Of our 19 pending U.S. non-provisional patent applications, one was filed in 2018, two were filed in 2019, three were filed in 2020, five were filed in 2021, and eight were filed in 2022. Our pending U.S. non-provisional patent applications, if issued, have expected expiration dates between 2026 and 2042, exclusive of any possible patent term adjustments or patent term extensions.</w:t>
      </w:r>
    </w:p>
    <w:p>
      <w:pPr>
        <w:spacing w:after="0" w:line="187" w:lineRule="exact"/>
        <w:rPr>
          <w:sz w:val="20"/>
          <w:szCs w:val="20"/>
          <w:color w:val="auto"/>
        </w:rPr>
      </w:pPr>
    </w:p>
    <w:p>
      <w:pPr>
        <w:ind w:right="200" w:firstLine="419"/>
        <w:spacing w:after="0" w:line="261" w:lineRule="auto"/>
        <w:rPr>
          <w:sz w:val="20"/>
          <w:szCs w:val="20"/>
          <w:color w:val="auto"/>
        </w:rPr>
      </w:pPr>
      <w:r>
        <w:rPr>
          <w:rFonts w:ascii="Times New Roman" w:cs="Times New Roman" w:eastAsia="Times New Roman" w:hAnsi="Times New Roman"/>
          <w:sz w:val="18"/>
          <w:szCs w:val="18"/>
          <w:color w:val="231F20"/>
        </w:rPr>
        <w:t>The foreign jurisdictions where we own issued patents include: Australia, Brazil, China, France, Germany, Hong Kong, Italy, Japan, Spain, Switzerland, and the United Kingdom. Subject to payment of required annuities and other charges, these foreign patents have expiration dates between 2027 and 2035. We have pending patent applications in Australia, Brazil, Canada, China, Europe, and Japan which, if issued, have expected expiration dates between 2032 and 2040.</w:t>
      </w:r>
    </w:p>
    <w:p>
      <w:pPr>
        <w:spacing w:after="0" w:line="180" w:lineRule="exact"/>
        <w:rPr>
          <w:sz w:val="20"/>
          <w:szCs w:val="20"/>
          <w:color w:val="auto"/>
        </w:rPr>
      </w:pPr>
    </w:p>
    <w:p>
      <w:pPr>
        <w:jc w:val="both"/>
        <w:ind w:right="200" w:firstLine="419"/>
        <w:spacing w:after="0" w:line="266" w:lineRule="auto"/>
        <w:rPr>
          <w:sz w:val="20"/>
          <w:szCs w:val="20"/>
          <w:color w:val="auto"/>
        </w:rPr>
      </w:pPr>
      <w:r>
        <w:rPr>
          <w:rFonts w:ascii="Times New Roman" w:cs="Times New Roman" w:eastAsia="Times New Roman" w:hAnsi="Times New Roman"/>
          <w:sz w:val="18"/>
          <w:szCs w:val="18"/>
          <w:color w:val="231F20"/>
        </w:rPr>
        <w:t>As of December 31, 2022, we owned eight U.S. trademark registrations, one EU trademark registration, one German trademark registration, one Swiss trademark registration, one UK trademark registration, four pending U.S. trademark applications, two pending Brazilian trademark applications, and one pending application for an International Registration designating Australia, EU, Japan, Korea, Mexico, and Singapore.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Government Regulation</w:t>
      </w:r>
    </w:p>
    <w:p>
      <w:pPr>
        <w:spacing w:after="0" w:line="229" w:lineRule="exact"/>
        <w:rPr>
          <w:sz w:val="20"/>
          <w:szCs w:val="20"/>
          <w:color w:val="auto"/>
        </w:rPr>
      </w:pPr>
    </w:p>
    <w:p>
      <w:pPr>
        <w:ind w:firstLine="419"/>
        <w:spacing w:after="0" w:line="266" w:lineRule="auto"/>
        <w:rPr>
          <w:sz w:val="20"/>
          <w:szCs w:val="20"/>
          <w:color w:val="auto"/>
        </w:rPr>
      </w:pPr>
      <w:r>
        <w:rPr>
          <w:rFonts w:ascii="Times New Roman" w:cs="Times New Roman" w:eastAsia="Times New Roman" w:hAnsi="Times New Roman"/>
          <w:sz w:val="18"/>
          <w:szCs w:val="18"/>
          <w:color w:val="231F20"/>
        </w:rPr>
        <w:t>Our products and our operations are subject to extensive regulation by the FDA and other federal, state, and local authorities in the United States, as well as comparable authorities in foreign jurisdictions. Our products are subject to regulation as medical devices in the United States under the Federal Food, Drug, and Cosmetic Act ("FDCA") and its implementing regulations.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33"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231F20"/>
        </w:rPr>
        <w:t>United States Regulation</w:t>
      </w:r>
    </w:p>
    <w:p>
      <w:pPr>
        <w:spacing w:after="0" w:line="229" w:lineRule="exact"/>
        <w:rPr>
          <w:sz w:val="20"/>
          <w:szCs w:val="20"/>
          <w:color w:val="auto"/>
        </w:rPr>
      </w:pPr>
    </w:p>
    <w:p>
      <w:pPr>
        <w:ind w:firstLine="419"/>
        <w:spacing w:after="0" w:line="261" w:lineRule="auto"/>
        <w:rPr>
          <w:sz w:val="20"/>
          <w:szCs w:val="20"/>
          <w:color w:val="auto"/>
        </w:rPr>
      </w:pPr>
      <w:r>
        <w:rPr>
          <w:rFonts w:ascii="Times New Roman" w:cs="Times New Roman" w:eastAsia="Times New Roman" w:hAnsi="Times New Roman"/>
          <w:sz w:val="18"/>
          <w:szCs w:val="18"/>
          <w:color w:val="231F20"/>
        </w:rPr>
        <w:t>The FDA regulates, among other things, the development, design, non-clinical and clinical testing, manufacturing, safety, effectiveness, labeling, packaging, storage, installation, servicing, recordkeeping, premarket clearance or approval, adverse event reporting, advertising, promotion, marketing and distribution, and import and export and post-marketing surveillance of medical devices in the United States to ensure that medical devices distributed domestically are safe and effective for their intended uses and otherwise meet the requirements of the FDCA.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FDA Premarket Clearance and Approval Requirements</w:t>
      </w:r>
    </w:p>
    <w:p>
      <w:pPr>
        <w:spacing w:after="0" w:line="229" w:lineRule="exact"/>
        <w:rPr>
          <w:sz w:val="20"/>
          <w:szCs w:val="20"/>
          <w:color w:val="auto"/>
        </w:rPr>
      </w:pPr>
    </w:p>
    <w:p>
      <w:pPr>
        <w:ind w:right="40" w:firstLine="419"/>
        <w:spacing w:after="0" w:line="282" w:lineRule="auto"/>
        <w:rPr>
          <w:sz w:val="20"/>
          <w:szCs w:val="20"/>
          <w:color w:val="auto"/>
        </w:rPr>
      </w:pPr>
      <w:r>
        <w:rPr>
          <w:rFonts w:ascii="Times New Roman" w:cs="Times New Roman" w:eastAsia="Times New Roman" w:hAnsi="Times New Roman"/>
          <w:sz w:val="18"/>
          <w:szCs w:val="18"/>
          <w:color w:val="231F20"/>
        </w:rPr>
        <w:t>Unless an exemption applies, each new or significantly modified medical device commercially distributed in the United States requires either FDA clearance of a 510(k) premarket notification, or approval of a premarket approval ("PMA"), application.</w:t>
      </w:r>
    </w:p>
    <w:p>
      <w:pPr>
        <w:spacing w:after="0" w:line="162" w:lineRule="exact"/>
        <w:rPr>
          <w:sz w:val="20"/>
          <w:szCs w:val="20"/>
          <w:color w:val="auto"/>
        </w:rPr>
      </w:pPr>
    </w:p>
    <w:p>
      <w:pPr>
        <w:ind w:right="700" w:firstLine="419"/>
        <w:spacing w:after="0" w:line="282" w:lineRule="auto"/>
        <w:rPr>
          <w:sz w:val="20"/>
          <w:szCs w:val="20"/>
          <w:color w:val="auto"/>
        </w:rPr>
      </w:pPr>
      <w:r>
        <w:rPr>
          <w:rFonts w:ascii="Times New Roman" w:cs="Times New Roman" w:eastAsia="Times New Roman" w:hAnsi="Times New Roman"/>
          <w:sz w:val="18"/>
          <w:szCs w:val="18"/>
          <w:color w:val="231F20"/>
        </w:rPr>
        <w:t>Under the FDCA, medical devices are classified into one of three classes—Class I, Class II or Class III— depending on the degree of risk associated with each medical device and the extent of manufacturer and regulatory control needed to ensure its safety and effectiveness.</w:t>
      </w:r>
    </w:p>
    <w:p>
      <w:pPr>
        <w:spacing w:after="0" w:line="162" w:lineRule="exact"/>
        <w:rPr>
          <w:sz w:val="20"/>
          <w:szCs w:val="20"/>
          <w:color w:val="auto"/>
        </w:rPr>
      </w:pPr>
    </w:p>
    <w:p>
      <w:pPr>
        <w:ind w:right="120" w:firstLine="419"/>
        <w:spacing w:after="0" w:line="258" w:lineRule="auto"/>
        <w:rPr>
          <w:sz w:val="20"/>
          <w:szCs w:val="20"/>
          <w:color w:val="auto"/>
        </w:rPr>
      </w:pPr>
      <w:r>
        <w:rPr>
          <w:rFonts w:ascii="Times New Roman" w:cs="Times New Roman" w:eastAsia="Times New Roman" w:hAnsi="Times New Roman"/>
          <w:sz w:val="18"/>
          <w:szCs w:val="18"/>
          <w:color w:val="231F20"/>
        </w:rPr>
        <w:t>Class I devices are those for which safety and effectiveness can be assured by adherence to the FDA’s general controls for medical devices, which include compliance with the applicable portions of FDA’s current good manufacturing practices for devices, as reflected in the QSR, establishment registration and device listing, reporting of adverse medical events, and truthful and non-misleading labeling, advertising, and promotional materials. Most Class I devices are exempt from the premarket notification requirements. Some Class I devices, called Class I reserved devices, require premarket clearance by the FDA through the 510(k) premarket notification process described below.</w:t>
      </w:r>
    </w:p>
    <w:p>
      <w:pPr>
        <w:spacing w:after="0" w:line="183" w:lineRule="exact"/>
        <w:rPr>
          <w:sz w:val="20"/>
          <w:szCs w:val="20"/>
          <w:color w:val="auto"/>
        </w:rPr>
      </w:pPr>
    </w:p>
    <w:p>
      <w:pPr>
        <w:jc w:val="both"/>
        <w:ind w:right="260" w:firstLine="419"/>
        <w:spacing w:after="0" w:line="266" w:lineRule="auto"/>
        <w:rPr>
          <w:sz w:val="20"/>
          <w:szCs w:val="20"/>
          <w:color w:val="auto"/>
        </w:rPr>
      </w:pPr>
      <w:r>
        <w:rPr>
          <w:rFonts w:ascii="Times New Roman" w:cs="Times New Roman" w:eastAsia="Times New Roman" w:hAnsi="Times New Roman"/>
          <w:sz w:val="18"/>
          <w:szCs w:val="18"/>
          <w:color w:val="231F20"/>
        </w:rPr>
        <w:t>Class II devices are subject to the FDA’s general controls, and any other special controls deemed necessary by the FDA to ensure the safety and effectiveness of the device. These special controls can include performance standards, special labeling requirements, post-market surveillance, patient registries and FDA guidance documents.</w:t>
      </w:r>
    </w:p>
    <w:p>
      <w:pPr>
        <w:spacing w:after="0" w:line="176" w:lineRule="exact"/>
        <w:rPr>
          <w:sz w:val="20"/>
          <w:szCs w:val="20"/>
          <w:color w:val="auto"/>
        </w:rPr>
      </w:pPr>
    </w:p>
    <w:p>
      <w:pPr>
        <w:ind w:right="340" w:firstLine="419"/>
        <w:spacing w:after="0" w:line="266" w:lineRule="auto"/>
        <w:rPr>
          <w:sz w:val="20"/>
          <w:szCs w:val="20"/>
          <w:color w:val="auto"/>
        </w:rPr>
      </w:pPr>
      <w:r>
        <w:rPr>
          <w:rFonts w:ascii="Times New Roman" w:cs="Times New Roman" w:eastAsia="Times New Roman" w:hAnsi="Times New Roman"/>
          <w:sz w:val="18"/>
          <w:szCs w:val="18"/>
          <w:color w:val="231F20"/>
        </w:rPr>
        <w:t>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w:t>
      </w:r>
    </w:p>
    <w:p>
      <w:pPr>
        <w:spacing w:after="0" w:line="176"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231F20"/>
        </w:rPr>
        <w:t>Class III devices include devices deemed by the FDA to pose the greatest risks, such as life sustaining, life supporting or some implantable devices, or devices that have a new intended use, or use advanced technology that is not substantially equivalent to that of a legally marketed device, requiring approval of a PMA. Due to the level of risk associated with Class III devices, the FDA’s general controls and special controls alone are insufficient to assure their safety and effectiveness. Devices placed in Class III require the submission of a PMA application demonstrating the safety and effectiveness of the device, which must be approved by the FDA prior to marketing. The PMA approval process is generally more costly and time consuming than the 510(k) process. A PMA application typically includes, but is not limited to, extensive technical information regarding device design and development, pre-clinical and clinical trial data, manufacturing information, labeling and financial disclosure information for the clinical investigators in device studies.</w:t>
      </w:r>
    </w:p>
    <w:p>
      <w:pPr>
        <w:spacing w:after="0" w:line="192" w:lineRule="exact"/>
        <w:rPr>
          <w:sz w:val="20"/>
          <w:szCs w:val="20"/>
          <w:color w:val="auto"/>
        </w:rPr>
      </w:pPr>
    </w:p>
    <w:p>
      <w:pPr>
        <w:ind w:right="140" w:firstLine="419"/>
        <w:spacing w:after="0" w:line="282" w:lineRule="auto"/>
        <w:rPr>
          <w:sz w:val="20"/>
          <w:szCs w:val="20"/>
          <w:color w:val="auto"/>
        </w:rPr>
      </w:pPr>
      <w:r>
        <w:rPr>
          <w:rFonts w:ascii="Times New Roman" w:cs="Times New Roman" w:eastAsia="Times New Roman" w:hAnsi="Times New Roman"/>
          <w:sz w:val="18"/>
          <w:szCs w:val="18"/>
          <w:color w:val="231F20"/>
        </w:rPr>
        <w:t>Our currently marketed OMNI and TearCare products are regulated as Class II devices subject to 510(k) clearance. Our SION surgical instrument is registered with the FDA as a Class I 510(k) exempt device.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Clinical Trials</w:t>
      </w:r>
    </w:p>
    <w:p>
      <w:pPr>
        <w:spacing w:after="0" w:line="229" w:lineRule="exact"/>
        <w:rPr>
          <w:sz w:val="20"/>
          <w:szCs w:val="20"/>
          <w:color w:val="auto"/>
        </w:rPr>
      </w:pPr>
    </w:p>
    <w:p>
      <w:pPr>
        <w:ind w:firstLine="419"/>
        <w:spacing w:after="0" w:line="274" w:lineRule="auto"/>
        <w:rPr>
          <w:sz w:val="20"/>
          <w:szCs w:val="20"/>
          <w:color w:val="auto"/>
        </w:rPr>
      </w:pPr>
      <w:r>
        <w:rPr>
          <w:rFonts w:ascii="Times New Roman" w:cs="Times New Roman" w:eastAsia="Times New Roman" w:hAnsi="Times New Roman"/>
          <w:sz w:val="17"/>
          <w:szCs w:val="17"/>
          <w:color w:val="231F20"/>
        </w:rPr>
        <w:t>Clinical trials are almost always required to support a PMA and are sometimes required to support a 510(k) submission. In the United States, absent certain limited exceptions, human clinical trials intended to support medical device clearance or approval or to determine safety and effectiveness of a device for an investigational use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 approved in advance by the FDA for a specified number of subjects.</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33" w:right="419" w:bottom="1440" w:gutter="0" w:footer="0" w:header="0"/>
        </w:sectPr>
      </w:pPr>
    </w:p>
    <w:bookmarkStart w:id="19" w:name="page20"/>
    <w:bookmarkEnd w:id="19"/>
    <w:p>
      <w:pPr>
        <w:ind w:right="360" w:firstLine="419"/>
        <w:spacing w:after="0" w:line="312" w:lineRule="auto"/>
        <w:rPr>
          <w:sz w:val="20"/>
          <w:szCs w:val="20"/>
          <w:color w:val="auto"/>
        </w:rPr>
      </w:pPr>
      <w:r>
        <w:rPr>
          <w:rFonts w:ascii="Times New Roman" w:cs="Times New Roman" w:eastAsia="Times New Roman" w:hAnsi="Times New Roman"/>
          <w:sz w:val="17"/>
          <w:szCs w:val="17"/>
          <w:color w:val="231F20"/>
        </w:rPr>
        <w:t>If the device under evaluation does not present a significant risk to human health, then the device sponsor is not required to submit an IDE application to the FDA before initiating human clinical trials, but must still comply with abbreviated IDE requirements when conducting such trials.</w:t>
      </w:r>
    </w:p>
    <w:p>
      <w:pPr>
        <w:spacing w:after="0" w:line="140"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231F20"/>
        </w:rPr>
        <w:t xml:space="preserve">Regardless of the degree of risk presented by the medical device, clinical studies must be approved by, and conducted under the oversight of an institutional review board ("IRB") for each clinical site.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w:t>
      </w:r>
      <w:r>
        <w:rPr>
          <w:rFonts w:ascii="Times New Roman" w:cs="Times New Roman" w:eastAsia="Times New Roman" w:hAnsi="Times New Roman"/>
          <w:sz w:val="18"/>
          <w:szCs w:val="18"/>
          <w:color w:val="000000"/>
        </w:rPr>
        <w:t>Clinical trials are subject to extensive monitoring, recordkeeping and reporting requirements.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Clinical trials must be conducted under the oversight of an IRB, and the relevant clinical trial sites and must comply with FDA regulations, including but not limited to those relating to good clinical practices. To conduct a clinical trial, we also are required to obtain the subjects’ informed consent in form and substance that complies with both FDA requirements and state and federal privacy and human subject protection regulations. We, the FDA, or the IRB, could suspend a clinical trial at any time for various reasons, including a belief that the risks to study subjects outweigh the anticipated benefits. Even if a trial is completed, the results of clinical testing may not adequately demonstrate the safety and effectiveness of the device or may otherwise not be sufficient to obtain FDA clearance or approval to market the product in the United States. Similarly, in Europe, the clinical study must be approved by a local ethics committee and in some cases, including studies with high-risk devices, by the ministry of health in the applicable country.</w:t>
      </w:r>
    </w:p>
    <w:p>
      <w:pPr>
        <w:spacing w:after="0" w:line="190"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231F20"/>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reporting and recordkeeping requirements, and satisfy state and federal privacy and human subject protection regulations. Additionally, after a trial begins, we, the FDA or the IRB could suspend or terminate a clinical trial at any time for various reasons, including a belief that the potential benefits of the study are outweighed by cost, safety, or other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510(k) Clearance Process</w:t>
      </w:r>
    </w:p>
    <w:p>
      <w:pPr>
        <w:spacing w:after="0" w:line="229" w:lineRule="exact"/>
        <w:rPr>
          <w:sz w:val="20"/>
          <w:szCs w:val="20"/>
          <w:color w:val="auto"/>
        </w:rPr>
      </w:pPr>
    </w:p>
    <w:p>
      <w:pPr>
        <w:ind w:right="20" w:firstLine="419"/>
        <w:spacing w:after="0" w:line="282" w:lineRule="auto"/>
        <w:rPr>
          <w:sz w:val="20"/>
          <w:szCs w:val="20"/>
          <w:color w:val="auto"/>
        </w:rPr>
      </w:pPr>
      <w:r>
        <w:rPr>
          <w:rFonts w:ascii="Times New Roman" w:cs="Times New Roman" w:eastAsia="Times New Roman" w:hAnsi="Times New Roman"/>
          <w:sz w:val="18"/>
          <w:szCs w:val="18"/>
          <w:color w:val="231F20"/>
        </w:rPr>
        <w:t>Under the 510(k) process, the manufacturer must submit to the FDA a premarket notification submission demonstrating that the proposed device is “substantially equivalent,” as defined in the FDCA, to a legally marketed predicate device.</w:t>
      </w:r>
    </w:p>
    <w:p>
      <w:pPr>
        <w:spacing w:after="0" w:line="162" w:lineRule="exact"/>
        <w:rPr>
          <w:sz w:val="20"/>
          <w:szCs w:val="20"/>
          <w:color w:val="auto"/>
        </w:rPr>
      </w:pPr>
    </w:p>
    <w:p>
      <w:pPr>
        <w:ind w:right="60" w:firstLine="419"/>
        <w:spacing w:after="0" w:line="258" w:lineRule="auto"/>
        <w:rPr>
          <w:sz w:val="20"/>
          <w:szCs w:val="20"/>
          <w:color w:val="auto"/>
        </w:rPr>
      </w:pPr>
      <w:r>
        <w:rPr>
          <w:rFonts w:ascii="Times New Roman" w:cs="Times New Roman" w:eastAsia="Times New Roman" w:hAnsi="Times New Roman"/>
          <w:sz w:val="18"/>
          <w:szCs w:val="18"/>
          <w:color w:val="231F20"/>
        </w:rPr>
        <w:t>A predicate device is a legally marketed device that is not subject to premarket approval and for which a PMA is not required, a device that has been reclassified from Class III to Class II or I, or a device that was found substantially equivalent through the 510(k) process. A device is considered to be substantially equivalent if, with respect to the predicate device, it has the same intended use and has either (i) the same technological characteristics; or (ii) different technological characteristics, but the information provided in the 510(k) submission demonstrates that the device does not raise different questions of safety or effectiveness than the predicate device.</w:t>
      </w:r>
    </w:p>
    <w:p>
      <w:pPr>
        <w:spacing w:after="0" w:line="183" w:lineRule="exact"/>
        <w:rPr>
          <w:sz w:val="20"/>
          <w:szCs w:val="20"/>
          <w:color w:val="auto"/>
        </w:rPr>
      </w:pPr>
    </w:p>
    <w:p>
      <w:pPr>
        <w:ind w:right="120" w:firstLine="419"/>
        <w:spacing w:after="0" w:line="255" w:lineRule="auto"/>
        <w:rPr>
          <w:sz w:val="20"/>
          <w:szCs w:val="20"/>
          <w:color w:val="auto"/>
        </w:rPr>
      </w:pPr>
      <w:r>
        <w:rPr>
          <w:rFonts w:ascii="Times New Roman" w:cs="Times New Roman" w:eastAsia="Times New Roman" w:hAnsi="Times New Roman"/>
          <w:sz w:val="18"/>
          <w:szCs w:val="18"/>
          <w:color w:val="231F20"/>
        </w:rPr>
        <w:t>Before the FDA will accept a 510(k) premarket notification for substantive review, the FDA will first assess whether the submission satisfies a minimum threshold of acceptability. If a 510(k) submission is accepted for substantive review, the Medical Device User Fee Amendments sets a performance goal of 90 days for FDA review of a 510(k) submission, but the review time can be delayed if FDA raises questions or requests addition information during the review process. As a practical matter, clearance often takes longer than 90 days. Although many 510(k) premarket notifications are cleared without clinical data, the FDA may require further information, including clinical data, to make a determination regarding substantial equivalence, which may significantly prolong the review process. If the FDA agrees that the device is substantially equivalent, it will grant clearance to commercially market the device.</w:t>
      </w:r>
    </w:p>
    <w:p>
      <w:pPr>
        <w:spacing w:after="0" w:line="189" w:lineRule="exact"/>
        <w:rPr>
          <w:sz w:val="20"/>
          <w:szCs w:val="20"/>
          <w:color w:val="auto"/>
        </w:rPr>
      </w:pPr>
    </w:p>
    <w:p>
      <w:pPr>
        <w:ind w:firstLine="419"/>
        <w:spacing w:after="0" w:line="261" w:lineRule="auto"/>
        <w:rPr>
          <w:sz w:val="20"/>
          <w:szCs w:val="20"/>
          <w:color w:val="auto"/>
        </w:rPr>
      </w:pPr>
      <w:r>
        <w:rPr>
          <w:rFonts w:ascii="Times New Roman" w:cs="Times New Roman" w:eastAsia="Times New Roman" w:hAnsi="Times New Roman"/>
          <w:sz w:val="18"/>
          <w:szCs w:val="18"/>
          <w:color w:val="231F20"/>
        </w:rPr>
        <w:t>If the FDA determines that the device is substantially equivalent to a predicate device, it will grant 510(k) clearance to commercially market the device. If the FDA determines that the device is “not substantially equivalent” to a previously cleared device, the device is automatically designated as a Class III device. The device sponsor must then fulfill more rigorous requirements of the PMA approval process, or can request a risk-based classification determination for the device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37" w:right="439" w:bottom="1440" w:gutter="0" w:footer="0" w:header="0"/>
        </w:sectPr>
      </w:pPr>
    </w:p>
    <w:bookmarkStart w:id="20" w:name="page21"/>
    <w:bookmarkEnd w:id="20"/>
    <w:p>
      <w:pPr>
        <w:ind w:right="720"/>
        <w:spacing w:after="0" w:line="284" w:lineRule="auto"/>
        <w:rPr>
          <w:sz w:val="20"/>
          <w:szCs w:val="20"/>
          <w:color w:val="auto"/>
        </w:rPr>
      </w:pPr>
      <w:r>
        <w:rPr>
          <w:rFonts w:ascii="Times New Roman" w:cs="Times New Roman" w:eastAsia="Times New Roman" w:hAnsi="Times New Roman"/>
          <w:sz w:val="18"/>
          <w:szCs w:val="18"/>
          <w:color w:val="231F20"/>
        </w:rPr>
        <w:t>in accordance with the “</w:t>
      </w:r>
      <w:r>
        <w:rPr>
          <w:rFonts w:ascii="Times New Roman" w:cs="Times New Roman" w:eastAsia="Times New Roman" w:hAnsi="Times New Roman"/>
          <w:sz w:val="18"/>
          <w:szCs w:val="18"/>
          <w:i w:val="1"/>
          <w:iCs w:val="1"/>
          <w:color w:val="231F20"/>
        </w:rPr>
        <w:t>de novo</w:t>
      </w:r>
      <w:r>
        <w:rPr>
          <w:rFonts w:ascii="Times New Roman" w:cs="Times New Roman" w:eastAsia="Times New Roman" w:hAnsi="Times New Roman"/>
          <w:sz w:val="18"/>
          <w:szCs w:val="18"/>
          <w:color w:val="231F20"/>
        </w:rPr>
        <w:t>” process, which is a route to market for certain novel medical devices that are low to moderate risk and are not substantially equivalent to a predicate device.</w:t>
      </w:r>
    </w:p>
    <w:p>
      <w:pPr>
        <w:spacing w:after="0" w:line="160" w:lineRule="exact"/>
        <w:rPr>
          <w:sz w:val="20"/>
          <w:szCs w:val="20"/>
          <w:color w:val="auto"/>
        </w:rPr>
      </w:pPr>
    </w:p>
    <w:p>
      <w:pPr>
        <w:ind w:firstLine="419"/>
        <w:spacing w:after="0" w:line="256" w:lineRule="auto"/>
        <w:rPr>
          <w:sz w:val="20"/>
          <w:szCs w:val="20"/>
          <w:color w:val="auto"/>
        </w:rPr>
      </w:pPr>
      <w:r>
        <w:rPr>
          <w:rFonts w:ascii="Times New Roman" w:cs="Times New Roman" w:eastAsia="Times New Roman" w:hAnsi="Times New Roman"/>
          <w:sz w:val="18"/>
          <w:szCs w:val="18"/>
          <w:color w:val="231F20"/>
        </w:rPr>
        <w:t xml:space="preserve">After a device receives 510(k) clearance, any modification that could significantly affect its safety or effectiveness, or that would constitute a major change or modification in its intended use, will require a new 510(k) clearance or, depending on the modification, PMA approval or </w:t>
      </w:r>
      <w:r>
        <w:rPr>
          <w:rFonts w:ascii="Times New Roman" w:cs="Times New Roman" w:eastAsia="Times New Roman" w:hAnsi="Times New Roman"/>
          <w:sz w:val="18"/>
          <w:szCs w:val="18"/>
          <w:i w:val="1"/>
          <w:iCs w:val="1"/>
          <w:color w:val="231F20"/>
        </w:rPr>
        <w:t>de novo</w:t>
      </w:r>
      <w:r>
        <w:rPr>
          <w:rFonts w:ascii="Times New Roman" w:cs="Times New Roman" w:eastAsia="Times New Roman" w:hAnsi="Times New Roman"/>
          <w:sz w:val="18"/>
          <w:szCs w:val="18"/>
          <w:color w:val="231F20"/>
        </w:rPr>
        <w:t xml:space="preserve"> reclassification. The FDA requires each manufacturer to determine whether the proposed change requires submission of a 510(k), </w:t>
      </w:r>
      <w:r>
        <w:rPr>
          <w:rFonts w:ascii="Times New Roman" w:cs="Times New Roman" w:eastAsia="Times New Roman" w:hAnsi="Times New Roman"/>
          <w:sz w:val="18"/>
          <w:szCs w:val="18"/>
          <w:i w:val="1"/>
          <w:iCs w:val="1"/>
          <w:color w:val="231F20"/>
        </w:rPr>
        <w:t>de novo</w:t>
      </w:r>
      <w:r>
        <w:rPr>
          <w:rFonts w:ascii="Times New Roman" w:cs="Times New Roman" w:eastAsia="Times New Roman" w:hAnsi="Times New Roman"/>
          <w:sz w:val="18"/>
          <w:szCs w:val="18"/>
          <w:color w:val="231F20"/>
        </w:rPr>
        <w:t xml:space="preserve"> request or a PMA in the first instance, but the FDA may review this determination to evaluate the regulatory status of the modified product at any time and may require the manufacturer to cease marketing and/or request the recall of the modified device until 510(k) marketing clearance or PMA approval is obtained or a </w:t>
      </w:r>
      <w:r>
        <w:rPr>
          <w:rFonts w:ascii="Times New Roman" w:cs="Times New Roman" w:eastAsia="Times New Roman" w:hAnsi="Times New Roman"/>
          <w:sz w:val="18"/>
          <w:szCs w:val="18"/>
          <w:i w:val="1"/>
          <w:iCs w:val="1"/>
          <w:color w:val="231F20"/>
        </w:rPr>
        <w:t>de novo</w:t>
      </w:r>
      <w:r>
        <w:rPr>
          <w:rFonts w:ascii="Times New Roman" w:cs="Times New Roman" w:eastAsia="Times New Roman" w:hAnsi="Times New Roman"/>
          <w:sz w:val="18"/>
          <w:szCs w:val="18"/>
          <w:color w:val="231F20"/>
        </w:rPr>
        <w:t xml:space="preserve"> request is granted. Also, in these circumstances, the manufacturer may be subject to significant regulatory fines or penalties.</w:t>
      </w:r>
    </w:p>
    <w:p>
      <w:pPr>
        <w:spacing w:after="0" w:line="187" w:lineRule="exact"/>
        <w:rPr>
          <w:sz w:val="20"/>
          <w:szCs w:val="20"/>
          <w:color w:val="auto"/>
        </w:rPr>
      </w:pPr>
    </w:p>
    <w:p>
      <w:pPr>
        <w:ind w:firstLine="419"/>
        <w:spacing w:after="0" w:line="312" w:lineRule="auto"/>
        <w:rPr>
          <w:sz w:val="20"/>
          <w:szCs w:val="20"/>
          <w:color w:val="auto"/>
        </w:rPr>
      </w:pPr>
      <w:r>
        <w:rPr>
          <w:rFonts w:ascii="Times New Roman" w:cs="Times New Roman" w:eastAsia="Times New Roman" w:hAnsi="Times New Roman"/>
          <w:sz w:val="17"/>
          <w:szCs w:val="17"/>
          <w:color w:val="231F20"/>
        </w:rPr>
        <w:t>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Ongoing Regulation by the FDA</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Even after the FDA permits a device to be marketed, numerous and pervasive regulatory requirements continue to apply. These include:</w:t>
      </w:r>
    </w:p>
    <w:p>
      <w:pPr>
        <w:spacing w:after="0" w:line="225" w:lineRule="exact"/>
        <w:rPr>
          <w:sz w:val="20"/>
          <w:szCs w:val="20"/>
          <w:color w:val="auto"/>
        </w:rPr>
      </w:pPr>
    </w:p>
    <w:p>
      <w:pPr>
        <w:ind w:left="800" w:hanging="283"/>
        <w:spacing w:after="0"/>
        <w:tabs>
          <w:tab w:leader="none" w:pos="80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Establishment of registration and device listing with the FDA;</w:t>
      </w:r>
    </w:p>
    <w:p>
      <w:pPr>
        <w:spacing w:after="0" w:line="117" w:lineRule="exact"/>
        <w:rPr>
          <w:rFonts w:ascii="Times New Roman" w:cs="Times New Roman" w:eastAsia="Times New Roman" w:hAnsi="Times New Roman"/>
          <w:sz w:val="18"/>
          <w:szCs w:val="18"/>
          <w:color w:val="231F20"/>
        </w:rPr>
      </w:pPr>
    </w:p>
    <w:p>
      <w:pPr>
        <w:jc w:val="both"/>
        <w:ind w:left="800" w:right="940" w:hanging="283"/>
        <w:spacing w:after="0" w:line="266" w:lineRule="auto"/>
        <w:tabs>
          <w:tab w:leader="none" w:pos="80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QSR requirements, which require manufacturers, including third-party manufacturers, to follow stringent design, testing, control, supplier/contractor selection, compliant handling, documentation and other quality assurance procedures during all aspects of the design and manufacturing process;</w:t>
      </w:r>
    </w:p>
    <w:p>
      <w:pPr>
        <w:spacing w:after="0" w:line="67" w:lineRule="exact"/>
        <w:rPr>
          <w:rFonts w:ascii="Times New Roman" w:cs="Times New Roman" w:eastAsia="Times New Roman" w:hAnsi="Times New Roman"/>
          <w:sz w:val="18"/>
          <w:szCs w:val="18"/>
          <w:color w:val="231F20"/>
        </w:rPr>
      </w:pPr>
    </w:p>
    <w:p>
      <w:pPr>
        <w:jc w:val="both"/>
        <w:ind w:left="800" w:right="880" w:hanging="283"/>
        <w:spacing w:after="0" w:line="266" w:lineRule="auto"/>
        <w:tabs>
          <w:tab w:leader="none" w:pos="80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Labeling regulations, advertising and promotion requirements, restrictions on sale, distribution or sale of a device, each including the FDA prohibition against the promotion of products for any uses other than those authorized by the FDA, which are commonly known as “off-label” uses;</w:t>
      </w:r>
    </w:p>
    <w:p>
      <w:pPr>
        <w:spacing w:after="0" w:line="67" w:lineRule="exact"/>
        <w:rPr>
          <w:rFonts w:ascii="Times New Roman" w:cs="Times New Roman" w:eastAsia="Times New Roman" w:hAnsi="Times New Roman"/>
          <w:sz w:val="18"/>
          <w:szCs w:val="18"/>
          <w:color w:val="231F20"/>
        </w:rPr>
      </w:pPr>
    </w:p>
    <w:p>
      <w:pPr>
        <w:ind w:left="800" w:right="860" w:hanging="283"/>
        <w:spacing w:after="0" w:line="266" w:lineRule="auto"/>
        <w:tabs>
          <w:tab w:leader="none" w:pos="80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67" w:lineRule="exact"/>
        <w:rPr>
          <w:rFonts w:ascii="Times New Roman" w:cs="Times New Roman" w:eastAsia="Times New Roman" w:hAnsi="Times New Roman"/>
          <w:sz w:val="18"/>
          <w:szCs w:val="18"/>
          <w:color w:val="231F20"/>
        </w:rPr>
      </w:pPr>
    </w:p>
    <w:p>
      <w:pPr>
        <w:ind w:left="800" w:right="840" w:hanging="283"/>
        <w:spacing w:after="0" w:line="266" w:lineRule="auto"/>
        <w:tabs>
          <w:tab w:leader="none" w:pos="80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Medical device correction and removal reporting regulations, which require that manufacturers report to the FDA field corrections or removals if undertaken to reduce a risk to health posed by the device or to remedy a violation of the FDCA that may present a risk to health;</w:t>
      </w:r>
    </w:p>
    <w:p>
      <w:pPr>
        <w:spacing w:after="0" w:line="67" w:lineRule="exact"/>
        <w:rPr>
          <w:rFonts w:ascii="Times New Roman" w:cs="Times New Roman" w:eastAsia="Times New Roman" w:hAnsi="Times New Roman"/>
          <w:sz w:val="18"/>
          <w:szCs w:val="18"/>
          <w:color w:val="231F20"/>
        </w:rPr>
      </w:pPr>
    </w:p>
    <w:p>
      <w:pPr>
        <w:ind w:left="800" w:right="960" w:hanging="283"/>
        <w:spacing w:after="0" w:line="282" w:lineRule="auto"/>
        <w:tabs>
          <w:tab w:leader="none" w:pos="80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Recall requirements, including a mandatory recall if there is a reasonable probability that the device would cause serious adverse health consequences or death;</w:t>
      </w:r>
    </w:p>
    <w:p>
      <w:pPr>
        <w:spacing w:after="0" w:line="53"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order of repair, replacement, or refund;</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Device tracking requirements; and</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Post-market study and surveillance requirements.</w:t>
      </w:r>
    </w:p>
    <w:p>
      <w:pPr>
        <w:spacing w:after="0" w:line="225" w:lineRule="exact"/>
        <w:rPr>
          <w:sz w:val="20"/>
          <w:szCs w:val="20"/>
          <w:color w:val="auto"/>
        </w:rPr>
      </w:pPr>
    </w:p>
    <w:p>
      <w:pPr>
        <w:ind w:firstLine="419"/>
        <w:spacing w:after="0" w:line="256" w:lineRule="auto"/>
        <w:rPr>
          <w:sz w:val="20"/>
          <w:szCs w:val="20"/>
          <w:color w:val="auto"/>
        </w:rPr>
      </w:pPr>
      <w:r>
        <w:rPr>
          <w:rFonts w:ascii="Times New Roman" w:cs="Times New Roman" w:eastAsia="Times New Roman" w:hAnsi="Times New Roman"/>
          <w:sz w:val="18"/>
          <w:szCs w:val="18"/>
          <w:color w:val="231F20"/>
        </w:rPr>
        <w:t>After a device receives 510(k) clearance, any modification that could significantly affect its safety or effectiveness, or that would constitute a major change in its intended use, will require a new 510(k) or possibly a PMA. The FDA requires each manufacturer to make this determination initially, but the FDA can review any such decision and can disagree with a manufacturer’s determination. If the FDA disagrees with our determination not to seek a new 510(k) clearance, the FDA may retroactively require us to seek 510(k) clearance or possibly a PMA. The FDA could also require us to cease marketing and distribution and/or recall the modified device until 510(k) clearance or a PMA is obtained. Also, in these circumstances, we may be subject to significant regulatory fines and penalties.</w:t>
      </w:r>
    </w:p>
    <w:p>
      <w:pPr>
        <w:spacing w:after="0" w:line="187" w:lineRule="exact"/>
        <w:rPr>
          <w:sz w:val="20"/>
          <w:szCs w:val="20"/>
          <w:color w:val="auto"/>
        </w:rPr>
      </w:pPr>
    </w:p>
    <w:p>
      <w:pPr>
        <w:jc w:val="both"/>
        <w:ind w:right="60" w:firstLine="419"/>
        <w:spacing w:after="0" w:line="266" w:lineRule="auto"/>
        <w:rPr>
          <w:sz w:val="20"/>
          <w:szCs w:val="20"/>
          <w:color w:val="auto"/>
        </w:rPr>
      </w:pPr>
      <w:r>
        <w:rPr>
          <w:rFonts w:ascii="Times New Roman" w:cs="Times New Roman" w:eastAsia="Times New Roman" w:hAnsi="Times New Roman"/>
          <w:sz w:val="18"/>
          <w:szCs w:val="18"/>
          <w:color w:val="231F20"/>
        </w:rPr>
        <w:t>Some changes to an approved PMA device, including changes in indications, labeling, or manufacturing processes or facilities, require submission and FDA approval of a new PMA application or PMA supplement, as appropriate, before the change can be implemented. Supplements to a PMA often require the submission of the same type of information required</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35" w:right="419" w:bottom="1440" w:gutter="0" w:footer="0" w:header="0"/>
        </w:sectPr>
      </w:pPr>
    </w:p>
    <w:bookmarkStart w:id="21" w:name="page22"/>
    <w:bookmarkEnd w:id="21"/>
    <w:p>
      <w:pPr>
        <w:jc w:val="both"/>
        <w:ind w:right="360"/>
        <w:spacing w:after="0" w:line="266" w:lineRule="auto"/>
        <w:rPr>
          <w:sz w:val="20"/>
          <w:szCs w:val="20"/>
          <w:color w:val="auto"/>
        </w:rPr>
      </w:pPr>
      <w:r>
        <w:rPr>
          <w:rFonts w:ascii="Times New Roman" w:cs="Times New Roman" w:eastAsia="Times New Roman" w:hAnsi="Times New Roman"/>
          <w:sz w:val="18"/>
          <w:szCs w:val="18"/>
          <w:color w:val="231F20"/>
        </w:rPr>
        <w:t>for an original PMA application, except that the supplement is generally limited to that information needed to support the proposed change from the device covered by the original PMA. The FDA uses the same procedures and actions in reviewing PMA supplements as it does in reviewing original PMA applications.</w:t>
      </w:r>
    </w:p>
    <w:p>
      <w:pPr>
        <w:spacing w:after="0" w:line="176" w:lineRule="exact"/>
        <w:rPr>
          <w:sz w:val="20"/>
          <w:szCs w:val="20"/>
          <w:color w:val="auto"/>
        </w:rPr>
      </w:pPr>
    </w:p>
    <w:p>
      <w:pPr>
        <w:ind w:right="140" w:firstLine="419"/>
        <w:spacing w:after="0" w:line="258" w:lineRule="auto"/>
        <w:rPr>
          <w:sz w:val="20"/>
          <w:szCs w:val="20"/>
          <w:color w:val="auto"/>
        </w:rPr>
      </w:pPr>
      <w:r>
        <w:rPr>
          <w:rFonts w:ascii="Times New Roman" w:cs="Times New Roman" w:eastAsia="Times New Roman" w:hAnsi="Times New Roman"/>
          <w:sz w:val="18"/>
          <w:szCs w:val="18"/>
          <w:color w:val="231F20"/>
        </w:rPr>
        <w:t>FDA regulations require us to register as a medical device manufacturer with the FDA. Additionally, some states also require medical device manufacturers and/or distributors doing business within the state to register with the state or apply for a state license, which could subject our facility to state inspection as well as FDA inspection on a routine basis for compliance with the QSR and any applicable state requirements. These regulations require that we manufacture our products and maintain related documentation in a prescribed manner with respect to manufacturing, testing and control activities.</w:t>
      </w:r>
    </w:p>
    <w:p>
      <w:pPr>
        <w:spacing w:after="0" w:line="183"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231F20"/>
        </w:rPr>
        <w:t>Manufacturing processes for medical devices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As a manufacturer, we are subject to periodic scheduled or unscheduled inspections by the FDA. Failure to maintain compliance with the QSR requirements could result in the shutdown of, or restrictions on, manufacturing operations and the recall or seizure of marketed products, which would have a material adverse effect on our business.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192" w:lineRule="exact"/>
        <w:rPr>
          <w:sz w:val="20"/>
          <w:szCs w:val="20"/>
          <w:color w:val="auto"/>
        </w:rPr>
      </w:pPr>
    </w:p>
    <w:p>
      <w:pPr>
        <w:ind w:right="520" w:firstLine="419"/>
        <w:spacing w:after="0" w:line="312" w:lineRule="auto"/>
        <w:rPr>
          <w:sz w:val="20"/>
          <w:szCs w:val="20"/>
          <w:color w:val="auto"/>
        </w:rPr>
      </w:pPr>
      <w:r>
        <w:rPr>
          <w:rFonts w:ascii="Times New Roman" w:cs="Times New Roman" w:eastAsia="Times New Roman" w:hAnsi="Times New Roman"/>
          <w:sz w:val="17"/>
          <w:szCs w:val="17"/>
          <w:color w:val="231F20"/>
        </w:rPr>
        <w:t>The FDA has broad regulatory compliance and enforcement powers. If the FDA determines that a manufacturer has failed to comply with applicable regulatory requirements, it can take a variety of compliance or enforcement actions, which may result in any of the following sanctions:</w:t>
      </w:r>
    </w:p>
    <w:p>
      <w:pPr>
        <w:spacing w:after="0" w:line="140" w:lineRule="exact"/>
        <w:rPr>
          <w:sz w:val="20"/>
          <w:szCs w:val="20"/>
          <w:color w:val="auto"/>
        </w:rPr>
      </w:pPr>
    </w:p>
    <w:p>
      <w:pPr>
        <w:ind w:left="800" w:hanging="283"/>
        <w:spacing w:after="0"/>
        <w:tabs>
          <w:tab w:leader="none" w:pos="80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Warning letters, untitled letters, fines, injunctions, consent decrees and civil penalties;</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Recalls, withdrawals, or administrative detention or seizure of our products;</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Operating restrictions or partial suspension or total shutdown of production;</w:t>
      </w:r>
    </w:p>
    <w:p>
      <w:pPr>
        <w:spacing w:after="0" w:line="117" w:lineRule="exact"/>
        <w:rPr>
          <w:rFonts w:ascii="Times New Roman" w:cs="Times New Roman" w:eastAsia="Times New Roman" w:hAnsi="Times New Roman"/>
          <w:sz w:val="18"/>
          <w:szCs w:val="18"/>
          <w:color w:val="231F20"/>
        </w:rPr>
      </w:pPr>
    </w:p>
    <w:p>
      <w:pPr>
        <w:ind w:left="800" w:right="900" w:hanging="283"/>
        <w:spacing w:after="0" w:line="282" w:lineRule="auto"/>
        <w:tabs>
          <w:tab w:leader="none" w:pos="80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Refusing or delays in processing, clearing, or approving submissions or applications for new products or modifications to existing products;</w:t>
      </w:r>
    </w:p>
    <w:p>
      <w:pPr>
        <w:spacing w:after="0" w:line="53"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Suspension or withdrawal of 510(k) clearances or PMA approvals that have already been granted;</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FDA refusal to issue certification to foreign governments needed to export our products for sale in other countries; or</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Criminal prosecution.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International Regulation of Our Products</w:t>
      </w:r>
    </w:p>
    <w:p>
      <w:pPr>
        <w:spacing w:after="0" w:line="229" w:lineRule="exact"/>
        <w:rPr>
          <w:sz w:val="20"/>
          <w:szCs w:val="20"/>
          <w:color w:val="auto"/>
        </w:rPr>
      </w:pPr>
    </w:p>
    <w:p>
      <w:pPr>
        <w:ind w:right="160" w:firstLine="419"/>
        <w:spacing w:after="0" w:line="261" w:lineRule="auto"/>
        <w:rPr>
          <w:sz w:val="20"/>
          <w:szCs w:val="20"/>
          <w:color w:val="auto"/>
        </w:rPr>
      </w:pPr>
      <w:r>
        <w:rPr>
          <w:rFonts w:ascii="Times New Roman" w:cs="Times New Roman" w:eastAsia="Times New Roman" w:hAnsi="Times New Roman"/>
          <w:sz w:val="18"/>
          <w:szCs w:val="18"/>
          <w:color w:val="231F20"/>
        </w:rPr>
        <w:t>Our research, development, and clinical programs, as well as our manufacturing and marketing operations, are subject to extensive regulation in other countries. For example, the EU has adopted specific directives regulating the design, manufacture, clinical investigations, conformity assessment, labeling and adverse event reporting for medical devices. EU directives must be implemented into the national laws of the EU member states and national laws may vary from one member state to another.</w:t>
      </w:r>
    </w:p>
    <w:p>
      <w:pPr>
        <w:spacing w:after="0" w:line="180" w:lineRule="exact"/>
        <w:rPr>
          <w:sz w:val="20"/>
          <w:szCs w:val="20"/>
          <w:color w:val="auto"/>
        </w:rPr>
      </w:pPr>
    </w:p>
    <w:p>
      <w:pPr>
        <w:ind w:right="20" w:firstLine="419"/>
        <w:spacing w:after="0" w:line="255" w:lineRule="auto"/>
        <w:rPr>
          <w:sz w:val="20"/>
          <w:szCs w:val="20"/>
          <w:color w:val="auto"/>
        </w:rPr>
      </w:pPr>
      <w:r>
        <w:rPr>
          <w:rFonts w:ascii="Times New Roman" w:cs="Times New Roman" w:eastAsia="Times New Roman" w:hAnsi="Times New Roman"/>
          <w:sz w:val="18"/>
          <w:szCs w:val="18"/>
          <w:color w:val="231F20"/>
        </w:rPr>
        <w:t>Until May 25, 2021, medical devices were regulated by Council Directive 93/42/EEC ("Medical Devices Directive") which has been repealed and replaced by Regulation (EU) No 2017/745 ("EU MDR"). Our current certificates have been granted under the Medical Devices Directive. However, as of May 26, 2021, some of the EU MDR requirements apply in place of the corresponding requirements of the Medical Devices Directive, with regard to registration of economic operators and of devices, post-market surveillance and vigilance requirements. Pursuing marketing of medical devices in the EU will notably require that our device be certified under the new regime set forth in the EU MDR when our current certificates expire. The current expiration date for our OMNI system certificate is May 26, 2024; however, on January 6, 2023, the European Commission issued a proposal that was subsequently approved by the European Parliament and</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37" w:right="399" w:bottom="1440" w:gutter="0" w:footer="0" w:header="0"/>
        </w:sectPr>
      </w:pPr>
    </w:p>
    <w:bookmarkStart w:id="22" w:name="page23"/>
    <w:bookmarkEnd w:id="22"/>
    <w:p>
      <w:pPr>
        <w:ind w:right="20"/>
        <w:spacing w:after="0" w:line="282" w:lineRule="auto"/>
        <w:rPr>
          <w:sz w:val="20"/>
          <w:szCs w:val="20"/>
          <w:color w:val="auto"/>
        </w:rPr>
      </w:pPr>
      <w:r>
        <w:rPr>
          <w:rFonts w:ascii="Times New Roman" w:cs="Times New Roman" w:eastAsia="Times New Roman" w:hAnsi="Times New Roman"/>
          <w:sz w:val="18"/>
          <w:szCs w:val="18"/>
          <w:color w:val="231F20"/>
        </w:rPr>
        <w:t xml:space="preserve">Council. This will extend the period during which devices similar to our OMNI device can continue to be placed in the EU market from May </w:t>
      </w:r>
      <w:r>
        <w:rPr>
          <w:rFonts w:ascii="Times New Roman" w:cs="Times New Roman" w:eastAsia="Times New Roman" w:hAnsi="Times New Roman"/>
          <w:sz w:val="18"/>
          <w:szCs w:val="18"/>
          <w:color w:val="212121"/>
        </w:rPr>
        <w:t>2</w:t>
      </w:r>
      <w:r>
        <w:rPr>
          <w:rFonts w:ascii="Times New Roman" w:cs="Times New Roman" w:eastAsia="Times New Roman" w:hAnsi="Times New Roman"/>
          <w:sz w:val="18"/>
          <w:szCs w:val="18"/>
          <w:color w:val="231F20"/>
        </w:rPr>
        <w:t>6, 2024 to May 2028. The measure becomes effective upon publication in the EU Commission Journal.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Medical Devices Regulation</w:t>
      </w:r>
    </w:p>
    <w:p>
      <w:pPr>
        <w:spacing w:after="0" w:line="227" w:lineRule="exact"/>
        <w:rPr>
          <w:sz w:val="20"/>
          <w:szCs w:val="20"/>
          <w:color w:val="auto"/>
        </w:rPr>
      </w:pPr>
    </w:p>
    <w:p>
      <w:pPr>
        <w:ind w:right="180" w:firstLine="419"/>
        <w:spacing w:after="0" w:line="261" w:lineRule="auto"/>
        <w:rPr>
          <w:sz w:val="20"/>
          <w:szCs w:val="20"/>
          <w:color w:val="auto"/>
        </w:rPr>
      </w:pPr>
      <w:r>
        <w:rPr>
          <w:rFonts w:ascii="Times New Roman" w:cs="Times New Roman" w:eastAsia="Times New Roman" w:hAnsi="Times New Roman"/>
          <w:sz w:val="18"/>
          <w:szCs w:val="18"/>
          <w:color w:val="231F20"/>
        </w:rPr>
        <w:t>On April 5, 2017, the EU MDR was adopted. The EU MDR establishes a uniform, transparent, predictable and sustainable regulatory framework across the EU for medical devices and ensure a high level of safety and health while supporting innovation. Unlike the Medical Devices Directive, the EU MDR is directly applicable in EU member states without the need for member states to implement into national law. This aims at increasing harmonization across the EU.</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 xml:space="preserve">The EU MDR </w:t>
      </w:r>
      <w:r>
        <w:rPr>
          <w:rFonts w:ascii="Times New Roman" w:cs="Times New Roman" w:eastAsia="Times New Roman" w:hAnsi="Times New Roman"/>
          <w:sz w:val="18"/>
          <w:szCs w:val="18"/>
          <w:color w:val="000000"/>
        </w:rPr>
        <w:t>became effective on May 26, 2021.</w:t>
      </w:r>
      <w:r>
        <w:rPr>
          <w:rFonts w:ascii="Times New Roman" w:cs="Times New Roman" w:eastAsia="Times New Roman" w:hAnsi="Times New Roman"/>
          <w:sz w:val="18"/>
          <w:szCs w:val="18"/>
          <w:color w:val="231F20"/>
        </w:rPr>
        <w:t xml:space="preserve"> The new regulation among other things:</w:t>
      </w:r>
    </w:p>
    <w:p>
      <w:pPr>
        <w:spacing w:after="0" w:line="225" w:lineRule="exact"/>
        <w:rPr>
          <w:sz w:val="20"/>
          <w:szCs w:val="20"/>
          <w:color w:val="auto"/>
        </w:rPr>
      </w:pPr>
    </w:p>
    <w:p>
      <w:pPr>
        <w:ind w:left="800" w:right="1060" w:hanging="283"/>
        <w:spacing w:after="0" w:line="282" w:lineRule="auto"/>
        <w:tabs>
          <w:tab w:leader="none" w:pos="80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strengthens the rules on placing devices on the market </w:t>
      </w:r>
      <w:r>
        <w:rPr>
          <w:rFonts w:ascii="Times New Roman" w:cs="Times New Roman" w:eastAsia="Times New Roman" w:hAnsi="Times New Roman"/>
          <w:sz w:val="18"/>
          <w:szCs w:val="18"/>
          <w:color w:val="000000"/>
        </w:rPr>
        <w:t>(e.g. reclassification of certain devices and wider scope than the Medical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Devices Directive) </w:t>
      </w:r>
      <w:r>
        <w:rPr>
          <w:rFonts w:ascii="Times New Roman" w:cs="Times New Roman" w:eastAsia="Times New Roman" w:hAnsi="Times New Roman"/>
          <w:sz w:val="18"/>
          <w:szCs w:val="18"/>
          <w:color w:val="231F20"/>
        </w:rPr>
        <w:t>and reinforces surveillance once they are available;</w:t>
      </w:r>
    </w:p>
    <w:p>
      <w:pPr>
        <w:spacing w:after="0" w:line="53" w:lineRule="exact"/>
        <w:rPr>
          <w:rFonts w:ascii="Times New Roman" w:cs="Times New Roman" w:eastAsia="Times New Roman" w:hAnsi="Times New Roman"/>
          <w:sz w:val="18"/>
          <w:szCs w:val="18"/>
          <w:color w:val="231F20"/>
        </w:rPr>
      </w:pPr>
    </w:p>
    <w:p>
      <w:pPr>
        <w:ind w:left="800" w:right="760" w:hanging="283"/>
        <w:spacing w:after="0" w:line="282" w:lineRule="auto"/>
        <w:tabs>
          <w:tab w:leader="none" w:pos="80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establishes explicit provisions on manufacturers’ responsibilities for the follow-up of the quality, performance and safety of devices placed on the market;</w:t>
      </w:r>
    </w:p>
    <w:p>
      <w:pPr>
        <w:spacing w:after="0" w:line="53"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w:t>
      </w:r>
      <w:r>
        <w:rPr>
          <w:rFonts w:ascii="Times New Roman" w:cs="Times New Roman" w:eastAsia="Times New Roman" w:hAnsi="Times New Roman"/>
          <w:sz w:val="18"/>
          <w:szCs w:val="18"/>
          <w:color w:val="000000"/>
        </w:rPr>
        <w:t>shes explicit provisions on importers’ and distributors’ obligations and responsibilities;</w:t>
      </w:r>
    </w:p>
    <w:p>
      <w:pPr>
        <w:spacing w:after="0" w:line="117" w:lineRule="exact"/>
        <w:rPr>
          <w:rFonts w:ascii="Times New Roman" w:cs="Times New Roman" w:eastAsia="Times New Roman" w:hAnsi="Times New Roman"/>
          <w:sz w:val="18"/>
          <w:szCs w:val="18"/>
          <w:color w:val="231F20"/>
        </w:rPr>
      </w:pPr>
    </w:p>
    <w:p>
      <w:pPr>
        <w:ind w:left="800" w:right="1440" w:hanging="283"/>
        <w:spacing w:after="0" w:line="282" w:lineRule="auto"/>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an obligation to identify a responsible person who is ultimately responsible for all aspects of compliance with the requirements of the new regulation;</w:t>
      </w:r>
    </w:p>
    <w:p>
      <w:pPr>
        <w:spacing w:after="0" w:line="53" w:lineRule="exact"/>
        <w:rPr>
          <w:rFonts w:ascii="Times New Roman" w:cs="Times New Roman" w:eastAsia="Times New Roman" w:hAnsi="Times New Roman"/>
          <w:sz w:val="18"/>
          <w:szCs w:val="18"/>
          <w:color w:val="auto"/>
        </w:rPr>
      </w:pPr>
    </w:p>
    <w:p>
      <w:pPr>
        <w:ind w:left="800" w:right="720" w:hanging="283"/>
        <w:spacing w:after="0" w:line="266" w:lineRule="auto"/>
        <w:tabs>
          <w:tab w:leader="none" w:pos="80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improves the traceability of medical devices throughout the supply chain to the end-user or patient through </w:t>
      </w:r>
      <w:r>
        <w:rPr>
          <w:rFonts w:ascii="Times New Roman" w:cs="Times New Roman" w:eastAsia="Times New Roman" w:hAnsi="Times New Roman"/>
          <w:sz w:val="18"/>
          <w:szCs w:val="18"/>
          <w:color w:val="000000"/>
        </w:rPr>
        <w:t>the introduction of a</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unique identification number, to increase the ability of manufacturers and regulatory authorities to trace specific devices through the supply chain and to facilitate the prompt and efficient recall of medical devices that have been found to present a safety risk</w:t>
      </w:r>
      <w:r>
        <w:rPr>
          <w:rFonts w:ascii="Times New Roman" w:cs="Times New Roman" w:eastAsia="Times New Roman" w:hAnsi="Times New Roman"/>
          <w:sz w:val="18"/>
          <w:szCs w:val="18"/>
          <w:color w:val="231F20"/>
        </w:rPr>
        <w:t>;</w:t>
      </w:r>
    </w:p>
    <w:p>
      <w:pPr>
        <w:spacing w:after="0" w:line="67" w:lineRule="exact"/>
        <w:rPr>
          <w:rFonts w:ascii="Times New Roman" w:cs="Times New Roman" w:eastAsia="Times New Roman" w:hAnsi="Times New Roman"/>
          <w:sz w:val="18"/>
          <w:szCs w:val="18"/>
          <w:color w:val="231F20"/>
        </w:rPr>
      </w:pPr>
    </w:p>
    <w:p>
      <w:pPr>
        <w:ind w:left="800" w:right="760" w:hanging="283"/>
        <w:spacing w:after="0" w:line="282" w:lineRule="auto"/>
        <w:tabs>
          <w:tab w:leader="none" w:pos="80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sets up a central database ("Eudamed") to provide patients, healthcare professionals and the public with comprehensive information on products available in the EU; and</w:t>
      </w:r>
    </w:p>
    <w:p>
      <w:pPr>
        <w:spacing w:after="0" w:line="53" w:lineRule="exact"/>
        <w:rPr>
          <w:rFonts w:ascii="Times New Roman" w:cs="Times New Roman" w:eastAsia="Times New Roman" w:hAnsi="Times New Roman"/>
          <w:sz w:val="18"/>
          <w:szCs w:val="18"/>
          <w:color w:val="231F20"/>
        </w:rPr>
      </w:pPr>
    </w:p>
    <w:p>
      <w:pPr>
        <w:ind w:left="800" w:right="1320" w:hanging="283"/>
        <w:spacing w:after="0" w:line="282" w:lineRule="auto"/>
        <w:tabs>
          <w:tab w:leader="none" w:pos="80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strengthens the rules for the assessment of certain high-risk devices, </w:t>
      </w:r>
      <w:r>
        <w:rPr>
          <w:rFonts w:ascii="Times New Roman" w:cs="Times New Roman" w:eastAsia="Times New Roman" w:hAnsi="Times New Roman"/>
          <w:sz w:val="18"/>
          <w:szCs w:val="18"/>
          <w:color w:val="000000"/>
        </w:rPr>
        <w:t>such as implants,</w:t>
      </w:r>
      <w:r>
        <w:rPr>
          <w:rFonts w:ascii="Times New Roman" w:cs="Times New Roman" w:eastAsia="Times New Roman" w:hAnsi="Times New Roman"/>
          <w:sz w:val="18"/>
          <w:szCs w:val="18"/>
          <w:color w:val="231F20"/>
        </w:rPr>
        <w:t xml:space="preserve"> which may have to undergo </w:t>
      </w:r>
      <w:r>
        <w:rPr>
          <w:rFonts w:ascii="Times New Roman" w:cs="Times New Roman" w:eastAsia="Times New Roman" w:hAnsi="Times New Roman"/>
          <w:sz w:val="18"/>
          <w:szCs w:val="18"/>
          <w:color w:val="000000"/>
        </w:rPr>
        <w:t>a clinical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evaluation consultation procedure by experts </w:t>
      </w:r>
      <w:r>
        <w:rPr>
          <w:rFonts w:ascii="Times New Roman" w:cs="Times New Roman" w:eastAsia="Times New Roman" w:hAnsi="Times New Roman"/>
          <w:sz w:val="18"/>
          <w:szCs w:val="18"/>
          <w:color w:val="231F20"/>
        </w:rPr>
        <w:t>before they are placed on the market.</w:t>
      </w:r>
    </w:p>
    <w:p>
      <w:pPr>
        <w:spacing w:after="0" w:line="162" w:lineRule="exact"/>
        <w:rPr>
          <w:sz w:val="20"/>
          <w:szCs w:val="20"/>
          <w:color w:val="auto"/>
        </w:rPr>
      </w:pPr>
    </w:p>
    <w:p>
      <w:pPr>
        <w:ind w:right="60" w:firstLine="419"/>
        <w:spacing w:after="0" w:line="255" w:lineRule="auto"/>
        <w:rPr>
          <w:sz w:val="20"/>
          <w:szCs w:val="20"/>
          <w:color w:val="auto"/>
        </w:rPr>
      </w:pPr>
      <w:r>
        <w:rPr>
          <w:rFonts w:ascii="Times New Roman" w:cs="Times New Roman" w:eastAsia="Times New Roman" w:hAnsi="Times New Roman"/>
          <w:sz w:val="18"/>
          <w:szCs w:val="18"/>
          <w:color w:val="231F20"/>
        </w:rPr>
        <w:t xml:space="preserve">The aforementioned EU rules are generally applicable in the European Economic Area ("EEA"), which consists of the 27 EU member states plus Norway, Liechtenstein and Iceland. Other countries, such as Switzerland, have entered into Mutual Recognition Agreements and allow the marketing of medical devices that meet EU requirements. </w:t>
      </w:r>
      <w:r>
        <w:rPr>
          <w:rFonts w:ascii="Times New Roman" w:cs="Times New Roman" w:eastAsia="Times New Roman" w:hAnsi="Times New Roman"/>
          <w:sz w:val="18"/>
          <w:szCs w:val="18"/>
          <w:color w:val="000000"/>
        </w:rPr>
        <w:t>As of January 1, 2021, the United Kingdom has entered a transition period following Brexit. During that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period, the UK Medical Devices Regulations ("UK MDR") 2002 remains applicable in England, Scotland and Wales (Great Britain). During 2021, a UK Responsible Person was appointed and we registered the OMNI System with the Medicines and Healthcare products regulatory agency. Valid CE marks will continue to be accepted in Great Britain, and the requirement to obtain a UK Conformity Assessed ("UKCA") mark has been delayed until July 2024.</w:t>
      </w:r>
    </w:p>
    <w:p>
      <w:pPr>
        <w:spacing w:after="0" w:line="189" w:lineRule="exact"/>
        <w:rPr>
          <w:sz w:val="20"/>
          <w:szCs w:val="20"/>
          <w:color w:val="auto"/>
        </w:rPr>
      </w:pPr>
    </w:p>
    <w:p>
      <w:pPr>
        <w:ind w:right="20" w:firstLine="419"/>
        <w:spacing w:after="0" w:line="261" w:lineRule="auto"/>
        <w:rPr>
          <w:sz w:val="20"/>
          <w:szCs w:val="20"/>
          <w:color w:val="auto"/>
        </w:rPr>
      </w:pPr>
      <w:r>
        <w:rPr>
          <w:rFonts w:ascii="Times New Roman" w:cs="Times New Roman" w:eastAsia="Times New Roman" w:hAnsi="Times New Roman"/>
          <w:sz w:val="18"/>
          <w:szCs w:val="18"/>
          <w:color w:val="231F20"/>
        </w:rPr>
        <w:t>The current expiration date for our OMNI system certificate is on May 26, 2024. However, on January 6, 2023, the European Commission issued a proposal that was subsequently approved by the European Parliament and Council. This proposal, which becomes effective upon its publication in the EU Commission Journal, will extend the period during which devices similar to our OMNI device can continue to be placed on the EU market from May 26, 2024 to December 31, 2028.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Healthcare Fraud and Abuse Laws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In the United States, we are subject to a number of federal and state healthcare regulatory laws that restrict business practices in the healthcare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industry. These laws include, but are not limited to, federal and state anti- kickback, false claims, transparency and other healthcare fraud and abuse laws.</w:t>
      </w:r>
    </w:p>
    <w:p>
      <w:pPr>
        <w:spacing w:after="0" w:line="218" w:lineRule="exact"/>
        <w:rPr>
          <w:sz w:val="20"/>
          <w:szCs w:val="20"/>
          <w:color w:val="auto"/>
        </w:rPr>
      </w:pPr>
    </w:p>
    <w:p>
      <w:pPr>
        <w:ind w:right="160" w:firstLine="419"/>
        <w:spacing w:after="0" w:line="258" w:lineRule="auto"/>
        <w:rPr>
          <w:sz w:val="20"/>
          <w:szCs w:val="20"/>
          <w:color w:val="auto"/>
        </w:rPr>
      </w:pPr>
      <w:r>
        <w:rPr>
          <w:rFonts w:ascii="Times New Roman" w:cs="Times New Roman" w:eastAsia="Times New Roman" w:hAnsi="Times New Roman"/>
          <w:sz w:val="18"/>
          <w:szCs w:val="18"/>
          <w:color w:val="231F20"/>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including cash, improper</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37" w:right="419" w:bottom="1440" w:gutter="0" w:footer="0" w:header="0"/>
        </w:sectPr>
      </w:pPr>
    </w:p>
    <w:bookmarkStart w:id="23" w:name="page24"/>
    <w:bookmarkEnd w:id="23"/>
    <w:p>
      <w:pPr>
        <w:ind w:right="60"/>
        <w:spacing w:after="0" w:line="255" w:lineRule="auto"/>
        <w:rPr>
          <w:sz w:val="20"/>
          <w:szCs w:val="20"/>
          <w:color w:val="auto"/>
        </w:rPr>
      </w:pPr>
      <w:r>
        <w:rPr>
          <w:rFonts w:ascii="Times New Roman" w:cs="Times New Roman" w:eastAsia="Times New Roman" w:hAnsi="Times New Roman"/>
          <w:sz w:val="18"/>
          <w:szCs w:val="18"/>
          <w:color w:val="231F20"/>
        </w:rPr>
        <w:t>discounts, and free or reduced price items and services. Among other things, the Anti-Kickback Statute has been interpreted to apply to arrangements between medical device manufacturers on the one hand and prescribers and purchasers on the other. Although there are a number of statutory exceptions and regulatory safe harbors protecting some common activities from prosecution, the exceptions and safe harbors are drawn narrowly. The government can exercise enforcement discretion in taking action against unprotected activities. Further, a person or entity does not need to have actual knowledge of the statute or specific intent to violate it in order to have committed a violation. The majority of states also have anti- kickback laws, which establish similar prohibitions, and in some cases may apply to items or services reimbursed by any third-party payor, including commercial insurers and self-pay patients.</w:t>
      </w:r>
    </w:p>
    <w:p>
      <w:pPr>
        <w:spacing w:after="0" w:line="189"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231F20"/>
        </w:rPr>
        <w:t>The federal false claims, including the civil False Claims Act, prohibit, among other things, any person or entity from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qui tam action by a private individual in the name of the government. Moreover, a claim including items or services resulting from a violation of the U.S. federal Anti-Kickback Statute constitutes a false or fraudulent claim for purposes of the federal civil False Claims Act. In addition, various states have enacted false claim laws analogous to the federal False Claims Act, although many of these state laws apply where a claim is submitted to any third-party payor and not merely a federal healthcare program.</w:t>
      </w:r>
    </w:p>
    <w:p>
      <w:pPr>
        <w:spacing w:after="0" w:line="188" w:lineRule="exact"/>
        <w:rPr>
          <w:sz w:val="20"/>
          <w:szCs w:val="20"/>
          <w:color w:val="auto"/>
        </w:rPr>
      </w:pPr>
    </w:p>
    <w:p>
      <w:pPr>
        <w:ind w:right="40" w:firstLine="419"/>
        <w:spacing w:after="0" w:line="274" w:lineRule="auto"/>
        <w:rPr>
          <w:sz w:val="20"/>
          <w:szCs w:val="20"/>
          <w:color w:val="auto"/>
        </w:rPr>
      </w:pPr>
      <w:r>
        <w:rPr>
          <w:rFonts w:ascii="Times New Roman" w:cs="Times New Roman" w:eastAsia="Times New Roman" w:hAnsi="Times New Roman"/>
          <w:sz w:val="17"/>
          <w:szCs w:val="17"/>
          <w:color w:val="231F20"/>
        </w:rPr>
        <w:t>The federal Health Insurance Portability and Accountability Act of 1996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73" w:lineRule="exact"/>
        <w:rPr>
          <w:sz w:val="20"/>
          <w:szCs w:val="20"/>
          <w:color w:val="auto"/>
        </w:rPr>
      </w:pPr>
    </w:p>
    <w:p>
      <w:pPr>
        <w:ind w:right="20" w:firstLine="419"/>
        <w:spacing w:after="0" w:line="255" w:lineRule="auto"/>
        <w:rPr>
          <w:sz w:val="20"/>
          <w:szCs w:val="20"/>
          <w:color w:val="auto"/>
        </w:rPr>
      </w:pPr>
      <w:r>
        <w:rPr>
          <w:rFonts w:ascii="Times New Roman" w:cs="Times New Roman" w:eastAsia="Times New Roman" w:hAnsi="Times New Roman"/>
          <w:sz w:val="18"/>
          <w:szCs w:val="18"/>
          <w:color w:val="231F20"/>
        </w:rPr>
        <w:t>The federal Physician Payments Sunshine Act requires certain manufacturers of drugs, devices, biologics and medical supplies for which payment is available under Medicare, Medicaid or the Children’s Health Insurance Program ("CHIP"), with specific exceptions, to report annually to CMS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CMS ownership and investment interests held by physicians and their immediate family members. Beginning in 2022, such obligations will include payments and other transfers of value provided in the previous year to additional healthcare professionals, including physician assistants, nurse practitioners, clinical nurse specialists, certified nurse anesthetists, anesthesiologist assistants and certified nurse midwives.</w:t>
      </w:r>
    </w:p>
    <w:p>
      <w:pPr>
        <w:spacing w:after="0" w:line="189" w:lineRule="exact"/>
        <w:rPr>
          <w:sz w:val="20"/>
          <w:szCs w:val="20"/>
          <w:color w:val="auto"/>
        </w:rPr>
      </w:pPr>
    </w:p>
    <w:p>
      <w:pPr>
        <w:ind w:firstLine="419"/>
        <w:spacing w:after="0" w:line="261" w:lineRule="auto"/>
        <w:rPr>
          <w:sz w:val="20"/>
          <w:szCs w:val="20"/>
          <w:color w:val="auto"/>
        </w:rPr>
      </w:pPr>
      <w:r>
        <w:rPr>
          <w:rFonts w:ascii="Times New Roman" w:cs="Times New Roman" w:eastAsia="Times New Roman" w:hAnsi="Times New Roman"/>
          <w:sz w:val="18"/>
          <w:szCs w:val="18"/>
          <w:color w:val="231F20"/>
        </w:rPr>
        <w:t>Violations of fraud and abuse laws, including federal and state anti-kickback and false claims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Coverage and Reimbursement</w:t>
      </w:r>
    </w:p>
    <w:p>
      <w:pPr>
        <w:spacing w:after="0" w:line="229" w:lineRule="exact"/>
        <w:rPr>
          <w:sz w:val="20"/>
          <w:szCs w:val="20"/>
          <w:color w:val="auto"/>
        </w:rPr>
      </w:pPr>
    </w:p>
    <w:p>
      <w:pPr>
        <w:ind w:right="160" w:firstLine="419"/>
        <w:spacing w:after="0" w:line="256" w:lineRule="auto"/>
        <w:rPr>
          <w:sz w:val="20"/>
          <w:szCs w:val="20"/>
          <w:color w:val="auto"/>
        </w:rPr>
      </w:pPr>
      <w:r>
        <w:rPr>
          <w:rFonts w:ascii="Times New Roman" w:cs="Times New Roman" w:eastAsia="Times New Roman" w:hAnsi="Times New Roman"/>
          <w:sz w:val="18"/>
          <w:szCs w:val="18"/>
          <w:color w:val="231F20"/>
        </w:rPr>
        <w:t>In the United States, our currently cleared products are not separately reimbursed by any third-party payors, and if covered, are paid for as part of the procedure in which the product is used. Our commercial success depends in part on the extent to which governmental authorities, private health insurers and other third-party payors provide coverage for and establish adequate reimbursement levels for the procedures in which our products are used. Failure by physicians, hospitals, ambulatory surgery centers and other users of our products to obtain coverage and adequate reimbursement from third-party payors for procedures in which our products are used, or adverse changes in government and private third-party payors’ coverage and reimbursement policies, may adversely impact demand for our products.</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37" w:right="419" w:bottom="1440" w:gutter="0" w:footer="0" w:header="0"/>
        </w:sectPr>
      </w:pPr>
    </w:p>
    <w:bookmarkStart w:id="24" w:name="page25"/>
    <w:bookmarkEnd w:id="24"/>
    <w:p>
      <w:pPr>
        <w:ind w:firstLine="419"/>
        <w:spacing w:after="0" w:line="254" w:lineRule="auto"/>
        <w:rPr>
          <w:sz w:val="20"/>
          <w:szCs w:val="20"/>
          <w:color w:val="auto"/>
        </w:rPr>
      </w:pPr>
      <w:r>
        <w:rPr>
          <w:rFonts w:ascii="Times New Roman" w:cs="Times New Roman" w:eastAsia="Times New Roman" w:hAnsi="Times New Roman"/>
          <w:sz w:val="18"/>
          <w:szCs w:val="18"/>
          <w:color w:val="231F20"/>
        </w:rPr>
        <w:t>Based on our experience to date, third-party payors generally reimburse for the procedures in which our products are used only if the patient meets the established medical necessity criteria for the procedure. Some payors are moving toward a managed care system and control their healthcare costs by establishing coverage policies that categorically restrict coverage of certain procedures, or by limiting authorization for procedures, including elective procedures using our devices. No uniform policy of coverage and reimbursement among payors in the United States exists, and coverage and reimbursement for procedures can differ significantly from payor to payor. Third-party payors are increasingly auditing and challenging the prices charged for medical products and services with concern for upcoding, miscoding, using inappropriate modifiers, or billing for inappropriate care settings. Some third-party payors must approve coverage for new or innovative devices or procedures before they will reimburse healthcare providers who use the products or therapies. Even though a new product may have been cleared for commercial distribution by the FDA, we may find limited demand for our product unless reimbursement approval can be obtained and/or maintained from governmental and private third-party payors.</w:t>
      </w:r>
    </w:p>
    <w:p>
      <w:pPr>
        <w:spacing w:after="0" w:line="188" w:lineRule="exact"/>
        <w:rPr>
          <w:sz w:val="20"/>
          <w:szCs w:val="20"/>
          <w:color w:val="auto"/>
        </w:rPr>
      </w:pPr>
    </w:p>
    <w:p>
      <w:pPr>
        <w:ind w:firstLine="419"/>
        <w:spacing w:after="0" w:line="261" w:lineRule="auto"/>
        <w:rPr>
          <w:sz w:val="20"/>
          <w:szCs w:val="20"/>
          <w:color w:val="auto"/>
        </w:rPr>
      </w:pPr>
      <w:r>
        <w:rPr>
          <w:rFonts w:ascii="Times New Roman" w:cs="Times New Roman" w:eastAsia="Times New Roman" w:hAnsi="Times New Roman"/>
          <w:sz w:val="18"/>
          <w:szCs w:val="18"/>
          <w:color w:val="231F20"/>
        </w:rPr>
        <w:t>In addition to uncertainties surrounding coverage policies, there are periodic changes to reimbursement levels. Third-party payors regularly update reimbursement amounts and also from time to time revise the methodologies used to determine reimbursement amounts. This includes routine updates to payments to physicians, hospitals and ambulatory surgery centers for procedures during which our products are used. These updates could directly impact the demand for our products.</w:t>
      </w:r>
    </w:p>
    <w:p>
      <w:pPr>
        <w:spacing w:after="0" w:line="180" w:lineRule="exact"/>
        <w:rPr>
          <w:sz w:val="20"/>
          <w:szCs w:val="20"/>
          <w:color w:val="auto"/>
        </w:rPr>
      </w:pPr>
    </w:p>
    <w:p>
      <w:pPr>
        <w:ind w:right="160" w:firstLine="419"/>
        <w:spacing w:after="0" w:line="254" w:lineRule="auto"/>
        <w:rPr>
          <w:sz w:val="20"/>
          <w:szCs w:val="20"/>
          <w:color w:val="auto"/>
        </w:rPr>
      </w:pPr>
      <w:r>
        <w:rPr>
          <w:rFonts w:ascii="Times New Roman" w:cs="Times New Roman" w:eastAsia="Times New Roman" w:hAnsi="Times New Roman"/>
          <w:sz w:val="18"/>
          <w:szCs w:val="18"/>
          <w:color w:val="231F20"/>
        </w:rPr>
        <w:t>We believe the overall escalating cost of medical products and services being paid for by the government and private health insurance has led to, and will continue to lead to, increased pressures on the healthcare and medical device industry to reduce the costs of products and services. Third-party payors are developing increasingly sophisticated methods of controlling healthcare costs through prospective reimbursement and capitation programs, group purchasing, redesign of benefits, and exploration of more cost-effective methods of delivering healthcare. In the United States, some insured individuals enroll in managed care programs, which monitor and often require pre-approval of the services that a member will receive. Some managed care programs pay their providers on a per capita (patient) basis, which puts the providers at financial risk for the services provided to their patients by paying these providers a predetermined payment per member per month and, consequently, may limit the willingness of these providers to use our products.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Healthcare Reform</w:t>
      </w:r>
    </w:p>
    <w:p>
      <w:pPr>
        <w:spacing w:after="0" w:line="229" w:lineRule="exact"/>
        <w:rPr>
          <w:sz w:val="20"/>
          <w:szCs w:val="20"/>
          <w:color w:val="auto"/>
        </w:rPr>
      </w:pPr>
    </w:p>
    <w:p>
      <w:pPr>
        <w:ind w:right="40" w:firstLine="419"/>
        <w:spacing w:after="0" w:line="256" w:lineRule="auto"/>
        <w:rPr>
          <w:sz w:val="20"/>
          <w:szCs w:val="20"/>
          <w:color w:val="auto"/>
        </w:rPr>
      </w:pPr>
      <w:r>
        <w:rPr>
          <w:rFonts w:ascii="Times New Roman" w:cs="Times New Roman" w:eastAsia="Times New Roman" w:hAnsi="Times New Roman"/>
          <w:sz w:val="18"/>
          <w:szCs w:val="18"/>
          <w:color w:val="231F20"/>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Current and future legislative proposals to further reform healthcare or reduce healthcare costs may limit coverage of or lower reimbursement for the procedures associated with the use of our products. The cost containment measures that payors and providers are instituting and the effect of any healthcare reform initiative implemented in the future could impact our revenue from the sale of our products.</w:t>
      </w:r>
    </w:p>
    <w:p>
      <w:pPr>
        <w:spacing w:after="0" w:line="187"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231F20"/>
        </w:rPr>
        <w:t>The implementation of the Affordable Care Act ("ACA") in the United States, for example, has changed healthcare financing and delivery by both governmental and private insurers substantially, and affected medical device manufacturers significantly. The ACA, among other things,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Additionally, the ACA expanded eligibility criteria for Medicaid programs and created a new Patient-Centered Outcomes Research Institute to oversee, identify priorities in, and conduct comparative clinical effectiveness research, along with funding for such research. Since its enactment, there have been judicial, executive and political challenges to certain aspects of the ACA. On June 17, 2021, the U.S. Supreme Court dismissed the most recent judicial challenge to the ACA brought by several states without specifically ruling on the constitutionality of the ACA. It is unclear how healthcare reform measures of the Biden administration or other efforts, if any, to challenge, repeal or replace the ACA will impact the law or our business.</w:t>
      </w:r>
    </w:p>
    <w:p>
      <w:pPr>
        <w:spacing w:after="0" w:line="194" w:lineRule="exact"/>
        <w:rPr>
          <w:sz w:val="20"/>
          <w:szCs w:val="20"/>
          <w:color w:val="auto"/>
        </w:rPr>
      </w:pPr>
    </w:p>
    <w:p>
      <w:pPr>
        <w:ind w:right="40" w:firstLine="419"/>
        <w:spacing w:after="0" w:line="266" w:lineRule="auto"/>
        <w:rPr>
          <w:sz w:val="20"/>
          <w:szCs w:val="20"/>
          <w:color w:val="auto"/>
        </w:rPr>
      </w:pPr>
      <w:r>
        <w:rPr>
          <w:rFonts w:ascii="Times New Roman" w:cs="Times New Roman" w:eastAsia="Times New Roman" w:hAnsi="Times New Roman"/>
          <w:sz w:val="18"/>
          <w:szCs w:val="18"/>
          <w:color w:val="231F20"/>
        </w:rPr>
        <w:t>In addition, the American Taxpayer Relief Act of 2012, among other things, further reduced Medicare payments to several providers, including hospitals, and increased the statute of limitations period for the government to recover overpayments to providers from three to five years. The Medicare Access and CHIP Reauthorization Act of 2015 repealed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37" w:right="439" w:bottom="1440" w:gutter="0" w:footer="0" w:header="0"/>
        </w:sectPr>
      </w:pPr>
    </w:p>
    <w:bookmarkStart w:id="25" w:name="page26"/>
    <w:bookmarkEnd w:id="25"/>
    <w:p>
      <w:pPr>
        <w:jc w:val="both"/>
        <w:ind w:right="240"/>
        <w:spacing w:after="0" w:line="266" w:lineRule="auto"/>
        <w:rPr>
          <w:sz w:val="20"/>
          <w:szCs w:val="20"/>
          <w:color w:val="auto"/>
        </w:rPr>
      </w:pPr>
      <w:r>
        <w:rPr>
          <w:rFonts w:ascii="Times New Roman" w:cs="Times New Roman" w:eastAsia="Times New Roman" w:hAnsi="Times New Roman"/>
          <w:sz w:val="18"/>
          <w:szCs w:val="18"/>
          <w:color w:val="231F20"/>
        </w:rPr>
        <w:t>the formula by which Medicare made annual payment adjustments to physicians and replaced the former formula with fixed annual updates and a new system of incentive payments that began in 2019 that are based on various performance measures and physicians’ participation in alternative payment models, such as accountable care organizations.</w:t>
      </w:r>
    </w:p>
    <w:p>
      <w:pPr>
        <w:spacing w:after="0" w:line="176" w:lineRule="exact"/>
        <w:rPr>
          <w:sz w:val="20"/>
          <w:szCs w:val="20"/>
          <w:color w:val="auto"/>
        </w:rPr>
      </w:pPr>
    </w:p>
    <w:p>
      <w:pPr>
        <w:ind w:firstLine="419"/>
        <w:spacing w:after="0" w:line="266" w:lineRule="auto"/>
        <w:rPr>
          <w:sz w:val="20"/>
          <w:szCs w:val="20"/>
          <w:color w:val="auto"/>
        </w:rPr>
      </w:pPr>
      <w:r>
        <w:rPr>
          <w:rFonts w:ascii="Times New Roman" w:cs="Times New Roman" w:eastAsia="Times New Roman" w:hAnsi="Times New Roman"/>
          <w:sz w:val="18"/>
          <w:szCs w:val="18"/>
          <w:color w:val="231F20"/>
        </w:rPr>
        <w:t>We expect additional state, federal, and foreign healthcare reform measures to be adopted in the future, any of which could limit the amounts that federal, state, and foreign governments will pay for healthcare products and services, which could result in reduced demand for our products or additional pricing pressure.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Data Privacy and Security Laws</w:t>
      </w:r>
    </w:p>
    <w:p>
      <w:pPr>
        <w:spacing w:after="0" w:line="229" w:lineRule="exact"/>
        <w:rPr>
          <w:sz w:val="20"/>
          <w:szCs w:val="20"/>
          <w:color w:val="auto"/>
        </w:rPr>
      </w:pPr>
    </w:p>
    <w:p>
      <w:pPr>
        <w:ind w:right="80" w:firstLine="419"/>
        <w:spacing w:after="0" w:line="253" w:lineRule="auto"/>
        <w:rPr>
          <w:sz w:val="20"/>
          <w:szCs w:val="20"/>
          <w:color w:val="auto"/>
        </w:rPr>
      </w:pPr>
      <w:r>
        <w:rPr>
          <w:rFonts w:ascii="Times New Roman" w:cs="Times New Roman" w:eastAsia="Times New Roman" w:hAnsi="Times New Roman"/>
          <w:sz w:val="18"/>
          <w:szCs w:val="18"/>
          <w:color w:val="231F20"/>
        </w:rPr>
        <w:t>Numerous state, federal and foreign laws, including consumer protection laws and regulations, govern the collection, dissemination, use, access to, confidentiality and security of personal information, including health- related information. In the United States, numerous federal and state laws and regulations, including data breach notification laws, health information privacy and security laws, including HIPAA, and federal and state consumer protection laws and regulations (e.g., Section 5 of the FTC Act), that govern the collection, use, disclosure, and protection of health-related and other personal information could apply to our operations or the operations of our partners. In addition, certain state and non-U.S. laws, such as the California Consumer Privacy Act ("CCPA"), the California Privacy Rights Act ("CPRA") and the General Data Protection Regulation ("GDPR"), govern the privacy and security of personal information,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92" w:lineRule="exact"/>
        <w:rPr>
          <w:sz w:val="20"/>
          <w:szCs w:val="20"/>
          <w:color w:val="auto"/>
        </w:rPr>
      </w:pPr>
    </w:p>
    <w:p>
      <w:pPr>
        <w:jc w:val="both"/>
        <w:ind w:right="60" w:firstLine="419"/>
        <w:spacing w:after="0" w:line="258" w:lineRule="auto"/>
        <w:rPr>
          <w:sz w:val="20"/>
          <w:szCs w:val="20"/>
          <w:color w:val="auto"/>
        </w:rPr>
      </w:pPr>
      <w:r>
        <w:rPr>
          <w:rFonts w:ascii="Times New Roman" w:cs="Times New Roman" w:eastAsia="Times New Roman" w:hAnsi="Times New Roman"/>
          <w:sz w:val="18"/>
          <w:szCs w:val="18"/>
          <w:color w:val="231F20"/>
        </w:rPr>
        <w:t>In Europe, the GDPR went into effect on May 25, 2018 and introduces strict requirements for processing the personal data of European Union data subjects. Companies that must comply with the GDPR face increased compliance obligations and risk, including more robust regulatory enforcement of data protection requirements and potential fines for noncompliance.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w:t>
      </w:r>
    </w:p>
    <w:p>
      <w:pPr>
        <w:spacing w:after="0" w:line="183" w:lineRule="exact"/>
        <w:rPr>
          <w:sz w:val="20"/>
          <w:szCs w:val="20"/>
          <w:color w:val="auto"/>
        </w:rPr>
      </w:pPr>
    </w:p>
    <w:p>
      <w:pPr>
        <w:ind w:right="100" w:firstLine="419"/>
        <w:spacing w:after="0" w:line="261" w:lineRule="auto"/>
        <w:rPr>
          <w:sz w:val="20"/>
          <w:szCs w:val="20"/>
          <w:color w:val="auto"/>
        </w:rPr>
      </w:pPr>
      <w:r>
        <w:rPr>
          <w:rFonts w:ascii="Times New Roman" w:cs="Times New Roman" w:eastAsia="Times New Roman" w:hAnsi="Times New Roman"/>
          <w:sz w:val="18"/>
          <w:szCs w:val="18"/>
          <w:color w:val="231F20"/>
        </w:rPr>
        <w:t>Further, from January 1, 2021, companies have to comply with the GDPR and also the United Kingdom General Data Protection Regulation ("UK GDPR"), which, together with the amended UK Data Protection Act 2018, retains the GDPR in UK national law. The relationship between the United Kingdom and the European Union in relation to certain aspects of data protection law remains unclear, and it is also unclear how United Kingdom data protection laws and regulations will develop, and how data transfers to and from the United Kingdom will be regulated.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Human Capital</w:t>
      </w:r>
    </w:p>
    <w:p>
      <w:pPr>
        <w:spacing w:after="0" w:line="229" w:lineRule="exact"/>
        <w:rPr>
          <w:sz w:val="20"/>
          <w:szCs w:val="20"/>
          <w:color w:val="auto"/>
        </w:rPr>
      </w:pPr>
    </w:p>
    <w:p>
      <w:pPr>
        <w:ind w:right="80" w:firstLine="419"/>
        <w:spacing w:after="0" w:line="261" w:lineRule="auto"/>
        <w:rPr>
          <w:sz w:val="20"/>
          <w:szCs w:val="20"/>
          <w:color w:val="auto"/>
        </w:rPr>
      </w:pPr>
      <w:r>
        <w:rPr>
          <w:rFonts w:ascii="Times New Roman" w:cs="Times New Roman" w:eastAsia="Times New Roman" w:hAnsi="Times New Roman"/>
          <w:sz w:val="18"/>
          <w:szCs w:val="18"/>
          <w:color w:val="231F20"/>
        </w:rPr>
        <w:t>As of December 31, 2022, we had 250 full-time employees. Our highly qualified and experienced team includes scientists, physicians and professionals across sales, marketing, regulatory, finance and other important functions that are critical to our success. We believe that the success of our business will depend, in part, on our ability to attract and retain qualified personnel. None of our employees are represented by a labor union or are a party to a collective bargaining agreement and we believe that we have good relations with our employees.</w:t>
      </w:r>
    </w:p>
    <w:p>
      <w:pPr>
        <w:spacing w:after="0" w:line="180" w:lineRule="exact"/>
        <w:rPr>
          <w:sz w:val="20"/>
          <w:szCs w:val="20"/>
          <w:color w:val="auto"/>
        </w:rPr>
      </w:pPr>
    </w:p>
    <w:p>
      <w:pPr>
        <w:ind w:right="20" w:firstLine="419"/>
        <w:spacing w:after="0" w:line="266" w:lineRule="auto"/>
        <w:rPr>
          <w:sz w:val="20"/>
          <w:szCs w:val="20"/>
          <w:color w:val="auto"/>
        </w:rPr>
      </w:pPr>
      <w:r>
        <w:rPr>
          <w:rFonts w:ascii="Times New Roman" w:cs="Times New Roman" w:eastAsia="Times New Roman" w:hAnsi="Times New Roman"/>
          <w:sz w:val="18"/>
          <w:szCs w:val="18"/>
          <w:color w:val="auto"/>
        </w:rPr>
        <w:t>We believe that our continued success is reliant on the ability to attract, develop and retain top talent. To facilitate talent attraction and retention, we strive to foster an inclusive and safe workplace, with opportunities for our employees to grow and develop in their careers, supported by competitive compensation and benefits programs. In the attraction, development and retention of talent, we emphasize:</w:t>
      </w:r>
    </w:p>
    <w:p>
      <w:pPr>
        <w:spacing w:after="0" w:line="174" w:lineRule="exact"/>
        <w:rPr>
          <w:sz w:val="20"/>
          <w:szCs w:val="20"/>
          <w:color w:val="auto"/>
        </w:rPr>
      </w:pPr>
    </w:p>
    <w:p>
      <w:pPr>
        <w:ind w:right="120" w:firstLine="41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Compensation and Benefits. </w:t>
      </w:r>
      <w:r>
        <w:rPr>
          <w:rFonts w:ascii="Times New Roman" w:cs="Times New Roman" w:eastAsia="Times New Roman" w:hAnsi="Times New Roman"/>
          <w:sz w:val="18"/>
          <w:szCs w:val="18"/>
          <w:color w:val="auto"/>
        </w:rPr>
        <w:t>We strive to provide competitive compensation and benefits programs to attract and retain top talent and review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annually against the competitive landscape to ensure they continue to meet the needs of our employees. In addition to salaries, these programs include a variety of short and long-term incentive plans such as annual bonuses, equity awards, an Employee Stock Purchase Plan, a 401(k) Plan, healthcare and insurance benefits, health savings and flexible spending accounts, paid time off, family leave, family care resources, flexible work schedules,</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37" w:right="399" w:bottom="1440" w:gutter="0" w:footer="0" w:header="0"/>
        </w:sectPr>
      </w:pPr>
    </w:p>
    <w:bookmarkStart w:id="26" w:name="page27"/>
    <w:bookmarkEnd w:id="26"/>
    <w:p>
      <w:pPr>
        <w:ind w:right="500"/>
        <w:spacing w:after="0" w:line="282" w:lineRule="auto"/>
        <w:rPr>
          <w:sz w:val="20"/>
          <w:szCs w:val="20"/>
          <w:color w:val="auto"/>
        </w:rPr>
      </w:pPr>
      <w:r>
        <w:rPr>
          <w:rFonts w:ascii="Times New Roman" w:cs="Times New Roman" w:eastAsia="Times New Roman" w:hAnsi="Times New Roman"/>
          <w:sz w:val="18"/>
          <w:szCs w:val="18"/>
          <w:color w:val="auto"/>
        </w:rPr>
        <w:t>and employee assistance programs. In addition to our broad-based equity award programs, we have used targeted equity-based grants with vesting conditions to facilitate the retention and engagement of our talent.</w:t>
      </w:r>
    </w:p>
    <w:p>
      <w:pPr>
        <w:spacing w:after="0" w:line="160" w:lineRule="exact"/>
        <w:rPr>
          <w:sz w:val="20"/>
          <w:szCs w:val="20"/>
          <w:color w:val="auto"/>
        </w:rPr>
      </w:pPr>
    </w:p>
    <w:p>
      <w:pPr>
        <w:ind w:right="140" w:firstLine="4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Talent Development. </w:t>
      </w:r>
      <w:r>
        <w:rPr>
          <w:rFonts w:ascii="Times New Roman" w:cs="Times New Roman" w:eastAsia="Times New Roman" w:hAnsi="Times New Roman"/>
          <w:sz w:val="18"/>
          <w:szCs w:val="18"/>
          <w:color w:val="auto"/>
        </w:rPr>
        <w:t>We believe employees are our greatest asset and we strive to provide development and promotional opportunities in order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help our employees reach their potential. We provide formal and informal training opportunities designed to enhance learning and development. Consistent with our performance review processes, we foster and encourage continuous manager and employee dialogue around performance and development.</w:t>
      </w:r>
    </w:p>
    <w:p>
      <w:pPr>
        <w:spacing w:after="0" w:line="180" w:lineRule="exact"/>
        <w:rPr>
          <w:sz w:val="20"/>
          <w:szCs w:val="20"/>
          <w:color w:val="auto"/>
        </w:rPr>
      </w:pPr>
    </w:p>
    <w:p>
      <w:pPr>
        <w:ind w:right="20" w:firstLine="4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Health, Safety and Wellness. </w:t>
      </w:r>
      <w:r>
        <w:rPr>
          <w:rFonts w:ascii="Times New Roman" w:cs="Times New Roman" w:eastAsia="Times New Roman" w:hAnsi="Times New Roman"/>
          <w:sz w:val="18"/>
          <w:szCs w:val="18"/>
          <w:color w:val="auto"/>
        </w:rPr>
        <w:t>We are committed to the health, safety and wellness of our employees. We provide our employees and their families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access to a variety of flexible and convenient health and wellness programs, including benefits that provide protection and security so they can have peace of mind concerning events that may require time away from work or that impact their financial well-being; that support their physical and mental health by providing tools and resources to help them improve or maintain their health status and encourage engagement in healthy behaviors.</w:t>
      </w:r>
    </w:p>
    <w:p>
      <w:pPr>
        <w:spacing w:after="0" w:line="180" w:lineRule="exact"/>
        <w:rPr>
          <w:sz w:val="20"/>
          <w:szCs w:val="20"/>
          <w:color w:val="auto"/>
        </w:rPr>
      </w:pPr>
    </w:p>
    <w:p>
      <w:pPr>
        <w:jc w:val="both"/>
        <w:ind w:right="100" w:firstLine="41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Diversity, Equity, and Inclusion. </w:t>
      </w:r>
      <w:r>
        <w:rPr>
          <w:rFonts w:ascii="Times New Roman" w:cs="Times New Roman" w:eastAsia="Times New Roman" w:hAnsi="Times New Roman"/>
          <w:sz w:val="18"/>
          <w:szCs w:val="18"/>
          <w:color w:val="auto"/>
        </w:rPr>
        <w:t>One of our core values is diversity of thought, values, individual characteristics, beliefs and backgrounds.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equal opportunity employer and believe that diverse and differentiated views contribute to make us a better organization. It is our conscious effort to support the advancement of women and promote equal opportunity for all our employees within the workplace.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auto"/>
        </w:rPr>
        <w:t>Sight Sciences, Inc. was incorporated as a Delaware corporation on February 10, 2010. We maintain a website at www.sightsciences.com. At our Investor Relations website, investors.sightsciences.com, we make available free of charge information for investors, including our annual report on Form 10-K, quarterly reports on Form 10-Q, current reports on Form 8-K, and any amendments to those reports, as soon as reasonably practicable after we electronically file that material with or furnish it to the Securities and Exchange Commission (the "SEC"). The information found on our website is not part of this or any other report we file with, or furnish to, the SEC, and references to our website address are inactive textual references only.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37"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together with all of the other information in this Annual Report on Form 10-K, including the section titled “Management’s Discussion and Analysis of Financial Condition and Results of Operations” and our condensed consolidated financial statements and the accompanying notes thereto included elsewhere in this Annual Report on Form 10-K, before investing in our common stock. The risks and uncertainties described below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early-stage company with a history of significant losses, we expect to incur losses in the future and we may not be able to achieve or sustain profitability.</w:t>
      </w:r>
    </w:p>
    <w:p>
      <w:pPr>
        <w:spacing w:after="0" w:line="51" w:lineRule="exact"/>
        <w:rPr>
          <w:sz w:val="20"/>
          <w:szCs w:val="20"/>
          <w:color w:val="auto"/>
        </w:rPr>
      </w:pPr>
    </w:p>
    <w:p>
      <w:pPr>
        <w:ind w:right="80" w:firstLine="419"/>
        <w:spacing w:after="0" w:line="253" w:lineRule="auto"/>
        <w:rPr>
          <w:sz w:val="20"/>
          <w:szCs w:val="20"/>
          <w:color w:val="auto"/>
        </w:rPr>
      </w:pPr>
      <w:r>
        <w:rPr>
          <w:rFonts w:ascii="Times New Roman" w:cs="Times New Roman" w:eastAsia="Times New Roman" w:hAnsi="Times New Roman"/>
          <w:sz w:val="18"/>
          <w:szCs w:val="18"/>
          <w:color w:val="auto"/>
        </w:rPr>
        <w:t>We have incurred annual net losses since our formation in 2010. For the years ended December 31, 2022 and 2021, we had net losses of $86.2 million and $63.0 million, respectively. As of December 31, 2022, we had an accumulated a deficit of $239.2 million. To date, we have financed our operations primarily through equity and debt financings and from sales of our products, OMNI, a device that enables canaloplasty followed by trabeculotomy for the reduction of intraocular pressure in adult patients with POAG, and TearCare, which is indicated for the application of localized heat therapy in adult patients with DED due to MGD, when used in conjunction with manual expression of the meibomian glands. Starting in the second half of 2022, we commenced sales of SION, a manually operated device indicated for use in ophthalmic surgical procedures to excise trabecular meshwork. The losses and accumulated deficit have primarily been due to the substantial investments we have made to develop our products, costs related to our sales and marketing efforts, general research and development expenses, including costs related to clinical trials and regulatory initiatives to obtain marketing clearance, and infrastructure improvements. In addition, as a public company, we incur significant legal, accounting and other expenses that we did not incur as a private company.</w:t>
      </w:r>
    </w:p>
    <w:p>
      <w:pPr>
        <w:spacing w:after="0" w:line="194" w:lineRule="exact"/>
        <w:rPr>
          <w:sz w:val="20"/>
          <w:szCs w:val="20"/>
          <w:color w:val="auto"/>
        </w:rPr>
      </w:pPr>
    </w:p>
    <w:p>
      <w:pPr>
        <w:ind w:right="60" w:firstLine="419"/>
        <w:spacing w:after="0" w:line="258" w:lineRule="auto"/>
        <w:rPr>
          <w:sz w:val="20"/>
          <w:szCs w:val="20"/>
          <w:color w:val="auto"/>
        </w:rPr>
      </w:pPr>
      <w:r>
        <w:rPr>
          <w:rFonts w:ascii="Times New Roman" w:cs="Times New Roman" w:eastAsia="Times New Roman" w:hAnsi="Times New Roman"/>
          <w:sz w:val="18"/>
          <w:szCs w:val="18"/>
          <w:color w:val="auto"/>
        </w:rPr>
        <w:t>Accordingly, we expect to continue to incur losses for the foreseeable future and we cannot assure you that we will ever achieve profitability or that, if we do become profitable, we will sustain profitability. Our failure to achieve and sustain profitability in the future would make it more difficult to finance our business and accomplish our strategic objectives, which would have a material adverse effect on our business, financial condition and results of operations. In addition, failure of our products to significantly penetrate our target markets would negatively affect our business, financial condition and results of operations.</w:t>
      </w:r>
    </w:p>
    <w:p>
      <w:pPr>
        <w:spacing w:after="0" w:line="17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revenue from the sales of our products, and our inability to successfully execute our growth strategy could negatively affect our results of operations and financial condition.</w:t>
      </w:r>
    </w:p>
    <w:p>
      <w:pPr>
        <w:spacing w:after="0" w:line="51" w:lineRule="exact"/>
        <w:rPr>
          <w:sz w:val="20"/>
          <w:szCs w:val="20"/>
          <w:color w:val="auto"/>
        </w:rPr>
      </w:pPr>
    </w:p>
    <w:p>
      <w:pPr>
        <w:ind w:right="60" w:firstLine="419"/>
        <w:spacing w:after="0" w:line="255" w:lineRule="auto"/>
        <w:rPr>
          <w:sz w:val="20"/>
          <w:szCs w:val="20"/>
          <w:color w:val="auto"/>
        </w:rPr>
      </w:pPr>
      <w:r>
        <w:rPr>
          <w:rFonts w:ascii="Times New Roman" w:cs="Times New Roman" w:eastAsia="Times New Roman" w:hAnsi="Times New Roman"/>
          <w:sz w:val="18"/>
          <w:szCs w:val="18"/>
          <w:color w:val="auto"/>
        </w:rPr>
        <w:t>We began selling VISCO360 and TRAB360, commercial predicate devices to OMNI, in 2015, TearCare in 2019 and SION in the second half of 2022, and therefore do not have a long history operating as a commercial company. Currently, we are highly dependent on the success of OMNI and SION, which comprise our Surgical Glaucoma products, and TearCare, and we expect substantially all of our product revenues in at least the next 12 months to be derived from these products. We are particularly dependent on the success of OMNI, which accounted for 89% of our total revenues for the year ended December 31, 2022. Because we devote substantially all of our resources to these products and rely on them as our sole source of revenue, any factors that negatively impact our products, and particularly OMNI, or result in a decrease in sales, could have a material adverse effect on our business, financial condition and results of operations.</w:t>
      </w:r>
    </w:p>
    <w:p>
      <w:pPr>
        <w:spacing w:after="0" w:line="189" w:lineRule="exact"/>
        <w:rPr>
          <w:sz w:val="20"/>
          <w:szCs w:val="20"/>
          <w:color w:val="auto"/>
        </w:rPr>
      </w:pPr>
    </w:p>
    <w:p>
      <w:pPr>
        <w:ind w:firstLine="419"/>
        <w:spacing w:after="0" w:line="256" w:lineRule="auto"/>
        <w:rPr>
          <w:sz w:val="20"/>
          <w:szCs w:val="20"/>
          <w:color w:val="auto"/>
        </w:rPr>
      </w:pPr>
      <w:r>
        <w:rPr>
          <w:rFonts w:ascii="Times New Roman" w:cs="Times New Roman" w:eastAsia="Times New Roman" w:hAnsi="Times New Roman"/>
          <w:sz w:val="18"/>
          <w:szCs w:val="18"/>
          <w:color w:val="auto"/>
        </w:rPr>
        <w:t>Over the next several years, we expect to continue to devote substantial resources to expand our commercialization efforts, drive increased adoption of our products and continue to develop new and improved products. Our limited commercialization experience and number of products make it difficult to evaluate our current business and predict our future prospects. For example, we believe that OMNI can be used as a Standalone procedure to help effectively reduce IOP in adult POAG patients, but we have limited commercial experience with this Standalone market segment, and the extent to which we are able to penetrate and grow this market is unknown. In addition, a number of factors, including some outside of our control, may render our products economically impracticable or obsolete and contribute to fluctuations in our financial results, including:</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33" w:right="399" w:bottom="1440" w:gutter="0" w:footer="0" w:header="0"/>
        </w:sectPr>
      </w:pPr>
    </w:p>
    <w:bookmarkStart w:id="28" w:name="page29"/>
    <w:bookmarkEnd w:id="28"/>
    <w:p>
      <w:pPr>
        <w:ind w:left="800" w:hanging="283"/>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reimbursement coverage for procedures in which our products are used;</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rates by government or commercial payors;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or investigations;</w:t>
      </w:r>
    </w:p>
    <w:p>
      <w:pPr>
        <w:spacing w:after="0" w:line="117" w:lineRule="exact"/>
        <w:rPr>
          <w:rFonts w:ascii="Times New Roman" w:cs="Times New Roman" w:eastAsia="Times New Roman" w:hAnsi="Times New Roman"/>
          <w:sz w:val="18"/>
          <w:szCs w:val="18"/>
          <w:color w:val="auto"/>
        </w:rPr>
      </w:pPr>
    </w:p>
    <w:p>
      <w:pPr>
        <w:ind w:left="800" w:right="880" w:hanging="283"/>
        <w:spacing w:after="0" w:line="282"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media coverage, or public, patient and/or physician perception, of our products or competing products and treatments;</w:t>
      </w:r>
    </w:p>
    <w:p>
      <w:pPr>
        <w:spacing w:after="0" w:line="53" w:lineRule="exact"/>
        <w:rPr>
          <w:rFonts w:ascii="Times New Roman" w:cs="Times New Roman" w:eastAsia="Times New Roman" w:hAnsi="Times New Roman"/>
          <w:sz w:val="18"/>
          <w:szCs w:val="18"/>
          <w:color w:val="auto"/>
        </w:rPr>
      </w:pPr>
    </w:p>
    <w:p>
      <w:pPr>
        <w:ind w:left="800" w:right="500" w:hanging="283"/>
        <w:spacing w:after="0" w:line="282"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safety or effectiveness concerns that arise regarding our products for either their currently authorized uses or the uses for which we are developing our products;</w:t>
      </w:r>
    </w:p>
    <w:p>
      <w:pPr>
        <w:spacing w:after="0" w:line="53" w:lineRule="exact"/>
        <w:rPr>
          <w:rFonts w:ascii="Times New Roman" w:cs="Times New Roman" w:eastAsia="Times New Roman" w:hAnsi="Times New Roman"/>
          <w:sz w:val="18"/>
          <w:szCs w:val="18"/>
          <w:color w:val="auto"/>
        </w:rPr>
      </w:pPr>
    </w:p>
    <w:p>
      <w:pPr>
        <w:ind w:left="800" w:right="1440" w:hanging="283"/>
        <w:spacing w:after="0" w:line="282"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sales efforts, including our ability to have a sufficient number of qualified sales representatives to sell our products;</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delays in product development or product launches;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on acceptable terms, or at all, if needed to support the commercialization of our products;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compliance with all legal and regulatory requirements applicable to our products;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w:t>
      </w:r>
    </w:p>
    <w:p>
      <w:pPr>
        <w:spacing w:after="0" w:line="117" w:lineRule="exact"/>
        <w:rPr>
          <w:rFonts w:ascii="Times New Roman" w:cs="Times New Roman" w:eastAsia="Times New Roman" w:hAnsi="Times New Roman"/>
          <w:sz w:val="18"/>
          <w:szCs w:val="18"/>
          <w:color w:val="auto"/>
        </w:rPr>
      </w:pPr>
    </w:p>
    <w:p>
      <w:pPr>
        <w:ind w:left="800" w:right="920" w:hanging="283"/>
        <w:spacing w:after="0" w:line="282"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ability to supply our products in a timely manner, in accordance with our specifications, and in compliance with applicable regulatory requirements; and</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alternative treatments that compete with our products.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dependent upon the broad adoption of our products by eyecare professionals and patients.</w:t>
      </w:r>
    </w:p>
    <w:p>
      <w:pPr>
        <w:spacing w:after="0" w:line="121" w:lineRule="exact"/>
        <w:rPr>
          <w:sz w:val="20"/>
          <w:szCs w:val="20"/>
          <w:color w:val="auto"/>
        </w:rPr>
      </w:pPr>
    </w:p>
    <w:p>
      <w:pPr>
        <w:ind w:firstLine="419"/>
        <w:spacing w:after="0" w:line="256" w:lineRule="auto"/>
        <w:rPr>
          <w:sz w:val="20"/>
          <w:szCs w:val="20"/>
          <w:color w:val="auto"/>
        </w:rPr>
      </w:pPr>
      <w:r>
        <w:rPr>
          <w:rFonts w:ascii="Times New Roman" w:cs="Times New Roman" w:eastAsia="Times New Roman" w:hAnsi="Times New Roman"/>
          <w:sz w:val="18"/>
          <w:szCs w:val="18"/>
          <w:color w:val="auto"/>
        </w:rPr>
        <w:t>ECPs, including ophthalmologists and optometrists, have limited awareness of, and experience with, our products and brand. Our future growth and profitability largely depend on our ability to increase ECP and patient awareness of our products and on the willingness of ECPs and patients to adopt our products. ECPs may not adopt our products unless they believe they will receive appropriate compensation for such use and are able to determine, based on experience, clinical data, medical society and association recommendations and other analyses, that our products are clinically differentiated from, or otherwise preferable to, available alternatives. Even if we are able to raise awareness among ECPs, they may be slow to change their medical treatment practices and may be hesitant to select our products for a variety of reasons, including:</w:t>
      </w:r>
    </w:p>
    <w:p>
      <w:pPr>
        <w:spacing w:after="0" w:line="187" w:lineRule="exact"/>
        <w:rPr>
          <w:sz w:val="20"/>
          <w:szCs w:val="20"/>
          <w:color w:val="auto"/>
        </w:rPr>
      </w:pPr>
    </w:p>
    <w:p>
      <w:pPr>
        <w:ind w:left="800" w:hanging="283"/>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with our products and concerns that we are relatively new to market;</w:t>
      </w:r>
    </w:p>
    <w:p>
      <w:pPr>
        <w:spacing w:after="0" w:line="117" w:lineRule="exact"/>
        <w:rPr>
          <w:rFonts w:ascii="Times New Roman" w:cs="Times New Roman" w:eastAsia="Times New Roman" w:hAnsi="Times New Roman"/>
          <w:sz w:val="18"/>
          <w:szCs w:val="18"/>
          <w:color w:val="auto"/>
        </w:rPr>
      </w:pPr>
    </w:p>
    <w:p>
      <w:pPr>
        <w:ind w:left="800" w:right="580" w:hanging="283"/>
        <w:spacing w:after="0" w:line="282" w:lineRule="auto"/>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availability of adequate third-party payor coverage or reimbursement, or changes in (or new) third-party payor coverage or reimbursement policies that are materially adverse to the Company’s interest;</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liability risk generally associated with the use of new products and treatment options;</w:t>
      </w:r>
    </w:p>
    <w:p>
      <w:pPr>
        <w:spacing w:after="0" w:line="117" w:lineRule="exact"/>
        <w:rPr>
          <w:rFonts w:ascii="Times New Roman" w:cs="Times New Roman" w:eastAsia="Times New Roman" w:hAnsi="Times New Roman"/>
          <w:sz w:val="18"/>
          <w:szCs w:val="18"/>
          <w:color w:val="auto"/>
        </w:rPr>
      </w:pPr>
    </w:p>
    <w:p>
      <w:pPr>
        <w:ind w:left="800" w:right="1340" w:hanging="283"/>
        <w:spacing w:after="0" w:line="282" w:lineRule="auto"/>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or perceived lack, of sufficient clinical evidence, including long-term data, supporting clinical benefits or the cost-effectiveness of our products over existing treatments;</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key ophthalmologist and optometrist leaders to support and recommend our products;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that our products are unproven;</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ECPs’ long-standing relationships with companies, distributors and salespeople that sell competing products;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response, including new product introduction and negative selling efforts from providers of alternative treatments;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of integrating TearCare into established ophthalmologic and optometric practices; and</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440" w:top="337" w:right="639" w:bottom="1440" w:gutter="0" w:footer="0" w:header="0"/>
        </w:sectPr>
      </w:pPr>
    </w:p>
    <w:bookmarkStart w:id="29" w:name="page30"/>
    <w:bookmarkEnd w:id="29"/>
    <w:p>
      <w:pPr>
        <w:ind w:left="800" w:right="760" w:hanging="283"/>
        <w:spacing w:after="0" w:line="282" w:lineRule="auto"/>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regarding the time commitment and skill development that may be required to gain familiarity and proficiency with our products.</w:t>
      </w:r>
    </w:p>
    <w:p>
      <w:pPr>
        <w:spacing w:after="0" w:line="162" w:lineRule="exact"/>
        <w:rPr>
          <w:sz w:val="20"/>
          <w:szCs w:val="20"/>
          <w:color w:val="auto"/>
        </w:rPr>
      </w:pPr>
    </w:p>
    <w:p>
      <w:pPr>
        <w:ind w:right="20" w:firstLine="446"/>
        <w:spacing w:after="0" w:line="254" w:lineRule="auto"/>
        <w:rPr>
          <w:sz w:val="20"/>
          <w:szCs w:val="20"/>
          <w:color w:val="auto"/>
        </w:rPr>
      </w:pPr>
      <w:r>
        <w:rPr>
          <w:rFonts w:ascii="Times New Roman" w:cs="Times New Roman" w:eastAsia="Times New Roman" w:hAnsi="Times New Roman"/>
          <w:sz w:val="18"/>
          <w:szCs w:val="18"/>
          <w:color w:val="auto"/>
        </w:rPr>
        <w:t>To effectively market and sell our products, we will need to continue to educate the medical community about the safety, efficacy, necessity and efficiency of our products and about the patient populations that would potentially benefit from the use of our products. For example, if first-line ECPs or primary care physicians that serve as the early point of contact for patients are not made aware of our OMNI products, they may not refer patients to ECPs who utilize our products, and those patients may be treated with alternative procedures or treatments. In addition, some physicians may choose to utilize our products on only a subset of their total patient population or may not adopt our products at all. Further, if we are unable to obtain or maintain favorable third-party reimbursement coverage of procedures in which our products are used, particularly as compared to competitive products, adoption of our products by ECPs and patients will suffer. We cannot assure you that our products will achieve broad market acceptance among payors, physicians and patients. Any failure of our products to satisfy demand or to achieve meaningful market acceptance and penetration will harm our future prospects and have a material adverse effect on our business, financial condition and results of operations.</w:t>
      </w:r>
    </w:p>
    <w:p>
      <w:pPr>
        <w:spacing w:after="0" w:line="18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incrementally secure or maintain adequate levels of third-party coverage and reimbursement for procedures in which our Surgical Glaucoma products are used, and third parties may rescind or modify their coverage or delay payments related to these products. We may not be able to incrementally secure any, or adequate levels of, third-party coverage and reimbursement for procedures in which TearCare is used, and even if third parties provide coverage they may rescind or modify their coverage or delay payments related to TearCare.</w:t>
      </w:r>
    </w:p>
    <w:p>
      <w:pPr>
        <w:spacing w:after="0" w:line="72"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auto"/>
        </w:rPr>
        <w:t>We derive revenue from sales of OMNI and SION to physicians, ambulatory surgery centers and hospital outpatient departments, which typically bill all or a portion of the costs and fees associated with our products to various third-party payors, including Medicare, Medicaid, private commercial insurance companies, health maintenance organizations and other healthcare-related organizations, and then bill patients for any applicable deductibles or co-payments. Internationally, medical reimbursement systems vary significantly from country to country, with some countries limiting medical centers’ spending through fixed budgets, regardless of levels of patient treatment, and other countries requiring application for, and approval of, government or third-party reimbursement. As a result, access to adequate coverage and reimbursement for procedures in which our Surgical Glaucoma products are used by third-party payors is essential to their acceptance and adoption by patients and ECPs.</w:t>
      </w:r>
    </w:p>
    <w:p>
      <w:pPr>
        <w:spacing w:after="0" w:line="189" w:lineRule="exact"/>
        <w:rPr>
          <w:sz w:val="20"/>
          <w:szCs w:val="20"/>
          <w:color w:val="auto"/>
        </w:rPr>
      </w:pPr>
    </w:p>
    <w:p>
      <w:pPr>
        <w:ind w:right="200" w:firstLine="419"/>
        <w:spacing w:after="0" w:line="269" w:lineRule="auto"/>
        <w:rPr>
          <w:sz w:val="20"/>
          <w:szCs w:val="20"/>
          <w:color w:val="auto"/>
        </w:rPr>
      </w:pPr>
      <w:r>
        <w:rPr>
          <w:rFonts w:ascii="Times New Roman" w:cs="Times New Roman" w:eastAsia="Times New Roman" w:hAnsi="Times New Roman"/>
          <w:sz w:val="17"/>
          <w:szCs w:val="17"/>
          <w:color w:val="auto"/>
        </w:rPr>
        <w:t>We also derive revenue from sales of TearCare to ECPs and eye care clinics, which bill all or a portion of the costs and fees associated with treatments and products to patients or, on a limited basis, to third-party payors. We believe that access to adequate coverage and reimbursement for procedures in which TearCare is used by third-party payors is important to the broad acceptance and adoption of TearCare. Currently, no MACs have formal policies establishing coverage for the TearCare procedure; however, MACs from time to time may include, and we are currently aware of three MACs that have included, low payment rates for TearCare procedures in their fee schedules that, if not removed or increased to what we believe is an appropriate reimbursement level, could adversely impact our efforts to achieve reimbursement for TearCare that is sufficient to support its broad commercial growth and adoption. Further, commercial payers may from time to time make “no coverage” or similar determinations with respect to our TearCare product that could hamper our efforts to drive broad commercial adoption of TearCare. We are pursuing a comprehensive long-term market development and patient access plan for TearCare and focusing our efforts on partnering with key strategic accounts to pursue prior authorization approvals and reimbursement claims for procedures in which TearCare is used, but there is no guarantee that we will be successful. If patients are not willing to pay for procedures in which TearCare is used, or if third-party payors continue to refuse to provide coverage and reimbursement, or provide insufficient levels of coverage and reimbursement, it could have a negative impact on ECPs’ adoption of TearCare and sales of TearCare.</w:t>
      </w:r>
    </w:p>
    <w:p>
      <w:pPr>
        <w:spacing w:after="0" w:line="179"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auto"/>
        </w:rPr>
        <w:t>Third-party payors, whether foreign or domestic, or governmental or commercial, are developing increasingly sophisticated methods of controlling healthcare costs. In addition, no uniform policy of coverage and reimbursement for procedures using our products exists among third-party payors. Therefore, coverage and reimbursement for procedures using our products can differ significantly from payor to payor. Obtaining and maintaining coverage and reimbursement can be a time-consuming process that could require us to provide supporting scientific, clinical and cost-effectiveness data for the use of our products. We may not be able to provide data sufficient to satisfy governmental and third-party payors that procedures using our products should be covered and reimbursed. With regard to our international sales efforts, even if and as we succeed in bringing our products to market in foreign countries, uncertainties regarding future healthcare policy, legislation and regulation, as well as private market practices, could affect our ability to sell our products in commercially acceptable quantities at acceptable prices.</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37" w:right="399" w:bottom="1440" w:gutter="0" w:footer="0" w:header="0"/>
        </w:sectPr>
      </w:pPr>
    </w:p>
    <w:bookmarkStart w:id="30" w:name="page31"/>
    <w:bookmarkEnd w:id="30"/>
    <w:p>
      <w:pPr>
        <w:ind w:right="80" w:firstLine="419"/>
        <w:spacing w:after="0" w:line="254" w:lineRule="auto"/>
        <w:rPr>
          <w:sz w:val="20"/>
          <w:szCs w:val="20"/>
          <w:color w:val="auto"/>
        </w:rPr>
      </w:pPr>
      <w:r>
        <w:rPr>
          <w:rFonts w:ascii="Times New Roman" w:cs="Times New Roman" w:eastAsia="Times New Roman" w:hAnsi="Times New Roman"/>
          <w:sz w:val="18"/>
          <w:szCs w:val="18"/>
          <w:color w:val="auto"/>
        </w:rPr>
        <w:t>In the United States, the AMA generally assigns specific billing codes for procedures under a coding system known as Current Procedure Terminology, or CPT, which surgeons use to bill third-party payors and receive reimbursement. Once a permanent CPT code ("Category I CPT code") is established for a service, CMS establishes payment levels under Medicare, while other payors may establish rates and coverage rules independently. Canaloplasty followed by trabeculotomy procedures using OMNI are typically billed using the Category I CPT code 66174, which describes canaloplasty. Coding for ophthalmic surgical procedures is complex, and changes to the codes used to report services performed with our products may result in significant changes in reimbursement, which could negatively impact our revenue. For example, in 2021 the RVS Update Committee ("RUC") of the AMA reevaluated the physician work associated with CPT code 66174. As a result of this RUC review, CMS reduced the Medicare Physician Fee Schedule amount associated with this service from approximately $950 in 2021 to $761 in 2022 and approximately $622 in 2023</w:t>
      </w:r>
      <w:r>
        <w:rPr>
          <w:rFonts w:ascii="Times New Roman" w:cs="Times New Roman" w:eastAsia="Times New Roman" w:hAnsi="Times New Roman"/>
          <w:sz w:val="18"/>
          <w:szCs w:val="18"/>
          <w:b w:val="1"/>
          <w:bCs w:val="1"/>
          <w:color w:val="auto"/>
        </w:rPr>
        <w:t>.</w:t>
      </w:r>
    </w:p>
    <w:p>
      <w:pPr>
        <w:spacing w:after="0" w:line="192" w:lineRule="exact"/>
        <w:rPr>
          <w:sz w:val="20"/>
          <w:szCs w:val="20"/>
          <w:color w:val="auto"/>
        </w:rPr>
      </w:pPr>
    </w:p>
    <w:p>
      <w:pPr>
        <w:ind w:firstLine="419"/>
        <w:spacing w:after="0" w:line="256" w:lineRule="auto"/>
        <w:rPr>
          <w:sz w:val="20"/>
          <w:szCs w:val="20"/>
          <w:color w:val="auto"/>
        </w:rPr>
      </w:pPr>
      <w:r>
        <w:rPr>
          <w:rFonts w:ascii="Times New Roman" w:cs="Times New Roman" w:eastAsia="Times New Roman" w:hAnsi="Times New Roman"/>
          <w:sz w:val="18"/>
          <w:szCs w:val="18"/>
          <w:color w:val="auto"/>
        </w:rPr>
        <w:t>The AMA maintains a subset of temporary CPT codes ("Category III CPT codes") used for new and emerging technologies. For example, TearCare was assigned a Category III CPT code effective beginning January 1, 2020. Coverage for Category III CPT codes is often limited. Medicare does not generally establish national payment rates for Category III CPT codes on the Medicare Physician Fee Schedule ("MPFS"). As a result, individual Medicare contractors and private payors may establish their own payment rates for services described by Category III CPT codes, as has been the case with TearCare, which payment rates are subject to change, may be variable across Medicare contractors, may be materially below the final reimbursement rates that we are currently targeting, or may determine not to reimburse services described by Category III CPT codes.</w:t>
      </w:r>
    </w:p>
    <w:p>
      <w:pPr>
        <w:spacing w:after="0" w:line="187"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auto"/>
        </w:rPr>
        <w:t>Payors also continually review new and existing technologies for possible coverage and can deny or reverse coverage for new or existing products and procedures. There can be no assurance that third-party payor policies provide coverage, or will continue to provide coverage, for procedures in which OMNI is used. If coverage policies change such that Medicare no longer covers procedures in which our products are used, there would be a material adverse effect on our business, financial condition and results of operations. For example, MACs could issue local coverage determinations that could restrict the patients eligible for treatment with our products or that are otherwise unfavorable to our business. If we are not successful in reversing any proposed non-coverage policies, or if third-party payors that currently cover or reimburse procedures in which our products are used reverse or limit their coverage in the future, or if other third-party payors issue similar policies, this could have a material adverse effect on our business.</w:t>
      </w:r>
    </w:p>
    <w:p>
      <w:pPr>
        <w:spacing w:after="0" w:line="189" w:lineRule="exact"/>
        <w:rPr>
          <w:sz w:val="20"/>
          <w:szCs w:val="20"/>
          <w:color w:val="auto"/>
        </w:rPr>
      </w:pPr>
    </w:p>
    <w:p>
      <w:pPr>
        <w:ind w:right="120" w:firstLine="419"/>
        <w:spacing w:after="0" w:line="255" w:lineRule="auto"/>
        <w:rPr>
          <w:sz w:val="20"/>
          <w:szCs w:val="20"/>
          <w:color w:val="auto"/>
        </w:rPr>
      </w:pPr>
      <w:r>
        <w:rPr>
          <w:rFonts w:ascii="Times New Roman" w:cs="Times New Roman" w:eastAsia="Times New Roman" w:hAnsi="Times New Roman"/>
          <w:sz w:val="18"/>
          <w:szCs w:val="18"/>
          <w:color w:val="auto"/>
        </w:rPr>
        <w:t>Further, we believe that future coverage and reimbursement may be subject to increased restrictions, such as additional prior authorization requirements, both in the United States and in international markets. Third-party coverage and reimbursement for procedures using our products or any of our products in development for which we may receive regulatory clearance, certification or approval may not be available or adequate in either the United States or international markets. Further, other devices or treatments that compete with our products may be more widely covered or subject to different co-pay policies and requirements, which could impact demand for our products. If hospital, surgical center, ECP and/or patient demand for our products is adversely affected by third-party reimbursement policies and decisions, it could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our products depends upon appropriate physician training, practice and patient selection.</w:t>
      </w:r>
    </w:p>
    <w:p>
      <w:pPr>
        <w:spacing w:after="0" w:line="121" w:lineRule="exact"/>
        <w:rPr>
          <w:sz w:val="20"/>
          <w:szCs w:val="20"/>
          <w:color w:val="auto"/>
        </w:rPr>
      </w:pPr>
    </w:p>
    <w:p>
      <w:pPr>
        <w:ind w:right="20" w:firstLine="419"/>
        <w:spacing w:after="0" w:line="253" w:lineRule="auto"/>
        <w:rPr>
          <w:sz w:val="20"/>
          <w:szCs w:val="20"/>
          <w:color w:val="auto"/>
        </w:rPr>
      </w:pPr>
      <w:r>
        <w:rPr>
          <w:rFonts w:ascii="Times New Roman" w:cs="Times New Roman" w:eastAsia="Times New Roman" w:hAnsi="Times New Roman"/>
          <w:sz w:val="18"/>
          <w:szCs w:val="18"/>
          <w:color w:val="auto"/>
        </w:rPr>
        <w:t>The success of our products depends in part on the skill of the ECPs utilizing and administering products to treat patients and on their adherence to our stated patient selection criteria and the proper techniques that we provide in training sessions. We train ECPs on the correct use of OMNI and SION. However, ECPs rely on their previous medical training and experience when performing ophthalmic surgical procedures and may deviate from the techniques we provide in training sessions. Furthermore, we cannot guarantee that all such ECPs who use OMNI and SION will have the necessary skills or experience to safely and effectively perform these procedures. Similarly, though we train ECPs to ensure correct use of TearCare, including placement of SmartLids on patients’ eyelids and expression of the patients' meibomian glands, we cannot guarantee that all such ECPs will have the necessary skills or experience to safely and effectively use these devices. If ECPs utilize our products in a manner that is inconsistent with our labeled indications or with components that are not part of our products, the patient outcomes may be negative. This could negatively impact the perception of patient benefits and safety associated with our products and limit their adoption, which would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37" w:right="399" w:bottom="1440" w:gutter="0" w:footer="0" w:header="0"/>
        </w:sectPr>
      </w:pPr>
    </w:p>
    <w:bookmarkStart w:id="31" w:name="page32"/>
    <w:bookmarkEnd w:id="31"/>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Development of our products for expanded indications depends upon positive clinical data, and the safety and efficacy of our products for the intended uses for which we intend to seek clearance, certification or approval are not yet supported by long-term clinical data, which could delay or prevent clearance by the FDA (or other foreign authorities or notified bodies) or limit sales if cleared, certified or approved and our products might therefore prove to be less safe or effective than initially thought.</w:t>
      </w:r>
    </w:p>
    <w:p>
      <w:pPr>
        <w:spacing w:after="0" w:line="72" w:lineRule="exact"/>
        <w:rPr>
          <w:sz w:val="20"/>
          <w:szCs w:val="20"/>
          <w:color w:val="auto"/>
        </w:rPr>
      </w:pPr>
    </w:p>
    <w:p>
      <w:pPr>
        <w:ind w:right="20" w:firstLine="419"/>
        <w:spacing w:after="0" w:line="253" w:lineRule="auto"/>
        <w:rPr>
          <w:sz w:val="20"/>
          <w:szCs w:val="20"/>
          <w:color w:val="auto"/>
        </w:rPr>
      </w:pPr>
      <w:r>
        <w:rPr>
          <w:rFonts w:ascii="Times New Roman" w:cs="Times New Roman" w:eastAsia="Times New Roman" w:hAnsi="Times New Roman"/>
          <w:sz w:val="18"/>
          <w:szCs w:val="18"/>
          <w:color w:val="auto"/>
        </w:rPr>
        <w:t>We are conducting and intend to continue conducting additional clinical trials or investigations to develop our devices for expanded indications. Historical clinical results, including interim results, are not necessarily predictive of future clinical results, and we cannot assure you that the results reported in these studies will be consistent with, or better than, currently available clinical data. Moreover, the outcomes and updates resulting from these studies, including interim results, may be compared to the results of other products and treatments for these same patient populations, and if the comparisons are not favorable, it may limit the ability to obtain clearance, certification or approval of the devices for the expanded indications for which we intend to seek clearance, certification or approval, as well as adoption of our products for their current authorized uses. In addition, our competitors and other third parties may also conduct clinical trials or investigations of our products without our participation. Unfavorable or inconsistent clinical data from existing or future clinical trials or investigations conducted by us, our competitors or other third parties, the interpretation of our clinical data or findings of new or more frequent adverse events, could subject us to mandatory or voluntary product recalls, suspension or withdrawal of FDA or other clearance, certification or approval, significant legal liability or harm to our business reputation and could have a material adverse effect on our business, financial condition and results of operations.</w:t>
      </w:r>
    </w:p>
    <w:p>
      <w:pPr>
        <w:spacing w:after="0" w:line="192" w:lineRule="exact"/>
        <w:rPr>
          <w:sz w:val="20"/>
          <w:szCs w:val="20"/>
          <w:color w:val="auto"/>
        </w:rPr>
      </w:pPr>
    </w:p>
    <w:p>
      <w:pPr>
        <w:ind w:right="20" w:firstLine="419"/>
        <w:spacing w:after="0" w:line="254" w:lineRule="auto"/>
        <w:rPr>
          <w:sz w:val="20"/>
          <w:szCs w:val="20"/>
          <w:color w:val="auto"/>
        </w:rPr>
      </w:pPr>
      <w:r>
        <w:rPr>
          <w:rFonts w:ascii="Times New Roman" w:cs="Times New Roman" w:eastAsia="Times New Roman" w:hAnsi="Times New Roman"/>
          <w:sz w:val="18"/>
          <w:szCs w:val="18"/>
          <w:color w:val="auto"/>
        </w:rPr>
        <w:t>Our products will be adopted and compete, in part, based on long-term data regarding patient outcomes and the risk of our products relative to other treatment options. The long-term clinical outcomes of the use of our products for their cleared uses are not known and, due to the novelty of our products, there is no long-term data regarding patient outcomes beyond our clinical trials or investigations. The results of short-term clinical experience of our products do not necessarily predict long-term clinical outcomes. We believe that ECPs will compare the rates of long-term clinical outcomes for procedures using our products for their authorized uses against alternative procedures and treatment options. If the long-term data does not meet ECPs’ expectations, or if the long-term data indicates that our products are not as safe or effective as other treatment options or as current short-term data would suggest, physicians may recommend alternative treatments for their patients and our products may not become widely adopted, which will negatively affect our business, financial condition and results of operations.</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Uncertainty in current global economic and political conditions could adversely affect our ability to predict product demand and impact our financial results, and makes it more likely that our actual results could differ materially from expectations.</w:t>
      </w:r>
    </w:p>
    <w:p>
      <w:pPr>
        <w:spacing w:after="0" w:line="51" w:lineRule="exact"/>
        <w:rPr>
          <w:sz w:val="20"/>
          <w:szCs w:val="20"/>
          <w:color w:val="auto"/>
        </w:rPr>
      </w:pPr>
    </w:p>
    <w:p>
      <w:pPr>
        <w:ind w:right="80" w:firstLine="419"/>
        <w:spacing w:after="0" w:line="253" w:lineRule="auto"/>
        <w:rPr>
          <w:sz w:val="20"/>
          <w:szCs w:val="20"/>
          <w:color w:val="auto"/>
        </w:rPr>
      </w:pPr>
      <w:r>
        <w:rPr>
          <w:rFonts w:ascii="Times New Roman" w:cs="Times New Roman" w:eastAsia="Times New Roman" w:hAnsi="Times New Roman"/>
          <w:sz w:val="18"/>
          <w:szCs w:val="18"/>
          <w:color w:val="auto"/>
        </w:rPr>
        <w:t>Our operations and performance depend in part on worldwide economic and political conditions. Certain of the jurisdictions in which our products are sold have experienced and could continue to experience unfavorable general economic conditions, such as a recession or economic slowdown, including as a result of political instability and military hostilities in certain geographies, concerns over the potential downgrade of U.S. sovereign debt and continued sovereign debt, monetary and financial uncertainties in Europe and other geographies, and domestic and global inflationary trends, any of which could negatively affect the affordability of, and consumer demand for, our products. Under difficult economic conditions, consumers may seek to modify spending priorities and reduce discretionary spending by delaying purchases of our products, which could reduce our profitability and could negatively affect our overall financial performance. Other financial uncertainties in our major markets and unstable political conditions in certain markets, including civil unrest and governmental changes, could undermine global consumer confidence and reduce consumers’ purchasing power, thereby reducing demand for our products. We cannot predict the reoccurrence of any economic slowdown or the strength or sustainability of the economic recovery, worldwide, in the United States, or in our industry. These and other economic factors could have a material adverse effect on our business, financial condition, and results of operations.</w:t>
      </w:r>
    </w:p>
    <w:p>
      <w:pPr>
        <w:spacing w:after="0" w:line="18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safety and efficacy of some of our products is not yet supported by long-term clinical data, which could limit sales, and our products might therefore prove to be less safe or effective than initially thought.</w:t>
      </w:r>
    </w:p>
    <w:p>
      <w:pPr>
        <w:spacing w:after="0" w:line="51"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auto"/>
        </w:rPr>
        <w:t>The products that we market in the United States are regulated as medical devices by the FDA. OMNI and TearCare have received premarket clearance under Section 510(k) of the FDCA.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application and later down-classified, or a 510(k)-exempt device. This process is typically shorter and</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33" w:right="4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generally requires the submission of less supporting documentation than the FDA’s PMA process and does not always require long-term clinical studies.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SION is registered with the FDA as a Class I 510(k) exempt device.</w:t>
      </w:r>
    </w:p>
    <w:p>
      <w:pPr>
        <w:spacing w:after="0" w:line="207" w:lineRule="exact"/>
        <w:rPr>
          <w:sz w:val="20"/>
          <w:szCs w:val="20"/>
          <w:color w:val="auto"/>
        </w:rPr>
      </w:pPr>
    </w:p>
    <w:p>
      <w:pPr>
        <w:ind w:firstLine="419"/>
        <w:spacing w:after="0" w:line="252" w:lineRule="auto"/>
        <w:rPr>
          <w:sz w:val="20"/>
          <w:szCs w:val="20"/>
          <w:color w:val="auto"/>
        </w:rPr>
      </w:pPr>
      <w:r>
        <w:rPr>
          <w:rFonts w:ascii="Times New Roman" w:cs="Times New Roman" w:eastAsia="Times New Roman" w:hAnsi="Times New Roman"/>
          <w:sz w:val="18"/>
          <w:szCs w:val="18"/>
          <w:color w:val="auto"/>
        </w:rPr>
        <w:t>In the EEA Union, a single regulatory approval process exists, and conformity with its requirements is required to affix a CE mark to our medical devices, without which they cannot be marketed or sold in the EEA. We received CE marking for OMNI in 2017. To obtain a CE mark, defined products must meet minimum standards of performance, safety, and quality, and then, according to their classification, undergo a conformity assessment procedure. Except for low risk medical devices, a conformity assessment procedure requires the intervention of a third-party organization designated by the competent authorities of an EEA country, known as a Notified Body. The competent authorities of the EU countries separately regulate the clinical research for medical devices and the market surveillance of products once they are placed on the market. A new regulation, the EU MDR was published by the EU in 2017 and became effective on May 26, 2021. Medical devices marketed in the EEA will require certification according to these new requirements. The EU MDR includes significant additional premarket and post-market requirements, and manufacturers of medical devices are required by the EU MDR to collect post-marketing clinical data in relation to their CE marked medical devices. Post-market surveillance includes the conduct of post-market clinical follow-up studies permitting manufacturers to gather information concerning quality, safety or performance of medical devices after they have been placed on the market in the EU. All information collected as part of the post-market surveillance process must be reviewed, investigated and analyzed on a regular basis in order to determine whether trending conclusions can be made concerning the safety or performance of the medical device and decisions must be taken in relation to the continued marketing of medical devices currently on the market. We expect to incur ongoing costs to comply with these post-market clinical obligations in EU markets for so long as we continue to market and sell products in those markets, as well as in the EEA markets.</w:t>
      </w:r>
    </w:p>
    <w:p>
      <w:pPr>
        <w:spacing w:after="0" w:line="196"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auto"/>
        </w:rPr>
        <w:t>We are conducting and intend to continue conducting additional clinical trials, including clinical trials to develop TearCare for expanded indications. In addition, our competitors and other third parties may conduct clinical trials of our products without our participation. If future patient studies or clinical testing do not support our belief that our products are advantageous for their intended uses, market acceptance of our products could fail to increase or could decrease and our business could be harmed. Moreover, if future results and experience by us, our competitors or other third parties, indicate that our products cause unexpected or serious complications or other unforeseen negative effects, we could be subject to mandatory or voluntary product recalls, suspension or withdrawal of FDA, European Commission or other governmental clearance or approval or certifications, significant legal liability or harm to our business reputation, which could have a material adverse effect on our business, financial condition and results of operations.</w:t>
      </w:r>
    </w:p>
    <w:p>
      <w:pPr>
        <w:spacing w:after="0" w:line="192" w:lineRule="exact"/>
        <w:rPr>
          <w:sz w:val="20"/>
          <w:szCs w:val="20"/>
          <w:color w:val="auto"/>
        </w:rPr>
      </w:pPr>
    </w:p>
    <w:p>
      <w:pPr>
        <w:ind w:right="180" w:firstLine="419"/>
        <w:spacing w:after="0" w:line="258" w:lineRule="auto"/>
        <w:rPr>
          <w:sz w:val="20"/>
          <w:szCs w:val="20"/>
          <w:color w:val="auto"/>
        </w:rPr>
      </w:pPr>
      <w:r>
        <w:rPr>
          <w:rFonts w:ascii="Times New Roman" w:cs="Times New Roman" w:eastAsia="Times New Roman" w:hAnsi="Times New Roman"/>
          <w:sz w:val="18"/>
          <w:szCs w:val="18"/>
          <w:color w:val="auto"/>
        </w:rPr>
        <w:t>We believe that ECPs will compare the rates of long-term clinical outcomes for procedures using our products for their authorized uses against alternative procedures and treatment options. If we choose to, or are required to, conduct additional studies, equivocal or unfavorable results from such studies or experience could lead to a reduction in the rate of coverage and reimbursement by both public and private third-party payors for procedures that are performed with our products, slow market adoption of our products by ECPs, significantly reduce our ability to achieve expected revenues and prevent us from being profitable.</w:t>
      </w:r>
    </w:p>
    <w:p>
      <w:pPr>
        <w:spacing w:after="0" w:line="17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in training on, and marketing and selling, our products and we may provide inadequate training, fail to increase our sales and marketing capabilities or fail to develop broad brand awareness in a cost-effective manner.</w:t>
      </w:r>
    </w:p>
    <w:p>
      <w:pPr>
        <w:spacing w:after="0" w:line="51" w:lineRule="exact"/>
        <w:rPr>
          <w:sz w:val="20"/>
          <w:szCs w:val="20"/>
          <w:color w:val="auto"/>
        </w:rPr>
      </w:pPr>
    </w:p>
    <w:p>
      <w:pPr>
        <w:ind w:right="100" w:firstLine="419"/>
        <w:spacing w:after="0" w:line="253" w:lineRule="auto"/>
        <w:rPr>
          <w:sz w:val="20"/>
          <w:szCs w:val="20"/>
          <w:color w:val="auto"/>
        </w:rPr>
      </w:pPr>
      <w:r>
        <w:rPr>
          <w:rFonts w:ascii="Times New Roman" w:cs="Times New Roman" w:eastAsia="Times New Roman" w:hAnsi="Times New Roman"/>
          <w:sz w:val="18"/>
          <w:szCs w:val="18"/>
          <w:color w:val="auto"/>
        </w:rPr>
        <w:t>We have limited experience marketing and selling our products. In the United States, we currently rely on our direct sales force and any failure to maintain and grow our sales force could harm our business. In Europe, we currently rely on a combination of direct sales personnel and independent distributors to sell our OMNI product, and we intend to grow our international sales through a combination of direct and distributor sales. In order to generate future growth, we plan to continue to significantly expand and leverage our commercial infrastructure to increase our customer base and increase adoption by existing customers to drive our growth. Identifying and recruiting qualified sales and marketing professionals and training them on our products, on applicable federal and state laws and regulations and on our internal policies and procedures requires significant time, expense and attention. Our direct sales force may subject us to higher fixed costs than those of companies with competing products or treatments that rely more heavily on independent third parties, placing us at a competitive disadvantage. Our business may be harmed if our efforts to expand and train our sales force and distribution chain do not generate a corresponding increase in product sales and revenue, and our higher fixed costs may slow our ability to reduce costs in the face of a sudden decline in demand for our products. Any failure to hire, develop and retain effective sales personnel, to identify and train distributors and independent sales representatives in targeted international</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37" w:right="419" w:bottom="1440" w:gutter="0" w:footer="0" w:header="0"/>
        </w:sectPr>
      </w:pPr>
    </w:p>
    <w:bookmarkStart w:id="33" w:name="page34"/>
    <w:bookmarkEnd w:id="33"/>
    <w:p>
      <w:pPr>
        <w:ind w:right="160"/>
        <w:spacing w:after="0" w:line="282" w:lineRule="auto"/>
        <w:rPr>
          <w:sz w:val="20"/>
          <w:szCs w:val="20"/>
          <w:color w:val="auto"/>
        </w:rPr>
      </w:pPr>
      <w:r>
        <w:rPr>
          <w:rFonts w:ascii="Times New Roman" w:cs="Times New Roman" w:eastAsia="Times New Roman" w:hAnsi="Times New Roman"/>
          <w:sz w:val="18"/>
          <w:szCs w:val="18"/>
          <w:color w:val="auto"/>
        </w:rPr>
        <w:t>territories, to achieve desired productivity levels in a reasonable period of time or timely reduce fixed costs, could have a material adverse effect on our business, financial condition and results of operations.</w:t>
      </w:r>
    </w:p>
    <w:p>
      <w:pPr>
        <w:spacing w:after="0" w:line="162" w:lineRule="exact"/>
        <w:rPr>
          <w:sz w:val="20"/>
          <w:szCs w:val="20"/>
          <w:color w:val="auto"/>
        </w:rPr>
      </w:pPr>
    </w:p>
    <w:p>
      <w:pPr>
        <w:ind w:right="80" w:firstLine="419"/>
        <w:spacing w:after="0" w:line="254"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products will depend, to a significant extent, on our ability to expand our sales and marketing and educational efforts. We plan to dedicate significant resources to our sales and marketing initiatives, and educational programs through leading medical publications and at large industry and scientific meetings, both directly and through key opinion leaders. Our business may be harmed if these efforts and expenditures do not generate a corresponding increase in revenue. In addition, we believe that developing and maintaining broad awareness of our brand in a cost-effective manner is critical to achieving broad acceptance of our products and reaching new ECPs and patients. Brand promotion activities may not impact ECP or patient awareness or increase revenue, and even if they do, any increase in revenue may not offset the costs and expenses we incur in building our brand. If we fail to successfully promote, maintain and protect our brand, we may fail to attract or retain the market acceptance necessary to realize a sufficient return on our brand building efforts, or to achieve the level of brand awareness that is an important factor for the broad adoption of our products.</w:t>
      </w:r>
    </w:p>
    <w:p>
      <w:pPr>
        <w:spacing w:after="0" w:line="1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are designed to be used in a limited number of procedures, and there is a limited total addressable market for our products. The sizes of the potential and actual markets for our current products have not been established with precision and may be smaller than we estimate.</w:t>
      </w:r>
    </w:p>
    <w:p>
      <w:pPr>
        <w:spacing w:after="0" w:line="51" w:lineRule="exact"/>
        <w:rPr>
          <w:sz w:val="20"/>
          <w:szCs w:val="20"/>
          <w:color w:val="auto"/>
        </w:rPr>
      </w:pPr>
    </w:p>
    <w:p>
      <w:pPr>
        <w:ind w:right="40" w:firstLine="419"/>
        <w:spacing w:after="0" w:line="254" w:lineRule="auto"/>
        <w:rPr>
          <w:sz w:val="20"/>
          <w:szCs w:val="20"/>
          <w:color w:val="auto"/>
        </w:rPr>
      </w:pPr>
      <w:r>
        <w:rPr>
          <w:rFonts w:ascii="Times New Roman" w:cs="Times New Roman" w:eastAsia="Times New Roman" w:hAnsi="Times New Roman"/>
          <w:sz w:val="18"/>
          <w:szCs w:val="18"/>
          <w:color w:val="auto"/>
        </w:rPr>
        <w:t>We currently market our OMNI device for use in the U.S. and select European geographies for canaloplasty followed by trabeculotomy to reduce intraocular pressure in adult patients with POAG. POAG is the most prevalent form of glaucoma and affects approximately 4.1 million people in the United States and over 60 million people worldwide. We currently market TearCare in the United States f</w:t>
      </w:r>
      <w:r>
        <w:rPr>
          <w:rFonts w:ascii="Times New Roman" w:cs="Times New Roman" w:eastAsia="Times New Roman" w:hAnsi="Times New Roman"/>
          <w:sz w:val="18"/>
          <w:szCs w:val="18"/>
          <w:color w:val="242424"/>
        </w:rPr>
        <w:t>or the application of localized heat therapy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adult patients with evaporative DED due to MGD, when used in conjunction with manual expression of the meibomian glands. </w:t>
      </w:r>
      <w:r>
        <w:rPr>
          <w:rFonts w:ascii="Times New Roman" w:cs="Times New Roman" w:eastAsia="Times New Roman" w:hAnsi="Times New Roman"/>
          <w:sz w:val="18"/>
          <w:szCs w:val="18"/>
          <w:color w:val="000000"/>
        </w:rPr>
        <w:t>There are an estimated</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739 million people globally and 38 million people in the U.S. who suffer from DED. DED is the most common reason for a patient visit to an eye doctor, yet of the estimated 38 million people with DED in the U.S., only approximately 17 million have been diagnosed with DED. Studies have shown that evaporative DED resulting from MGD is associated with approximately 86% of all DED cases. We currently market our SION surgical instrument in the United States for use in ophthalmic surgical procedures to excise trabecular meshwork.</w:t>
      </w:r>
    </w:p>
    <w:p>
      <w:pPr>
        <w:spacing w:after="0" w:line="192" w:lineRule="exact"/>
        <w:rPr>
          <w:sz w:val="20"/>
          <w:szCs w:val="20"/>
          <w:color w:val="auto"/>
        </w:rPr>
      </w:pPr>
    </w:p>
    <w:p>
      <w:pPr>
        <w:ind w:right="120" w:firstLine="419"/>
        <w:spacing w:after="0" w:line="266" w:lineRule="auto"/>
        <w:rPr>
          <w:sz w:val="20"/>
          <w:szCs w:val="20"/>
          <w:color w:val="auto"/>
        </w:rPr>
      </w:pPr>
      <w:r>
        <w:rPr>
          <w:rFonts w:ascii="Times New Roman" w:cs="Times New Roman" w:eastAsia="Times New Roman" w:hAnsi="Times New Roman"/>
          <w:sz w:val="18"/>
          <w:szCs w:val="18"/>
          <w:color w:val="auto"/>
        </w:rPr>
        <w:t>The total addressable markets for our products are subject to change and may be limited by various factors, including FDA or other regulatory restrictions or more narrowly defined indications, ECP practice preferences, and governmental and private payer reimbursement practices, any of which could have a material adverse effect on our business, financial condition and results of operations.</w:t>
      </w:r>
    </w:p>
    <w:p>
      <w:pPr>
        <w:spacing w:after="0" w:line="176" w:lineRule="exact"/>
        <w:rPr>
          <w:sz w:val="20"/>
          <w:szCs w:val="20"/>
          <w:color w:val="auto"/>
        </w:rPr>
      </w:pPr>
    </w:p>
    <w:p>
      <w:pPr>
        <w:ind w:right="40" w:firstLine="419"/>
        <w:spacing w:after="0" w:line="255" w:lineRule="auto"/>
        <w:rPr>
          <w:sz w:val="20"/>
          <w:szCs w:val="20"/>
          <w:color w:val="auto"/>
        </w:rPr>
      </w:pPr>
      <w:r>
        <w:rPr>
          <w:rFonts w:ascii="Times New Roman" w:cs="Times New Roman" w:eastAsia="Times New Roman" w:hAnsi="Times New Roman"/>
          <w:sz w:val="18"/>
          <w:szCs w:val="18"/>
          <w:color w:val="auto"/>
        </w:rPr>
        <w:t>Further, our estimates of the total addressable markets for our products are based on a number of internal and third-party assumptions and estimates, including, without limitation, the number of patients with POAG and MGD, and the assumed prices at which we can sell our products in markets that have not yet been fully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products may prove to be incorrect. If the actual number of patients who would benefit from our products or the price at which we can sell our products is smaller than we have estimated, it may impair our sales growth and negatively affect our business, financial condition and results of operations.</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Epidemic diseases, or the perception of their effects, have and may have an adverse effect on our business, financial condition, results of operations, and cash flows.</w:t>
      </w:r>
    </w:p>
    <w:p>
      <w:pPr>
        <w:spacing w:after="0" w:line="51"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auto"/>
        </w:rPr>
        <w:t>Outbreaks of infectious diseases, such as COVID-19, could divert medical resources and priorities towards the treatment of that disease. An outbreak of an infectious disease, or renewed escalation of the COVID-19 pandemic, could also negatively affect the decision by ECPs to perform (and by patients to undergo) elective surgery or office-based procedures, which could decrease demand for procedures using our products and cause other disruptions to our business. Business disruptions could include disruptions or restrictions on our ability to travel or to distribute our products, government orders suspending the performance of elective surgical procedures, inability of our customers to meet their financial commitments due to strain on the healthcare system, as well as temporary closures of our facilities or the facilities of our suppliers and their contract manufacturers, and a reduction in the business hours of ambulatory surgery centers and optometrists’ offices. Any disruption of our suppliers and their contract manufacturers or our customers would likely</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37" w:right="399" w:bottom="1440" w:gutter="0" w:footer="0" w:header="0"/>
        </w:sectPr>
      </w:pPr>
    </w:p>
    <w:bookmarkStart w:id="34" w:name="page35"/>
    <w:bookmarkEnd w:id="34"/>
    <w:p>
      <w:pPr>
        <w:ind w:right="200"/>
        <w:spacing w:after="0" w:line="261" w:lineRule="auto"/>
        <w:rPr>
          <w:sz w:val="20"/>
          <w:szCs w:val="20"/>
          <w:color w:val="auto"/>
        </w:rPr>
      </w:pPr>
      <w:r>
        <w:rPr>
          <w:rFonts w:ascii="Times New Roman" w:cs="Times New Roman" w:eastAsia="Times New Roman" w:hAnsi="Times New Roman"/>
          <w:sz w:val="18"/>
          <w:szCs w:val="18"/>
          <w:color w:val="auto"/>
        </w:rPr>
        <w:t>impact our sales and operating results. In addition, a significant outbreak of an infectious disease in the human population could result in a widespread health crisis that could adversely affect the economies and financial markets of many countries, resulting in an economic downturn that could affect demand for our products. Any of these events could negatively impact the number of procedures using our implants that are performed and have a material adverse effect on our business, financial condition, results of operations, or cash flows.</w:t>
      </w:r>
    </w:p>
    <w:p>
      <w:pPr>
        <w:spacing w:after="0" w:line="180" w:lineRule="exact"/>
        <w:rPr>
          <w:sz w:val="20"/>
          <w:szCs w:val="20"/>
          <w:color w:val="auto"/>
        </w:rPr>
      </w:pPr>
    </w:p>
    <w:p>
      <w:pPr>
        <w:ind w:right="120" w:firstLine="419"/>
        <w:spacing w:after="0" w:line="254" w:lineRule="auto"/>
        <w:rPr>
          <w:sz w:val="20"/>
          <w:szCs w:val="20"/>
          <w:color w:val="auto"/>
        </w:rPr>
      </w:pPr>
      <w:r>
        <w:rPr>
          <w:rFonts w:ascii="Times New Roman" w:cs="Times New Roman" w:eastAsia="Times New Roman" w:hAnsi="Times New Roman"/>
          <w:sz w:val="18"/>
          <w:szCs w:val="18"/>
          <w:color w:val="auto"/>
        </w:rPr>
        <w:t>Since its onset, COVID-19 has had an adverse impact on our operations as a result of preventive and precautionary measures that we, other businesses, health systems and governments have taken. Although we experienced this adverse impact most acutely in the second quarter of 2020, we continued to experience COVID-related disruptions to our normal business operations through early 2022. For example, the COVID-19 pandemic has resulted in, and may continue to result in, significant disruption of global financial markets, reducing our ability to access capital, which could in the future negatively affect our liquidity. In addition, a recession or market correction resulting from the spread of an infectious disease, including COVID-19, could materially affect our business. Such economic recession could have a material adverse effect on our long-term business as hospitals, surgical centers and optometry offices curtail and reduce capital and overall spending. If patients are unable to obtain or maintain health insurance policies or experience decreases in their income, this may significantly impact their ability to pay for the procedures utilizing our products, which could further negatively impact our business, financial condition and results of operations.</w:t>
      </w:r>
    </w:p>
    <w:p>
      <w:pPr>
        <w:spacing w:after="0" w:line="18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 for our products is highly competitive. Our competitors may have longer operating histories, more established products and greater resources than we do, and may be able to develop or market treatments that are safer, more effective or gain greater acceptance in the marketplace than our products.</w:t>
      </w:r>
    </w:p>
    <w:p>
      <w:pPr>
        <w:spacing w:after="0" w:line="67"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auto"/>
        </w:rPr>
        <w:t>The medical device industry is highly competitive, subject to rapid change and significantly affected by the introduction of new products and technologies and the other activities of industry participants. We compete, or plan to compete, with medical device and pharmaceutical companies that develop and commercialize products for eye conditions, including Glaukos, Ivantis, AbbVie/Allergan, Novartis, Alcon, Johnson &amp; Johnson, and New World Medical. These companies, or other entrants into the market, may have or develop competing technologies, other products that are in or that enter clinical trials, new devices or additional indications for existing devices that could demonstrate better safety, effectiveness, clinical results, lower costs or greater ECP and market acceptance than our products. For example, despite what we believe to be the strong safety profile of our products for their intended uses, patients may experience adverse events following canaloplasty or trabeculotomy with OMNI, including, but not limited to, hyphema, mild anterior chamber inflammation and spikes in intraocular pressure. Similarly, patients may experience adverse events following use of the SION surgical instrument, including anterior chamber shallowing and prolonged, or persistent intraocular inflammation, or application of localized heat with TearCare, including discomfort, pain or erythema of the eyelids. Any failure to meet patient expectations and any resulting negative publicity could harm our reputation and future sales and therefore adversely affect our business, financial condition and results of operations.</w:t>
      </w:r>
    </w:p>
    <w:p>
      <w:pPr>
        <w:spacing w:after="0" w:line="192" w:lineRule="exact"/>
        <w:rPr>
          <w:sz w:val="20"/>
          <w:szCs w:val="20"/>
          <w:color w:val="auto"/>
        </w:rPr>
      </w:pPr>
    </w:p>
    <w:p>
      <w:pPr>
        <w:ind w:right="280" w:firstLine="419"/>
        <w:spacing w:after="0" w:line="266" w:lineRule="auto"/>
        <w:rPr>
          <w:sz w:val="20"/>
          <w:szCs w:val="20"/>
          <w:color w:val="auto"/>
        </w:rPr>
      </w:pPr>
      <w:r>
        <w:rPr>
          <w:rFonts w:ascii="Times New Roman" w:cs="Times New Roman" w:eastAsia="Times New Roman" w:hAnsi="Times New Roman"/>
          <w:sz w:val="18"/>
          <w:szCs w:val="18"/>
          <w:color w:val="auto"/>
        </w:rPr>
        <w:t>We compete, or may compete in the future, against other companies which have longer, more established operating histories and significantly greater financial, technical, marketing, sales, distribution and other resources, which may prevent us from achieving significant market penetration or improved operating results. These companies may enjoy several competitive advantages, including:</w:t>
      </w:r>
    </w:p>
    <w:p>
      <w:pPr>
        <w:spacing w:after="0" w:line="176" w:lineRule="exact"/>
        <w:rPr>
          <w:sz w:val="20"/>
          <w:szCs w:val="20"/>
          <w:color w:val="auto"/>
        </w:rPr>
      </w:pPr>
    </w:p>
    <w:p>
      <w:pPr>
        <w:jc w:val="both"/>
        <w:ind w:left="800" w:right="660" w:hanging="283"/>
        <w:spacing w:after="0" w:line="266" w:lineRule="auto"/>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treatment patterns pursuant to which prescription medications, traditional glaucoma surgery or more conventional MIGS devices are generally first-line therapies for the treatment of glaucoma and eye drops or warm-compresses are first-line therapies for the treatment of MGD;</w:t>
      </w:r>
    </w:p>
    <w:p>
      <w:pPr>
        <w:spacing w:after="0" w:line="6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relationships with ECPs who are familiar with their products and procedures for the treatment of glaucoma or MGD;</w:t>
      </w:r>
    </w:p>
    <w:p>
      <w:pPr>
        <w:spacing w:after="0" w:line="117" w:lineRule="exact"/>
        <w:rPr>
          <w:rFonts w:ascii="Times New Roman" w:cs="Times New Roman" w:eastAsia="Times New Roman" w:hAnsi="Times New Roman"/>
          <w:sz w:val="18"/>
          <w:szCs w:val="18"/>
          <w:color w:val="auto"/>
        </w:rPr>
      </w:pPr>
    </w:p>
    <w:p>
      <w:pPr>
        <w:ind w:left="800" w:right="700" w:hanging="283"/>
        <w:spacing w:after="0" w:line="282" w:lineRule="auto"/>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relationships with key stakeholders, including hospital outpatient departments, ambulatory surgery centers, optometrists and ophthalmologists, general practitioners and administrators;</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capital resources;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greater name recognition;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37" w:right="439" w:bottom="1440" w:gutter="0" w:footer="0" w:header="0"/>
        </w:sectPr>
      </w:pPr>
    </w:p>
    <w:bookmarkStart w:id="35" w:name="page36"/>
    <w:bookmarkEnd w:id="35"/>
    <w:p>
      <w:pPr>
        <w:ind w:left="800" w:right="1100" w:hanging="283"/>
        <w:spacing w:after="0" w:line="282"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lines of products, and the ability to offer rebates or bundle products to offer greater discounts or incentives to gain a competitive advantage; and</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sales, marketing and worldwide distribution networks.</w:t>
      </w:r>
    </w:p>
    <w:p>
      <w:pPr>
        <w:spacing w:after="0" w:line="225" w:lineRule="exact"/>
        <w:rPr>
          <w:sz w:val="20"/>
          <w:szCs w:val="20"/>
          <w:color w:val="auto"/>
        </w:rPr>
      </w:pPr>
    </w:p>
    <w:p>
      <w:pPr>
        <w:ind w:right="20" w:firstLine="419"/>
        <w:spacing w:after="0" w:line="254" w:lineRule="auto"/>
        <w:rPr>
          <w:sz w:val="20"/>
          <w:szCs w:val="20"/>
          <w:color w:val="auto"/>
        </w:rPr>
      </w:pPr>
      <w:r>
        <w:rPr>
          <w:rFonts w:ascii="Times New Roman" w:cs="Times New Roman" w:eastAsia="Times New Roman" w:hAnsi="Times New Roman"/>
          <w:sz w:val="18"/>
          <w:szCs w:val="18"/>
          <w:color w:val="auto"/>
        </w:rPr>
        <w:t>One of the major hurdles to adoption of our products will be overcoming established treatment patterns, which will require educating ECPs and supportive clinical data. However, because of the size of the market opportunity for devices used in procedures to address MIGS and MGD, we believe current and potential future competitors will dedicate significant resources to aggressively promote their products or develop new products or treatments, such as Glaukos’ iStent infinite and iPRIME Viscodelivery System. Further, new treatment options may be developed that could compete more effectively with our products due to the prevalence of glaucoma and MGD, and the research and technological progress that exist within the market. Also, even if competitor products do not have indications for use or clinical data that are comparable to ours, ECPs can still choose these competitor products for a variety of reasons, including those set forth above. For instance, competitors may seek to bundle their products in a manner that is attractive to ECPs, which may result in decreased use or adoption of our products by ECPs, notwithstanding that our products may offer superior efficacy.</w:t>
      </w:r>
    </w:p>
    <w:p>
      <w:pPr>
        <w:spacing w:after="0" w:line="1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manufacture and supply our products, many of which are single-source providers, and we are subject to numerous risks relating to our reliance on third parties.</w:t>
      </w:r>
    </w:p>
    <w:p>
      <w:pPr>
        <w:spacing w:after="0" w:line="51"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auto"/>
        </w:rPr>
        <w:t>Our business strategy depends on our ability to manufacture our current and future products in sufficient quantities and on a timely basis to meet customer demand, while adhering to product quality standards, complying with regulatory quality system requirements and managing manufacturing costs. We do not have any internal manufacturing capabilities or infrastructure and rely on a limited number of third-party manufacturers, many of which are single source suppliers, for a portion of the components, accessories, materials and assembly that we utilize in our products. These items are critical and, for certain items, there are relatively few or no readily available alternative sources of supply. These single source suppliers may be unwilling or unable to supply these items reliably and at the levels we anticipate or that are required by the market. For example, following the transition of our OMNI production in 2022, our OMNI products are now primarily produced and assembled by a single Taiwan-based manufacturer in China. However, we have also contracted with a U.S.-based manufacturer to produce and assemble OMNI products. We also have supply arrangements with several Chinese and U.S. medical device manufacturers for the production of our SION and TearCare products. For our business strategy to be successful, our suppliers must be able to provide us with products in sufficient quantities, in compliance with regulatory requirements, including the FDA’s QSR or other applicable laws or regulations enforced by the FDA, state and foreign regulatory authorities, in accordance with agreed-upon specifications, at acceptable costs and on a timely basis.</w:t>
      </w:r>
    </w:p>
    <w:p>
      <w:pPr>
        <w:spacing w:after="0" w:line="190"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auto"/>
        </w:rPr>
        <w:t>While our suppliers have generally met our demand requirements on a timely basis in the past, their ability and willingness to continue to do so going forward may be limited for several reasons, including financial difficulties, damage to their manufacturing equipment or facilities, inability to obtain components, problems with their own suppliers, our relative importance as a customer to each manufacturer, or geopolitical or trade tensions between China and Taiwan or China and the United States. If we are unable to meet our demand requirements on a timely basis, we may not have a sufficient number of our products available for delivery to support ECPs that utilize our products as part of their treatment. For instance, if our supply of OMNI products from our manufacturer in China was interrupted or suspended for any significant period, we may be unable to meet customer demand for our products during that time. Any shortfall in the supply of products may result in lower adoption and usage rates of our products and have a material adverse effect on our business, financial condition and results of operations.</w:t>
      </w:r>
    </w:p>
    <w:p>
      <w:pPr>
        <w:spacing w:after="0" w:line="192" w:lineRule="exact"/>
        <w:rPr>
          <w:sz w:val="20"/>
          <w:szCs w:val="20"/>
          <w:color w:val="auto"/>
        </w:rPr>
      </w:pPr>
    </w:p>
    <w:p>
      <w:pPr>
        <w:ind w:right="100" w:firstLine="419"/>
        <w:spacing w:after="0" w:line="256" w:lineRule="auto"/>
        <w:rPr>
          <w:sz w:val="20"/>
          <w:szCs w:val="20"/>
          <w:color w:val="auto"/>
        </w:rPr>
      </w:pPr>
      <w:r>
        <w:rPr>
          <w:rFonts w:ascii="Times New Roman" w:cs="Times New Roman" w:eastAsia="Times New Roman" w:hAnsi="Times New Roman"/>
          <w:sz w:val="18"/>
          <w:szCs w:val="18"/>
          <w:color w:val="auto"/>
        </w:rPr>
        <w:t>The process of identifying and qualifying alternative manufacturing facilities for any other reason could be time-consuming and expensive, may result in interruptions in our operations and product delivery, and could affect the performance specifications of our products. We cannot assure you that we will be able to identify and engage alternative contract manufacturers on terms similar to our current arrangements, or without delay. Furthermore, our contract manufacturers could require that their manufacture and assembly of our products be moved to another of their production facilities. The occurrence of any of these events could harm our ability to meet the demand for our products in a timely and cost-effective manner, which could have a material adverse effect on our business, financial condition and results of operations.</w:t>
      </w:r>
    </w:p>
    <w:p>
      <w:pPr>
        <w:spacing w:after="0" w:line="187" w:lineRule="exact"/>
        <w:rPr>
          <w:sz w:val="20"/>
          <w:szCs w:val="20"/>
          <w:color w:val="auto"/>
        </w:rPr>
      </w:pPr>
    </w:p>
    <w:p>
      <w:pPr>
        <w:jc w:val="both"/>
        <w:ind w:right="220" w:firstLine="419"/>
        <w:spacing w:after="0" w:line="266" w:lineRule="auto"/>
        <w:rPr>
          <w:sz w:val="20"/>
          <w:szCs w:val="20"/>
          <w:color w:val="auto"/>
        </w:rPr>
      </w:pPr>
      <w:r>
        <w:rPr>
          <w:rFonts w:ascii="Times New Roman" w:cs="Times New Roman" w:eastAsia="Times New Roman" w:hAnsi="Times New Roman"/>
          <w:sz w:val="18"/>
          <w:szCs w:val="18"/>
          <w:color w:val="auto"/>
        </w:rPr>
        <w:t>We are also subject to numerous other risks relating to our reliance on third parties, including our potential inability to renew or extend contracts and arrangements with such third parties or renew any such contracts or arrangements on terms that are favorable to us, and price fluctuations due to a lack of long-term supply agreements with certain of our suppliers.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37" w:right="419" w:bottom="1440" w:gutter="0" w:footer="0" w:header="0"/>
        </w:sectPr>
      </w:pPr>
    </w:p>
    <w:bookmarkStart w:id="36" w:name="page37"/>
    <w:bookmarkEnd w:id="36"/>
    <w:p>
      <w:pPr>
        <w:ind w:right="80"/>
        <w:spacing w:after="0" w:line="254" w:lineRule="auto"/>
        <w:rPr>
          <w:sz w:val="20"/>
          <w:szCs w:val="20"/>
          <w:color w:val="auto"/>
        </w:rPr>
      </w:pPr>
      <w:r>
        <w:rPr>
          <w:rFonts w:ascii="Times New Roman" w:cs="Times New Roman" w:eastAsia="Times New Roman" w:hAnsi="Times New Roman"/>
          <w:sz w:val="18"/>
          <w:szCs w:val="18"/>
          <w:color w:val="auto"/>
        </w:rPr>
        <w:t>These risks are likely to be exacerbated by our limited experience with our current products and manufacturing processes. As demand for our products increases, we will have to invest additional resources to manage the manufacturing process. If we fail to secure increased production capacity efficiently, we may not be able to fill customer orders on a timely basis, our sales may not increase in line with our expectations and our operating margins could fluctuate or decline. In addition, the manufacture of future products may require modification of the current production processes or unique production processes, the identification of new suppliers for specific components, sub-assemblies and materials or the development of new manufacturing technologies. It may not be possible for our current third-party manufacturers to produce these products at a cost or in quantities sufficient to make these products commercially viable or to maintain current operating margins, all of which could have a material adverse effect on our business, financial condition and results of operations.</w:t>
      </w:r>
    </w:p>
    <w:p>
      <w:pPr>
        <w:spacing w:after="0" w:line="18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could be materially harmed if we are unable to accurately forecast customer demand for our products and manage our inventory.</w:t>
      </w:r>
    </w:p>
    <w:p>
      <w:pPr>
        <w:spacing w:after="0" w:line="51"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auto"/>
        </w:rPr>
        <w:t>While we seek to maintain sufficient levels of inventory in order to protect ourselves from supply interruptions, we keep limited components, sub-assemblies, materials and finished products on hand. To ensure adequate inventory supply and manage our operations with our third-party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 commercial experience, rapid growth, failure to accurately manage our expansion strategy, product introductions by competitors, an increase or decrease in customer demand for our products, our failure to accurately forecast customer acceptance and adoption of new products, unanticipated changes in general market conditions or regulatory matters and weakening of economic conditions or consumer confidence in future economic conditions.</w:t>
      </w:r>
    </w:p>
    <w:p>
      <w:pPr>
        <w:spacing w:after="0" w:line="192" w:lineRule="exact"/>
        <w:rPr>
          <w:sz w:val="20"/>
          <w:szCs w:val="20"/>
          <w:color w:val="auto"/>
        </w:rPr>
      </w:pPr>
    </w:p>
    <w:p>
      <w:pPr>
        <w:ind w:right="140" w:firstLine="419"/>
        <w:spacing w:after="0" w:line="254" w:lineRule="auto"/>
        <w:rPr>
          <w:sz w:val="20"/>
          <w:szCs w:val="20"/>
          <w:color w:val="auto"/>
        </w:rPr>
      </w:pPr>
      <w:r>
        <w:rPr>
          <w:rFonts w:ascii="Times New Roman" w:cs="Times New Roman" w:eastAsia="Times New Roman" w:hAnsi="Times New Roman"/>
          <w:sz w:val="18"/>
          <w:szCs w:val="18"/>
          <w:color w:val="auto"/>
        </w:rPr>
        <w:t>Inventory levels in excess of customer demand may result in a portion of our inventory becoming obsolete or expiring, as well as inventory write-downs or write-offs, which would negatively impact our gross margins and impair the strength of our brand. Conversely, if we underestimate customer demand for our products or our own requirements for components, sub-assemblies and materials, our third-party suppliers may not be able to deliver components, sub-assemblies and materials to meet our requirements, which could result in inadequate inventory levels or interruptions, delays or cancellations of deliveries to our customers, any of which would damage our reputation, customer relationships and business. In addition, several components, sub-assemblies and materials incorporated into our products require lengthy order lead times, and additional supplies or materials or additional manufacturing capacity may not be available when required on terms that are acceptable to us, or at all, and our third-party suppliers may not be able to allocate sufficient capacity in order to meet our increased requirements, any of which could have an adverse effect on our ability to meet customer demand for our products and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and annual results may fluctuate significantly and may not fully reflect the underlying performance of our business.</w:t>
      </w:r>
    </w:p>
    <w:p>
      <w:pPr>
        <w:spacing w:after="0" w:line="121" w:lineRule="exact"/>
        <w:rPr>
          <w:sz w:val="20"/>
          <w:szCs w:val="20"/>
          <w:color w:val="auto"/>
        </w:rPr>
      </w:pPr>
    </w:p>
    <w:p>
      <w:pPr>
        <w:ind w:right="40" w:firstLine="419"/>
        <w:spacing w:after="0" w:line="261" w:lineRule="auto"/>
        <w:rPr>
          <w:sz w:val="20"/>
          <w:szCs w:val="20"/>
          <w:color w:val="auto"/>
        </w:rPr>
      </w:pPr>
      <w:r>
        <w:rPr>
          <w:rFonts w:ascii="Times New Roman" w:cs="Times New Roman" w:eastAsia="Times New Roman" w:hAnsi="Times New Roman"/>
          <w:sz w:val="18"/>
          <w:szCs w:val="18"/>
          <w:color w:val="auto"/>
        </w:rPr>
        <w:t>Our quarterly and annual results of operations, including our revenue, may vary significantly in the future, and period-to-period comparisons of our operating results may not be meaningful. Accordingly, the results of any one quarter or period should not be relied upon as an indication of future performance or of the results for the year in which such quarter or period occurs. These fluctuations may occur due to a variety of factors, many of which are outside of our control, including, but not limited to:</w:t>
      </w:r>
    </w:p>
    <w:p>
      <w:pPr>
        <w:spacing w:after="0" w:line="180" w:lineRule="exact"/>
        <w:rPr>
          <w:sz w:val="20"/>
          <w:szCs w:val="20"/>
          <w:color w:val="auto"/>
        </w:rPr>
      </w:pPr>
    </w:p>
    <w:p>
      <w:pPr>
        <w:ind w:left="800" w:hanging="283"/>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which may vary significantly;</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or investigations involving the use of our products;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decisions or announcements, including product recalls, and reimbursement determinations;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products and technologies;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efforts and expenses;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grow our sales force and the speed at which newly hired salespeople become effective;</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37" w:right="399" w:bottom="1440" w:gutter="0" w:footer="0" w:header="0"/>
        </w:sectPr>
      </w:pPr>
    </w:p>
    <w:bookmarkStart w:id="37" w:name="page38"/>
    <w:bookmarkEnd w:id="37"/>
    <w:p>
      <w:pPr>
        <w:ind w:left="800" w:right="1060" w:hanging="283"/>
        <w:spacing w:after="0" w:line="282" w:lineRule="auto"/>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competition in our industry and any change in the competitive landscape of our industry, including consolidation among our competitors or future partners;</w:t>
      </w:r>
    </w:p>
    <w:p>
      <w:pPr>
        <w:spacing w:after="0" w:line="53" w:lineRule="exact"/>
        <w:rPr>
          <w:rFonts w:ascii="Times New Roman" w:cs="Times New Roman" w:eastAsia="Times New Roman" w:hAnsi="Times New Roman"/>
          <w:sz w:val="18"/>
          <w:szCs w:val="18"/>
          <w:color w:val="auto"/>
        </w:rPr>
      </w:pPr>
    </w:p>
    <w:p>
      <w:pPr>
        <w:ind w:left="800" w:right="1320" w:hanging="283"/>
        <w:spacing w:after="0" w:line="282" w:lineRule="auto"/>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coverage and reimbursement policies with respect to the procedures in which our products and our competitors’ products are used, and potential future products that compete with our products;</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coverage in the media or clinical publications of our products or products of our competitors or our industry;</w:t>
      </w:r>
    </w:p>
    <w:p>
      <w:pPr>
        <w:spacing w:after="0" w:line="117" w:lineRule="exact"/>
        <w:rPr>
          <w:rFonts w:ascii="Times New Roman" w:cs="Times New Roman" w:eastAsia="Times New Roman" w:hAnsi="Times New Roman"/>
          <w:sz w:val="18"/>
          <w:szCs w:val="18"/>
          <w:color w:val="auto"/>
        </w:rPr>
      </w:pPr>
    </w:p>
    <w:p>
      <w:pPr>
        <w:ind w:left="800" w:right="860" w:hanging="283"/>
        <w:spacing w:after="0" w:line="282" w:lineRule="auto"/>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customer orders or medical procedures using our products and the number of available selling days in any quarterly period, which can be impacted by holidays, the mix of products sold and the geographic mix of where products are sold;</w:t>
      </w:r>
    </w:p>
    <w:p>
      <w:pPr>
        <w:spacing w:after="0" w:line="53" w:lineRule="exact"/>
        <w:rPr>
          <w:rFonts w:ascii="Times New Roman" w:cs="Times New Roman" w:eastAsia="Times New Roman" w:hAnsi="Times New Roman"/>
          <w:sz w:val="18"/>
          <w:szCs w:val="18"/>
          <w:color w:val="auto"/>
        </w:rPr>
      </w:pPr>
    </w:p>
    <w:p>
      <w:pPr>
        <w:ind w:left="800" w:right="800" w:hanging="283"/>
        <w:spacing w:after="0" w:line="266" w:lineRule="auto"/>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licenses, regulatory approval, commercialization activities, acquisitions and other strategic transactions, or other significant events relating to our products, which may change from time to time;</w:t>
      </w:r>
    </w:p>
    <w:p>
      <w:pPr>
        <w:spacing w:after="0" w:line="6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enforcing and defending our intellectual property rights, whether through litigation or otherwise;</w:t>
      </w:r>
    </w:p>
    <w:p>
      <w:pPr>
        <w:spacing w:after="0" w:line="117" w:lineRule="exact"/>
        <w:rPr>
          <w:rFonts w:ascii="Times New Roman" w:cs="Times New Roman" w:eastAsia="Times New Roman" w:hAnsi="Times New Roman"/>
          <w:sz w:val="18"/>
          <w:szCs w:val="18"/>
          <w:color w:val="auto"/>
        </w:rPr>
      </w:pPr>
    </w:p>
    <w:p>
      <w:pPr>
        <w:ind w:left="800" w:right="820" w:hanging="283"/>
        <w:spacing w:after="0" w:line="282" w:lineRule="auto"/>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products, which may vary depending on the quantity of production and the terms of our agreements with third-party suppliers; and</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growth depends on our ability to enhance our products, expand our indications and develop and commercialize additional products in a timely manner. If we fail to identify, acquire and develop other products, we may be unable to grow our business.</w:t>
      </w:r>
    </w:p>
    <w:p>
      <w:pPr>
        <w:spacing w:after="0" w:line="51" w:lineRule="exact"/>
        <w:rPr>
          <w:sz w:val="20"/>
          <w:szCs w:val="20"/>
          <w:color w:val="auto"/>
        </w:rPr>
      </w:pPr>
    </w:p>
    <w:p>
      <w:pPr>
        <w:ind w:firstLine="419"/>
        <w:spacing w:after="0" w:line="256" w:lineRule="auto"/>
        <w:rPr>
          <w:sz w:val="20"/>
          <w:szCs w:val="20"/>
          <w:color w:val="auto"/>
        </w:rPr>
      </w:pPr>
      <w:r>
        <w:rPr>
          <w:rFonts w:ascii="Times New Roman" w:cs="Times New Roman" w:eastAsia="Times New Roman" w:hAnsi="Times New Roman"/>
          <w:sz w:val="18"/>
          <w:szCs w:val="18"/>
          <w:color w:val="auto"/>
        </w:rPr>
        <w:t>The markets for our products are highly competitive, dynamic, and marked by rapid and substantial technological development and product innovation. New entrants or existing competitors could attempt to develop products that compete directly with ours. Demand for our products and future related products could be diminished by equivalent or superior products and technologies offered by competitors. If we are unable to innovate successfully, our products could become obsolete and our revenue would decline as our customers purchase our competitors’ products. Developing and improving products is expensive and time-consuming and could divert management’s attention away from our existing products. The success of any new product offering or product enhancements to our solutions will depend on several factors, including our ability to:</w:t>
      </w:r>
    </w:p>
    <w:p>
      <w:pPr>
        <w:spacing w:after="0" w:line="187" w:lineRule="exact"/>
        <w:rPr>
          <w:sz w:val="20"/>
          <w:szCs w:val="20"/>
          <w:color w:val="auto"/>
        </w:rPr>
      </w:pPr>
    </w:p>
    <w:p>
      <w:pPr>
        <w:ind w:left="800" w:hanging="283"/>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strong relationships with ECPs;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Assemble sufficient resources to acquire or discover additional products;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identify and anticipate physician and patient needs;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new products and product enhancements in a timely manner;</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infringing upon, misappropriating or otherwise violating the intellectual property rights of third parties;</w:t>
      </w:r>
    </w:p>
    <w:p>
      <w:pPr>
        <w:spacing w:after="0" w:line="117" w:lineRule="exact"/>
        <w:rPr>
          <w:rFonts w:ascii="Times New Roman" w:cs="Times New Roman" w:eastAsia="Times New Roman" w:hAnsi="Times New Roman"/>
          <w:sz w:val="18"/>
          <w:szCs w:val="18"/>
          <w:color w:val="auto"/>
        </w:rPr>
      </w:pPr>
    </w:p>
    <w:p>
      <w:pPr>
        <w:ind w:left="800" w:right="1600" w:hanging="283"/>
        <w:spacing w:after="0" w:line="282" w:lineRule="auto"/>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if required, the safety and efficacy of new products with data from preclinical studies and clinical trials or investigations;</w:t>
      </w:r>
    </w:p>
    <w:p>
      <w:pPr>
        <w:spacing w:after="0" w:line="53" w:lineRule="exact"/>
        <w:rPr>
          <w:rFonts w:ascii="Times New Roman" w:cs="Times New Roman" w:eastAsia="Times New Roman" w:hAnsi="Times New Roman"/>
          <w:sz w:val="18"/>
          <w:szCs w:val="18"/>
          <w:color w:val="auto"/>
        </w:rPr>
      </w:pPr>
    </w:p>
    <w:p>
      <w:pPr>
        <w:ind w:left="800" w:right="1500" w:hanging="283"/>
        <w:spacing w:after="0" w:line="282" w:lineRule="auto"/>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regulatory clearances, certifications or approvals for expanded indications, new products or product modifications;</w:t>
      </w:r>
    </w:p>
    <w:p>
      <w:pPr>
        <w:spacing w:after="0" w:line="53" w:lineRule="exact"/>
        <w:rPr>
          <w:rFonts w:ascii="Times New Roman" w:cs="Times New Roman" w:eastAsia="Times New Roman" w:hAnsi="Times New Roman"/>
          <w:sz w:val="18"/>
          <w:szCs w:val="18"/>
          <w:color w:val="auto"/>
        </w:rPr>
      </w:pPr>
    </w:p>
    <w:p>
      <w:pPr>
        <w:ind w:left="800" w:right="1320" w:hanging="283"/>
        <w:spacing w:after="0" w:line="282" w:lineRule="auto"/>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requirements of FDA and similar foreign regulatory authorities regarding the marketing of new devices or modified products;</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new products in commercial quantities at an acceptable cost;</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adequate training to potential users of our products;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adequate coding, coverage and reimbursement for procedures performed with our products;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37" w:right="439" w:bottom="1440" w:gutter="0" w:footer="0" w:header="0"/>
        </w:sectPr>
      </w:pPr>
    </w:p>
    <w:bookmarkStart w:id="38" w:name="page39"/>
    <w:bookmarkEnd w:id="38"/>
    <w:p>
      <w:pPr>
        <w:ind w:left="800" w:hanging="283"/>
        <w:spacing w:after="0"/>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 effective and dedicated sales and marketing team.</w:t>
      </w:r>
    </w:p>
    <w:p>
      <w:pPr>
        <w:spacing w:after="0" w:line="225" w:lineRule="exact"/>
        <w:rPr>
          <w:sz w:val="20"/>
          <w:szCs w:val="20"/>
          <w:color w:val="auto"/>
        </w:rPr>
      </w:pPr>
    </w:p>
    <w:p>
      <w:pPr>
        <w:ind w:right="40" w:firstLine="419"/>
        <w:spacing w:after="0" w:line="256" w:lineRule="auto"/>
        <w:rPr>
          <w:sz w:val="20"/>
          <w:szCs w:val="20"/>
          <w:color w:val="auto"/>
        </w:rPr>
      </w:pPr>
      <w:r>
        <w:rPr>
          <w:rFonts w:ascii="Times New Roman" w:cs="Times New Roman" w:eastAsia="Times New Roman" w:hAnsi="Times New Roman"/>
          <w:sz w:val="18"/>
          <w:szCs w:val="18"/>
          <w:color w:val="auto"/>
        </w:rPr>
        <w:t>If we are unable to develop or improve products, applications or features due to constraints, such as insufficient cash resources, high employee turnover, inability to hire personnel with sufficient technical skills or a lack of other research and development resources, we may not be able to maintain our competitive position compared to other companies. Furthermore, many of our competitors devote a considerably greater amount of funds to their research and development programs than we do, and those that do not may be acquired by larger companies that could allocate greater resources to research and development programs. Our failure or inability to devote adequate research and development resources or compete effectively with the research and development programs of our competitors could harm our business.</w:t>
      </w:r>
    </w:p>
    <w:p>
      <w:pPr>
        <w:spacing w:after="0" w:line="187" w:lineRule="exact"/>
        <w:rPr>
          <w:sz w:val="20"/>
          <w:szCs w:val="20"/>
          <w:color w:val="auto"/>
        </w:rPr>
      </w:pPr>
    </w:p>
    <w:p>
      <w:pPr>
        <w:ind w:firstLine="419"/>
        <w:spacing w:after="0" w:line="256" w:lineRule="auto"/>
        <w:rPr>
          <w:sz w:val="20"/>
          <w:szCs w:val="20"/>
          <w:color w:val="auto"/>
        </w:rPr>
      </w:pPr>
      <w:r>
        <w:rPr>
          <w:rFonts w:ascii="Times New Roman" w:cs="Times New Roman" w:eastAsia="Times New Roman" w:hAnsi="Times New Roman"/>
          <w:sz w:val="18"/>
          <w:szCs w:val="18"/>
          <w:color w:val="auto"/>
        </w:rPr>
        <w:t>In addition, we may choose to focus our efforts and resources on potential products or indications that ultimately prove to be unsuccessful, or to license or purchase marketed products that do not meet our financial expectations. As a result, we may fail to capitalize on viable commercial products or profitable market opportunities, be required to forego or delay pursuit of opportunities with other potential products or other diseases that may later prove to have greater commercial potential, or relinquish valuable rights to such potential products through collaboration, licensing or other royalty arrangements in cases in which it would have been advantageous for us to retain sole development and commercialization rights, which could adversely impact our business, financial condition and results of operations.</w:t>
      </w:r>
    </w:p>
    <w:p>
      <w:pPr>
        <w:spacing w:after="0" w:line="18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Cost-containment efforts of our customers, purchasing groups and governmental organizations could have a material adverse effect on our sales and results of operations. Consolidation in the healthcare industry or group purchasing organizations could lead to demands for price concessions, which may affect our ability to sell our products at prices necessary to support our current business strategies.</w:t>
      </w:r>
    </w:p>
    <w:p>
      <w:pPr>
        <w:spacing w:after="0" w:line="67" w:lineRule="exact"/>
        <w:rPr>
          <w:sz w:val="20"/>
          <w:szCs w:val="20"/>
          <w:color w:val="auto"/>
        </w:rPr>
      </w:pPr>
    </w:p>
    <w:p>
      <w:pPr>
        <w:ind w:right="40" w:firstLine="419"/>
        <w:spacing w:after="0" w:line="255" w:lineRule="auto"/>
        <w:rPr>
          <w:sz w:val="20"/>
          <w:szCs w:val="20"/>
          <w:color w:val="auto"/>
        </w:rPr>
      </w:pPr>
      <w:r>
        <w:rPr>
          <w:rFonts w:ascii="Times New Roman" w:cs="Times New Roman" w:eastAsia="Times New Roman" w:hAnsi="Times New Roman"/>
          <w:sz w:val="18"/>
          <w:szCs w:val="18"/>
          <w:color w:val="auto"/>
        </w:rPr>
        <w:t>In an effort to reduce costs, many clinics and hospitals in the United States, including some of our customers, are members of Group Purchasing Organizations ("GPOs") and Integrated Delivery Networks ("IDNs"). GPOs and IDNs negotiate pricing arrangements with medical device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products, thereby reducing our revenue and margins.</w:t>
      </w:r>
    </w:p>
    <w:p>
      <w:pPr>
        <w:spacing w:after="0" w:line="189" w:lineRule="exact"/>
        <w:rPr>
          <w:sz w:val="20"/>
          <w:szCs w:val="20"/>
          <w:color w:val="auto"/>
        </w:rPr>
      </w:pPr>
    </w:p>
    <w:p>
      <w:pPr>
        <w:ind w:right="80" w:firstLine="419"/>
        <w:spacing w:after="0" w:line="256" w:lineRule="auto"/>
        <w:rPr>
          <w:sz w:val="20"/>
          <w:szCs w:val="20"/>
          <w:color w:val="auto"/>
        </w:rPr>
      </w:pPr>
      <w:r>
        <w:rPr>
          <w:rFonts w:ascii="Times New Roman" w:cs="Times New Roman" w:eastAsia="Times New Roman" w:hAnsi="Times New Roman"/>
          <w:sz w:val="18"/>
          <w:szCs w:val="18"/>
          <w:color w:val="auto"/>
        </w:rPr>
        <w:t>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products due to the price or quality offered by other companies, which could result in a decline in our sales volumes and revenue.</w:t>
      </w:r>
    </w:p>
    <w:p>
      <w:pPr>
        <w:spacing w:after="0" w:line="187" w:lineRule="exact"/>
        <w:rPr>
          <w:sz w:val="20"/>
          <w:szCs w:val="20"/>
          <w:color w:val="auto"/>
        </w:rPr>
      </w:pPr>
    </w:p>
    <w:p>
      <w:pPr>
        <w:ind w:right="20" w:firstLine="419"/>
        <w:spacing w:after="0" w:line="253" w:lineRule="auto"/>
        <w:rPr>
          <w:sz w:val="20"/>
          <w:szCs w:val="20"/>
          <w:color w:val="auto"/>
        </w:rPr>
      </w:pPr>
      <w:r>
        <w:rPr>
          <w:rFonts w:ascii="Times New Roman" w:cs="Times New Roman" w:eastAsia="Times New Roman" w:hAnsi="Times New Roman"/>
          <w:sz w:val="18"/>
          <w:szCs w:val="18"/>
          <w:color w:val="auto"/>
        </w:rPr>
        <w:t>Healthcare costs have risen significantly over the past decade, which has resulted in or led to numerous cost reform initiatives by legislators, regulators and third-party payors. Cost reform has triggered a consolidation trend in the healthcare industry to aggregate purchasing power, which may create more requests for pricing concessions in the future. Additionally, GPOs, IDNs and large single accounts may continue to use their market power to consolidate purchasing decisions for hospitals. We expect that market demand, government regulation, third-party coverage and reimbursement policies and societal pressures will continue to change the healthcare industry worldwide, resulting in further business consolidations and alliances among our customers, which may exert further downward pressure on the prices of our products. Any decline in the amount that payors reimburse our customers for procedures that use our Surgical Glaucoma products or in the amount that customers are willing to pay or that payors reimburse for procedures that use TearCare in the future, could make it difficult for customers to continue using, or to adopt, our products and could create additional pricing pressure for us. If we are forced to lower the price we charge for our products or add more components to our products, our gross margins will decrease, which will adversely affect our ability to invest in and grow our business.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37"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the anticipated growth of our business.</w:t>
      </w:r>
    </w:p>
    <w:p>
      <w:pPr>
        <w:spacing w:after="0" w:line="121" w:lineRule="exact"/>
        <w:rPr>
          <w:sz w:val="20"/>
          <w:szCs w:val="20"/>
          <w:color w:val="auto"/>
        </w:rPr>
      </w:pPr>
    </w:p>
    <w:p>
      <w:pPr>
        <w:ind w:right="320" w:firstLine="419"/>
        <w:spacing w:after="0" w:line="272" w:lineRule="auto"/>
        <w:rPr>
          <w:sz w:val="20"/>
          <w:szCs w:val="20"/>
          <w:color w:val="auto"/>
        </w:rPr>
      </w:pPr>
      <w:r>
        <w:rPr>
          <w:rFonts w:ascii="Times New Roman" w:cs="Times New Roman" w:eastAsia="Times New Roman" w:hAnsi="Times New Roman"/>
          <w:sz w:val="17"/>
          <w:szCs w:val="17"/>
          <w:color w:val="auto"/>
        </w:rPr>
        <w:t>In order to grow, we need to expand our commercial team, and general and administrative infrastructure. In addition to the need to scale our organization, future growth will impose significant added responsibilities on management, including the need to identify, recruit, train and integrate additional employees. Rapid expansion in personnel could mean that less experienced people market and sell our products, which could result in inefficiencies and unanticipated costs, reduced quality and disruptions to our operations. In addition, rapid and significant growth may strain our administrative and operational infrastructure. Our ability to manage our business and growth will require us to continue to improve our operational, financial and management controls, reporting systems and procedures. For example, we currently rely on a combination of direct sales personnel and independent distributors to sell our products in Europe, and we intend to grow our international sales through a combination of direct and distributor sales. If we are unable to manage our growth effectively, it may be difficult for us to execute our business strategy and our business could be harmed.</w:t>
      </w:r>
    </w:p>
    <w:p>
      <w:pPr>
        <w:spacing w:after="0" w:line="172" w:lineRule="exact"/>
        <w:rPr>
          <w:sz w:val="20"/>
          <w:szCs w:val="20"/>
          <w:color w:val="auto"/>
        </w:rPr>
      </w:pPr>
    </w:p>
    <w:p>
      <w:pPr>
        <w:ind w:right="40" w:firstLine="419"/>
        <w:spacing w:after="0" w:line="258" w:lineRule="auto"/>
        <w:rPr>
          <w:sz w:val="20"/>
          <w:szCs w:val="20"/>
          <w:color w:val="auto"/>
        </w:rPr>
      </w:pPr>
      <w:r>
        <w:rPr>
          <w:rFonts w:ascii="Times New Roman" w:cs="Times New Roman" w:eastAsia="Times New Roman" w:hAnsi="Times New Roman"/>
          <w:sz w:val="18"/>
          <w:szCs w:val="18"/>
          <w:color w:val="auto"/>
        </w:rPr>
        <w:t>As demand for our current products or any of our future products increases, we will need to continue to expand customer service, billing and systems processes and enhance our internal quality assurance program. We cannot assure you that any increases in scale, related improvements and quality assurance will be successfully implemented or that appropriate personnel will be available to facilitate the growth of our business. Failure to implement necessary procedures, transition to new processes or hire the necessary personnel could result in higher costs of processing data or inability to meet increased demand.</w:t>
      </w:r>
    </w:p>
    <w:p>
      <w:pPr>
        <w:spacing w:after="0" w:line="17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Performance issues, service interruptions or price increases by our shipping carriers and distributors could negatively affect our business, financial condition and results of operations and harm our reputation and the relationship between us and the ECPs we work with.</w:t>
      </w:r>
    </w:p>
    <w:p>
      <w:pPr>
        <w:spacing w:after="0" w:line="51" w:lineRule="exact"/>
        <w:rPr>
          <w:sz w:val="20"/>
          <w:szCs w:val="20"/>
          <w:color w:val="auto"/>
        </w:rPr>
      </w:pPr>
    </w:p>
    <w:p>
      <w:pPr>
        <w:ind w:right="140" w:firstLine="419"/>
        <w:spacing w:after="0" w:line="273" w:lineRule="auto"/>
        <w:rPr>
          <w:sz w:val="20"/>
          <w:szCs w:val="20"/>
          <w:color w:val="auto"/>
        </w:rPr>
      </w:pPr>
      <w:r>
        <w:rPr>
          <w:rFonts w:ascii="Times New Roman" w:cs="Times New Roman" w:eastAsia="Times New Roman" w:hAnsi="Times New Roman"/>
          <w:sz w:val="17"/>
          <w:szCs w:val="17"/>
          <w:color w:val="auto"/>
        </w:rPr>
        <w:t>Expedited, reliable shipping is essential to our operations. We rely heavily on providers of transport services for reliable and secure point-to-point transport of our products to our customers and for tracking of these shipments. Should a carrier encounter delivery performance issues such as loss, damage or destruction of any systems, it would be costly to replace such systems in a timely manner and such occurrences may damage our reputation and lead to decreased demand for our solutions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process orders for our products on a timely basis. These factors could negatively affect our business, financial condition and results of operations and harm our reputation and the relationship between us and the ECPs we work with.</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may become obsolete in the future.</w:t>
      </w:r>
    </w:p>
    <w:p>
      <w:pPr>
        <w:spacing w:after="0" w:line="121" w:lineRule="exact"/>
        <w:rPr>
          <w:sz w:val="20"/>
          <w:szCs w:val="20"/>
          <w:color w:val="auto"/>
        </w:rPr>
      </w:pPr>
    </w:p>
    <w:p>
      <w:pPr>
        <w:ind w:right="60" w:firstLine="419"/>
        <w:spacing w:after="0" w:line="256" w:lineRule="auto"/>
        <w:rPr>
          <w:sz w:val="20"/>
          <w:szCs w:val="20"/>
          <w:color w:val="auto"/>
        </w:rPr>
      </w:pPr>
      <w:r>
        <w:rPr>
          <w:rFonts w:ascii="Times New Roman" w:cs="Times New Roman" w:eastAsia="Times New Roman" w:hAnsi="Times New Roman"/>
          <w:sz w:val="18"/>
          <w:szCs w:val="18"/>
          <w:color w:val="auto"/>
        </w:rPr>
        <w:t>The medical device industry is characterized by rapid and significant change. There can be no assurance that other companies will not succeed in developing or marketing devices or products that are more effective than our products or that would render our products obsolete or noncompetitive. Additionally, new surgical procedures, medications and other therapies could be developed that replace or reduce the importance of our products. Accordingly, our success will depend in part on our ability to respond quickly to medical and other changes through the development and introduction of new products. Product development involves a high degree of risk, and there can be no assurance that our new product development efforts will result in any commercially successful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bear the risk of potential warranty claims on our products.</w:t>
      </w:r>
    </w:p>
    <w:p>
      <w:pPr>
        <w:spacing w:after="0" w:line="121"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auto"/>
        </w:rPr>
        <w:t>We provide limited warranties regarding our products, including warranties pertaining to freedom from defects and conformance to specifications. We are generally obligated under our sales contracts to repair, replace or credit or refund the purchase price of defective products. As a result, we bear the risk of potential warranty claims on our products. In the event that we attempt to recover some or all of the expenses associated with a warranty claim against us from our suppliers or vendors, we may not be successful in claiming recovery under any warranty or indemnity provided to us by such suppliers or vendors and any recovery from such vendor or supplier may not be adequate. In addition, warranty claims brought by our customers related to third-party components may arise after our ability to bring corresponding warranty claims against such suppliers expires, which could result in costs to us.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33" w:right="399" w:bottom="1440" w:gutter="0" w:footer="0" w:header="0"/>
        </w:sectPr>
      </w:pPr>
    </w:p>
    <w:bookmarkStart w:id="40" w:name="page41"/>
    <w:bookmarkEnd w:id="40"/>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in-licensing arrangements, joint ventures, strategic alliances or partnerships with third parties that may not result in the development of commercially viable products or product improvements or the generation of significant future revenues.</w:t>
      </w:r>
    </w:p>
    <w:p>
      <w:pPr>
        <w:spacing w:after="0" w:line="51" w:lineRule="exact"/>
        <w:rPr>
          <w:sz w:val="20"/>
          <w:szCs w:val="20"/>
          <w:color w:val="auto"/>
        </w:rPr>
      </w:pPr>
    </w:p>
    <w:p>
      <w:pPr>
        <w:ind w:right="60" w:firstLine="419"/>
        <w:spacing w:after="0" w:line="255" w:lineRule="auto"/>
        <w:rPr>
          <w:sz w:val="20"/>
          <w:szCs w:val="20"/>
          <w:color w:val="auto"/>
        </w:rPr>
      </w:pPr>
      <w:r>
        <w:rPr>
          <w:rFonts w:ascii="Times New Roman" w:cs="Times New Roman" w:eastAsia="Times New Roman" w:hAnsi="Times New Roman"/>
          <w:sz w:val="18"/>
          <w:szCs w:val="18"/>
          <w:color w:val="auto"/>
        </w:rPr>
        <w:t>We may enter into collaborations, in-licensing arrangements, joint ventures, strategic alliances, partnerships or other arrangements to develop new products or product improvements and to pursue new markets.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viable product improvements or result in significant revenues and could be terminated prior to developing any products.</w:t>
      </w:r>
    </w:p>
    <w:p>
      <w:pPr>
        <w:spacing w:after="0" w:line="189" w:lineRule="exact"/>
        <w:rPr>
          <w:sz w:val="20"/>
          <w:szCs w:val="20"/>
          <w:color w:val="auto"/>
        </w:rPr>
      </w:pPr>
    </w:p>
    <w:p>
      <w:pPr>
        <w:jc w:val="both"/>
        <w:ind w:right="160" w:firstLine="419"/>
        <w:spacing w:after="0" w:line="255" w:lineRule="auto"/>
        <w:rPr>
          <w:sz w:val="20"/>
          <w:szCs w:val="20"/>
          <w:color w:val="auto"/>
        </w:rPr>
      </w:pPr>
      <w:r>
        <w:rPr>
          <w:rFonts w:ascii="Times New Roman" w:cs="Times New Roman" w:eastAsia="Times New Roman" w:hAnsi="Times New Roman"/>
          <w:sz w:val="18"/>
          <w:szCs w:val="18"/>
          <w:color w:val="auto"/>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w:t>
      </w:r>
    </w:p>
    <w:p>
      <w:pPr>
        <w:spacing w:after="0" w:line="189"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auto"/>
        </w:rPr>
        <w:t>Disputes between us and any collaborators we may have in the future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and/or seek damages arising out of the alleged breach, which could adversely affect our competitive business position and harm our business prospects.</w:t>
      </w:r>
    </w:p>
    <w:p>
      <w:pPr>
        <w:spacing w:after="0" w:line="19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key employees or an inability to attract and retain highly skilled employees will negatively affect our business, financial condition and results of operations.</w:t>
      </w:r>
    </w:p>
    <w:p>
      <w:pPr>
        <w:spacing w:after="0" w:line="51" w:lineRule="exact"/>
        <w:rPr>
          <w:sz w:val="20"/>
          <w:szCs w:val="20"/>
          <w:color w:val="auto"/>
        </w:rPr>
      </w:pPr>
    </w:p>
    <w:p>
      <w:pPr>
        <w:ind w:right="140" w:firstLine="419"/>
        <w:spacing w:after="0" w:line="255" w:lineRule="auto"/>
        <w:rPr>
          <w:sz w:val="20"/>
          <w:szCs w:val="20"/>
          <w:color w:val="auto"/>
        </w:rPr>
      </w:pPr>
      <w:r>
        <w:rPr>
          <w:rFonts w:ascii="Times New Roman" w:cs="Times New Roman" w:eastAsia="Times New Roman" w:hAnsi="Times New Roman"/>
          <w:sz w:val="18"/>
          <w:szCs w:val="18"/>
          <w:color w:val="auto"/>
        </w:rPr>
        <w:t>Our success depends largely on the continued services of key members of our executive management team and others in key management positions. For example, the services of Paul Badawi, our Chief Executive Officer and David Badawi, our Chief Technology Officer, are essential to driving adoption of our products, executing on our corporate strategy and ensuring the continued operations and integrity of financial reporting within our company. In addition, the services of our sales professionals are critical to driving the growth in sales of our products. Any of our employees may terminate their employment with us at any time. We currently maintain a key person life insurance policy on Paul Badawi. If we lose one or more key employees, we may experience difficulties in competing effectively, developing our technologies and implementing our business strategy, which in turn would negatively affect our business.</w:t>
      </w:r>
    </w:p>
    <w:p>
      <w:pPr>
        <w:spacing w:after="0" w:line="189" w:lineRule="exact"/>
        <w:rPr>
          <w:sz w:val="20"/>
          <w:szCs w:val="20"/>
          <w:color w:val="auto"/>
        </w:rPr>
      </w:pPr>
    </w:p>
    <w:p>
      <w:pPr>
        <w:ind w:right="160" w:firstLine="419"/>
        <w:spacing w:after="0" w:line="258" w:lineRule="auto"/>
        <w:rPr>
          <w:sz w:val="20"/>
          <w:szCs w:val="20"/>
          <w:color w:val="auto"/>
        </w:rPr>
      </w:pPr>
      <w:r>
        <w:rPr>
          <w:rFonts w:ascii="Times New Roman" w:cs="Times New Roman" w:eastAsia="Times New Roman" w:hAnsi="Times New Roman"/>
          <w:sz w:val="18"/>
          <w:szCs w:val="18"/>
          <w:color w:val="auto"/>
        </w:rPr>
        <w:t>In addition, our research and development programs, clinical and quality operations and sales efforts depend on our ability to attract and retain highly skilled engineers and sales professionals, as well as experienced regulatory, quality and clinical professionals. We may not be able to attract or retain qualified professionals in the future due to the competition for qualified personnel. We have from time to time experienced, and we expect to continue to experience, difficulty in hiring and retaining employees with appropriate qualifications. Many of the companies with which we compete for experienced personnel have greater resources than we do. If we hire employees from competitors or other companies, their former</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33" w:right="399" w:bottom="1440" w:gutter="0" w:footer="0" w:header="0"/>
        </w:sectPr>
      </w:pPr>
    </w:p>
    <w:bookmarkStart w:id="41" w:name="page42"/>
    <w:bookmarkEnd w:id="41"/>
    <w:p>
      <w:pPr>
        <w:ind w:right="440"/>
        <w:spacing w:after="0" w:line="282" w:lineRule="auto"/>
        <w:rPr>
          <w:sz w:val="20"/>
          <w:szCs w:val="20"/>
          <w:color w:val="auto"/>
        </w:rPr>
      </w:pPr>
      <w:r>
        <w:rPr>
          <w:rFonts w:ascii="Times New Roman" w:cs="Times New Roman" w:eastAsia="Times New Roman" w:hAnsi="Times New Roman"/>
          <w:sz w:val="18"/>
          <w:szCs w:val="18"/>
          <w:color w:val="auto"/>
        </w:rPr>
        <w:t>employers may attempt to assert that these employees or we have breached legal obligations, resulting in a diversion of our time and resources and, potentially, damages.</w:t>
      </w:r>
    </w:p>
    <w:p>
      <w:pPr>
        <w:spacing w:after="0" w:line="162"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auto"/>
        </w:rPr>
        <w:t>In addition, job candidates and existing employees often consider the value of the stock awards they receive in connection with their employment. If the perceived benefits of our stock awards decline, either because of unfavorable fluctuations or declines in our stock price or for other reasons, it may harm our ability to recruit and retain highly skilled employees. Many of our employees have become or will soon become vested in a substantial amount of our common stock or a number of common stock options. Our employees may be more likely to leave us if the market price of our common stock approaches or falls below the exercise price of their vested and unvested option shares. Substantial declines in the market price of our common stock will also reduce the effectiveness of any restricted stock unit or other equity incentive awards in attracting and retaining employees, especially within the current highly competitive labor market. Our future success also depends on our ability to continue to attract and retain additional executive officers and other key employees. If we fail to attract new personnel or fail to retain and motivate our current personnel, it will negatively affect our business, financial condition and results of operations.</w:t>
      </w:r>
    </w:p>
    <w:p>
      <w:pPr>
        <w:spacing w:after="0" w:line="184" w:lineRule="exact"/>
        <w:rPr>
          <w:sz w:val="20"/>
          <w:szCs w:val="20"/>
          <w:color w:val="auto"/>
        </w:rPr>
      </w:pPr>
    </w:p>
    <w:p>
      <w:pPr>
        <w:ind w:right="9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use, misuse or off-label use of our products may result in injuries that lead to product liability suits, which could be expensive, divert management’s attention and harm our reputation and business. We may not be able to maintain adequate product liability insurance.</w:t>
      </w:r>
    </w:p>
    <w:p>
      <w:pPr>
        <w:spacing w:after="0" w:line="28" w:lineRule="exact"/>
        <w:rPr>
          <w:sz w:val="20"/>
          <w:szCs w:val="20"/>
          <w:color w:val="auto"/>
        </w:rPr>
      </w:pPr>
    </w:p>
    <w:p>
      <w:pPr>
        <w:ind w:right="40" w:firstLine="419"/>
        <w:spacing w:after="0" w:line="254" w:lineRule="auto"/>
        <w:rPr>
          <w:sz w:val="20"/>
          <w:szCs w:val="20"/>
          <w:color w:val="auto"/>
        </w:rPr>
      </w:pPr>
      <w:r>
        <w:rPr>
          <w:rFonts w:ascii="Times New Roman" w:cs="Times New Roman" w:eastAsia="Times New Roman" w:hAnsi="Times New Roman"/>
          <w:sz w:val="18"/>
          <w:szCs w:val="18"/>
          <w:color w:val="auto"/>
        </w:rPr>
        <w:t>Our products are cleared or authorized by the FDA and certified in the EU to be marketed for certain specific intended uses. If physicians elect to use our products in manners outside of the intended uses that have been cleared, authorized, or certified, then such off-label use of our products may result in outcomes and adverse events that are sight threatening, necessitate medical or surgical intervention to preclude permanent impairment of vision, or result in a permanent impairment of vision, potentially leading to product liability claims. However, we cannot prevent a physician from using our products for off-label applications or using components or products that are not our products when performing procedures with our products. There may be increased risk of injury to patients if physicians attempt to use our devices off-label. In addition, we cannot guarantee that physicians are trained by us or their peers prior to utilizing our products. Complications resulting from the use of our products off-label or use by physicians who have not been trained appropriately, or at all, may not effectively treat the applicable conditions and may expose us to product liability claims or litigation by our customers or their patients and may harm our reputation.</w:t>
      </w:r>
    </w:p>
    <w:p>
      <w:pPr>
        <w:spacing w:after="0" w:line="188"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auto"/>
        </w:rPr>
        <w:t>In addition, if our products are defectively designed, manufactured or labeled, contain defective components or are misused, we may become subject to costly litigation initiated by hospitals, surgical centers, ECPs or patients. Product liability claims are especially prevalent in the medical device industry and could harm our reputation, divert management’s attention from our core business, attract negative publicity, be expensive to defend and may result in sizable damage awards against us. Although we maintain product liability insurance, we may not have sufficient insurance coverage for future product liability claims. We are not able to obtain insurance in amounts or scope sufficient to provide us with adequate coverage against all potential liabilities. Any product liability claims brought against us, with or without merit, could increase our product liability insurance rates or prevent us from securing continuing coverage, harm our reputation, significantly increase our expenses, and reduce product sales. Product liability claims could cause us to incur significant legal fees and deductibles and claims in excess of our insurance coverage would be paid out of cash reserves, harming our financial condition and operating results.</w:t>
      </w:r>
    </w:p>
    <w:p>
      <w:pPr>
        <w:spacing w:after="0" w:line="1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to finance our planned operations, and may not be able to raise capital on acceptable terms, if at all, which could force us to delay, reduce or eliminate our product development programs and commercialization efforts.</w:t>
      </w:r>
    </w:p>
    <w:p>
      <w:pPr>
        <w:spacing w:after="0" w:line="51" w:lineRule="exact"/>
        <w:rPr>
          <w:sz w:val="20"/>
          <w:szCs w:val="20"/>
          <w:color w:val="auto"/>
        </w:rPr>
      </w:pPr>
    </w:p>
    <w:p>
      <w:pPr>
        <w:ind w:firstLine="419"/>
        <w:spacing w:after="0" w:line="256" w:lineRule="auto"/>
        <w:rPr>
          <w:sz w:val="20"/>
          <w:szCs w:val="20"/>
          <w:color w:val="auto"/>
        </w:rPr>
      </w:pPr>
      <w:r>
        <w:rPr>
          <w:rFonts w:ascii="Times New Roman" w:cs="Times New Roman" w:eastAsia="Times New Roman" w:hAnsi="Times New Roman"/>
          <w:sz w:val="18"/>
          <w:szCs w:val="18"/>
          <w:color w:val="auto"/>
        </w:rPr>
        <w:t>Since inception, we have incurred significant net losses and expect to continue to incur net losses for the foreseeable future. Our operations have been financed primarily by net proceeds from the sale of our convertible preferred stock in private placements, indebtedness and, to a lesser extent, product revenue from sales of our products. As of December 31, 2022, we had $185.0 million in cash and cash equivalents, and an accumulated deficit of $239.2 million. Based on our current planned operations, we expect that our cash and cash equivalents and additional borrowings available under our credit facility will enable us to fund our operations for at least the next 12 months. We have based these estimates on assumptions that may prove to be wrong, and we could utilize our available capital resources sooner than we expect.</w:t>
      </w:r>
    </w:p>
    <w:p>
      <w:pPr>
        <w:spacing w:after="0" w:line="187" w:lineRule="exact"/>
        <w:rPr>
          <w:sz w:val="20"/>
          <w:szCs w:val="20"/>
          <w:color w:val="auto"/>
        </w:rPr>
      </w:pPr>
    </w:p>
    <w:p>
      <w:pPr>
        <w:ind w:right="320" w:firstLine="419"/>
        <w:spacing w:after="0" w:line="282" w:lineRule="auto"/>
        <w:rPr>
          <w:sz w:val="20"/>
          <w:szCs w:val="20"/>
          <w:color w:val="auto"/>
        </w:rPr>
      </w:pPr>
      <w:r>
        <w:rPr>
          <w:rFonts w:ascii="Times New Roman" w:cs="Times New Roman" w:eastAsia="Times New Roman" w:hAnsi="Times New Roman"/>
          <w:sz w:val="18"/>
          <w:szCs w:val="18"/>
          <w:color w:val="auto"/>
        </w:rPr>
        <w:t>We expect to continue to invest in clinical trials or investigations that are designed to provide clinical evidence of the safety and efficacy of our products, the growth of our sales and marketing organization, and research and development of</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37" w:right="4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product improvements and future products, including certain pharmaceutical product candidates, which will continue to increase our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our future capital requirements will depend on many factors, including:</w:t>
      </w:r>
    </w:p>
    <w:p>
      <w:pPr>
        <w:spacing w:after="0" w:line="207" w:lineRule="exact"/>
        <w:rPr>
          <w:sz w:val="20"/>
          <w:szCs w:val="20"/>
          <w:color w:val="auto"/>
        </w:rPr>
      </w:pPr>
    </w:p>
    <w:p>
      <w:pPr>
        <w:ind w:left="800" w:right="780" w:hanging="283"/>
        <w:spacing w:after="0" w:line="282" w:lineRule="auto"/>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rate of market acceptance of our products and procedures, as well as the revenue generated by sales of our products and the gross profits and gross margin we realize from such sales;</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obtain and maintain reimbursement sufficient to drive continued use and adoption of our products and procedures;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acquire third-party companies, products or technologies;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debt;</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timing of investment in our sales force and expansion of our commercial organization;</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cost of our current or future clinical trials or investigations and registries;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medical device and pharmaceutical research and development activities;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additional regulatory clearances, certifications or approvals;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attaining, defending, protecting and enforcing our intellectual property rights;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other collaborative, licensing and other arrangements that we may establish;</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or other adverse market developments;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our competitors’ ability, to obtain and maintain favorable reimbursement for our products; and</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expand internationally.</w:t>
      </w:r>
    </w:p>
    <w:p>
      <w:pPr>
        <w:spacing w:after="0" w:line="225"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auto"/>
        </w:rPr>
        <w:t>As a result of these and other factors, we may seek to raise additional capital through equity offerings or debt financings and such additional financing may not be available to us on acceptable terms, or at all. In addition, any additional equity or debt financing that we raise may contain terms that are not favorable to us or our stockholders. For example, if we raise funds by issuing equity or equity-linked securities, the issuance of such securities could result in dilution to our stockholders.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and the price per share at which we sell additional shares of our common stock, or securities convertible into or exercisable or exchangeable for shares of our common stock, in future transactions may be higher or lower than the price per share paid by investors in the initial public offering of our common stock.</w:t>
      </w:r>
    </w:p>
    <w:p>
      <w:pPr>
        <w:spacing w:after="0" w:line="219" w:lineRule="exact"/>
        <w:rPr>
          <w:sz w:val="20"/>
          <w:szCs w:val="20"/>
          <w:color w:val="auto"/>
        </w:rPr>
      </w:pPr>
    </w:p>
    <w:p>
      <w:pPr>
        <w:ind w:firstLine="473"/>
        <w:spacing w:after="0" w:line="255" w:lineRule="auto"/>
        <w:rPr>
          <w:sz w:val="20"/>
          <w:szCs w:val="20"/>
          <w:color w:val="auto"/>
        </w:rPr>
      </w:pPr>
      <w:r>
        <w:rPr>
          <w:rFonts w:ascii="Times New Roman" w:cs="Times New Roman" w:eastAsia="Times New Roman" w:hAnsi="Times New Roman"/>
          <w:sz w:val="18"/>
          <w:szCs w:val="18"/>
          <w:color w:val="auto"/>
        </w:rPr>
        <w:t>In addition, the terms of debt securities issued or borrowings could impose significant restrictions on our operations including restrictive covenants, such as limitations on our ability to incur additional debt or issue additional equity, limitations on our ability to pay dividends,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such as relinquishment or licensing of certain technologies or products that we otherwise would seek to develop or commercialize ourselves, or reserve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189" w:lineRule="exact"/>
        <w:rPr>
          <w:sz w:val="20"/>
          <w:szCs w:val="20"/>
          <w:color w:val="auto"/>
        </w:rPr>
      </w:pPr>
    </w:p>
    <w:p>
      <w:pPr>
        <w:jc w:val="both"/>
        <w:ind w:right="120" w:firstLine="419"/>
        <w:spacing w:after="0" w:line="281" w:lineRule="auto"/>
        <w:rPr>
          <w:sz w:val="20"/>
          <w:szCs w:val="20"/>
          <w:color w:val="auto"/>
        </w:rPr>
      </w:pPr>
      <w:r>
        <w:rPr>
          <w:rFonts w:ascii="Times New Roman" w:cs="Times New Roman" w:eastAsia="Times New Roman" w:hAnsi="Times New Roman"/>
          <w:sz w:val="17"/>
          <w:szCs w:val="17"/>
          <w:color w:val="auto"/>
        </w:rPr>
        <w:t>If we are unable to obtain adequate financing on terms satisfactory to us when we require it, we may terminate or delay the development of one or more of our products, delay clinical trials or investigations necessary to market our products, or delay establishment of sales and marketing capabilities or other activities necessary to commercialize our products. If this were to occur, our ability to grow and support our business and to respond to market challenges could be significantly limited, which could have a material adverse effect on our business, financial condition and results of operations.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37" w:right="4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significant amount of debt, which may affect our ability to operate our business and secure additional financing in the future.</w:t>
      </w:r>
    </w:p>
    <w:p>
      <w:pPr>
        <w:spacing w:after="0" w:line="121"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auto"/>
        </w:rPr>
        <w:t>In November 2020, we entered into credit and security agreements with MidCap Financial Services, which provide for a term loan facility and revolving line of credit ("2020 MidCap Credit Facility"). The 2020 MidCap Credit Facility consists of a term loan of up to $35.0 million, or the 2020 Term Loan, which has a stated floating interest rate equal to reserve-adjusted Secured Overnight Finance Rate ("SOFR") plus 7.00%, and a revolving line of credit of $5 million, or the 2020 Revolver, with a stated floating interest rate equal to reserve-adjusted SOFR plus 4.50%, a 0.5% unused line fee and a 0.5% collateral management fee. We further amended the 2020 MidCap Facility in October 2021 and November 2021 for purposes of relaxing certain financial reporting obligations and other operating covenants, and then again in May and December 2022 to provide for certain adjustments or restrictions concerning cash control and applicable interest rate under the facility. Also, in November 2022, we extended the date for commencement of principal payments under our term loan facility from December 1, 2022 to December 1, 2023. As of December 31, 2022 we had an aggregate of approximately $35 million in principal borrowings outstanding under the 2020 MidCap Credit Facility, excluding debt discounts. We must make interest payments under the 2020 MidCap Credit Facility, which has diverted and will continue to divert resources from other activities. We incurred an aggregate interest expense of $4.5 million and $4.4 million in the years ended December 31, 2022 and 2021, respectively.</w:t>
      </w:r>
    </w:p>
    <w:p>
      <w:pPr>
        <w:spacing w:after="0" w:line="192" w:lineRule="exact"/>
        <w:rPr>
          <w:sz w:val="20"/>
          <w:szCs w:val="20"/>
          <w:color w:val="auto"/>
        </w:rPr>
      </w:pPr>
    </w:p>
    <w:p>
      <w:pPr>
        <w:ind w:right="100" w:firstLine="419"/>
        <w:spacing w:after="0" w:line="255" w:lineRule="auto"/>
        <w:rPr>
          <w:sz w:val="20"/>
          <w:szCs w:val="20"/>
          <w:color w:val="auto"/>
        </w:rPr>
      </w:pPr>
      <w:r>
        <w:rPr>
          <w:rFonts w:ascii="Times New Roman" w:cs="Times New Roman" w:eastAsia="Times New Roman" w:hAnsi="Times New Roman"/>
          <w:sz w:val="18"/>
          <w:szCs w:val="18"/>
          <w:color w:val="auto"/>
        </w:rPr>
        <w:t>Our obligations under the 2020 MidCap Credit Facility are collateralized by a security interest in substantially all of our assets, and we are subject to customary financial and operating covenants limiting our ability to, among other things, relocate or dispose of assets, undergo a change in control, merge or consolidate, enter into certain transactions with affiliates, make acquisitions, incur debt, pay dividends, grant liens, store certain amounts of inventory or equipment with third parties and make investments, in each case subject to certain exceptions. We are also subject to minimum trailing revenue targets that are evaluated on a monthly basis. The covenants related to the 2020 MidCap Credit Facility, as well as any future financing agreements into which we may enter, may restrict our ability to finance our operations and engage in, expand or otherwise pursue our business activities and strategies.</w:t>
      </w:r>
    </w:p>
    <w:p>
      <w:pPr>
        <w:spacing w:after="0" w:line="189" w:lineRule="exact"/>
        <w:rPr>
          <w:sz w:val="20"/>
          <w:szCs w:val="20"/>
          <w:color w:val="auto"/>
        </w:rPr>
      </w:pPr>
    </w:p>
    <w:p>
      <w:pPr>
        <w:ind w:right="140" w:firstLine="419"/>
        <w:spacing w:after="0" w:line="254" w:lineRule="auto"/>
        <w:rPr>
          <w:sz w:val="20"/>
          <w:szCs w:val="20"/>
          <w:color w:val="auto"/>
        </w:rPr>
      </w:pPr>
      <w:r>
        <w:rPr>
          <w:rFonts w:ascii="Times New Roman" w:cs="Times New Roman" w:eastAsia="Times New Roman" w:hAnsi="Times New Roman"/>
          <w:sz w:val="18"/>
          <w:szCs w:val="18"/>
          <w:color w:val="auto"/>
        </w:rPr>
        <w:t>While we believe that we have not previously breached and are not currently in breach of these or any other covenants contained in the 2020 MidCap Credit Facility, there can be no guarantee that we will not breach these covenants in the future. Our ability to comply with these covenants may be affected by events beyond our control, and future breaches of any of these covenants could result in a default under the 2020 MidCap Credit Facility. If not waived, future defaults could cause all of the outstanding indebtedness under the 2020 MidCap Credit Facility to become immediately due and payable and terminate commitments to extend further credit and foreclose on the collateral granted to it to collateralize such indebtedness. If we do not have or are unable to generate sufficient cash available to repay our debt obligations when they become due and payable, either upon maturity or in the event of a default, our assets could be foreclosed upon and we may not be able to obtain additional debt or equity financing on favorable terms, if at all, which may negatively impact our ability to operate and continue our business as a going concern.</w:t>
      </w:r>
    </w:p>
    <w:p>
      <w:pPr>
        <w:spacing w:after="0" w:line="192" w:lineRule="exact"/>
        <w:rPr>
          <w:sz w:val="20"/>
          <w:szCs w:val="20"/>
          <w:color w:val="auto"/>
        </w:rPr>
      </w:pPr>
    </w:p>
    <w:p>
      <w:pPr>
        <w:ind w:right="60" w:firstLine="419"/>
        <w:spacing w:after="0" w:line="254" w:lineRule="auto"/>
        <w:rPr>
          <w:sz w:val="20"/>
          <w:szCs w:val="20"/>
          <w:color w:val="auto"/>
        </w:rPr>
      </w:pPr>
      <w:r>
        <w:rPr>
          <w:rFonts w:ascii="Times New Roman" w:cs="Times New Roman" w:eastAsia="Times New Roman" w:hAnsi="Times New Roman"/>
          <w:sz w:val="18"/>
          <w:szCs w:val="18"/>
          <w:color w:val="auto"/>
        </w:rPr>
        <w:t>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We cannot assure you that our business will be able to generate sufficient cash flow from operations or that future borrowings or other financings will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may place us at a competitive disadvantage compared to our competitors that have less indebtedness or greater financial resources to service their debt.</w:t>
      </w:r>
    </w:p>
    <w:p>
      <w:pPr>
        <w:spacing w:after="0" w:line="188"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spacing w:after="0" w:line="28" w:lineRule="exact"/>
        <w:rPr>
          <w:sz w:val="20"/>
          <w:szCs w:val="20"/>
          <w:color w:val="auto"/>
        </w:rPr>
      </w:pPr>
    </w:p>
    <w:p>
      <w:pPr>
        <w:ind w:right="100" w:firstLine="419"/>
        <w:spacing w:after="0" w:line="266" w:lineRule="auto"/>
        <w:rPr>
          <w:sz w:val="20"/>
          <w:szCs w:val="20"/>
          <w:color w:val="auto"/>
        </w:rPr>
      </w:pPr>
      <w:r>
        <w:rPr>
          <w:rFonts w:ascii="Times New Roman" w:cs="Times New Roman" w:eastAsia="Times New Roman" w:hAnsi="Times New Roman"/>
          <w:sz w:val="18"/>
          <w:szCs w:val="18"/>
          <w:color w:val="auto"/>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33" w:right="399" w:bottom="1440" w:gutter="0" w:footer="0" w:header="0"/>
        </w:sectPr>
      </w:pPr>
    </w:p>
    <w:bookmarkStart w:id="44" w:name="page45"/>
    <w:bookmarkEnd w:id="44"/>
    <w:p>
      <w:pPr>
        <w:ind w:left="800" w:hanging="28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assimilating the purchased technologies, products, or business operations;</w:t>
      </w:r>
    </w:p>
    <w:p>
      <w:pPr>
        <w:spacing w:after="0" w:line="117" w:lineRule="exact"/>
        <w:rPr>
          <w:rFonts w:ascii="Times New Roman" w:cs="Times New Roman" w:eastAsia="Times New Roman" w:hAnsi="Times New Roman"/>
          <w:sz w:val="18"/>
          <w:szCs w:val="18"/>
          <w:color w:val="auto"/>
        </w:rPr>
      </w:pPr>
    </w:p>
    <w:p>
      <w:pPr>
        <w:ind w:left="800" w:right="680" w:hanging="283"/>
        <w:spacing w:after="0" w:line="282" w:lineRule="auto"/>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dilutive issuances of equity securities, the use of our available cash, or the incurrence of debt, which could harm our operating results;</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maintaining uniform standards, procedures, controls, and policies;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and liabilities associated with acquisitions;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core business;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existing business relationships with suppliers and customers;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new markets in which we have limited or no experience;</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of acquired businesses; and</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legal and accounting compliance costs, as well as potential litigation costs, arising out of the acquisition or investment.</w:t>
      </w:r>
    </w:p>
    <w:p>
      <w:pPr>
        <w:spacing w:after="0" w:line="225"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auto"/>
        </w:rPr>
        <w:t>We have no current commitments with respect to any acquisition or investment. Under the 2020 MidCap Credit Facility, we are restricted in our ability to pursue certain mergers, acquisitions, amalgamations or consolidations that we may believe to be in our best interest.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distributors.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p>
    <w:p>
      <w:pPr>
        <w:spacing w:after="0" w:line="1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planned international expansion of our business will expose us to market, legal, regulatory, political, operational, financial and economic risks associated with doing business outside of the United States.</w:t>
      </w:r>
    </w:p>
    <w:p>
      <w:pPr>
        <w:spacing w:after="0" w:line="51" w:lineRule="exact"/>
        <w:rPr>
          <w:sz w:val="20"/>
          <w:szCs w:val="20"/>
          <w:color w:val="auto"/>
        </w:rPr>
      </w:pPr>
    </w:p>
    <w:p>
      <w:pPr>
        <w:ind w:right="60" w:firstLine="419"/>
        <w:spacing w:after="0" w:line="266" w:lineRule="auto"/>
        <w:rPr>
          <w:sz w:val="20"/>
          <w:szCs w:val="20"/>
          <w:color w:val="auto"/>
        </w:rPr>
      </w:pPr>
      <w:r>
        <w:rPr>
          <w:rFonts w:ascii="Times New Roman" w:cs="Times New Roman" w:eastAsia="Times New Roman" w:hAnsi="Times New Roman"/>
          <w:sz w:val="18"/>
          <w:szCs w:val="18"/>
          <w:color w:val="auto"/>
        </w:rPr>
        <w:t>We intend to increase our international presence, including securing additional regulatory approvals in targeted countries outside the United States. This strategy may include establishing and maintaining physician outreach and education capabilities outside of the United States and expanding our relationships with international payors. Doing business internationally involves a number of risks, including:</w:t>
      </w:r>
    </w:p>
    <w:p>
      <w:pPr>
        <w:spacing w:after="0" w:line="176" w:lineRule="exact"/>
        <w:rPr>
          <w:sz w:val="20"/>
          <w:szCs w:val="20"/>
          <w:color w:val="auto"/>
        </w:rPr>
      </w:pPr>
    </w:p>
    <w:p>
      <w:pPr>
        <w:ind w:left="800" w:hanging="283"/>
        <w:spacing w:after="0"/>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our international operations;</w:t>
      </w:r>
    </w:p>
    <w:p>
      <w:pPr>
        <w:spacing w:after="0" w:line="117" w:lineRule="exact"/>
        <w:rPr>
          <w:rFonts w:ascii="Times New Roman" w:cs="Times New Roman" w:eastAsia="Times New Roman" w:hAnsi="Times New Roman"/>
          <w:sz w:val="18"/>
          <w:szCs w:val="18"/>
          <w:color w:val="auto"/>
        </w:rPr>
      </w:pPr>
    </w:p>
    <w:p>
      <w:pPr>
        <w:ind w:left="800" w:right="780" w:hanging="283"/>
        <w:spacing w:after="0" w:line="282" w:lineRule="auto"/>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varied protection for intellectual property rights in some countries;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clearance, certification or approval where required for our products in various countries;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maintain data and the processing of that data on servers located within such countries;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government payors or patient self-pay systems;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 if we are required to manufacture our products locally;</w:t>
      </w:r>
    </w:p>
    <w:p>
      <w:pPr>
        <w:spacing w:after="0" w:line="117" w:lineRule="exact"/>
        <w:rPr>
          <w:rFonts w:ascii="Times New Roman" w:cs="Times New Roman" w:eastAsia="Times New Roman" w:hAnsi="Times New Roman"/>
          <w:sz w:val="18"/>
          <w:szCs w:val="18"/>
          <w:color w:val="auto"/>
        </w:rPr>
      </w:pPr>
    </w:p>
    <w:p>
      <w:pPr>
        <w:ind w:left="800" w:right="920" w:hanging="283"/>
        <w:spacing w:after="0" w:line="266" w:lineRule="auto"/>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foreign tax laws and complexities of foreign value-added tax systems, the effect of local and regional financial pressures on demand and payment for our products and exposure to foreign currency exchange rate fluctuations;</w:t>
      </w:r>
    </w:p>
    <w:p>
      <w:pPr>
        <w:spacing w:after="0" w:line="6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site-of-service for use of our products and the economics related thereto for physicians, providers and payors;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37" w:right="419" w:bottom="1440" w:gutter="0" w:footer="0" w:header="0"/>
        </w:sectPr>
      </w:pPr>
    </w:p>
    <w:bookmarkStart w:id="45" w:name="page46"/>
    <w:bookmarkEnd w:id="45"/>
    <w:p>
      <w:pPr>
        <w:ind w:left="800" w:hanging="283"/>
        <w:spacing w:after="0"/>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 and costs associated with hedging against such changes;</w:t>
      </w:r>
    </w:p>
    <w:p>
      <w:pPr>
        <w:spacing w:after="0" w:line="117" w:lineRule="exact"/>
        <w:rPr>
          <w:rFonts w:ascii="Times New Roman" w:cs="Times New Roman" w:eastAsia="Times New Roman" w:hAnsi="Times New Roman"/>
          <w:sz w:val="18"/>
          <w:szCs w:val="18"/>
          <w:color w:val="auto"/>
        </w:rPr>
      </w:pPr>
    </w:p>
    <w:p>
      <w:pPr>
        <w:ind w:left="800" w:right="1300" w:hanging="283"/>
        <w:spacing w:after="0" w:line="282" w:lineRule="auto"/>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such as the current military conflict between Russia and Ukraine, terrorism, political unrest, outbreak of disease, boycotts, curtailment of trade and other market restrictions; and</w:t>
      </w:r>
    </w:p>
    <w:p>
      <w:pPr>
        <w:spacing w:after="0" w:line="53" w:lineRule="exact"/>
        <w:rPr>
          <w:rFonts w:ascii="Times New Roman" w:cs="Times New Roman" w:eastAsia="Times New Roman" w:hAnsi="Times New Roman"/>
          <w:sz w:val="18"/>
          <w:szCs w:val="18"/>
          <w:color w:val="auto"/>
        </w:rPr>
      </w:pPr>
    </w:p>
    <w:p>
      <w:pPr>
        <w:ind w:left="800" w:right="1060" w:hanging="283"/>
        <w:spacing w:after="0" w:line="266" w:lineRule="auto"/>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subject to regulation under the United States Foreign Corrupt Practices Act of 1977 ("FCPA"), U.K. Bribery Act of 2010 ("Bribery Act)", and comparable laws and regulations in other countries.</w:t>
      </w:r>
    </w:p>
    <w:p>
      <w:pPr>
        <w:spacing w:after="0" w:line="176" w:lineRule="exact"/>
        <w:rPr>
          <w:sz w:val="20"/>
          <w:szCs w:val="20"/>
          <w:color w:val="auto"/>
        </w:rPr>
      </w:pPr>
    </w:p>
    <w:p>
      <w:pPr>
        <w:ind w:right="20" w:firstLine="419"/>
        <w:spacing w:after="0" w:line="282" w:lineRule="auto"/>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and operations and, consequently, have a material adverse effect on our business, financial condition and results of operations.</w:t>
      </w:r>
    </w:p>
    <w:p>
      <w:pPr>
        <w:spacing w:after="0" w:line="15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violations of the FCPA and similar worldwide anti-bribery laws, anti-boycott and anti-money laundering laws and export regulations, and the outcome of any investigation, by government agencies of possible violations by us of these laws and regulations could have a material adverse effect on our business.</w:t>
      </w:r>
    </w:p>
    <w:p>
      <w:pPr>
        <w:spacing w:after="0" w:line="67" w:lineRule="exact"/>
        <w:rPr>
          <w:sz w:val="20"/>
          <w:szCs w:val="20"/>
          <w:color w:val="auto"/>
        </w:rPr>
      </w:pPr>
    </w:p>
    <w:p>
      <w:pPr>
        <w:ind w:right="80" w:firstLine="419"/>
        <w:spacing w:after="0" w:line="253" w:lineRule="auto"/>
        <w:rPr>
          <w:sz w:val="20"/>
          <w:szCs w:val="20"/>
          <w:color w:val="auto"/>
        </w:rPr>
      </w:pPr>
      <w:r>
        <w:rPr>
          <w:rFonts w:ascii="Times New Roman" w:cs="Times New Roman" w:eastAsia="Times New Roman" w:hAnsi="Times New Roman"/>
          <w:sz w:val="18"/>
          <w:szCs w:val="18"/>
          <w:color w:val="auto"/>
        </w:rPr>
        <w:t>The FCPA prohibits companies and their intermediaries from making improper payments to foreign officials for the purpose of obtaining or retaining business. Other anti-corruption or anti-bribery laws, such as the Bribery Act,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spacing w:after="0" w:line="192"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auto"/>
        </w:rPr>
        <w:t>Furthermore, we are subject to anti-boycott laws, anti-money laundering laws, and the export controls and economic embargo rules and regulations of the U.S.,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business and reputation.</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loss of data and other disruptions could compromise sensitive information related to our business or our customer’s patients, or prevent us from accessing critical information and expose us to liability, which could adversely affect our business and our reputation.</w:t>
      </w:r>
    </w:p>
    <w:p>
      <w:pPr>
        <w:spacing w:after="0" w:line="51" w:lineRule="exact"/>
        <w:rPr>
          <w:sz w:val="20"/>
          <w:szCs w:val="20"/>
          <w:color w:val="auto"/>
        </w:rPr>
      </w:pPr>
    </w:p>
    <w:p>
      <w:pPr>
        <w:ind w:right="20" w:firstLine="419"/>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may become exposed to, or collect and store, sensitive data, including procedure-based information and legally-protected health information, credit card, and other financial information, insurance information, and other potentially personally identifiable information. We also store sensitive intellectual property and other proprietary business information. We are taking measures to implement policies and procedures designed to ensure compliance with applicable data security and privacy-related laws and regulations and protect sensitive information from unauthorized access or disclosure. However, our information technology ("IT"), and infrastructure, and that of our third-party billing and collections provider and other technology partners and providers, may be vulnerable to cyber-attacks by hackers or viruses or breaches due to employee error, malfeasance or other disruptions. We rely extensively on IT systems, networks and services, including internet sites, data hosting and processing facilities and tools, physical security systems and other hardware, software and technical applications and platforms, some of which are managed, hosted, provided and/or used by third parties or their vendors, to assist in conducting our business. A significant</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37" w:right="399" w:bottom="1440" w:gutter="0" w:footer="0" w:header="0"/>
        </w:sectPr>
      </w:pPr>
    </w:p>
    <w:bookmarkStart w:id="46" w:name="page47"/>
    <w:bookmarkEnd w:id="46"/>
    <w:p>
      <w:pPr>
        <w:ind w:right="180"/>
        <w:spacing w:after="0" w:line="282" w:lineRule="auto"/>
        <w:rPr>
          <w:sz w:val="20"/>
          <w:szCs w:val="20"/>
          <w:color w:val="auto"/>
        </w:rPr>
      </w:pPr>
      <w:r>
        <w:rPr>
          <w:rFonts w:ascii="Times New Roman" w:cs="Times New Roman" w:eastAsia="Times New Roman" w:hAnsi="Times New Roman"/>
          <w:sz w:val="18"/>
          <w:szCs w:val="18"/>
          <w:color w:val="auto"/>
        </w:rPr>
        <w:t>breakdown, invasion, corruption, destruction or interruption of critical information technology systems or infrastructure, by our workforce, others with authorized access to our systems or unauthorized persons could negatively impact operations.</w:t>
      </w:r>
    </w:p>
    <w:p>
      <w:pPr>
        <w:spacing w:after="0" w:line="162"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auto"/>
        </w:rPr>
        <w:t>The ever-increasing use and evolution of technology, including cloud-based computing, creates opportunities for the unintentional dissemination or intentional destruction of confidential information stored in our or our third-party providers’ systems, portable media or storage devices. For example, companies have experienced an increase in phishing and social engineering attacks from third parties in connection with the COVID-19 pandemic. We could also experience a business interruption, theft of confidential information or reputational damage from industrial espionage attacks, malware or other cyber-attacks, which may compromise our system infrastructure or lead to data leakage, either internally or at our third-party providers. Although the aggregate impact on our operations and financial condition has not been material to date, we have been the target of events of this nature and expect them to continue as cybersecurity threats have been rapidly evolving in sophistication and becoming more prevalent in the industry. We are investing in protections and monitoring practices of our data and IT to reduce these risks and continue to monitor our systems on an ongoing basis for any current or potential threats. There can be no assurance, however, that our efforts will prevent breakdowns or breaches to our or our third-party providers’ databases or systems, and such breakdowns or breaches could adversely affect our business, financial condition and reputation. We also intend to mitigate the risks related to these risks by purchasing cybersecurity insurance. However, such insurance, if purchased, will not necessarily cover all costs and impacts related to these risks.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will depend on our, and any of our future licensors’, ability to obtain, maintain and protect our intellectual property rights.</w:t>
      </w:r>
    </w:p>
    <w:p>
      <w:pPr>
        <w:spacing w:after="0" w:line="121" w:lineRule="exact"/>
        <w:rPr>
          <w:sz w:val="20"/>
          <w:szCs w:val="20"/>
          <w:color w:val="auto"/>
        </w:rPr>
      </w:pPr>
    </w:p>
    <w:p>
      <w:pPr>
        <w:ind w:right="100" w:firstLine="419"/>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patent and other intellectual property protection in the United States and other countries. We rely on patent protection, as well as a combination of copyright, trade secret and trademark laws, to protect the proprietary aspects of our technology and our brands, and to prevent others from developing and commercializing products that violate our intellectual property rights. However, these means may afford only limited protection and may not prevent our competitors from duplicating our products, prevent our competitors from gaining access to our proprietary information and technology, or permit us to gain or maintain a competitive advantage.</w:t>
      </w:r>
    </w:p>
    <w:p>
      <w:pPr>
        <w:spacing w:after="0" w:line="183" w:lineRule="exact"/>
        <w:rPr>
          <w:sz w:val="20"/>
          <w:szCs w:val="20"/>
          <w:color w:val="auto"/>
        </w:rPr>
      </w:pPr>
    </w:p>
    <w:p>
      <w:pPr>
        <w:ind w:right="60" w:firstLine="419"/>
        <w:spacing w:after="0" w:line="254" w:lineRule="auto"/>
        <w:rPr>
          <w:sz w:val="20"/>
          <w:szCs w:val="20"/>
          <w:color w:val="auto"/>
        </w:rPr>
      </w:pPr>
      <w:r>
        <w:rPr>
          <w:rFonts w:ascii="Times New Roman" w:cs="Times New Roman" w:eastAsia="Times New Roman" w:hAnsi="Times New Roman"/>
          <w:sz w:val="18"/>
          <w:szCs w:val="18"/>
          <w:color w:val="auto"/>
        </w:rPr>
        <w:t>We have filed numerous patent applications seeking protection of products and other inventions originating from our research and development.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The scope of a patent may also be reinterpreted after issuance. The rights that may be granted under our future issued patents may not provide us with the proprietary protection or competitive advantages we are seeking. It is also possible that we will fail to identify patentable aspects of inventions made in the course of our development and commercialization activities before it is too late to obtain patent protection on them. In addition, the patent prosecution process is expensive, time-consuming and complex, and we may not be able to file, prosecute, maintain, enforce or license all necessary or desirable patent applications at a reasonable cost or in a timely manner.</w:t>
      </w:r>
    </w:p>
    <w:p>
      <w:pPr>
        <w:spacing w:after="0" w:line="192" w:lineRule="exact"/>
        <w:rPr>
          <w:sz w:val="20"/>
          <w:szCs w:val="20"/>
          <w:color w:val="auto"/>
        </w:rPr>
      </w:pPr>
    </w:p>
    <w:p>
      <w:pPr>
        <w:ind w:right="100" w:firstLine="419"/>
        <w:spacing w:after="0" w:line="261" w:lineRule="auto"/>
        <w:rPr>
          <w:sz w:val="20"/>
          <w:szCs w:val="20"/>
          <w:color w:val="auto"/>
        </w:rPr>
      </w:pPr>
      <w:r>
        <w:rPr>
          <w:rFonts w:ascii="Times New Roman" w:cs="Times New Roman" w:eastAsia="Times New Roman" w:hAnsi="Times New Roman"/>
          <w:sz w:val="18"/>
          <w:szCs w:val="18"/>
          <w:color w:val="auto"/>
        </w:rPr>
        <w:t>Additionally, while software and other of our proprietary works may be protected under copyright law, we have chosen not to register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software may be limited.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existing and future products.</w:t>
      </w:r>
    </w:p>
    <w:p>
      <w:pPr>
        <w:spacing w:after="0" w:line="121" w:lineRule="exact"/>
        <w:rPr>
          <w:sz w:val="20"/>
          <w:szCs w:val="20"/>
          <w:color w:val="auto"/>
        </w:rPr>
      </w:pPr>
    </w:p>
    <w:p>
      <w:pPr>
        <w:ind w:right="100" w:firstLine="419"/>
        <w:spacing w:after="0" w:line="256" w:lineRule="auto"/>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37" w:right="439" w:bottom="1440" w:gutter="0" w:footer="0" w:header="0"/>
        </w:sectPr>
      </w:pPr>
    </w:p>
    <w:bookmarkStart w:id="47" w:name="page48"/>
    <w:bookmarkEnd w:id="47"/>
    <w:p>
      <w:pPr>
        <w:spacing w:after="0" w:line="282" w:lineRule="auto"/>
        <w:rPr>
          <w:sz w:val="20"/>
          <w:szCs w:val="20"/>
          <w:color w:val="auto"/>
        </w:rPr>
      </w:pPr>
      <w:r>
        <w:rPr>
          <w:rFonts w:ascii="Times New Roman" w:cs="Times New Roman" w:eastAsia="Times New Roman" w:hAnsi="Times New Roman"/>
          <w:sz w:val="18"/>
          <w:szCs w:val="18"/>
          <w:color w:val="auto"/>
        </w:rPr>
        <w:t>for patentability are met, the first inventor to file a patent application generally will be entitled to the patent on an invention regardless of whether another inventor had made the invention earlier.</w:t>
      </w:r>
    </w:p>
    <w:p>
      <w:pPr>
        <w:spacing w:after="0" w:line="162" w:lineRule="exact"/>
        <w:rPr>
          <w:sz w:val="20"/>
          <w:szCs w:val="20"/>
          <w:color w:val="auto"/>
        </w:rPr>
      </w:pPr>
    </w:p>
    <w:p>
      <w:pPr>
        <w:ind w:right="20" w:firstLine="419"/>
        <w:spacing w:after="0" w:line="256" w:lineRule="auto"/>
        <w:rPr>
          <w:sz w:val="20"/>
          <w:szCs w:val="20"/>
          <w:color w:val="auto"/>
        </w:rPr>
      </w:pPr>
      <w:r>
        <w:rPr>
          <w:rFonts w:ascii="Times New Roman" w:cs="Times New Roman" w:eastAsia="Times New Roman" w:hAnsi="Times New Roman"/>
          <w:sz w:val="18"/>
          <w:szCs w:val="18"/>
          <w:color w:val="auto"/>
        </w:rPr>
        <w:t>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spacing w:after="0" w:line="187"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auto"/>
        </w:rPr>
        <w:t>For example, in Europe, a new unitary patent system takes effect June 1, 2023, which will significantly impact European patents, including those granted before the introduction of such a system. Under the unitary patent system, European applications will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a party to intellectual property litigation or administrative proceedings that could be costly, time-consuming, unsuccessful, and could interfere with our ability to sell and market our products.</w:t>
      </w:r>
    </w:p>
    <w:p>
      <w:pPr>
        <w:spacing w:after="0" w:line="51" w:lineRule="exact"/>
        <w:rPr>
          <w:sz w:val="20"/>
          <w:szCs w:val="20"/>
          <w:color w:val="auto"/>
        </w:rPr>
      </w:pPr>
    </w:p>
    <w:p>
      <w:pPr>
        <w:ind w:right="100" w:firstLine="419"/>
        <w:spacing w:after="0" w:line="253" w:lineRule="auto"/>
        <w:rPr>
          <w:sz w:val="20"/>
          <w:szCs w:val="20"/>
          <w:color w:val="auto"/>
        </w:rPr>
      </w:pPr>
      <w:r>
        <w:rPr>
          <w:rFonts w:ascii="Times New Roman" w:cs="Times New Roman" w:eastAsia="Times New Roman" w:hAnsi="Times New Roman"/>
          <w:sz w:val="18"/>
          <w:szCs w:val="18"/>
          <w:color w:val="auto"/>
        </w:rPr>
        <w:t>Competitors may infringe our patents, or we may be required to enforce our patents to protect our technology. We may also be required to file suit to protect our trade secrets, or may be involved in litigation defending against claims of infringement of the rights of others. In addition, our patents also may become involved in inventorship, priority or validity disputes. To counter or defend against such claims can be expensive and time-consuming and could divert our attention from other functions and responsibilities. In an infringement proceeding, a court may decide that a patent owned by us is invalid or unenforceable. Furthermore, even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Adverse determinations against us in defending against infringement could subject us to significant liabilities to third parties, require us to seek licenses from third parties and prevent us from manufacturing, selling or using the product, any of which could severely harm our business. Furthermore, because of the substantial amount of discovery required in connection with intellectual property litigation, there is a risk that some of our confidential information could be compromised by disclosure during litigation.</w:t>
      </w:r>
    </w:p>
    <w:p>
      <w:pPr>
        <w:spacing w:after="0" w:line="194"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w:t>
      </w:r>
    </w:p>
    <w:p>
      <w:pPr>
        <w:spacing w:after="0" w:line="188" w:lineRule="exact"/>
        <w:rPr>
          <w:sz w:val="20"/>
          <w:szCs w:val="20"/>
          <w:color w:val="auto"/>
        </w:rPr>
      </w:pPr>
    </w:p>
    <w:p>
      <w:pPr>
        <w:ind w:right="80" w:firstLine="419"/>
        <w:spacing w:after="0" w:line="258" w:lineRule="auto"/>
        <w:rPr>
          <w:sz w:val="20"/>
          <w:szCs w:val="20"/>
          <w:color w:val="auto"/>
        </w:rPr>
      </w:pPr>
      <w:r>
        <w:rPr>
          <w:rFonts w:ascii="Times New Roman" w:cs="Times New Roman" w:eastAsia="Times New Roman" w:hAnsi="Times New Roman"/>
          <w:sz w:val="18"/>
          <w:szCs w:val="18"/>
          <w:color w:val="auto"/>
        </w:rPr>
        <w:t>On September 16, 2021, we filed suit in the U.S. District Court for the District of Delaware (C.A. No. 1:21-cv-01317) alleging that Ivantis, Inc. directly or indirectly infringes U.S. Patent Nos. 8,287,482, 9,370,443, 9,486,361, and 10,314,742 previously issued to us by making, using, selling, and offering for sale the Hydrus® Microstent. On July 29, 2022, we filed an amended complaint adding Alcon Inc., Alcon Vision LLC, and Alcon Research, LLC as defendants and alleging that all defendants also directly or indirectly infringe U.S. Patent No. 11,389,328. Defendants filed counterclaims seeking</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37" w:right="399" w:bottom="1440" w:gutter="0" w:footer="0" w:header="0"/>
        </w:sectPr>
      </w:pPr>
    </w:p>
    <w:bookmarkStart w:id="48" w:name="page49"/>
    <w:bookmarkEnd w:id="48"/>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declaratory judgments that the patents-in-suit are invalid or not infringed upon. A five-day jury trial is scheduled to commence on April 8, 2024. Ivantis and Alcon filed petitions with the USPTO seeking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of U.S. Patent Nos. 8,287,482, 9,370,443, 9,486,361, and 10,314,742 (IPR2022-01529, IPR2022-01530, IPR2022-01533, IPR2022-01540). Around the end of March 2023, the USPTO will determine whether to institute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If any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is instituted, the USPTO would make validity findings as to the affected patent(s) by the end of March 2024. We are presently unable to predict the outcome of this lawsuit or the </w:t>
      </w:r>
      <w:r>
        <w:rPr>
          <w:rFonts w:ascii="Times New Roman" w:cs="Times New Roman" w:eastAsia="Times New Roman" w:hAnsi="Times New Roman"/>
          <w:sz w:val="18"/>
          <w:szCs w:val="18"/>
          <w:i w:val="1"/>
          <w:iCs w:val="1"/>
          <w:color w:val="auto"/>
        </w:rPr>
        <w:t>inter partes review</w:t>
      </w:r>
      <w:r>
        <w:rPr>
          <w:rFonts w:ascii="Times New Roman" w:cs="Times New Roman" w:eastAsia="Times New Roman" w:hAnsi="Times New Roman"/>
          <w:sz w:val="18"/>
          <w:szCs w:val="18"/>
          <w:color w:val="auto"/>
        </w:rPr>
        <w:t xml:space="preserve">, or to reasonably estimate the potential financial impact of the lawsuit or the </w:t>
      </w:r>
      <w:r>
        <w:rPr>
          <w:rFonts w:ascii="Times New Roman" w:cs="Times New Roman" w:eastAsia="Times New Roman" w:hAnsi="Times New Roman"/>
          <w:sz w:val="18"/>
          <w:szCs w:val="18"/>
          <w:i w:val="1"/>
          <w:iCs w:val="1"/>
          <w:color w:val="auto"/>
        </w:rPr>
        <w:t>inter partes review</w:t>
      </w:r>
      <w:r>
        <w:rPr>
          <w:rFonts w:ascii="Times New Roman" w:cs="Times New Roman" w:eastAsia="Times New Roman" w:hAnsi="Times New Roman"/>
          <w:sz w:val="18"/>
          <w:szCs w:val="18"/>
          <w:color w:val="auto"/>
        </w:rPr>
        <w:t>, which exposes us to the intellectual property litigation risk factors described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other proprietary information, our business and competitive position may be harmed.</w:t>
      </w:r>
    </w:p>
    <w:p>
      <w:pPr>
        <w:spacing w:after="0" w:line="121" w:lineRule="exact"/>
        <w:rPr>
          <w:sz w:val="20"/>
          <w:szCs w:val="20"/>
          <w:color w:val="auto"/>
        </w:rPr>
      </w:pPr>
    </w:p>
    <w:p>
      <w:pPr>
        <w:ind w:right="180" w:firstLine="419"/>
        <w:spacing w:after="0" w:line="289" w:lineRule="auto"/>
        <w:rPr>
          <w:sz w:val="20"/>
          <w:szCs w:val="20"/>
          <w:color w:val="auto"/>
        </w:rPr>
      </w:pPr>
      <w:r>
        <w:rPr>
          <w:rFonts w:ascii="Times New Roman" w:cs="Times New Roman" w:eastAsia="Times New Roman" w:hAnsi="Times New Roman"/>
          <w:sz w:val="17"/>
          <w:szCs w:val="17"/>
          <w:color w:val="auto"/>
        </w:rPr>
        <w:t>In addition to seeking patent protection for our products, we also rely upon unpatented trade secrets, know-how and continuing technological innovation to develop and maintain a competitive position. We seek to protect such proprietary information, in part, through confidentiality agreements with our employees, collaborators, contractors, advisors, consultants and other third parties and invention assignment agreements with our employees.</w:t>
      </w:r>
    </w:p>
    <w:p>
      <w:pPr>
        <w:spacing w:after="0" w:line="158" w:lineRule="exact"/>
        <w:rPr>
          <w:sz w:val="20"/>
          <w:szCs w:val="20"/>
          <w:color w:val="auto"/>
        </w:rPr>
      </w:pPr>
    </w:p>
    <w:p>
      <w:pPr>
        <w:ind w:right="20" w:firstLine="419"/>
        <w:spacing w:after="0" w:line="253" w:lineRule="auto"/>
        <w:rPr>
          <w:sz w:val="20"/>
          <w:szCs w:val="20"/>
          <w:color w:val="auto"/>
        </w:rPr>
      </w:pPr>
      <w:r>
        <w:rPr>
          <w:rFonts w:ascii="Times New Roman" w:cs="Times New Roman" w:eastAsia="Times New Roman" w:hAnsi="Times New Roman"/>
          <w:sz w:val="18"/>
          <w:szCs w:val="18"/>
          <w:color w:val="auto"/>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w:t>
      </w:r>
    </w:p>
    <w:p>
      <w:pPr>
        <w:spacing w:after="0" w:line="194" w:lineRule="exact"/>
        <w:rPr>
          <w:sz w:val="20"/>
          <w:szCs w:val="20"/>
          <w:color w:val="auto"/>
        </w:rPr>
      </w:pPr>
    </w:p>
    <w:p>
      <w:pPr>
        <w:ind w:right="140" w:firstLine="419"/>
        <w:spacing w:after="0" w:line="261"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w:t>
      </w:r>
    </w:p>
    <w:p>
      <w:pPr>
        <w:spacing w:after="0" w:line="51" w:lineRule="exact"/>
        <w:rPr>
          <w:sz w:val="20"/>
          <w:szCs w:val="20"/>
          <w:color w:val="auto"/>
        </w:rPr>
      </w:pPr>
    </w:p>
    <w:p>
      <w:pPr>
        <w:ind w:right="20" w:firstLine="419"/>
        <w:spacing w:after="0" w:line="271" w:lineRule="auto"/>
        <w:rPr>
          <w:sz w:val="20"/>
          <w:szCs w:val="20"/>
          <w:color w:val="auto"/>
        </w:rPr>
      </w:pPr>
      <w:r>
        <w:rPr>
          <w:rFonts w:ascii="Times New Roman" w:cs="Times New Roman" w:eastAsia="Times New Roman" w:hAnsi="Times New Roman"/>
          <w:sz w:val="17"/>
          <w:szCs w:val="17"/>
          <w:color w:val="auto"/>
        </w:rPr>
        <w:t>Many of our employees and consultants were previously employed at or engaged by other medical device, biotechnology or pharmaceutical companies, including our competitors or potential competitors. Some of these employees and consultants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 or other third parties. To the extent that our employees, consultants or contractors use intellectual property or proprietary information owned by others in their work for us, disputes may arise as to the rights in related or resulting know-how and inventions. Litigation may be necessary to defend against these claims. There is no guarantee of success in defending these claims, and even if we are successful, litigation could result in substantial cost and be a distraction to our management and other employees as described above.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right="340" w:firstLine="419"/>
        <w:spacing w:after="0" w:line="266"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ownership interest in our current or future patents, patent applications, or other intellectual property, including as an inventor or co-inventor. We may be subject to ownership or inventorship disputes in the future arising, for example, from conflicting</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37" w:right="399" w:bottom="1440" w:gutter="0" w:footer="0" w:header="0"/>
        </w:sectPr>
      </w:pPr>
    </w:p>
    <w:bookmarkStart w:id="49" w:name="page50"/>
    <w:bookmarkEnd w:id="49"/>
    <w:p>
      <w:pPr>
        <w:ind w:right="20"/>
        <w:spacing w:after="0" w:line="254" w:lineRule="auto"/>
        <w:rPr>
          <w:sz w:val="20"/>
          <w:szCs w:val="20"/>
          <w:color w:val="auto"/>
        </w:rPr>
      </w:pPr>
      <w:r>
        <w:rPr>
          <w:rFonts w:ascii="Times New Roman" w:cs="Times New Roman" w:eastAsia="Times New Roman" w:hAnsi="Times New Roman"/>
          <w:sz w:val="18"/>
          <w:szCs w:val="18"/>
          <w:color w:val="auto"/>
        </w:rPr>
        <w:t>obligations of consultants, contractors or others who are involved in developing our products.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and other owners may be able to license their rights to other third parties, including our competitors. Such an outcome could have a material adverse effect on our business. Even if we are successful in defending against such claims, litigation could result in substantial costs and be a distraction to management and other employees.</w:t>
      </w:r>
    </w:p>
    <w:p>
      <w:pPr>
        <w:spacing w:after="0" w:line="188"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 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A loss of key personnel or their work product could hamper or prevent our ability to commercialize our products, which could have an adverse effect on our business, financial condition and results of operations.</w:t>
      </w:r>
    </w:p>
    <w:p>
      <w:pPr>
        <w:spacing w:after="0" w:line="19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tradenames are not adequately protected, then we may not be able to build name recognition in our markets and our business may be adversely affected.</w:t>
      </w:r>
    </w:p>
    <w:p>
      <w:pPr>
        <w:spacing w:after="0" w:line="51"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declared generic or determined to be violating or infringing on other marks. We may not be able to protect our rights to these trademarks and trade names, which we need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or dilution claims brought by owners of other trademarks.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or other intellectual property may be ineffective, could result in substantial costs and diversion of resources and could adversely affect our business, financial condition and results of operations.</w:t>
      </w:r>
    </w:p>
    <w:p>
      <w:pPr>
        <w:spacing w:after="0" w:line="192" w:lineRule="exact"/>
        <w:rPr>
          <w:sz w:val="20"/>
          <w:szCs w:val="20"/>
          <w:color w:val="auto"/>
        </w:rPr>
      </w:pPr>
    </w:p>
    <w:p>
      <w:pPr>
        <w:ind w:right="200" w:firstLine="419"/>
        <w:spacing w:after="0" w:line="266" w:lineRule="auto"/>
        <w:rPr>
          <w:sz w:val="20"/>
          <w:szCs w:val="20"/>
          <w:color w:val="auto"/>
        </w:rPr>
      </w:pPr>
      <w:r>
        <w:rPr>
          <w:rFonts w:ascii="Times New Roman" w:cs="Times New Roman" w:eastAsia="Times New Roman" w:hAnsi="Times New Roman"/>
          <w:sz w:val="18"/>
          <w:szCs w:val="18"/>
          <w:color w:val="auto"/>
        </w:rPr>
        <w:t>We are aware of a third party’s use of and pending U.S. application for the TEARCLEAR trademark in connection with ophthalmic pharmaceuticals, which we believe may be an infringement of our TEARCARE trademark. We are taking appropriate actions to protect our interests in this matter, which may include filing a complaint for trademark infringement in federal court.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business practices, and operations are subject to extensive government regulation and oversight in the United States and elsewhere.</w:t>
      </w:r>
    </w:p>
    <w:p>
      <w:pPr>
        <w:spacing w:after="0" w:line="121" w:lineRule="exact"/>
        <w:rPr>
          <w:sz w:val="20"/>
          <w:szCs w:val="20"/>
          <w:color w:val="auto"/>
        </w:rPr>
      </w:pPr>
    </w:p>
    <w:p>
      <w:pPr>
        <w:ind w:right="60" w:firstLine="419"/>
        <w:spacing w:after="0" w:line="255" w:lineRule="auto"/>
        <w:rPr>
          <w:sz w:val="20"/>
          <w:szCs w:val="20"/>
          <w:color w:val="auto"/>
        </w:rPr>
      </w:pPr>
      <w:r>
        <w:rPr>
          <w:rFonts w:ascii="Times New Roman" w:cs="Times New Roman" w:eastAsia="Times New Roman" w:hAnsi="Times New Roman"/>
          <w:sz w:val="18"/>
          <w:szCs w:val="18"/>
          <w:color w:val="auto"/>
        </w:rPr>
        <w:t>Our products are regulated as medical devices by the FDA and foreign regulatory authorities. We and our products are subject to extensive regulation in the United States and elsewhere, including by state agencies, the FDA and the FDA’s foreign counterparts. The FDA and foreign regulatory agencies regulate, among other things, with respect to medical devices: design, development, manufacturing and release; laboratory, preclinical and clinical testing; labeling, packaging, content and language of instructions for use and storage; product safety and efficacy; establishment registration and device listing; marketing, sales and distribution; pre-market clearance, approval, and certification; service operations; record keeping procedures; advertising and promotion; recalls and field safety corrective actions; post-market surveillance, including reporting of deaths or serious injuries and malfunctions that, if they were to recur, could lead to death or serious injury; post-market studies; and product import and export.</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37" w:right="399" w:bottom="1440" w:gutter="0" w:footer="0" w:header="0"/>
        </w:sectPr>
      </w:pPr>
    </w:p>
    <w:bookmarkStart w:id="50" w:name="page51"/>
    <w:bookmarkEnd w:id="50"/>
    <w:p>
      <w:pPr>
        <w:ind w:firstLine="419"/>
        <w:spacing w:after="0" w:line="254" w:lineRule="auto"/>
        <w:rPr>
          <w:sz w:val="20"/>
          <w:szCs w:val="20"/>
          <w:color w:val="auto"/>
        </w:rPr>
      </w:pPr>
      <w:r>
        <w:rPr>
          <w:rFonts w:ascii="Times New Roman" w:cs="Times New Roman" w:eastAsia="Times New Roman" w:hAnsi="Times New Roman"/>
          <w:sz w:val="18"/>
          <w:szCs w:val="18"/>
          <w:color w:val="auto"/>
        </w:rPr>
        <w:t>The law and regulations to which we are subject are complex, burdensome to understand and apply and have tended to become more stringent over time. Legal and regulatory changes could result in restrictions on our ability to carry on or expand our operations, higher than anticipated costs or lower than anticipated sales. The FDA and foreign regulatory authorities enforce these regulatory requirements through, among other means, periodic (unannounced) inspections and periodic reviews of public marketing and promotion materials. We do not know whether we will be found compliant in connection with any future FDA or foreign inspections or reviews. Failure to comply with applicable regulations could jeopardize our ability to sell our products and result in enforcement actions such as: warning letters; untitled letters; fines; injunctions; civil penalties; termination of distribution; recalls or seizures of products; delays in the introduction of products into the market; total or partial suspension of production; refusal to grant future clearances, approvals, or certifications; withdrawals or suspensions of current approvals or certifications, resulting in prohibitions on sales of our products; and in the most serious cases, criminal penalties.</w:t>
      </w:r>
    </w:p>
    <w:p>
      <w:pPr>
        <w:spacing w:after="0" w:line="18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receive, or may be delayed in receiving, the necessary clearances, certifications or approvals for our future products or modifications to our current products, and failure to timely obtain necessary clearances, certifications or approvals for our future products or modifications to our current products would adversely affect our ability to grow our business.</w:t>
      </w:r>
    </w:p>
    <w:p>
      <w:pPr>
        <w:spacing w:after="0" w:line="67" w:lineRule="exact"/>
        <w:rPr>
          <w:sz w:val="20"/>
          <w:szCs w:val="20"/>
          <w:color w:val="auto"/>
        </w:rPr>
      </w:pPr>
    </w:p>
    <w:p>
      <w:pPr>
        <w:ind w:right="80" w:firstLine="419"/>
        <w:spacing w:after="0" w:line="256" w:lineRule="auto"/>
        <w:rPr>
          <w:sz w:val="20"/>
          <w:szCs w:val="20"/>
          <w:color w:val="auto"/>
        </w:rPr>
      </w:pPr>
      <w:r>
        <w:rPr>
          <w:rFonts w:ascii="Times New Roman" w:cs="Times New Roman" w:eastAsia="Times New Roman" w:hAnsi="Times New Roman"/>
          <w:sz w:val="18"/>
          <w:szCs w:val="18"/>
          <w:color w:val="auto"/>
        </w:rPr>
        <w:t>In the U.S., before we can market a new medical device, or a new use of, new claim for or significant modification to an existing product, we must first receive either clearance under Section 510(k) of the FDCA, or 510(k), or approval of a pre-market approval application, or PMA, from the FDA, unless an exemption from pre-market review applies.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w:t>
      </w:r>
    </w:p>
    <w:p>
      <w:pPr>
        <w:spacing w:after="0" w:line="187" w:lineRule="exact"/>
        <w:rPr>
          <w:sz w:val="20"/>
          <w:szCs w:val="20"/>
          <w:color w:val="auto"/>
        </w:rPr>
      </w:pPr>
    </w:p>
    <w:p>
      <w:pPr>
        <w:ind w:right="100" w:firstLine="419"/>
        <w:spacing w:after="0" w:line="252" w:lineRule="auto"/>
        <w:rPr>
          <w:sz w:val="20"/>
          <w:szCs w:val="20"/>
          <w:color w:val="auto"/>
        </w:rPr>
      </w:pPr>
      <w:r>
        <w:rPr>
          <w:rFonts w:ascii="Times New Roman" w:cs="Times New Roman" w:eastAsia="Times New Roman" w:hAnsi="Times New Roman"/>
          <w:sz w:val="18"/>
          <w:szCs w:val="18"/>
          <w:color w:val="auto"/>
        </w:rPr>
        <w:t>In the U.S., we have obtained clearance from the FDA of OMNI and TearCare through the 510(k) clearance process. Any further modification to these products or their intended uses may require us to submit a new 510(k) premarket notification and obtain clearance, or submit a PMA and obtain FDA approval prior to implementing the change. Specifically,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If the FDA disagrees with our determination and requires us to submit new 510(k) notifications or PMA applications for modifications to our products for which we have concluded that new clearances or approvals are unnecessary, we may be required to cease marketing or to recall the modified product until we obtain clearance or approval, and we may be subject to significant regulatory fines or penalties. Both the PMA approval and the 510(k) clearance process can be expensive, lengthy and uncertain. The 510(k) clearance process usually takes from three to 12 months, whereas the process of obtaining a PMA generally takes from one to three years, or even longer, from the time the application is submitted to the FDA. Despite the time, effort and cost, a device may not be approved or cleared by the FDA. If the FDA requires us to go through a lengthier, more rigorous examination for future products or modifications to existing products than we had expected, product introductions or modifications could be delayed or canceled, which could adversely affect our ability to grow our business. Further, regulatory enforcement or inquiries, or other increased scrutiny on us, could dissuade some customers from using our products and adversely affect our reputation and the perceived safety or efficacy of our products. In addition, even if we are granted regulatory clearances or approvals, they may include significant limitations on the indicated uses for the device, which may limit the market for the device.</w:t>
      </w:r>
    </w:p>
    <w:p>
      <w:pPr>
        <w:spacing w:after="0" w:line="1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FDA can delay, limit or deny clearance or approval of a device for many reasons, including:</w:t>
      </w:r>
    </w:p>
    <w:p>
      <w:pPr>
        <w:spacing w:after="0" w:line="225" w:lineRule="exact"/>
        <w:rPr>
          <w:sz w:val="20"/>
          <w:szCs w:val="20"/>
          <w:color w:val="auto"/>
        </w:rPr>
      </w:pPr>
    </w:p>
    <w:p>
      <w:pPr>
        <w:ind w:left="800" w:hanging="283"/>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that our products are safe or effective for their intended uses;</w:t>
      </w:r>
    </w:p>
    <w:p>
      <w:pPr>
        <w:spacing w:after="0" w:line="117" w:lineRule="exact"/>
        <w:rPr>
          <w:rFonts w:ascii="Times New Roman" w:cs="Times New Roman" w:eastAsia="Times New Roman" w:hAnsi="Times New Roman"/>
          <w:sz w:val="18"/>
          <w:szCs w:val="18"/>
          <w:color w:val="auto"/>
        </w:rPr>
      </w:pPr>
    </w:p>
    <w:p>
      <w:pPr>
        <w:ind w:left="800" w:right="740" w:hanging="283"/>
        <w:spacing w:after="0" w:line="282" w:lineRule="auto"/>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with the design or conduct of our clinical trials or the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device effects experienced by participants in our clinical trials;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clearance or approval, where required;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37" w:right="399" w:bottom="1440" w:gutter="0" w:footer="0" w:header="0"/>
        </w:sectPr>
      </w:pPr>
    </w:p>
    <w:bookmarkStart w:id="51" w:name="page52"/>
    <w:bookmarkEnd w:id="51"/>
    <w:p>
      <w:pPr>
        <w:ind w:left="800" w:hanging="283"/>
        <w:spacing w:after="0"/>
        <w:tabs>
          <w:tab w:leader="none" w:pos="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device outweigh the risks;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we use may not meet applicable requirements; and</w:t>
      </w:r>
    </w:p>
    <w:p>
      <w:pPr>
        <w:spacing w:after="0" w:line="117" w:lineRule="exact"/>
        <w:rPr>
          <w:rFonts w:ascii="Times New Roman" w:cs="Times New Roman" w:eastAsia="Times New Roman" w:hAnsi="Times New Roman"/>
          <w:sz w:val="18"/>
          <w:szCs w:val="18"/>
          <w:color w:val="auto"/>
        </w:rPr>
      </w:pPr>
    </w:p>
    <w:p>
      <w:pPr>
        <w:ind w:left="800" w:right="1120" w:hanging="283"/>
        <w:spacing w:after="0" w:line="282" w:lineRule="auto"/>
        <w:tabs>
          <w:tab w:leader="none" w:pos="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to change significantly in a manner rendering our clinical data or regulatory filings insufficient for clearance or approval.</w:t>
      </w:r>
    </w:p>
    <w:p>
      <w:pPr>
        <w:spacing w:after="0" w:line="162" w:lineRule="exact"/>
        <w:rPr>
          <w:sz w:val="20"/>
          <w:szCs w:val="20"/>
          <w:color w:val="auto"/>
        </w:rPr>
      </w:pPr>
    </w:p>
    <w:p>
      <w:pPr>
        <w:ind w:firstLine="419"/>
        <w:spacing w:after="0" w:line="268" w:lineRule="auto"/>
        <w:rPr>
          <w:sz w:val="20"/>
          <w:szCs w:val="20"/>
          <w:color w:val="auto"/>
        </w:rPr>
      </w:pPr>
      <w:r>
        <w:rPr>
          <w:rFonts w:ascii="Times New Roman" w:cs="Times New Roman" w:eastAsia="Times New Roman" w:hAnsi="Times New Roman"/>
          <w:sz w:val="17"/>
          <w:szCs w:val="17"/>
          <w:color w:val="auto"/>
        </w:rPr>
        <w:t>Subject to the transitional provisions and in order to sell our products in EU member states, our products must comply with the general safety and performance requirements of the EU MDR, which repeals and replaces the Medical Devices Directive. Compliance with these requirements is a prerequisite to be able to affix the European Conformity, or CE, mark to our products, without which they cannot be sold or marketed in the EU. All medical devices placed on the market in the EU must meet the general safety and performance requirements laid down in Annex I to the EU MDR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 where applicable –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we must undergo a conformity assessment procedure, which varies according to the type of medical device and its (risk) classification. A conformity assessment procedures generally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If we fail to comply with applicable laws and regulations, we would be unable to affix the CE mark to our products, which would prevent us from selling them within the EU.</w:t>
      </w:r>
    </w:p>
    <w:p>
      <w:pPr>
        <w:spacing w:after="0" w:line="182" w:lineRule="exact"/>
        <w:rPr>
          <w:sz w:val="20"/>
          <w:szCs w:val="20"/>
          <w:color w:val="auto"/>
        </w:rPr>
      </w:pPr>
    </w:p>
    <w:p>
      <w:pPr>
        <w:ind w:right="40" w:firstLine="419"/>
        <w:spacing w:after="0" w:line="256" w:lineRule="auto"/>
        <w:rPr>
          <w:sz w:val="20"/>
          <w:szCs w:val="20"/>
          <w:color w:val="auto"/>
        </w:rPr>
      </w:pPr>
      <w:r>
        <w:rPr>
          <w:rFonts w:ascii="Times New Roman" w:cs="Times New Roman" w:eastAsia="Times New Roman" w:hAnsi="Times New Roman"/>
          <w:sz w:val="18"/>
          <w:szCs w:val="18"/>
          <w:color w:val="auto"/>
        </w:rPr>
        <w:t>We must inform the notified body that carried out the conformity assessment of the medical devices that we market or sell in the EU and the EEA of any planned substantial changes to our quality system or substantial changes to our medical devices that could affect compliance with the general safety and performance requirements laid down in Annex I to the MDR or cause a substantial change to the intended use for which the device has been CE marked. The notified body will then assess the planned changes and verify whether they affect the products’ ongoing conformity with the EU MDR. If the assessment is favorable, the notified body will issue a new certificate of conformity or an addendum to the existing certificate attesting compliance with the general safety and performance requirements and quality system requirements laid down in the Annexes to the MDR.</w:t>
      </w:r>
    </w:p>
    <w:p>
      <w:pPr>
        <w:spacing w:after="0" w:line="187" w:lineRule="exact"/>
        <w:rPr>
          <w:sz w:val="20"/>
          <w:szCs w:val="20"/>
          <w:color w:val="auto"/>
        </w:rPr>
      </w:pPr>
    </w:p>
    <w:p>
      <w:pPr>
        <w:ind w:right="20" w:firstLine="419"/>
        <w:spacing w:after="0" w:line="281" w:lineRule="auto"/>
        <w:rPr>
          <w:sz w:val="20"/>
          <w:szCs w:val="20"/>
          <w:color w:val="auto"/>
        </w:rPr>
      </w:pPr>
      <w:r>
        <w:rPr>
          <w:rFonts w:ascii="Times New Roman" w:cs="Times New Roman" w:eastAsia="Times New Roman" w:hAnsi="Times New Roman"/>
          <w:sz w:val="17"/>
          <w:szCs w:val="17"/>
          <w:color w:val="auto"/>
        </w:rPr>
        <w:t>We are currently working with our notified body, BSI (which has been designated to certify products and services in accordance with the EU MDR), to progress on compliance with the EU MDR and reached a first milestone in February 2022 by successfully passing our EU MDR audit. However, as a result of the transition towards the new regime, notified body review times have lengthened, and obtaining re-certification of our products, seeking product introductions or modifications could be delayed or canceled, which could adversely affect our ability to grow our business in the EU.</w:t>
      </w:r>
    </w:p>
    <w:p>
      <w:pPr>
        <w:spacing w:after="0" w:line="164" w:lineRule="exact"/>
        <w:rPr>
          <w:sz w:val="20"/>
          <w:szCs w:val="20"/>
          <w:color w:val="auto"/>
        </w:rPr>
      </w:pPr>
    </w:p>
    <w:p>
      <w:pPr>
        <w:ind w:right="500" w:firstLine="419"/>
        <w:spacing w:after="0" w:line="282"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EEA. Non-compliance with the above requirements would also prevent us from selling our products in these three countries.</w:t>
      </w:r>
    </w:p>
    <w:p>
      <w:pPr>
        <w:spacing w:after="0" w:line="15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significant liability if it is determined that we are promoting off-label uses of our products in violation of federal and state regulations in the United States or elsewhere.</w:t>
      </w:r>
    </w:p>
    <w:p>
      <w:pPr>
        <w:spacing w:after="0" w:line="51"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auto"/>
        </w:rPr>
        <w:t>Our promotional materials and training methods must comply with FDA and other applicable laws and regulations, including the prohibition against the promotion of the off-label use of our products or the pre-promotion of unapproved products. Healthcare providers may use our products off-label, as the FDA does not restrict or regulate a physician’s choice of treatment within the practice of medicine. However, if the FDA determines that our promotional materials or training constitutes promotion of an off-label use or the pre-promotion of an unapproved product, it could request that we modify our training or promotional materials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37" w:right="419" w:bottom="1440" w:gutter="0" w:footer="0" w:header="0"/>
        </w:sectPr>
      </w:pPr>
    </w:p>
    <w:bookmarkStart w:id="52" w:name="page53"/>
    <w:bookmarkEnd w:id="52"/>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refrain from statements that could be considered off-label promotion of our products or pre-promotion of an unapproved product, the FDA or another regulatory agency could disagree and conclude that we have engaged in improper promotional activities. In addition, the off-label use of our products may increase the risk of product liability claims, which are expensive to defend and could result in substantial damage awards against us and harm our reputation.</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post-marketing regulatory requirements could subject us to enforcement actions, including substantial penalties, and might require us to recall or withdraw a product from the market.</w:t>
      </w:r>
    </w:p>
    <w:p>
      <w:pPr>
        <w:spacing w:after="0" w:line="51" w:lineRule="exact"/>
        <w:rPr>
          <w:sz w:val="20"/>
          <w:szCs w:val="20"/>
          <w:color w:val="auto"/>
        </w:rPr>
      </w:pPr>
    </w:p>
    <w:p>
      <w:pPr>
        <w:ind w:firstLine="419"/>
        <w:spacing w:after="0" w:line="267" w:lineRule="auto"/>
        <w:rPr>
          <w:sz w:val="20"/>
          <w:szCs w:val="20"/>
          <w:color w:val="auto"/>
        </w:rPr>
      </w:pPr>
      <w:r>
        <w:rPr>
          <w:rFonts w:ascii="Times New Roman" w:cs="Times New Roman" w:eastAsia="Times New Roman" w:hAnsi="Times New Roman"/>
          <w:sz w:val="17"/>
          <w:szCs w:val="17"/>
          <w:color w:val="auto"/>
        </w:rPr>
        <w:t>Even though we have obtained clearance from the FDA for OMNI and TearCare in the U.S. and certifications for OMNI in the EU, we are subject to ongoing and pervasive regulatory requirements governing, among other things, the manufacture, marketing, advertising, medical device reporting, sale, promotion, import, export, registration, and listing of devices. For example, we must submit periodic reports to the FDA as a condition of 510(k) clearance. These reports include information about failures and certain adverse events associated with the device after its clearance. Failure to submit such reports, or failure to submit the reports in a timely manner, could result in enforcement action by the FDA. Following its review of the periodic reports, the FDA might ask for additional information or initiate further investigation. In addition, we must maintain an active registration of our facilities and listing of our products in order to legally market them in the United States. If the FDA were to disagree with our product listing or otherwise take issue with our registration and listing compliance, it could result in delisting of our products or other enforcement action resulting in potential inability to market our products. For example, in October 2020, the FDA communicated to us that the previous version of our TearCare System may not have been eligible for an exemption from 510(k) clearance. In response to that communication, among other things, we submitted a 510(k) premarket notification seeking clearance for TearCare in November 2020. The FDA requested several safety tests and modifications to this submission which we believe would have required additional time to complete beyond the designated review process. We voluntarily withdrew this submission in May 2021 to allow us to comply with the FDA’s requests in a comprehensive manner. We completed the additional testing and modifications requested by the FDA and received 510(k) clearance of TearCare for an expanded indication for use in December 2021. In February 2022, we received further communications from the FDA regarding the appropriateness of the marketing and distribution of our legacy TearCare Systems as a 510(k)-exempt device without premarket notification to and authorization from the FDA. We conducted a voluntary recall of our legacy TearCare system because the FDA informed us that the legacy system’s advanced technology made it ineligible for an exemption from 510(k) clearance. Further, this voluntary recall did not involve the new version of the TearCare system, which has received premarket clearance from the FDA and will remain on the market. We provided notice to the FDA in the fourth quarter of 2022 that we had completed all activities and requested close of the recall.</w:t>
      </w:r>
    </w:p>
    <w:p>
      <w:pPr>
        <w:spacing w:after="0" w:line="200" w:lineRule="exact"/>
        <w:rPr>
          <w:sz w:val="20"/>
          <w:szCs w:val="20"/>
          <w:color w:val="auto"/>
        </w:rPr>
      </w:pPr>
    </w:p>
    <w:p>
      <w:pPr>
        <w:spacing w:after="0" w:line="205"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auto"/>
        </w:rPr>
        <w:t>The regulations to which we are subject are complex and have become more stringent over time. Regulatory changes could result in restrictions on our ability to continue or expand our operations, higher than anticipated costs, or lower than anticipated sales. Even after we have obtained the proper regulatory clearance to market a device, we have ongoing responsibilities under FDA regulations and applicable foreign laws and regulations. The FDA, state and foreign regulatory authorities have broad enforcement powers. Our failure to comply with applicable regulatory requirements could result in enforcement action by the FDA, state or foreign regulatory authorities, which may include any of the following sanctions:</w:t>
      </w:r>
    </w:p>
    <w:p>
      <w:pPr>
        <w:spacing w:after="0" w:line="183" w:lineRule="exact"/>
        <w:rPr>
          <w:sz w:val="20"/>
          <w:szCs w:val="20"/>
          <w:color w:val="auto"/>
        </w:rPr>
      </w:pPr>
    </w:p>
    <w:p>
      <w:pPr>
        <w:ind w:left="800" w:hanging="283"/>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or adverse publicity;</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injunctions, consent decrees and civil penalties;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termination of distribution, administrative detention, or seizure of our products;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17" w:lineRule="exact"/>
        <w:rPr>
          <w:rFonts w:ascii="Times New Roman" w:cs="Times New Roman" w:eastAsia="Times New Roman" w:hAnsi="Times New Roman"/>
          <w:sz w:val="18"/>
          <w:szCs w:val="18"/>
          <w:color w:val="auto"/>
        </w:rPr>
      </w:pPr>
    </w:p>
    <w:p>
      <w:pPr>
        <w:ind w:left="800" w:right="920" w:hanging="283"/>
        <w:spacing w:after="0" w:line="282" w:lineRule="auto"/>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refusal to grant our requests for future clearances or approvals or foreign clearance, certification or approval of new products, new intended uses, or modifications to existing products;</w:t>
      </w:r>
    </w:p>
    <w:p>
      <w:pPr>
        <w:spacing w:after="0" w:line="53" w:lineRule="exact"/>
        <w:rPr>
          <w:rFonts w:ascii="Times New Roman" w:cs="Times New Roman" w:eastAsia="Times New Roman" w:hAnsi="Times New Roman"/>
          <w:sz w:val="18"/>
          <w:szCs w:val="18"/>
          <w:color w:val="auto"/>
        </w:rPr>
      </w:pPr>
    </w:p>
    <w:p>
      <w:pPr>
        <w:ind w:left="800" w:right="1100" w:hanging="283"/>
        <w:spacing w:after="0" w:line="282" w:lineRule="auto"/>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or suspensions of 510(k) clearances or certifications, or requirements for new 510(k) clearances or certifications, resulting in prohibitions on sales of our products pending such further clearance or certification;</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refusal to issue certificates to foreign governments needed to export products for sale in other countries;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40" w:top="337" w:right="479" w:bottom="1440" w:gutter="0" w:footer="0" w:header="0"/>
        </w:sectPr>
      </w:pPr>
    </w:p>
    <w:bookmarkStart w:id="53" w:name="page54"/>
    <w:bookmarkEnd w:id="53"/>
    <w:p>
      <w:pPr>
        <w:ind w:left="800" w:hanging="283"/>
        <w:spacing w:after="0"/>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right="40" w:firstLine="419"/>
        <w:spacing w:after="0" w:line="256" w:lineRule="auto"/>
        <w:rPr>
          <w:sz w:val="20"/>
          <w:szCs w:val="20"/>
          <w:color w:val="auto"/>
        </w:rPr>
      </w:pPr>
      <w:r>
        <w:rPr>
          <w:rFonts w:ascii="Times New Roman" w:cs="Times New Roman" w:eastAsia="Times New Roman" w:hAnsi="Times New Roman"/>
          <w:sz w:val="18"/>
          <w:szCs w:val="18"/>
          <w:color w:val="auto"/>
        </w:rPr>
        <w:t>Any of these sanctions could result in higher than anticipated costs or lower than anticipated sales and have a material adverse effect on our reputation, business, financial condition and results of operations. In addition, the FDA and foreign regulatory authorities may change its clearance or certification policies, adopt additional regulations or revise existing regulations, or take other actions, which may prevent or delay clearance, approval, or certification of our future products under development or impact our ability to modify our currently cleared or certified products on a timely basis. Such policy or regulatory changes could impose additional requirements upon us that could delay our ability to obtain new clearances, approvals, or certifications, increase the costs of compliance or restrict our ability to maintain our clearances and certifications of our current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recall or suspension of our products, or the discovery of serious safety issues with our products, could have a significant negative impact on us.</w:t>
      </w:r>
    </w:p>
    <w:p>
      <w:pPr>
        <w:spacing w:after="0" w:line="121" w:lineRule="exact"/>
        <w:rPr>
          <w:sz w:val="20"/>
          <w:szCs w:val="20"/>
          <w:color w:val="auto"/>
        </w:rPr>
      </w:pPr>
    </w:p>
    <w:p>
      <w:pPr>
        <w:ind w:right="80" w:firstLine="419"/>
        <w:spacing w:after="0" w:line="252" w:lineRule="auto"/>
        <w:rPr>
          <w:sz w:val="20"/>
          <w:szCs w:val="20"/>
          <w:color w:val="auto"/>
        </w:rPr>
      </w:pPr>
      <w:r>
        <w:rPr>
          <w:rFonts w:ascii="Times New Roman" w:cs="Times New Roman" w:eastAsia="Times New Roman" w:hAnsi="Times New Roman"/>
          <w:sz w:val="18"/>
          <w:szCs w:val="18"/>
          <w:color w:val="auto"/>
        </w:rPr>
        <w:t>The methods used in, and the facilities used for, the manufacture of our products must comply with the FDA’s QSR and, subject to transitional provisions, the EU MDR, both of which are complex regulatory schemes that cover the procedures and documentation of the design, testing, production, process controls, quality assurance, labeling, packaging, handling, storage, distribution, installation, servicing and shipping of medical devices. Furthermore, we are required to maintain, and to verify that our suppliers maintain, facilities, procedures and operations that comply with our quality standards and applicable regulatory requirements. Our products are also subject to similar state regulations, various laws and regulations of foreign countries governing manufacturing and a requirement for adherence to industry standards of the International Standards Organization, or ISO, in connection with our medical device operations outside of the United States. Failure by us or one of our third-party suppliers to comply with applicable FDA or foreign requirements or later discovery of previously unknown problems with our products or manufacturing processes could result in, among other things civil penalties, suspension or withdrawal of clearances, seizures or recalls of our products, total or partial suspension of production or distribution, refusal to grant pending or future clearances, approvals, or certifications for our products, clinical holds, refusal to permit the import or export of our products, and criminal prosecution. Furthermore, regulatory authorities have broad discretion to require the recall or suspension of a product or to require that manufacturers alert customers of safety risks. A government-mandated or voluntary recall or suspension by us, one of our distributors or any of our third-party suppliers could occur as a result of an unacceptable risk to health, component failures, manufacturing errors, design or labeling defects or other deficiencies and issues. Recalls, suspensions or other notices relating to any products that we distribute would divert managerial and financial resources, and have an adverse effect on our reputation, financial condition and operating results.</w:t>
      </w:r>
    </w:p>
    <w:p>
      <w:pPr>
        <w:spacing w:after="0" w:line="196" w:lineRule="exact"/>
        <w:rPr>
          <w:sz w:val="20"/>
          <w:szCs w:val="20"/>
          <w:color w:val="auto"/>
        </w:rPr>
      </w:pPr>
    </w:p>
    <w:p>
      <w:pPr>
        <w:ind w:firstLine="419"/>
        <w:spacing w:after="0" w:line="252" w:lineRule="auto"/>
        <w:rPr>
          <w:sz w:val="20"/>
          <w:szCs w:val="20"/>
          <w:color w:val="auto"/>
        </w:rPr>
      </w:pPr>
      <w:r>
        <w:rPr>
          <w:rFonts w:ascii="Times New Roman" w:cs="Times New Roman" w:eastAsia="Times New Roman" w:hAnsi="Times New Roman"/>
          <w:sz w:val="18"/>
          <w:szCs w:val="18"/>
          <w:color w:val="auto"/>
        </w:rPr>
        <w:t>Further, under the FDA’s medical device reporting regulations and similar foreign regulations, we are required to maintain appropriate quality systems and report incidents in which our product may have caused or contributed to serious injury or death in which our product malfunctioned and, if the malfunction were to recur, would likely cause or contribute to serious injury or death. Repeated product malfunctions may result in a voluntary or involuntary product recall or suspension of product sales, which could divert managerial and financial resources, impair our ability to manufacture our products in a cost-effective and timely manner and have an adverse effect on our reputation, financial condition and operating results. If we initiate a correction or removal for our products to reduce a risk to health posed by them or to remedy a violation of law that may present a risk to health, we would be required to submit a report to the FDA and may be required to submit similar notifications to other regulatory authorities. This report could lead to increased scrutiny by the FDA, other foreign regulatory agencies and our customers regarding the quality and safety of our products. Furthermore, the submission of these reports, to the extent made publicly available in accordance with FDA regulations, could be used by competitors against us or otherwise publicized and cause physicians to delay or cancel product orders, which will harm our reputation. Depending on the corrective action we take to redress a product’s deficiencies or defects, the FDA or FDA’s foreign counterparts may require, or we may decide, that we will need to obtain new clearances, certifications or approvals for the device before we may market or distribute the corrected device. Seeking such clearances, certifications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196" w:lineRule="exact"/>
        <w:rPr>
          <w:sz w:val="20"/>
          <w:szCs w:val="20"/>
          <w:color w:val="auto"/>
        </w:rPr>
      </w:pPr>
    </w:p>
    <w:p>
      <w:pPr>
        <w:ind w:firstLine="419"/>
        <w:spacing w:after="0" w:line="282" w:lineRule="auto"/>
        <w:rPr>
          <w:sz w:val="20"/>
          <w:szCs w:val="20"/>
          <w:color w:val="auto"/>
        </w:rPr>
      </w:pPr>
      <w:r>
        <w:rPr>
          <w:rFonts w:ascii="Times New Roman" w:cs="Times New Roman" w:eastAsia="Times New Roman" w:hAnsi="Times New Roman"/>
          <w:sz w:val="18"/>
          <w:szCs w:val="18"/>
          <w:color w:val="auto"/>
        </w:rPr>
        <w:t>We have received ISO 13485:2016 certification for our quality management system. ISO certification generally includes recertification audits every third year, scheduled annual surveillance audits and periodic unannounced audits.</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37" w:right="399" w:bottom="1440" w:gutter="0" w:footer="0" w:header="0"/>
        </w:sectPr>
      </w:pPr>
    </w:p>
    <w:bookmarkStart w:id="54" w:name="page55"/>
    <w:bookmarkEnd w:id="54"/>
    <w:p>
      <w:pPr>
        <w:ind w:right="40" w:firstLine="419"/>
        <w:spacing w:after="0" w:line="256" w:lineRule="auto"/>
        <w:rPr>
          <w:sz w:val="20"/>
          <w:szCs w:val="20"/>
          <w:color w:val="auto"/>
        </w:rPr>
      </w:pPr>
      <w:r>
        <w:rPr>
          <w:rFonts w:ascii="Times New Roman" w:cs="Times New Roman" w:eastAsia="Times New Roman" w:hAnsi="Times New Roman"/>
          <w:sz w:val="18"/>
          <w:szCs w:val="18"/>
          <w:color w:val="auto"/>
        </w:rPr>
        <w:t>We can provide no assurance that we will be found to remain in compliance with the QSR or ISO standards upon a regulator’s review. If the FDA, other regulator, or notified body, inspect or audit any of our manufacturers’ facilities and discovers compliance problems, we may have to cease manufacturing and product distribution until we can take the appropriate remedial steps to correct the audit findings. Any of the actions noted above could significantly and negatively affect supply of our products. Taking corrective action may be expensive, time-consuming and a distraction for management. If any of these events occurs, our reputation could be harmed, we could be exposed to product liability claims and we could lose customers and experience reduced sales and increased costs.</w:t>
      </w:r>
    </w:p>
    <w:p>
      <w:pPr>
        <w:spacing w:after="0" w:line="18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and maintain applicable regulatory registrations, clearances, certifications or approvals for our products, we will be unable to market and sell our products outside of the U.S.</w:t>
      </w:r>
    </w:p>
    <w:p>
      <w:pPr>
        <w:spacing w:after="0" w:line="51" w:lineRule="exact"/>
        <w:rPr>
          <w:sz w:val="20"/>
          <w:szCs w:val="20"/>
          <w:color w:val="auto"/>
        </w:rPr>
      </w:pPr>
    </w:p>
    <w:p>
      <w:pPr>
        <w:ind w:right="40" w:firstLine="419"/>
        <w:spacing w:after="0" w:line="254" w:lineRule="auto"/>
        <w:rPr>
          <w:sz w:val="20"/>
          <w:szCs w:val="20"/>
          <w:color w:val="auto"/>
        </w:rPr>
      </w:pPr>
      <w:r>
        <w:rPr>
          <w:rFonts w:ascii="Times New Roman" w:cs="Times New Roman" w:eastAsia="Times New Roman" w:hAnsi="Times New Roman"/>
          <w:sz w:val="18"/>
          <w:szCs w:val="18"/>
          <w:color w:val="auto"/>
        </w:rPr>
        <w:t>We intend to expand our sales operations outside of the U.S. sales of our products outside of the U.S. are subject to foreign regulatory requirements that vary widely from country to country. In addition, the FDA regulates exports of medical devices from the U.S. While the regulations of some countries may not impose barriers to marketing and selling our products or only require notification, others require that we obtain the clearance or approval of a specified regulatory body. Complying with foreign regulatory requirements, including obtaining registrations, clearances, certifications or approvals, can be expensive and time-consuming, and we may not receive regulatory clearances, certifications or approvals in each country in which we plan to market our products or we may be unable to do so on a timely basis. The time required to obtain registrations, clearances, certifications or approvals, if required by other countries, may be longer than that required for FDA clearance or approval, and requirements for such registrations, clearances, certifications or approvals may significantly differ from FDA requirements. If we modify our products, we may need to apply for regulatory clearances or approvals before we are permitted to sell the modified product.</w:t>
      </w:r>
    </w:p>
    <w:p>
      <w:pPr>
        <w:spacing w:after="0" w:line="188" w:lineRule="exact"/>
        <w:rPr>
          <w:sz w:val="20"/>
          <w:szCs w:val="20"/>
          <w:color w:val="auto"/>
        </w:rPr>
      </w:pPr>
    </w:p>
    <w:p>
      <w:pPr>
        <w:ind w:right="200" w:firstLine="419"/>
        <w:spacing w:after="0" w:line="282" w:lineRule="auto"/>
        <w:rPr>
          <w:sz w:val="20"/>
          <w:szCs w:val="20"/>
          <w:color w:val="auto"/>
        </w:rPr>
      </w:pPr>
      <w:r>
        <w:rPr>
          <w:rFonts w:ascii="Times New Roman" w:cs="Times New Roman" w:eastAsia="Times New Roman" w:hAnsi="Times New Roman"/>
          <w:sz w:val="18"/>
          <w:szCs w:val="18"/>
          <w:color w:val="auto"/>
        </w:rPr>
        <w:t>In addition, we may not continue to meet the quality and safety standards required to maintain the authorizations that we have received. If we are unable to maintain our authorizations in a particular country, we will no longer be able to sell the applicable product in that country.</w:t>
      </w:r>
    </w:p>
    <w:p>
      <w:pPr>
        <w:spacing w:after="0" w:line="162" w:lineRule="exact"/>
        <w:rPr>
          <w:sz w:val="20"/>
          <w:szCs w:val="20"/>
          <w:color w:val="auto"/>
        </w:rPr>
      </w:pPr>
    </w:p>
    <w:p>
      <w:pPr>
        <w:ind w:right="120" w:firstLine="419"/>
        <w:spacing w:after="0" w:line="258" w:lineRule="auto"/>
        <w:rPr>
          <w:sz w:val="20"/>
          <w:szCs w:val="20"/>
          <w:color w:val="auto"/>
        </w:rPr>
      </w:pPr>
      <w:r>
        <w:rPr>
          <w:rFonts w:ascii="Times New Roman" w:cs="Times New Roman" w:eastAsia="Times New Roman" w:hAnsi="Times New Roman"/>
          <w:sz w:val="18"/>
          <w:szCs w:val="18"/>
          <w:color w:val="auto"/>
        </w:rPr>
        <w:t>Regulatory clearance or approval by the FDA does not ensure registration, clearance, certification or approval by regulatory authorities or notified bodies in other countries, and registration, clearance, certification or approval by one or more foreign regulatory authorities or notified bodies does not ensure registration, clearance, certification or approval by regulatory authorities or notified bodies in other foreign countries or by the FDA. However, a failure or delay in obtaining registration or regulatory clearance, certification or approval in one country may have a negative effect on the regulatory process in others.</w:t>
      </w:r>
    </w:p>
    <w:p>
      <w:pPr>
        <w:spacing w:after="0" w:line="179"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federal, state and foreign fraud and abuse laws, health information privacy and security laws and transparency laws that could subject us to substantial penalties. Additionally, any challenge to or investigation into our practices under these laws could cause adverse publicity and be costly to respond to, and thus could harm our business.</w:t>
      </w:r>
    </w:p>
    <w:p>
      <w:pPr>
        <w:spacing w:after="0" w:line="67"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auto"/>
        </w:rPr>
        <w:t>There are numerous U.S. federal and state, as well as foreign, laws pertaining to healthcare fraud and abuse, including anti-kickback, false claims and physician transparency laws. Our business practices and relationships with providers are subject to scrutiny under these laws. We may also be subject to privacy and security regulation related to patient, customer, employee and other third-party information by both the federal government and the states and foreign jurisdictions in which we conduct our business. The healthcare laws and regulations that may affect our ability to operate include, but are not limited to:</w:t>
      </w:r>
    </w:p>
    <w:p>
      <w:pPr>
        <w:spacing w:after="0" w:line="183" w:lineRule="exact"/>
        <w:rPr>
          <w:sz w:val="20"/>
          <w:szCs w:val="20"/>
          <w:color w:val="auto"/>
        </w:rPr>
      </w:pPr>
    </w:p>
    <w:p>
      <w:pPr>
        <w:ind w:left="800" w:right="700" w:hanging="283"/>
        <w:spacing w:after="0" w:line="261" w:lineRule="auto"/>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individuals and entities from knowingly and willfully soliciting, offering, receiving or providing remuneration (including any kickback, bribe or rebate), directly or indirectly, in cash or in kind, to induce either the referral of an individual or furnishing or arranging for a good or service, for which payment may be made, in whole or in part, under federal healthcare programs, such as Medicare and Medicaid;</w:t>
      </w:r>
    </w:p>
    <w:p>
      <w:pPr>
        <w:spacing w:after="0" w:line="71" w:lineRule="exact"/>
        <w:rPr>
          <w:rFonts w:ascii="Times New Roman" w:cs="Times New Roman" w:eastAsia="Times New Roman" w:hAnsi="Times New Roman"/>
          <w:sz w:val="18"/>
          <w:szCs w:val="18"/>
          <w:color w:val="auto"/>
        </w:rPr>
      </w:pPr>
    </w:p>
    <w:p>
      <w:pPr>
        <w:jc w:val="both"/>
        <w:ind w:left="800" w:right="780" w:hanging="283"/>
        <w:spacing w:after="0" w:line="261" w:lineRule="auto"/>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and state civil and criminal false claims laws and civil monetary penalties laws, including the federal civil False Claims Act, which prohibit, among other things, individuals and entities from knowingly presenting, or causing to be presented, claims for payment from Medicare, Medicaid, state Medicaid programs, other third-party payors, or other federal healthcare programs that are false or fraudulent;</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37" w:right="399" w:bottom="1440" w:gutter="0" w:footer="0" w:header="0"/>
        </w:sectPr>
      </w:pPr>
    </w:p>
    <w:bookmarkStart w:id="55" w:name="page56"/>
    <w:bookmarkEnd w:id="55"/>
    <w:p>
      <w:pPr>
        <w:ind w:left="800" w:right="800" w:hanging="283"/>
        <w:spacing w:after="0" w:line="289" w:lineRule="auto"/>
        <w:tabs>
          <w:tab w:leader="none" w:pos="8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Monetary Penalties Law, which prohibits, among other things, individuals and entities from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49" w:lineRule="exact"/>
        <w:rPr>
          <w:rFonts w:ascii="Times New Roman" w:cs="Times New Roman" w:eastAsia="Times New Roman" w:hAnsi="Times New Roman"/>
          <w:sz w:val="17"/>
          <w:szCs w:val="17"/>
          <w:color w:val="auto"/>
        </w:rPr>
      </w:pPr>
    </w:p>
    <w:p>
      <w:pPr>
        <w:ind w:left="800" w:right="1000" w:hanging="283"/>
        <w:spacing w:after="0" w:line="282" w:lineRule="auto"/>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additional federal criminal statutes that prohibit, among other things, executing a scheme to defraud any healthcare benefit program and making false statements relating to healthcare matters;</w:t>
      </w:r>
    </w:p>
    <w:p>
      <w:pPr>
        <w:spacing w:after="0" w:line="53" w:lineRule="exact"/>
        <w:rPr>
          <w:rFonts w:ascii="Times New Roman" w:cs="Times New Roman" w:eastAsia="Times New Roman" w:hAnsi="Times New Roman"/>
          <w:sz w:val="18"/>
          <w:szCs w:val="18"/>
          <w:color w:val="auto"/>
        </w:rPr>
      </w:pPr>
    </w:p>
    <w:p>
      <w:pPr>
        <w:ind w:left="800" w:right="680" w:hanging="283"/>
        <w:spacing w:after="0" w:line="258" w:lineRule="auto"/>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disclosure laws, such as the Physician Payments Sunshine Act, which require certain applicable manufacturers of drugs, devices, biologics and medical supplies for which payment is available under Medicare, Medicaid or CHIP to report annually to the CMS information related to payments and other transfers of value to physicians, which is defined broadly to include other healthcare providers, and teaching hospitals, and to report annually ownership and investment interests held by physicians and their immediate family members;</w:t>
      </w:r>
    </w:p>
    <w:p>
      <w:pPr>
        <w:spacing w:after="0" w:line="75" w:lineRule="exact"/>
        <w:rPr>
          <w:rFonts w:ascii="Times New Roman" w:cs="Times New Roman" w:eastAsia="Times New Roman" w:hAnsi="Times New Roman"/>
          <w:sz w:val="18"/>
          <w:szCs w:val="18"/>
          <w:color w:val="auto"/>
        </w:rPr>
      </w:pPr>
    </w:p>
    <w:p>
      <w:pPr>
        <w:ind w:left="800" w:right="800" w:hanging="283"/>
        <w:spacing w:after="0" w:line="256" w:lineRule="auto"/>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Act"), and their respective implementing regulations, which impose requirements on certain covered healthcare providers, health plans and healthcare clearinghouses as well as their business associates that perform services for them that involve individually identifiable health information, relating to the privacy, security and transmission of individually identifiable health information without appropriate authorization, including mandatory contractual terms as well as directly applicable privacy and security standards and requirements;</w:t>
      </w:r>
    </w:p>
    <w:p>
      <w:pPr>
        <w:spacing w:after="0" w:line="79"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FDCA, which prohibits, among other things, the adulteration or misbranding of drugs, biologics and medical devices;</w:t>
      </w:r>
    </w:p>
    <w:p>
      <w:pPr>
        <w:spacing w:after="0" w:line="117" w:lineRule="exact"/>
        <w:rPr>
          <w:rFonts w:ascii="Times New Roman" w:cs="Times New Roman" w:eastAsia="Times New Roman" w:hAnsi="Times New Roman"/>
          <w:sz w:val="18"/>
          <w:szCs w:val="18"/>
          <w:color w:val="auto"/>
        </w:rPr>
      </w:pPr>
    </w:p>
    <w:p>
      <w:pPr>
        <w:ind w:left="800" w:right="1000" w:hanging="283"/>
        <w:spacing w:after="0" w:line="282" w:lineRule="auto"/>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regulations regarding billing and claims payment applicable to our products and regulatory agencies enforcing those laws and regulations; and</w:t>
      </w:r>
    </w:p>
    <w:p>
      <w:pPr>
        <w:spacing w:after="0" w:line="53" w:lineRule="exact"/>
        <w:rPr>
          <w:rFonts w:ascii="Times New Roman" w:cs="Times New Roman" w:eastAsia="Times New Roman" w:hAnsi="Times New Roman"/>
          <w:sz w:val="18"/>
          <w:szCs w:val="18"/>
          <w:color w:val="auto"/>
        </w:rPr>
      </w:pPr>
    </w:p>
    <w:p>
      <w:pPr>
        <w:ind w:left="800" w:right="680" w:hanging="283"/>
        <w:spacing w:after="0" w:line="253" w:lineRule="auto"/>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 equivalents of each of the above federal laws, such as anti-kickback and false claims laws, which may apply to items or services reimbursed by any third-party payor, including commercial insurers or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consumer protection and unfair competition laws, which broadly regulate marketplace activities and activities that potentially harm customers, foreign and state laws, including the GDPR, governing the privacy and security of personal (including health) information in certain circumstances, many of which differ from each other in significant ways and may not have the same effect, thus complicating compliance efforts; and state laws related to insurance fraud in the case of claims involving private insurers.</w:t>
      </w:r>
    </w:p>
    <w:p>
      <w:pPr>
        <w:spacing w:after="0" w:line="194" w:lineRule="exact"/>
        <w:rPr>
          <w:sz w:val="20"/>
          <w:szCs w:val="20"/>
          <w:color w:val="auto"/>
        </w:rPr>
      </w:pPr>
    </w:p>
    <w:p>
      <w:pPr>
        <w:ind w:right="60" w:firstLine="419"/>
        <w:spacing w:after="0" w:line="255" w:lineRule="auto"/>
        <w:rPr>
          <w:sz w:val="20"/>
          <w:szCs w:val="20"/>
          <w:color w:val="auto"/>
        </w:rPr>
      </w:pPr>
      <w:r>
        <w:rPr>
          <w:rFonts w:ascii="Times New Roman" w:cs="Times New Roman" w:eastAsia="Times New Roman" w:hAnsi="Times New Roman"/>
          <w:sz w:val="18"/>
          <w:szCs w:val="18"/>
          <w:color w:val="auto"/>
        </w:rPr>
        <w:t>These laws and regulations, among other things, constrain our business, marketing and other promotional and research activities by limiting the kinds of financial arrangements, including sales programs, we may have with hospitals, ambulatory surgery centers, physicians or other potential purchasers of our products. We have entered into consulting agreements with physicians, including some who have ownership interests in us, which could be viewed as influencing the purchase of or use of our products in procedures they perform. Compensation under some of these arrangements includes the provision of stock or stock options.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189"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auto"/>
        </w:rPr>
        <w:t>To enforce compliance with the healthcare regulatory laws, certain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 Additionally, as a result of these investigations, healthcare providers and entities may have to agree to additional compliance and reporting requirements as part of a consent decree or corporate integrity agreement. Any such investigation or settlement could increase our costs or</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337" w:right="499" w:bottom="1440" w:gutter="0" w:footer="0" w:header="0"/>
        </w:sectPr>
      </w:pPr>
    </w:p>
    <w:bookmarkStart w:id="56" w:name="page57"/>
    <w:bookmarkEnd w:id="56"/>
    <w:p>
      <w:pPr>
        <w:ind w:right="140"/>
        <w:spacing w:after="0" w:line="282" w:lineRule="auto"/>
        <w:rPr>
          <w:sz w:val="20"/>
          <w:szCs w:val="20"/>
          <w:color w:val="auto"/>
        </w:rPr>
      </w:pPr>
      <w:r>
        <w:rPr>
          <w:rFonts w:ascii="Times New Roman" w:cs="Times New Roman" w:eastAsia="Times New Roman" w:hAnsi="Times New Roman"/>
          <w:sz w:val="18"/>
          <w:szCs w:val="18"/>
          <w:color w:val="auto"/>
        </w:rPr>
        <w:t>otherwise have an adverse effect on our business, financial condition and results of operations. Even an unsuccessful challenge or investigation into our practices could cause adverse publicity, and be costly to respond to.</w:t>
      </w:r>
    </w:p>
    <w:p>
      <w:pPr>
        <w:spacing w:after="0" w:line="162" w:lineRule="exact"/>
        <w:rPr>
          <w:sz w:val="20"/>
          <w:szCs w:val="20"/>
          <w:color w:val="auto"/>
        </w:rPr>
      </w:pPr>
    </w:p>
    <w:p>
      <w:pPr>
        <w:ind w:right="100" w:firstLine="419"/>
        <w:spacing w:after="0" w:line="253" w:lineRule="auto"/>
        <w:rPr>
          <w:sz w:val="20"/>
          <w:szCs w:val="20"/>
          <w:color w:val="auto"/>
        </w:rPr>
      </w:pPr>
      <w:r>
        <w:rPr>
          <w:rFonts w:ascii="Times New Roman" w:cs="Times New Roman" w:eastAsia="Times New Roman" w:hAnsi="Times New Roman"/>
          <w:sz w:val="18"/>
          <w:szCs w:val="18"/>
          <w:color w:val="auto"/>
        </w:rPr>
        <w:t>Our activities, including those relating to providing billing, coding, coverage and reimbursement information about procedures using our products to our customers and the sale and marketing of our products, may be subject to scrutiny under these laws. The growth of our business and sales organization and our expansion outside of the United States may increase the potential of violating these laws or our internal policies and procedures. Any action brought against us for violation of these or other laws or regulations, even if we successfully defend against it, could cause us to incur significant legal expenses and divert our management’s attention from the operation of our business, and could result in a material adverse effect on our reputation. If our operations are found to be in violation of any of the federal, state and foreign laws described above or any other current or future fraud and abuse or other healthcare laws and regulations that apply to us, we may be subject to significant penalties, including significant criminal, civil, and administrative penalties, damages, fines, exclusion from participation in government programs, such as Medicare and Medicaid, imprisonment, contractual damages, reputation harm and disgorgement and we could be required to curtail, restructure or cease our operations. Any of the foregoing consequences will negatively affect our business, financial condition and results of operations.</w:t>
      </w:r>
    </w:p>
    <w:p>
      <w:pPr>
        <w:spacing w:after="0" w:line="194" w:lineRule="exact"/>
        <w:rPr>
          <w:sz w:val="20"/>
          <w:szCs w:val="20"/>
          <w:color w:val="auto"/>
        </w:rPr>
      </w:pPr>
    </w:p>
    <w:p>
      <w:pPr>
        <w:ind w:right="60" w:firstLine="419"/>
        <w:spacing w:after="0" w:line="266" w:lineRule="auto"/>
        <w:rPr>
          <w:sz w:val="20"/>
          <w:szCs w:val="20"/>
          <w:color w:val="auto"/>
        </w:rPr>
      </w:pPr>
      <w:r>
        <w:rPr>
          <w:rFonts w:ascii="Times New Roman" w:cs="Times New Roman" w:eastAsia="Times New Roman" w:hAnsi="Times New Roman"/>
          <w:sz w:val="18"/>
          <w:szCs w:val="18"/>
          <w:color w:val="auto"/>
        </w:rPr>
        <w:t>The scope and enforcement of these laws is uncertain and subject to rapid change in the current environment of healthcare reform. Our current or future activities could be subject to challenge under these laws. Any of these challenges could have a material adverse effect on our reputation, business, financial condition and operating results.</w:t>
      </w:r>
    </w:p>
    <w:p>
      <w:pPr>
        <w:spacing w:after="0" w:line="17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found to have violated laws concerning the privacy and security of patient health information or other personal information, we could be subject to civil or criminal penalties, which could increase our liabilities or harm our reputation or business.</w:t>
      </w:r>
    </w:p>
    <w:p>
      <w:pPr>
        <w:spacing w:after="0" w:line="51" w:lineRule="exact"/>
        <w:rPr>
          <w:sz w:val="20"/>
          <w:szCs w:val="20"/>
          <w:color w:val="auto"/>
        </w:rPr>
      </w:pPr>
    </w:p>
    <w:p>
      <w:pPr>
        <w:ind w:right="60" w:firstLine="419"/>
        <w:spacing w:after="0" w:line="255" w:lineRule="auto"/>
        <w:rPr>
          <w:sz w:val="20"/>
          <w:szCs w:val="20"/>
          <w:color w:val="auto"/>
        </w:rPr>
      </w:pPr>
      <w:r>
        <w:rPr>
          <w:rFonts w:ascii="Times New Roman" w:cs="Times New Roman" w:eastAsia="Times New Roman" w:hAnsi="Times New Roman"/>
          <w:sz w:val="18"/>
          <w:szCs w:val="18"/>
          <w:color w:val="auto"/>
        </w:rPr>
        <w:t>In the conduct of our business, we may at times process personal information, including health-related personal information. The U.S. federal government and various states and regulatory agencies, including the FDA, have adopted or proposed laws, regulations, guidelines and rules for the collection, distribution, use and storage of personal information of individuals. These laws include HIPAA and related regulations, as well as the CCPA and the CPRA. In addition, certain state and non-U.S. laws, such as GDPR, govern the privacy and security of personal (including health) data in certain circumstances, some of which are more stringent than U.S. federal law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w:t>
      </w:r>
    </w:p>
    <w:p>
      <w:pPr>
        <w:spacing w:after="0" w:line="189" w:lineRule="exact"/>
        <w:rPr>
          <w:sz w:val="20"/>
          <w:szCs w:val="20"/>
          <w:color w:val="auto"/>
        </w:rPr>
      </w:pPr>
    </w:p>
    <w:p>
      <w:pPr>
        <w:ind w:right="20" w:firstLine="419"/>
        <w:spacing w:after="0" w:line="256" w:lineRule="auto"/>
        <w:rPr>
          <w:sz w:val="20"/>
          <w:szCs w:val="20"/>
          <w:color w:val="auto"/>
        </w:rPr>
      </w:pPr>
      <w:r>
        <w:rPr>
          <w:rFonts w:ascii="Times New Roman" w:cs="Times New Roman" w:eastAsia="Times New Roman" w:hAnsi="Times New Roman"/>
          <w:sz w:val="18"/>
          <w:szCs w:val="18"/>
          <w:color w:val="auto"/>
        </w:rPr>
        <w:t>Any actual or perceived failure by us or the third parties with whom we work to comply with privacy or security laws, policies, legal obligations or industry standards, or any security incident that results in the unauthorized release or transfer of personally identifiable information, may result in governmental enforcement actions and investigations including by European Data Protection Authorities and U.S. federal and state regulatory authorities, fines and penalties, litigation and/or adverse publicity, including by consumer advocacy groups, and could cause our customers, their patients and other healthcare professionals to lose trust in us, which could harm our reputation and have a material adverse effect on our business, financial condition and results of operations.</w:t>
      </w:r>
    </w:p>
    <w:p>
      <w:pPr>
        <w:spacing w:after="0" w:line="18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consultants, and other commercial partners may engage in misconduct or other improper activities, including non-compliance with regulatory standards and requirements.</w:t>
      </w:r>
    </w:p>
    <w:p>
      <w:pPr>
        <w:spacing w:after="0" w:line="51"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auto"/>
        </w:rPr>
        <w:t>We are exposed to the risk that our employees, consultants, distributors and other commercial partners and business associates may engage in fraudulent or other illegal activity. Misconduct by these parties could include intentional, reckless or negligent conduct or other unauthorized activities that violate federal and/or state laws and regulations, such as laws or regulations requiring the reporting of true, complete and accurate information to such regulators, manufacturing standards, healthcare fraud and abuse laws and regulations in the U.S. and internationally or laws that require the true, complete and accurate reporting of financial information or data. In particular, sales, marketing and business arrangements in the healthcare industry, including the sale of medical devices,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consultants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37" w:right="419" w:bottom="1440" w:gutter="0" w:footer="0" w:header="0"/>
        </w:sectPr>
      </w:pPr>
    </w:p>
    <w:bookmarkStart w:id="57" w:name="page58"/>
    <w:bookmarkEnd w:id="57"/>
    <w:p>
      <w:pPr>
        <w:ind w:right="40"/>
        <w:spacing w:after="0" w:line="256" w:lineRule="auto"/>
        <w:rPr>
          <w:sz w:val="20"/>
          <w:szCs w:val="20"/>
          <w:color w:val="auto"/>
        </w:rPr>
      </w:pPr>
      <w:r>
        <w:rPr>
          <w:rFonts w:ascii="Times New Roman" w:cs="Times New Roman" w:eastAsia="Times New Roman" w:hAnsi="Times New Roman"/>
          <w:sz w:val="18"/>
          <w:szCs w:val="18"/>
          <w:color w:val="auto"/>
        </w:rPr>
        <w:t>defending ourselves or asserting our rights, those actions could result in the imposition of significant fines or other sanctions,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operations, any of which could adversely affect our business, financial condition and results of operations. Whether or not we are successful in defending against such actions or investigations, we could incur substantial costs, including legal fees and reputational harm, and divert the attention of management in defending ourselves against any of these claims or investigations.</w:t>
      </w:r>
    </w:p>
    <w:p>
      <w:pPr>
        <w:spacing w:after="0" w:line="18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environmental laws and regulations could be expensive, and the failure to comply with these laws and regulations could subject us to significant liability.</w:t>
      </w:r>
    </w:p>
    <w:p>
      <w:pPr>
        <w:spacing w:after="0" w:line="51"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auto"/>
        </w:rPr>
        <w:t>Our research and development operations involve the use of hazardous substances, such as isopropyl alcohol and various adhesives. We are subject to a variety of federal, state, local and foreign environmental laws and regulations relating to the storage, use, handling, generation, manufacture, treatment, discharge and disposal of, hazardous substances. Our products may also contain hazardous substances, and they are subject to laws and regulations relating to labeling requirements and to their sale, collection, recycling, treatment, storage and disposal. Compliance with these laws and regulations may be expensive and noncompliance could result in substantial fines and penalties. Environmental laws and regulations also impose liability for the remediation of releases of hazardous substances into the environment and for personal injuries resulting from exposure to hazardous substances, and they can give rise to substantial remediation costs and to third-party claims, including for property damage and personal injury. Liability under environmental laws and regulations can be joint and several and without regard to fault or negligence, and they tend to become more stringent over time, imposing greater compliance costs and increased risks and penalties associated with violations. We cannot assure you that violations of these laws and regulations, or releases of or exposure to hazardous substances, will not occur in the future or have not occurred in the past, including as a result of human error, accidents, equipment failure or other causes. The costs of complying with environmental laws and regulations, and liabilities that may be imposed for violating them, or for remediation obligations or responding to third-party claims, could negatively affect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Common Stock</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fluctuate substantially or may decline regardless of our operating performance and you could lose all or part of your investment</w:t>
      </w:r>
    </w:p>
    <w:p>
      <w:pPr>
        <w:spacing w:after="0" w:line="51" w:lineRule="exact"/>
        <w:rPr>
          <w:sz w:val="20"/>
          <w:szCs w:val="20"/>
          <w:color w:val="auto"/>
        </w:rPr>
      </w:pPr>
    </w:p>
    <w:p>
      <w:pPr>
        <w:ind w:right="100" w:firstLine="419"/>
        <w:spacing w:after="0" w:line="282" w:lineRule="auto"/>
        <w:rPr>
          <w:sz w:val="20"/>
          <w:szCs w:val="20"/>
          <w:color w:val="auto"/>
        </w:rPr>
      </w:pPr>
      <w:r>
        <w:rPr>
          <w:rFonts w:ascii="Times New Roman" w:cs="Times New Roman" w:eastAsia="Times New Roman" w:hAnsi="Times New Roman"/>
          <w:sz w:val="18"/>
          <w:szCs w:val="18"/>
          <w:color w:val="231F20"/>
        </w:rPr>
        <w:t>The market price of our common stock may be highly volatile and may fluctuate or decline substantially as a result of a variety of factors, some of which are beyond our control or are related in complex ways, including:</w:t>
      </w:r>
    </w:p>
    <w:p>
      <w:pPr>
        <w:spacing w:after="0" w:line="162" w:lineRule="exact"/>
        <w:rPr>
          <w:sz w:val="20"/>
          <w:szCs w:val="20"/>
          <w:color w:val="auto"/>
        </w:rPr>
      </w:pPr>
    </w:p>
    <w:p>
      <w:pPr>
        <w:ind w:left="800" w:right="960" w:hanging="283"/>
        <w:spacing w:after="0" w:line="282" w:lineRule="auto"/>
        <w:tabs>
          <w:tab w:leader="none" w:pos="80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analysts’ estimates, investors’ perceptions, recommendations by securities analysts or our failure to achieve analysts’ estimates;</w:t>
      </w:r>
    </w:p>
    <w:p>
      <w:pPr>
        <w:spacing w:after="0" w:line="53"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anticipated quarterly variations in our or our competitors’ results of operations;</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Periodic fluctuations in our revenue, which could be due in part to the way in which we recognize revenue;</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trading volume of our common stock;</w:t>
      </w:r>
    </w:p>
    <w:p>
      <w:pPr>
        <w:spacing w:after="0" w:line="117" w:lineRule="exact"/>
        <w:rPr>
          <w:rFonts w:ascii="Times New Roman" w:cs="Times New Roman" w:eastAsia="Times New Roman" w:hAnsi="Times New Roman"/>
          <w:sz w:val="18"/>
          <w:szCs w:val="18"/>
          <w:color w:val="231F20"/>
        </w:rPr>
      </w:pPr>
    </w:p>
    <w:p>
      <w:pPr>
        <w:ind w:left="800" w:right="1580" w:hanging="283"/>
        <w:spacing w:after="0" w:line="282" w:lineRule="auto"/>
        <w:tabs>
          <w:tab w:leader="none" w:pos="80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General market conditions and other factors unrelated to our operating performance or the operating performance of our competitors;</w:t>
      </w:r>
    </w:p>
    <w:p>
      <w:pPr>
        <w:spacing w:after="0" w:line="53"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reimbursement by current or potential payors;</w:t>
      </w:r>
    </w:p>
    <w:p>
      <w:pPr>
        <w:spacing w:after="0" w:line="117" w:lineRule="exact"/>
        <w:rPr>
          <w:rFonts w:ascii="Times New Roman" w:cs="Times New Roman" w:eastAsia="Times New Roman" w:hAnsi="Times New Roman"/>
          <w:sz w:val="18"/>
          <w:szCs w:val="18"/>
          <w:color w:val="231F20"/>
        </w:rPr>
      </w:pPr>
    </w:p>
    <w:p>
      <w:pPr>
        <w:ind w:left="800" w:right="980" w:hanging="283"/>
        <w:spacing w:after="0" w:line="282" w:lineRule="auto"/>
        <w:tabs>
          <w:tab w:leader="none" w:pos="80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operating performance and stock market valuations of other technology companies generally, or those in the medical device industry in particular;</w:t>
      </w:r>
    </w:p>
    <w:p>
      <w:pPr>
        <w:spacing w:after="0" w:line="53"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anticipated changes in regulatory oversight of our products;</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results of our clinical trials;</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loss of key personnel, including changes in our board of directors or management;</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Product recalls or other problems associated with our products;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37" w:right="419" w:bottom="1440" w:gutter="0" w:footer="0" w:header="0"/>
        </w:sectPr>
      </w:pPr>
    </w:p>
    <w:bookmarkStart w:id="58" w:name="page59"/>
    <w:bookmarkEnd w:id="58"/>
    <w:p>
      <w:pPr>
        <w:ind w:left="800" w:hanging="283"/>
        <w:spacing w:after="0"/>
        <w:tabs>
          <w:tab w:leader="none" w:pos="80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Legislation or regulation of our market;</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Lawsuits threatened or filed against us;</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announcement of new products or product enhancements by us or our competitors;</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Announced or completed acquisitions of businesses or technologies by us or our competitors;</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Announcements related to patents issued to us or our competitors and related litigation; and</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Developments in our industry.</w:t>
      </w:r>
    </w:p>
    <w:p>
      <w:pPr>
        <w:spacing w:after="0" w:line="225" w:lineRule="exact"/>
        <w:rPr>
          <w:sz w:val="20"/>
          <w:szCs w:val="20"/>
          <w:color w:val="auto"/>
        </w:rPr>
      </w:pPr>
    </w:p>
    <w:p>
      <w:pPr>
        <w:ind w:right="60" w:firstLine="419"/>
        <w:spacing w:after="0" w:line="266" w:lineRule="auto"/>
        <w:rPr>
          <w:sz w:val="20"/>
          <w:szCs w:val="20"/>
          <w:color w:val="auto"/>
        </w:rPr>
      </w:pPr>
      <w:r>
        <w:rPr>
          <w:rFonts w:ascii="Times New Roman" w:cs="Times New Roman" w:eastAsia="Times New Roman" w:hAnsi="Times New Roman"/>
          <w:sz w:val="18"/>
          <w:szCs w:val="18"/>
          <w:color w:val="231F20"/>
        </w:rPr>
        <w:t>In recent years, including as the result of the COVID-19 pandemic, the stock markets generally have experienced extreme price and volume fluctuations that have often been unrelated or disproportionate to the operating performance of listed companies. Broad market and industry factors may significantly affect the market price of our common stock, regardless of our actual operating performance.</w:t>
      </w:r>
    </w:p>
    <w:p>
      <w:pPr>
        <w:spacing w:after="0" w:line="176" w:lineRule="exact"/>
        <w:rPr>
          <w:sz w:val="20"/>
          <w:szCs w:val="20"/>
          <w:color w:val="auto"/>
        </w:rPr>
      </w:pPr>
    </w:p>
    <w:p>
      <w:pPr>
        <w:ind w:firstLine="419"/>
        <w:spacing w:after="0" w:line="261" w:lineRule="auto"/>
        <w:rPr>
          <w:sz w:val="20"/>
          <w:szCs w:val="20"/>
          <w:color w:val="auto"/>
        </w:rPr>
      </w:pPr>
      <w:r>
        <w:rPr>
          <w:rFonts w:ascii="Times New Roman" w:cs="Times New Roman" w:eastAsia="Times New Roman" w:hAnsi="Times New Roman"/>
          <w:sz w:val="18"/>
          <w:szCs w:val="18"/>
          <w:color w:val="231F20"/>
        </w:rPr>
        <w:t>In addition,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harm our business, results of operations, financial condition and reputation. These factors may materially and adversely affect the market price of our common stock.</w:t>
      </w:r>
    </w:p>
    <w:p>
      <w:pPr>
        <w:spacing w:after="0" w:line="176" w:lineRule="exact"/>
        <w:rPr>
          <w:sz w:val="20"/>
          <w:szCs w:val="20"/>
          <w:color w:val="auto"/>
        </w:rPr>
      </w:pPr>
    </w:p>
    <w:p>
      <w:pPr>
        <w:ind w:right="460"/>
        <w:spacing w:after="0" w:line="317" w:lineRule="auto"/>
        <w:rPr>
          <w:sz w:val="20"/>
          <w:szCs w:val="20"/>
          <w:color w:val="auto"/>
        </w:rPr>
      </w:pPr>
      <w:r>
        <w:rPr>
          <w:rFonts w:ascii="Times New Roman" w:cs="Times New Roman" w:eastAsia="Times New Roman" w:hAnsi="Times New Roman"/>
          <w:sz w:val="17"/>
          <w:szCs w:val="17"/>
          <w:b w:val="1"/>
          <w:bCs w:val="1"/>
          <w:i w:val="1"/>
          <w:iCs w:val="1"/>
          <w:color w:val="231F20"/>
        </w:rPr>
        <w:t>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w:t>
      </w:r>
    </w:p>
    <w:p>
      <w:pPr>
        <w:spacing w:after="0" w:line="28" w:lineRule="exact"/>
        <w:rPr>
          <w:sz w:val="20"/>
          <w:szCs w:val="20"/>
          <w:color w:val="auto"/>
        </w:rPr>
      </w:pPr>
    </w:p>
    <w:p>
      <w:pPr>
        <w:ind w:right="140" w:firstLine="419"/>
        <w:spacing w:after="0" w:line="253" w:lineRule="auto"/>
        <w:rPr>
          <w:sz w:val="20"/>
          <w:szCs w:val="20"/>
          <w:color w:val="auto"/>
        </w:rPr>
      </w:pPr>
      <w:r>
        <w:rPr>
          <w:rFonts w:ascii="Times New Roman" w:cs="Times New Roman" w:eastAsia="Times New Roman" w:hAnsi="Times New Roman"/>
          <w:sz w:val="18"/>
          <w:szCs w:val="18"/>
          <w:color w:val="231F20"/>
        </w:rPr>
        <w:t xml:space="preserve">As a public company, 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 </w:t>
      </w:r>
      <w:r>
        <w:rPr>
          <w:rFonts w:ascii="Times New Roman" w:cs="Times New Roman" w:eastAsia="Times New Roman" w:hAnsi="Times New Roman"/>
          <w:sz w:val="18"/>
          <w:szCs w:val="18"/>
          <w:color w:val="000000"/>
        </w:rPr>
        <w:t>In particular, we must perform system and process evaluations, document our controls and perform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testing of our key controls over financial reporting to allow management and our independent registered public accounting firm to report on the effectiveness of our internal control over financial reporting. We have incurred significant expense and devoted substantial management effort to complying with the requirements of Section 404 of the Sarbanes-Oxley Act, which we expect will continue. We anticipate hiring additional accounting and financial staff with appropriate public company experience and technical accounting knowledge to support future growth. If we are not able to comply with the requirements of Section 404 of the Sarbanes-Oxley Act or if we encounter difficulties in the timely and accurate reporting of our financial results, or if we or our independent registered public accounting firm identify deficiencies in our internal control over financial reporting that are deemed to be material weaknesses, our investors could lose confidence in our reported financial information, the market price of our stock may decline and we could be subject to lawsuits, sanctions or investigations by regulatory authorities, which would require additional financial and management resources.</w:t>
      </w:r>
    </w:p>
    <w:p>
      <w:pPr>
        <w:spacing w:after="0" w:line="18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Material weaknesses in our internal control over financial reporting may cause us to fail to timely and accurately report our financial results or result in a material misstatement of our financial statements.</w:t>
      </w:r>
    </w:p>
    <w:p>
      <w:pPr>
        <w:spacing w:after="0" w:line="51" w:lineRule="exact"/>
        <w:rPr>
          <w:sz w:val="20"/>
          <w:szCs w:val="20"/>
          <w:color w:val="auto"/>
        </w:rPr>
      </w:pPr>
    </w:p>
    <w:p>
      <w:pPr>
        <w:ind w:firstLine="419"/>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our financial statements in connection with our IPO, we identified a material weakness in our internal controls due to a lack of sufficient full-time accounting personnel with requisite experience and deep technical accounting knowledge to (i) identify and resolve complex accounting issues under generally accepted accounting principles in the United States, or GAAP, and (ii) enable appropriate segregation of duties and reviews over the financial reviews over the financial close and reporting process.</w:t>
      </w:r>
    </w:p>
    <w:p>
      <w:pPr>
        <w:spacing w:after="0" w:line="180" w:lineRule="exact"/>
        <w:rPr>
          <w:sz w:val="20"/>
          <w:szCs w:val="20"/>
          <w:color w:val="auto"/>
        </w:rPr>
      </w:pPr>
    </w:p>
    <w:p>
      <w:pPr>
        <w:ind w:firstLine="419"/>
        <w:spacing w:after="0" w:line="256" w:lineRule="auto"/>
        <w:rPr>
          <w:sz w:val="20"/>
          <w:szCs w:val="20"/>
          <w:color w:val="auto"/>
        </w:rPr>
      </w:pPr>
      <w:r>
        <w:rPr>
          <w:rFonts w:ascii="Times New Roman" w:cs="Times New Roman" w:eastAsia="Times New Roman" w:hAnsi="Times New Roman"/>
          <w:sz w:val="18"/>
          <w:szCs w:val="18"/>
          <w:color w:val="auto"/>
        </w:rPr>
        <w:t>We are evaluating and implementing additional internal controls and procedures to remediate this material weakness, however, we cannot assure you that these or other measures will fully remediate the material weakness in a timely manner or prevent future material weaknesses from occurring. As part of our remediation plan to address the material weakness identified above, we have hired additional accounting employees with specific technical accounting and financial reporting experience necessary for a public company. We will continue to assess the adequacy of our accounting personnel and resources, and will add additional personnel, as well as adjust our resources, as necessary, commensurate with any increase in the size and complexity of our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337" w:right="459" w:bottom="1440" w:gutter="0" w:footer="0" w:header="0"/>
        </w:sectPr>
      </w:pPr>
    </w:p>
    <w:bookmarkStart w:id="59" w:name="page60"/>
    <w:bookmarkEnd w:id="59"/>
    <w:p>
      <w:pPr>
        <w:ind w:right="20" w:firstLine="419"/>
        <w:spacing w:after="0" w:line="258" w:lineRule="auto"/>
        <w:rPr>
          <w:sz w:val="20"/>
          <w:szCs w:val="20"/>
          <w:color w:val="auto"/>
        </w:rPr>
      </w:pPr>
      <w:r>
        <w:rPr>
          <w:rFonts w:ascii="Times New Roman" w:cs="Times New Roman" w:eastAsia="Times New Roman" w:hAnsi="Times New Roman"/>
          <w:sz w:val="18"/>
          <w:szCs w:val="18"/>
          <w:color w:val="231F20"/>
        </w:rPr>
        <w:t>If we identify future material weaknesses in our internal controls over financial reporting or fail to meet the demands that will be placed upon us as a public company, including the requirements of the Sarbanes-Oxley Act, we may be unable to accurately report our financial results or report them within the timeframes required by law or stock exchange regulations. Failure to comply with Section 404 could also potentially subject us to sanctions or investigations by the SEC or other regulatory authorities. If additional material weaknesses exist or are discovered in the future, and we are unable to remediate any such material weaknesses, our reputation, financial condition, and operating results could suffer.</w:t>
      </w:r>
    </w:p>
    <w:p>
      <w:pPr>
        <w:spacing w:after="0" w:line="17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Provisions in our corporate charter documents and under Delaware law could make an acquisition of our company, which may be beneficial to our stockholders, more difficult and may prevent attempts by our stockholders to replace or remove our current management.</w:t>
      </w:r>
    </w:p>
    <w:p>
      <w:pPr>
        <w:spacing w:after="0" w:line="51" w:lineRule="exact"/>
        <w:rPr>
          <w:sz w:val="20"/>
          <w:szCs w:val="20"/>
          <w:color w:val="auto"/>
        </w:rPr>
      </w:pPr>
    </w:p>
    <w:p>
      <w:pPr>
        <w:ind w:firstLine="419"/>
        <w:spacing w:after="0" w:line="256" w:lineRule="auto"/>
        <w:rPr>
          <w:sz w:val="20"/>
          <w:szCs w:val="20"/>
          <w:color w:val="auto"/>
        </w:rPr>
      </w:pPr>
      <w:r>
        <w:rPr>
          <w:rFonts w:ascii="Times New Roman" w:cs="Times New Roman" w:eastAsia="Times New Roman" w:hAnsi="Times New Roman"/>
          <w:sz w:val="18"/>
          <w:szCs w:val="18"/>
          <w:color w:val="231F20"/>
        </w:rPr>
        <w:t>Provisions in our restated certificate of incorporation and our restated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187" w:lineRule="exact"/>
        <w:rPr>
          <w:sz w:val="20"/>
          <w:szCs w:val="20"/>
          <w:color w:val="auto"/>
        </w:rPr>
      </w:pPr>
    </w:p>
    <w:p>
      <w:pPr>
        <w:ind w:left="800" w:right="1500" w:hanging="283"/>
        <w:spacing w:after="0" w:line="282" w:lineRule="auto"/>
        <w:tabs>
          <w:tab w:leader="none" w:pos="80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classified board of directors with three-year staggered terms, which may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231F20"/>
        </w:rPr>
      </w:pPr>
    </w:p>
    <w:p>
      <w:pPr>
        <w:ind w:left="800" w:right="740" w:hanging="283"/>
        <w:spacing w:after="0" w:line="282" w:lineRule="auto"/>
        <w:tabs>
          <w:tab w:leader="none" w:pos="80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53" w:lineRule="exact"/>
        <w:rPr>
          <w:rFonts w:ascii="Times New Roman" w:cs="Times New Roman" w:eastAsia="Times New Roman" w:hAnsi="Times New Roman"/>
          <w:sz w:val="18"/>
          <w:szCs w:val="18"/>
          <w:color w:val="231F20"/>
        </w:rPr>
      </w:pPr>
    </w:p>
    <w:p>
      <w:pPr>
        <w:jc w:val="both"/>
        <w:ind w:left="800" w:right="680" w:hanging="283"/>
        <w:spacing w:after="0" w:line="266" w:lineRule="auto"/>
        <w:tabs>
          <w:tab w:leader="none" w:pos="80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6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of our board of directors to alter our bylaws without obtaining stockholder approval;</w:t>
      </w:r>
    </w:p>
    <w:p>
      <w:pPr>
        <w:spacing w:after="0" w:line="117" w:lineRule="exact"/>
        <w:rPr>
          <w:rFonts w:ascii="Times New Roman" w:cs="Times New Roman" w:eastAsia="Times New Roman" w:hAnsi="Times New Roman"/>
          <w:sz w:val="18"/>
          <w:szCs w:val="18"/>
          <w:color w:val="231F20"/>
        </w:rPr>
      </w:pPr>
    </w:p>
    <w:p>
      <w:pPr>
        <w:jc w:val="both"/>
        <w:ind w:left="800" w:right="680" w:hanging="283"/>
        <w:spacing w:after="0" w:line="282" w:lineRule="auto"/>
        <w:tabs>
          <w:tab w:leader="none" w:pos="80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53" w:lineRule="exact"/>
        <w:rPr>
          <w:rFonts w:ascii="Times New Roman" w:cs="Times New Roman" w:eastAsia="Times New Roman" w:hAnsi="Times New Roman"/>
          <w:sz w:val="18"/>
          <w:szCs w:val="18"/>
          <w:color w:val="231F20"/>
        </w:rPr>
      </w:pPr>
    </w:p>
    <w:p>
      <w:pPr>
        <w:ind w:left="800" w:right="800" w:hanging="283"/>
        <w:spacing w:after="0" w:line="282" w:lineRule="auto"/>
        <w:tabs>
          <w:tab w:leader="none" w:pos="80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231F20"/>
        </w:rPr>
      </w:pPr>
    </w:p>
    <w:p>
      <w:pPr>
        <w:ind w:left="800" w:right="780" w:hanging="283"/>
        <w:spacing w:after="0" w:line="266" w:lineRule="auto"/>
        <w:tabs>
          <w:tab w:leader="none" w:pos="80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67" w:lineRule="exact"/>
        <w:rPr>
          <w:rFonts w:ascii="Times New Roman" w:cs="Times New Roman" w:eastAsia="Times New Roman" w:hAnsi="Times New Roman"/>
          <w:sz w:val="18"/>
          <w:szCs w:val="18"/>
          <w:color w:val="231F20"/>
        </w:rPr>
      </w:pPr>
    </w:p>
    <w:p>
      <w:pPr>
        <w:ind w:left="800" w:right="820" w:hanging="283"/>
        <w:spacing w:after="0" w:line="266" w:lineRule="auto"/>
        <w:tabs>
          <w:tab w:leader="none" w:pos="80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76" w:lineRule="exact"/>
        <w:rPr>
          <w:sz w:val="20"/>
          <w:szCs w:val="20"/>
          <w:color w:val="auto"/>
        </w:rPr>
      </w:pPr>
    </w:p>
    <w:p>
      <w:pPr>
        <w:ind w:firstLine="419"/>
        <w:spacing w:after="0" w:line="261" w:lineRule="auto"/>
        <w:rPr>
          <w:sz w:val="20"/>
          <w:szCs w:val="20"/>
          <w:color w:val="auto"/>
        </w:rPr>
      </w:pPr>
      <w:r>
        <w:rPr>
          <w:rFonts w:ascii="Times New Roman" w:cs="Times New Roman" w:eastAsia="Times New Roman" w:hAnsi="Times New Roman"/>
          <w:sz w:val="18"/>
          <w:szCs w:val="18"/>
          <w:color w:val="231F20"/>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37" w:right="4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100" w:firstLine="419"/>
        <w:spacing w:after="0" w:line="258" w:lineRule="auto"/>
        <w:rPr>
          <w:sz w:val="20"/>
          <w:szCs w:val="20"/>
          <w:color w:val="auto"/>
        </w:rPr>
      </w:pPr>
      <w:r>
        <w:rPr>
          <w:rFonts w:ascii="Times New Roman" w:cs="Times New Roman" w:eastAsia="Times New Roman" w:hAnsi="Times New Roman"/>
          <w:sz w:val="18"/>
          <w:szCs w:val="18"/>
          <w:color w:val="auto"/>
        </w:rPr>
        <w:t>Our corporate headquarters are located in Menlo Park, California, where we lease approximately 10,823 square feet of office, research and development, engineering and laboratory space pursuant to a lease that commenced effective August 1, 2021, and expires on August 31, 2024. We also lease approximately 2,040 square feet of office space, which is primarily used by our commercial leadership team, in Southlake, Texas, pursuant to a lease that commenced on April 30, 2019 and expires on May 15, 2024. We believe that our existing facilities are adequate to meet our business requirements for the near-term, and that additional space will be available on commercially reasonable terms, if required.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40" w:firstLine="419"/>
        <w:spacing w:after="0" w:line="253" w:lineRule="auto"/>
        <w:rPr>
          <w:sz w:val="20"/>
          <w:szCs w:val="20"/>
          <w:color w:val="auto"/>
        </w:rPr>
      </w:pPr>
      <w:r>
        <w:rPr>
          <w:rFonts w:ascii="Times New Roman" w:cs="Times New Roman" w:eastAsia="Times New Roman" w:hAnsi="Times New Roman"/>
          <w:sz w:val="18"/>
          <w:szCs w:val="18"/>
          <w:color w:val="auto"/>
        </w:rPr>
        <w:t xml:space="preserve">On September 16, 2021, we filed suit in the U.S. District Court for the District of Delaware (C.A. No. 1:21-cv-01317) alleging that Ivantis, Inc. directly or indirectly infringes U.S. Patent Nos. 8,287,482, 9,370,443, 9,486,361, and 10,314,742 by making, using, selling, and offering for sale the Hydrus® Microstent. Our complaint seeks money damages and injunctive relief. On July 29, 2022, we filed an amended complaint adding Alcon Inc., Alcon Vision LLC, and Alcon Research, LLC as defendants and alleging that all defendants also directly or indirectly infringe U.S. Patent No. 11,389,328. A five-day jury trial is scheduled to commence on April 8, 2024. Ivantis and Alcon filed petitions with the USPTO seeking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of U.S. Patent Nos. 8,287,482, 9,370,443, 9,486,361, and 10,314,742 (IPR2022-01529, IPR2022-01530, IPR2022-01533, IPR2022-01540). Around the end of the first quarter of 2023, the USPTO will determine whether to institute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If any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is instituted, the USPTO would make validity findings as to the affected patent(s) by the end of March 2024. We are presently unable to predict the outcome of this lawsuit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to reasonably estimate the potential financial impact of the lawsuit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on the Company, if any.</w:t>
      </w:r>
    </w:p>
    <w:p>
      <w:pPr>
        <w:spacing w:after="0" w:line="194"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231F20"/>
        </w:rPr>
        <w:t>We may, in the ordinary course of business, face various claims brought by third parties, and we may, from time to time, make claims or take legal actions to assert our rights, including intellectual property rights as well as claims relating to employment matters and the safety or effectiveness of our products. Any of these claims could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business, financial condition and results of operations. Additionally, any such claims, whether or not successful, could damage our reputation and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333" w:right="499" w:bottom="1440" w:gutter="0" w:footer="0" w:header="0"/>
        </w:sectPr>
      </w:pPr>
    </w:p>
    <w:bookmarkStart w:id="61" w:name="page62"/>
    <w:bookmarkEnd w:id="61"/>
    <w:p>
      <w:pPr>
        <w:ind w:left="54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Market for Common Stock</w:t>
      </w:r>
    </w:p>
    <w:p>
      <w:pPr>
        <w:spacing w:after="0" w:line="121" w:lineRule="exact"/>
        <w:rPr>
          <w:sz w:val="20"/>
          <w:szCs w:val="20"/>
          <w:color w:val="auto"/>
        </w:rPr>
      </w:pPr>
    </w:p>
    <w:p>
      <w:pPr>
        <w:ind w:right="180" w:firstLine="419"/>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Market under the symbol “SGHT” since July 15, 2021. Prior to this date, there was no public market for our common stock.</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right="140" w:firstLine="419"/>
        <w:spacing w:after="0" w:line="266" w:lineRule="auto"/>
        <w:rPr>
          <w:sz w:val="20"/>
          <w:szCs w:val="20"/>
          <w:color w:val="auto"/>
        </w:rPr>
      </w:pPr>
      <w:r>
        <w:rPr>
          <w:rFonts w:ascii="Times New Roman" w:cs="Times New Roman" w:eastAsia="Times New Roman" w:hAnsi="Times New Roman"/>
          <w:sz w:val="18"/>
          <w:szCs w:val="18"/>
          <w:color w:val="auto"/>
        </w:rPr>
        <w:t>As of March 9, 2023, there were approximately 13 holders of record of our common stock. The actual number of stockholders is greater than this number of holders of record and includes stockholders who are beneficial owners but whose shares are held in the street name by brokers and other nominees.</w:t>
      </w:r>
    </w:p>
    <w:p>
      <w:pPr>
        <w:spacing w:after="0" w:line="2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121" w:lineRule="exact"/>
        <w:rPr>
          <w:sz w:val="20"/>
          <w:szCs w:val="20"/>
          <w:color w:val="auto"/>
        </w:rPr>
      </w:pPr>
    </w:p>
    <w:p>
      <w:pPr>
        <w:ind w:right="260" w:firstLine="419"/>
        <w:spacing w:after="0" w:line="312" w:lineRule="auto"/>
        <w:rPr>
          <w:sz w:val="20"/>
          <w:szCs w:val="20"/>
          <w:color w:val="auto"/>
        </w:rPr>
      </w:pPr>
      <w:r>
        <w:rPr>
          <w:rFonts w:ascii="Times New Roman" w:cs="Times New Roman" w:eastAsia="Times New Roman" w:hAnsi="Times New Roman"/>
          <w:sz w:val="17"/>
          <w:szCs w:val="17"/>
          <w:color w:val="auto"/>
        </w:rPr>
        <w:t>On July 14, 2021, our registration statement on Form S-1 (File No. 333-257320) relating to our initial public offering ("IPO") of common stock became effective. The IPO closed on July 15, 2021, at which time we issued 11,500,000 shares of our common stock at a price of $24.00 per share.</w:t>
      </w:r>
    </w:p>
    <w:p>
      <w:pPr>
        <w:spacing w:after="0" w:line="140" w:lineRule="exact"/>
        <w:rPr>
          <w:sz w:val="20"/>
          <w:szCs w:val="20"/>
          <w:color w:val="auto"/>
        </w:rPr>
      </w:pPr>
    </w:p>
    <w:p>
      <w:pPr>
        <w:ind w:right="120" w:firstLine="419"/>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IPO as described in our final prospectus dated July 14, 2021 and filed with the SEC on July 15, 2021 pursuant to Rule 424(b) under the Securities Act.</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231F20"/>
        </w:rPr>
        <w:t>We have never declared or paid cash dividends on our capital stock. We currently intend to retain all available funds and future earnings, if any, to fund the operation, development and expansion of our business, and we do not anticipate paying any cash dividends in the foreseeable future. Any future determination regarding the declaration and payment of dividends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Information about our equity compensation plans is incorporated herein by reference to Item 12 of Part III of this Annual Report on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333"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231F20"/>
        </w:rPr>
        <w:t>You should read the following discussion and analysis of our financial condition and results of operations together with the information presented in our financial statements and the related notes included elsewhere in this Annual Report on Form 10-K. This discussion contains forward-looking statements based upon current plans, expectation, and beliefs that involve risks and uncertainties. As a result of many factors, including those factors set forth in the “Risk Factors” section of this Annual Report on Form 10-K, our actual results could differ materially from the results described in or implied by these forward-looking statements. Please also see the section of this Annual Report on Form 10-K titled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121" w:lineRule="exact"/>
        <w:rPr>
          <w:sz w:val="20"/>
          <w:szCs w:val="20"/>
          <w:color w:val="auto"/>
        </w:rPr>
      </w:pPr>
    </w:p>
    <w:p>
      <w:pPr>
        <w:ind w:right="120" w:firstLine="419"/>
        <w:spacing w:after="0" w:line="261" w:lineRule="auto"/>
        <w:rPr>
          <w:sz w:val="20"/>
          <w:szCs w:val="20"/>
          <w:color w:val="auto"/>
        </w:rPr>
      </w:pPr>
      <w:r>
        <w:rPr>
          <w:rFonts w:ascii="Times New Roman" w:cs="Times New Roman" w:eastAsia="Times New Roman" w:hAnsi="Times New Roman"/>
          <w:sz w:val="18"/>
          <w:szCs w:val="18"/>
          <w:color w:val="231F20"/>
        </w:rPr>
        <w:t>S</w:t>
      </w:r>
      <w:r>
        <w:rPr>
          <w:rFonts w:ascii="Times New Roman" w:cs="Times New Roman" w:eastAsia="Times New Roman" w:hAnsi="Times New Roman"/>
          <w:sz w:val="18"/>
          <w:szCs w:val="18"/>
          <w:color w:val="000000"/>
        </w:rPr>
        <w:t>ight Sciences’ mission is to transform ophthalmology and optometry through the development and commercialization of proprietary devices that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target the underlying causes of the world’s most prevalent eye diseases. We are passionate about improving patients’ lives. Our objective is to develop and market products for use in new treatment paradigms and to create an interventional mindset in eyecare whereby our products may be used in procedures which supplant conventional outdated approaches. Our business philosophy is grounded in the following principles:</w:t>
      </w:r>
    </w:p>
    <w:p>
      <w:pPr>
        <w:spacing w:after="0" w:line="72" w:lineRule="exact"/>
        <w:rPr>
          <w:sz w:val="20"/>
          <w:szCs w:val="20"/>
          <w:color w:val="auto"/>
        </w:rPr>
      </w:pPr>
    </w:p>
    <w:p>
      <w:pPr>
        <w:ind w:left="800" w:hanging="283"/>
        <w:spacing w:after="0"/>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comprehensively understand disease physiology;</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develop products that are intended to restore natural physiological functionality to diseased eyes;</w:t>
      </w:r>
    </w:p>
    <w:p>
      <w:pPr>
        <w:spacing w:after="0" w:line="117" w:lineRule="exact"/>
        <w:rPr>
          <w:rFonts w:ascii="Times New Roman" w:cs="Times New Roman" w:eastAsia="Times New Roman" w:hAnsi="Times New Roman"/>
          <w:sz w:val="18"/>
          <w:szCs w:val="18"/>
          <w:color w:val="auto"/>
        </w:rPr>
      </w:pPr>
    </w:p>
    <w:p>
      <w:pPr>
        <w:ind w:left="800" w:right="680" w:hanging="283"/>
        <w:spacing w:after="0" w:line="282" w:lineRule="auto"/>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develop and market products that achieve superior effectiveness versus current treatment paradigms while minimizing complications or side effects;</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provide intuitive, patient friendly solutions to ophthalmologists and optometrists; and</w:t>
      </w:r>
    </w:p>
    <w:p>
      <w:pPr>
        <w:spacing w:after="0" w:line="117" w:lineRule="exact"/>
        <w:rPr>
          <w:rFonts w:ascii="Times New Roman" w:cs="Times New Roman" w:eastAsia="Times New Roman" w:hAnsi="Times New Roman"/>
          <w:sz w:val="18"/>
          <w:szCs w:val="18"/>
          <w:color w:val="auto"/>
        </w:rPr>
      </w:pPr>
    </w:p>
    <w:p>
      <w:pPr>
        <w:ind w:left="800" w:right="960" w:hanging="283"/>
        <w:spacing w:after="0" w:line="282" w:lineRule="auto"/>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deliver compelling economic value to all stakeholders, including patients, providers and third-party payors such as Medicare and commercial insurers.</w:t>
      </w:r>
    </w:p>
    <w:p>
      <w:pPr>
        <w:spacing w:after="0" w:line="54" w:lineRule="exact"/>
        <w:rPr>
          <w:sz w:val="20"/>
          <w:szCs w:val="20"/>
          <w:color w:val="auto"/>
        </w:rPr>
      </w:pPr>
    </w:p>
    <w:p>
      <w:pPr>
        <w:ind w:right="20" w:firstLine="419"/>
        <w:spacing w:after="0" w:line="254" w:lineRule="auto"/>
        <w:rPr>
          <w:sz w:val="20"/>
          <w:szCs w:val="20"/>
          <w:color w:val="auto"/>
        </w:rPr>
      </w:pPr>
      <w:r>
        <w:rPr>
          <w:rFonts w:ascii="Times New Roman" w:cs="Times New Roman" w:eastAsia="Times New Roman" w:hAnsi="Times New Roman"/>
          <w:sz w:val="18"/>
          <w:szCs w:val="18"/>
          <w:color w:val="231F20"/>
        </w:rPr>
        <w:t>O</w:t>
      </w:r>
      <w:r>
        <w:rPr>
          <w:rFonts w:ascii="Times New Roman" w:cs="Times New Roman" w:eastAsia="Times New Roman" w:hAnsi="Times New Roman"/>
          <w:sz w:val="18"/>
          <w:szCs w:val="18"/>
          <w:color w:val="000000"/>
        </w:rPr>
        <w:t>ur initial product development has focused on the treatment of two of the world’s most prevalent and underserved eye diseases, glaucoma and dry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eye disease. We have commercialized products in each of our two reportable segments; Surgical Glaucoma and Dry Eye. Our Surgical Glaucoma segment consists of sales of the OMNI and SION, while our Dry Eye segment includes sales of the TearCare, and related components and accessories. Each product is primarily sold through a highly-involved direct sales model that offers intensive education, training and customer service. We believe this philosophy and model not only enables us to differentiate our products and our overall company from competitors, but also to expand our addressable market by educating ECPs, patients and other stakeholders on our products and evolving treatment paradigms. Outside of the U.S., we have historically sold OMNI primarily through a network of distributors, although we began employing a small direct sales force outside of the United States in 2021.</w:t>
      </w:r>
    </w:p>
    <w:p>
      <w:pPr>
        <w:spacing w:after="0" w:line="192" w:lineRule="exact"/>
        <w:rPr>
          <w:sz w:val="20"/>
          <w:szCs w:val="20"/>
          <w:color w:val="auto"/>
        </w:rPr>
      </w:pPr>
    </w:p>
    <w:p>
      <w:pPr>
        <w:ind w:right="80" w:firstLine="419"/>
        <w:spacing w:after="0" w:line="254" w:lineRule="auto"/>
        <w:rPr>
          <w:sz w:val="20"/>
          <w:szCs w:val="20"/>
          <w:color w:val="auto"/>
        </w:rPr>
      </w:pPr>
      <w:r>
        <w:rPr>
          <w:rFonts w:ascii="Times New Roman" w:cs="Times New Roman" w:eastAsia="Times New Roman" w:hAnsi="Times New Roman"/>
          <w:sz w:val="18"/>
          <w:szCs w:val="18"/>
          <w:color w:val="auto"/>
        </w:rPr>
        <w:t xml:space="preserve">We sell OMNI and SION to facilities where ophthalmic surgeons perform outpatient procedures, mainly ASCs and </w:t>
      </w:r>
      <w:r>
        <w:rPr>
          <w:rFonts w:ascii="Times New Roman" w:cs="Times New Roman" w:eastAsia="Times New Roman" w:hAnsi="Times New Roman"/>
          <w:sz w:val="18"/>
          <w:szCs w:val="18"/>
          <w:color w:val="231F20"/>
        </w:rPr>
        <w:t>HOPDs,</w:t>
      </w:r>
      <w:r>
        <w:rPr>
          <w:rFonts w:ascii="Times New Roman" w:cs="Times New Roman" w:eastAsia="Times New Roman" w:hAnsi="Times New Roman"/>
          <w:sz w:val="18"/>
          <w:szCs w:val="18"/>
          <w:color w:val="auto"/>
        </w:rPr>
        <w:t xml:space="preserve"> which are typically reimbursed by Medicare or private payors for procedures using our products. We sell TearCare to optometrist and ophthalmologist practices. Currently, there is no meaningful reimbursement coverage by Medicare or private payors for MGD procedures, including TearCare, and patients typically pay out-of-pocket for TearCare. We are continuing our controlled commercial launch and are focused on our comprehensive, clinical data-driven long-term market development plan that aims to improve awareness and patient access to TearCare. We have dedicated meaningful resources to execute our commercial strategy and we continue to expand our sales organization through additional sales representatives and territories. The overall success of our approach to eyecare to date is evidenced by the over 130,000 estimated uses of OMNI and its direct predicates in over 1,500 hospitals and ASCs in the U.S. and Europe, and over 20,000 estimated uses of TearCare in over 1,000 eyecare facilities in the U.S. through December 31, 2022.</w:t>
      </w:r>
    </w:p>
    <w:p>
      <w:pPr>
        <w:spacing w:after="0" w:line="192" w:lineRule="exact"/>
        <w:rPr>
          <w:sz w:val="20"/>
          <w:szCs w:val="20"/>
          <w:color w:val="auto"/>
        </w:rPr>
      </w:pPr>
    </w:p>
    <w:p>
      <w:pPr>
        <w:ind w:right="160" w:firstLine="419"/>
        <w:spacing w:after="0" w:line="266" w:lineRule="auto"/>
        <w:rPr>
          <w:sz w:val="20"/>
          <w:szCs w:val="20"/>
          <w:color w:val="auto"/>
        </w:rPr>
      </w:pPr>
      <w:r>
        <w:rPr>
          <w:rFonts w:ascii="Times New Roman" w:cs="Times New Roman" w:eastAsia="Times New Roman" w:hAnsi="Times New Roman"/>
          <w:sz w:val="18"/>
          <w:szCs w:val="18"/>
          <w:color w:val="auto"/>
        </w:rPr>
        <w:t>We currently operate no manufacturing facilities and instead contract with third parties for our production requirements. We believe our suppliers will be able to meet our current and anticipated manufacturing needs across all our products. We plan to continue to utilize third party contract manufacturers for our products and any related components.</w:t>
      </w:r>
    </w:p>
    <w:p>
      <w:pPr>
        <w:spacing w:after="0" w:line="176" w:lineRule="exact"/>
        <w:rPr>
          <w:sz w:val="20"/>
          <w:szCs w:val="20"/>
          <w:color w:val="auto"/>
        </w:rPr>
      </w:pPr>
    </w:p>
    <w:p>
      <w:pPr>
        <w:ind w:right="40" w:firstLine="419"/>
        <w:spacing w:after="0" w:line="258" w:lineRule="auto"/>
        <w:rPr>
          <w:sz w:val="20"/>
          <w:szCs w:val="20"/>
          <w:color w:val="auto"/>
        </w:rPr>
      </w:pPr>
      <w:r>
        <w:rPr>
          <w:rFonts w:ascii="Times New Roman" w:cs="Times New Roman" w:eastAsia="Times New Roman" w:hAnsi="Times New Roman"/>
          <w:sz w:val="18"/>
          <w:szCs w:val="18"/>
          <w:color w:val="231F20"/>
        </w:rPr>
        <w:t xml:space="preserve">Our gross margin in our Surgical Glaucoma segment for the years ended December 31, 2022 and 2021 was 87.4% and 86.1%, respectively. </w:t>
      </w:r>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2021, we shifted our primary production of OMNI from a U.S.-based third-party contract manufacturer, to a lower cost, higher volume contract manufacturer in Asia. We are in the process of supplementing this OMNI production capacity with a U.S.-based contract manufacturer. These cost optimization initiatives contributed to the increase in gross margins in our Surgical Glaucoma segment. Our gross margin in our Dry Eye segment for the years ended</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33" w:right="419" w:bottom="1440" w:gutter="0" w:footer="0" w:header="0"/>
        </w:sectPr>
      </w:pPr>
    </w:p>
    <w:bookmarkStart w:id="63" w:name="page64"/>
    <w:bookmarkEnd w:id="63"/>
    <w:p>
      <w:pPr>
        <w:ind w:right="80"/>
        <w:spacing w:after="0" w:line="258" w:lineRule="auto"/>
        <w:rPr>
          <w:sz w:val="20"/>
          <w:szCs w:val="20"/>
          <w:color w:val="auto"/>
        </w:rPr>
      </w:pPr>
      <w:r>
        <w:rPr>
          <w:rFonts w:ascii="Times New Roman" w:cs="Times New Roman" w:eastAsia="Times New Roman" w:hAnsi="Times New Roman"/>
          <w:sz w:val="18"/>
          <w:szCs w:val="18"/>
          <w:color w:val="auto"/>
        </w:rPr>
        <w:t>December 31, 2022 and 2021 was 29.1% and 13.1%, respectively. The TearCare System includes the SmartHub component, which is typically only sold in initial purchase orders, and single-use SmartLids which are sold as part of initial purchase orders and through repeat orders as the ECP performs procedures over time. Given the earlier stage of TearCare’s commercial development, we expect our Dry Eye segment’s gross margins to be lower than our Surgical Glaucoma segment’s gross margins for the near and medium-term due to the allocation of fixed labor and overhead costs to the segment's cost of goods sold.</w:t>
      </w:r>
    </w:p>
    <w:p>
      <w:pPr>
        <w:spacing w:after="0" w:line="183" w:lineRule="exact"/>
        <w:rPr>
          <w:sz w:val="20"/>
          <w:szCs w:val="20"/>
          <w:color w:val="auto"/>
        </w:rPr>
      </w:pPr>
    </w:p>
    <w:p>
      <w:pPr>
        <w:ind w:right="60" w:firstLine="419"/>
        <w:spacing w:after="0" w:line="254" w:lineRule="auto"/>
        <w:rPr>
          <w:sz w:val="20"/>
          <w:szCs w:val="20"/>
          <w:color w:val="auto"/>
        </w:rPr>
      </w:pPr>
      <w:r>
        <w:rPr>
          <w:rFonts w:ascii="Times New Roman" w:cs="Times New Roman" w:eastAsia="Times New Roman" w:hAnsi="Times New Roman"/>
          <w:sz w:val="18"/>
          <w:szCs w:val="18"/>
          <w:color w:val="auto"/>
        </w:rPr>
        <w:t>We believe in the importance of continued strategic investment in initiatives that: further demonstrate our products’ clinical effectiveness and safety to potential customers, patients, payors and regulators; enhance our commercial capabilities, including resources dedicated to sales, marketing and education; ensure the broadest possible patient access to the treatment alternatives that our products are cleared to offer; enhance and improve upon our existing product technologies; and allow us to innovate new products, devices or drugs, in glaucoma and ocular surface disease or in new eye disease areas. As a result, we intend to continue to invest in clinical studies, sales and marketing, education initiatives, market access, and product development. Because of these and other factors, we expect to continue to incur net losses for at least the next several fiscal years. Moreover, we expect to incur expenses as a result of operating as a public company, including expenses related to compliance with the rules and regulations of the SEC and those of the Nasdaq Stock Market, additional insurance expenses, investor relations activities and other administrative and professional services. As a result of these and other factors, we may require and seek additional debt and equity financing to fund our operations and planned growth.</w:t>
      </w:r>
    </w:p>
    <w:p>
      <w:pPr>
        <w:spacing w:after="0" w:line="188" w:lineRule="exact"/>
        <w:rPr>
          <w:sz w:val="20"/>
          <w:szCs w:val="20"/>
          <w:color w:val="auto"/>
        </w:rPr>
      </w:pPr>
    </w:p>
    <w:p>
      <w:pPr>
        <w:jc w:val="both"/>
        <w:ind w:right="120" w:firstLine="419"/>
        <w:spacing w:after="0" w:line="261" w:lineRule="auto"/>
        <w:rPr>
          <w:sz w:val="20"/>
          <w:szCs w:val="20"/>
          <w:color w:val="auto"/>
        </w:rPr>
      </w:pPr>
      <w:r>
        <w:rPr>
          <w:rFonts w:ascii="Times New Roman" w:cs="Times New Roman" w:eastAsia="Times New Roman" w:hAnsi="Times New Roman"/>
          <w:sz w:val="18"/>
          <w:szCs w:val="18"/>
          <w:color w:val="auto"/>
        </w:rPr>
        <w:t>To date, our primary sources of capital has been private placements of redeemable convertible preferred stock, debt financing agreements, the sale of common stock in our IPO, and revenue from the sale of our products. In July 2021, we completed our IPO, receiving net proceeds of $252.2 million. As of December 31, 2022, we had an outstanding term loan balance of $35.0 million (excluding debt discount and amortized debt issuance costs), cash and cash equivalents of $185.0 million and an accumulated deficit of $239.2 million.</w:t>
      </w:r>
    </w:p>
    <w:p>
      <w:pPr>
        <w:spacing w:after="0" w:line="180" w:lineRule="exact"/>
        <w:rPr>
          <w:sz w:val="20"/>
          <w:szCs w:val="20"/>
          <w:color w:val="auto"/>
        </w:rPr>
      </w:pPr>
    </w:p>
    <w:p>
      <w:pPr>
        <w:ind w:right="200" w:firstLine="419"/>
        <w:spacing w:after="0" w:line="261" w:lineRule="auto"/>
        <w:rPr>
          <w:sz w:val="20"/>
          <w:szCs w:val="20"/>
          <w:color w:val="auto"/>
        </w:rPr>
      </w:pPr>
      <w:r>
        <w:rPr>
          <w:rFonts w:ascii="Times New Roman" w:cs="Times New Roman" w:eastAsia="Times New Roman" w:hAnsi="Times New Roman"/>
          <w:sz w:val="18"/>
          <w:szCs w:val="18"/>
          <w:color w:val="231F20"/>
        </w:rPr>
        <w:t>During the year ended December 31, 2022, we generated revenue of $71.3 million, with a gross margin of 82.7%. Our net loss for the year ended December 31, 2022 was $86.2 million. For the year ended December 31, 2021, we generated revenue of $49.0 million, with a gross margin of 82.4%. Our net loss for the year ended December 31, 2021 was $63.0 million. For all periods presented, substantially all of our revenue was generated from customers in the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Impact of COVID-19</w:t>
      </w:r>
    </w:p>
    <w:p>
      <w:pPr>
        <w:spacing w:after="0" w:line="121" w:lineRule="exact"/>
        <w:rPr>
          <w:sz w:val="20"/>
          <w:szCs w:val="20"/>
          <w:color w:val="auto"/>
        </w:rPr>
      </w:pPr>
    </w:p>
    <w:p>
      <w:pPr>
        <w:jc w:val="both"/>
        <w:ind w:right="140" w:firstLine="419"/>
        <w:spacing w:after="0" w:line="266" w:lineRule="auto"/>
        <w:rPr>
          <w:sz w:val="20"/>
          <w:szCs w:val="20"/>
          <w:color w:val="auto"/>
        </w:rPr>
      </w:pPr>
      <w:r>
        <w:rPr>
          <w:rFonts w:ascii="Times New Roman" w:cs="Times New Roman" w:eastAsia="Times New Roman" w:hAnsi="Times New Roman"/>
          <w:sz w:val="18"/>
          <w:szCs w:val="18"/>
          <w:color w:val="auto"/>
        </w:rPr>
        <w:t>The global COVID-19 pandemic has impacted and may in the future impact demand for our products, which are used in procedures and therapies that are considered elective. Future surges of COVID-19 may result in governmental restrictions being re-implemented to reduce the spread of COVID-19 or patients and healthcare providers otherwise postponing elective eyecare procedures.</w:t>
      </w:r>
    </w:p>
    <w:p>
      <w:pPr>
        <w:spacing w:after="0" w:line="176" w:lineRule="exact"/>
        <w:rPr>
          <w:sz w:val="20"/>
          <w:szCs w:val="20"/>
          <w:color w:val="auto"/>
        </w:rPr>
      </w:pPr>
    </w:p>
    <w:p>
      <w:pPr>
        <w:ind w:right="40" w:firstLine="419"/>
        <w:spacing w:after="0" w:line="256" w:lineRule="auto"/>
        <w:rPr>
          <w:sz w:val="20"/>
          <w:szCs w:val="20"/>
          <w:color w:val="auto"/>
        </w:rPr>
      </w:pPr>
      <w:r>
        <w:rPr>
          <w:rFonts w:ascii="Times New Roman" w:cs="Times New Roman" w:eastAsia="Times New Roman" w:hAnsi="Times New Roman"/>
          <w:sz w:val="18"/>
          <w:szCs w:val="18"/>
          <w:color w:val="auto"/>
        </w:rPr>
        <w:t>Any future impact of the COVID-19 pandemic will depend on future developments that are highly uncertain and cannot be predicted with confidence, and will depend on certain developments, including the duration and severity of the COVID-19 pandemic and its potential variants. Among other things, the COVID-19 pandemic could disrupt the operations of our third-party manufacturers and other suppliers. We are working closely with our manufacturing partners and suppliers to help ensure that we are able to source key components and maintain appropriate inventory levels to meet customer demand. Nevertheless, as occurred in earlier stages of the COVID-19 pandemic, we may, among other things, experience reduced customer demand or constrained supply that could materially adversely impact our business, results of operations, liquidity and cash flows in future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Factors Affecting Our Business and Results of Operations</w:t>
      </w:r>
    </w:p>
    <w:p>
      <w:pPr>
        <w:spacing w:after="0" w:line="121" w:lineRule="exact"/>
        <w:rPr>
          <w:sz w:val="20"/>
          <w:szCs w:val="20"/>
          <w:color w:val="auto"/>
        </w:rPr>
      </w:pPr>
    </w:p>
    <w:p>
      <w:pPr>
        <w:ind w:right="340" w:firstLine="419"/>
        <w:spacing w:after="0" w:line="282" w:lineRule="auto"/>
        <w:rPr>
          <w:sz w:val="20"/>
          <w:szCs w:val="20"/>
          <w:color w:val="auto"/>
        </w:rPr>
      </w:pPr>
      <w:r>
        <w:rPr>
          <w:rFonts w:ascii="Times New Roman" w:cs="Times New Roman" w:eastAsia="Times New Roman" w:hAnsi="Times New Roman"/>
          <w:sz w:val="18"/>
          <w:szCs w:val="18"/>
          <w:color w:val="231F20"/>
        </w:rPr>
        <w:t>We believe there are several important factors that have impacted and that will continue to impact our business and results of operations. These factors include, but are limited 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Product Development</w:t>
      </w:r>
    </w:p>
    <w:p>
      <w:pPr>
        <w:spacing w:after="0" w:line="121" w:lineRule="exact"/>
        <w:rPr>
          <w:sz w:val="20"/>
          <w:szCs w:val="20"/>
          <w:color w:val="auto"/>
        </w:rPr>
      </w:pPr>
    </w:p>
    <w:p>
      <w:pPr>
        <w:ind w:firstLine="419"/>
        <w:spacing w:after="0" w:line="261" w:lineRule="auto"/>
        <w:rPr>
          <w:sz w:val="20"/>
          <w:szCs w:val="20"/>
          <w:color w:val="auto"/>
        </w:rPr>
      </w:pPr>
      <w:r>
        <w:rPr>
          <w:rFonts w:ascii="Times New Roman" w:cs="Times New Roman" w:eastAsia="Times New Roman" w:hAnsi="Times New Roman"/>
          <w:sz w:val="18"/>
          <w:szCs w:val="18"/>
          <w:color w:val="231F20"/>
        </w:rPr>
        <w:t>We believe our product development approach is a key differentiator of our team and our company. We are focused on continuous innovation and design and utilize input from our network of expert employees (including several ophthalmologists on staff), advisors and customers to rapidly iterate our pre-and post-commercial product designs with the aim of better satisfying the needs of our customers and their patients, and increasing adoption and utilization of our</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37" w:right="399" w:bottom="1440" w:gutter="0" w:footer="0" w:header="0"/>
        </w:sectPr>
      </w:pPr>
    </w:p>
    <w:bookmarkStart w:id="64" w:name="page65"/>
    <w:bookmarkEnd w:id="64"/>
    <w:p>
      <w:pPr>
        <w:ind w:right="20"/>
        <w:spacing w:after="0" w:line="261" w:lineRule="auto"/>
        <w:rPr>
          <w:sz w:val="20"/>
          <w:szCs w:val="20"/>
          <w:color w:val="auto"/>
        </w:rPr>
      </w:pPr>
      <w:r>
        <w:rPr>
          <w:rFonts w:ascii="Times New Roman" w:cs="Times New Roman" w:eastAsia="Times New Roman" w:hAnsi="Times New Roman"/>
          <w:sz w:val="18"/>
          <w:szCs w:val="18"/>
          <w:color w:val="231F20"/>
        </w:rPr>
        <w:t>solutions. Once our products are launched, our customer feedback loop helps us further develop our products. This is particularly evident in the evolution of our OMNI Surgical System, which originated from the combined functionality of two internally developed, commercial predicate devices, each of which had their own multiple commercial iterations. Our future growth is dependent on our ability to continue innovating and applying our expertise of disease physiology to improve existing products and develop new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Market Education and Training on the Benefit of our Products vis-à-vis Existing Treatment Alternatives</w:t>
      </w:r>
    </w:p>
    <w:p>
      <w:pPr>
        <w:spacing w:after="0" w:line="121" w:lineRule="exact"/>
        <w:rPr>
          <w:sz w:val="20"/>
          <w:szCs w:val="20"/>
          <w:color w:val="auto"/>
        </w:rPr>
      </w:pPr>
    </w:p>
    <w:p>
      <w:pPr>
        <w:ind w:right="120" w:firstLine="419"/>
        <w:spacing w:after="0" w:line="255" w:lineRule="auto"/>
        <w:rPr>
          <w:sz w:val="20"/>
          <w:szCs w:val="20"/>
          <w:color w:val="auto"/>
        </w:rPr>
      </w:pPr>
      <w:r>
        <w:rPr>
          <w:rFonts w:ascii="Times New Roman" w:cs="Times New Roman" w:eastAsia="Times New Roman" w:hAnsi="Times New Roman"/>
          <w:sz w:val="18"/>
          <w:szCs w:val="18"/>
          <w:color w:val="231F20"/>
        </w:rPr>
        <w:t>One of the key drivers of our success is educating ophthalmologists, optometrists, patients, and third-party payors about the clinical and safety benefits of our products and of the benefits of more proactive, interventional approach to treating glaucoma and DED. We believe the required market education and development is best accomplished through a differentiated, highly involved commercial approach. As such, we devote significant resources to onboarding our sales professionals and to continuously augmenting their knowledge and capabilities. Our sales professionals provide ECPs with the necessary education, training and support to adopt and continue to use our products. We believe that increasing acceptance and usage of our products will require continued investment in our sales force and education efforts to ensure ECPs, patients and third-party payors learn more about our products and appreciate our benefits to their target patient populations.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Maximizing Product Usage by Customers</w:t>
      </w:r>
    </w:p>
    <w:p>
      <w:pPr>
        <w:spacing w:after="0" w:line="121" w:lineRule="exact"/>
        <w:rPr>
          <w:sz w:val="20"/>
          <w:szCs w:val="20"/>
          <w:color w:val="auto"/>
        </w:rPr>
      </w:pPr>
    </w:p>
    <w:p>
      <w:pPr>
        <w:ind w:right="20" w:firstLine="419"/>
        <w:spacing w:after="0" w:line="254" w:lineRule="auto"/>
        <w:rPr>
          <w:sz w:val="20"/>
          <w:szCs w:val="20"/>
          <w:color w:val="auto"/>
        </w:rPr>
      </w:pPr>
      <w:r>
        <w:rPr>
          <w:rFonts w:ascii="Times New Roman" w:cs="Times New Roman" w:eastAsia="Times New Roman" w:hAnsi="Times New Roman"/>
          <w:sz w:val="18"/>
          <w:szCs w:val="18"/>
          <w:color w:val="231F20"/>
        </w:rPr>
        <w:t xml:space="preserve">Demand for our products will be highly dependent on our ability to develop their potential addressable markets and maximize the breadth of patients our products can serve. OMNI is indicated for canaloplasty followed by trabeculotomy to reduce IOP in adult patients with POAG in the U.S. and with OAG, in the EU. We believe that OMNI is the only device that is authorized by the FDA as an </w:t>
      </w:r>
      <w:r>
        <w:rPr>
          <w:rFonts w:ascii="Times New Roman" w:cs="Times New Roman" w:eastAsia="Times New Roman" w:hAnsi="Times New Roman"/>
          <w:sz w:val="18"/>
          <w:szCs w:val="18"/>
          <w:i w:val="1"/>
          <w:iCs w:val="1"/>
          <w:color w:val="231F20"/>
        </w:rPr>
        <w:t>ab interno</w:t>
      </w:r>
      <w:r>
        <w:rPr>
          <w:rFonts w:ascii="Times New Roman" w:cs="Times New Roman" w:eastAsia="Times New Roman" w:hAnsi="Times New Roman"/>
          <w:sz w:val="18"/>
          <w:szCs w:val="18"/>
          <w:color w:val="231F20"/>
        </w:rPr>
        <w:t xml:space="preserve"> procedure to: reduce IOP in adult patients with POAG across the spectrum of disease severity; be used in mild-to-moderate Combination Cataract or Standalone procedures; access 360 degrees of the diseased conventional outflow pathway through a single clear corneal incision; and facilitate two consecutive procedures, canaloplasty and trabeculotomy, to comprehensively treat all three primary points of resistance in the conventional outflow pathway in a single operating room visit. Our ability to establish OMNI as the standard of care for all POAG patients by continuing to grow its adoption and utilization in Combination Cataract procedures and by pioneering the development of the market for interventional standalone procedures will have a substantial impact on our future growth.</w:t>
      </w:r>
    </w:p>
    <w:p>
      <w:pPr>
        <w:spacing w:after="0" w:line="188"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231F20"/>
        </w:rPr>
        <w:t>We introduced our SION Surgical Instrument in the third quarter of 2022. SION satisfies the American Academy of Ophthalmology definition of goniotomy and is registered with the FDA as a Class I 510(k) exempt device. SION’s bladeless design, micro-engineered and precision manufactured using specialized lasers, excises tissue without cutting. SION grasps and removes diseased tissue as the surgeon sweeps the instrument around Schlemm’s canal with a single smooth motion. The bladeless technology of SION was developed with leading ophthalmic surgeons to improve safety and ease of use by eliminating the need to navigate sharp instrumentation within the eye’s anterior chamber and iridocorneal angle anatomy. SION allows us to serve specific subsets of customers who may prioritize a faster or simpler procedure. Our target customers for SION include three types of combination cataract MIGS surgeons that are distinct from target OMNI customers: 1) high volume cataract surgeons seeking to perform the quickest MIGS procedures, 2) surgeons who are initially less experienced with MIGS such as surgical fellows at academic institutions and 3) surgeons looking for the most cost effective MIGS procedures in facilities that may emphasize procedural profitability. We believe that these use cases have very little overlap with the use cases for our OMNI device. Our ability to establish SION as a product with differentiated ease of use, safety and efficacy will be an important driver of SION’s commercial growth and success.</w:t>
      </w:r>
    </w:p>
    <w:p>
      <w:pPr>
        <w:spacing w:after="0" w:line="192" w:lineRule="exact"/>
        <w:rPr>
          <w:sz w:val="20"/>
          <w:szCs w:val="20"/>
          <w:color w:val="auto"/>
        </w:rPr>
      </w:pPr>
    </w:p>
    <w:p>
      <w:pPr>
        <w:ind w:right="40" w:firstLine="419"/>
        <w:spacing w:after="0" w:line="254" w:lineRule="auto"/>
        <w:rPr>
          <w:sz w:val="20"/>
          <w:szCs w:val="20"/>
          <w:color w:val="auto"/>
        </w:rPr>
      </w:pPr>
      <w:r>
        <w:rPr>
          <w:rFonts w:ascii="Times New Roman" w:cs="Times New Roman" w:eastAsia="Times New Roman" w:hAnsi="Times New Roman"/>
          <w:sz w:val="18"/>
          <w:szCs w:val="18"/>
          <w:color w:val="231F20"/>
        </w:rPr>
        <w:t>TearCare is a unique open-eye heating and expression device designed to melt and remove meibomian gland obstructions. We believe TearCare has a compelling physiological profile to address obstruction from meibomian gland disease, or MGD, which is the primary cause of evaporative DED, a disease characterized by low quality tears that evaporate prematurely. The current DED treatment market primarily consists of an abundance of OTC and prescription eyedrops that seek to lubricate the ocular surface, alleviate inflammation and/or increase tear production. However, OTC and prescription eyedrops are incapable of clearing obstructions in the meibomian glands and do not address MGD’s eyelid-borne physiology and poor tear quality. MGD is associated with 86% of DED cases and is a leading root cause of evaporative DED, which is characterized by low quality tears that evaporate prematurely. Clinical studies have demonstrated that treating MGD by liquefying and removing clogged meibum is the most effective method to eliminate obstructions and restore the lipid layer of tear film, thereby preventing premature evaporation of tears. TearCare was designed to be administered during the course of a routine office visit to an ECP, which makes it convenient for patients,</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37" w:right="399" w:bottom="1440" w:gutter="0" w:footer="0" w:header="0"/>
        </w:sectPr>
      </w:pPr>
    </w:p>
    <w:bookmarkStart w:id="65" w:name="page66"/>
    <w:bookmarkEnd w:id="65"/>
    <w:p>
      <w:pPr>
        <w:ind w:right="240"/>
        <w:spacing w:after="0" w:line="282" w:lineRule="auto"/>
        <w:rPr>
          <w:sz w:val="20"/>
          <w:szCs w:val="20"/>
          <w:color w:val="auto"/>
        </w:rPr>
      </w:pPr>
      <w:r>
        <w:rPr>
          <w:rFonts w:ascii="Times New Roman" w:cs="Times New Roman" w:eastAsia="Times New Roman" w:hAnsi="Times New Roman"/>
          <w:sz w:val="18"/>
          <w:szCs w:val="18"/>
          <w:color w:val="231F20"/>
        </w:rPr>
        <w:t>and allows providers to maintain procedural throughput in their practices. Our ability to improve patient access and market education on TearCare and the benefits of proactive MGD treatment will be key drivers of TearCare’s future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Operational Excellence and Cost Efficiency</w:t>
      </w:r>
    </w:p>
    <w:p>
      <w:pPr>
        <w:spacing w:after="0" w:line="121" w:lineRule="exact"/>
        <w:rPr>
          <w:sz w:val="20"/>
          <w:szCs w:val="20"/>
          <w:color w:val="auto"/>
        </w:rPr>
      </w:pPr>
    </w:p>
    <w:p>
      <w:pPr>
        <w:ind w:right="40" w:firstLine="419"/>
        <w:spacing w:after="0" w:line="255" w:lineRule="auto"/>
        <w:rPr>
          <w:sz w:val="20"/>
          <w:szCs w:val="20"/>
          <w:color w:val="auto"/>
        </w:rPr>
      </w:pPr>
      <w:r>
        <w:rPr>
          <w:rFonts w:ascii="Times New Roman" w:cs="Times New Roman" w:eastAsia="Times New Roman" w:hAnsi="Times New Roman"/>
          <w:sz w:val="18"/>
          <w:szCs w:val="18"/>
          <w:color w:val="231F20"/>
        </w:rPr>
        <w:t>We aim to achieve operating and financial milestones with optimal capital efficiency, and focus on our market value relative to invested capital as a key measurement of our performance. To date, we have raised $402.4 million in net proceeds from equity and debt financings, including $252.2 million from our IPO. With a portion of these net proceeds (our December 31, 2022 cash and equivalents was $185.0 million), we believe we have developed and commercially launched two clinically differentiated products, funded multiple completed and ongoing clinical trials, and built our management team and company infrastructure to support the continued growth of our business. We believe that this level of operational and commercial progress relative to our total capital investment to date compares favorably to medical technology peers. We seek to design products that can achieve attractive long-term gross margins.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Revenue</w:t>
      </w:r>
    </w:p>
    <w:p>
      <w:pPr>
        <w:spacing w:after="0" w:line="121"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231F20"/>
        </w:rPr>
        <w:t>We currently derive the majority of our U.S. revenue from the sale of OMNI and SION to ASCs and HOPDs and TearCare to ophthalmology and optometry practices. During the years ended December 31, 2022 and 2021, the revenues from our Surgical Glaucoma segment accounted for over 90% of our total revenues. Substantially all of our revenues for both periods were generated from sales within the U.S. Our Surgical Glaucoma customers place orders based on their expected procedure volume and reorder as needed, typically on a biweekly, monthly or bimonthly basis. Our TearCare customers typically purchase a TearCare System which consists of one or more SmartHubs, multiple single-use SmartLids and other accessories. After utilizing their initial inventory, customers can reorder SmartLids as needed. No single customer accounted for 10% or more of our revenue for the years ended December 31, 2022 and 2021.</w:t>
      </w:r>
    </w:p>
    <w:p>
      <w:pPr>
        <w:spacing w:after="0" w:line="189" w:lineRule="exact"/>
        <w:rPr>
          <w:sz w:val="20"/>
          <w:szCs w:val="20"/>
          <w:color w:val="auto"/>
        </w:rPr>
      </w:pPr>
    </w:p>
    <w:p>
      <w:pPr>
        <w:ind w:right="180" w:firstLine="419"/>
        <w:spacing w:after="0" w:line="266" w:lineRule="auto"/>
        <w:rPr>
          <w:sz w:val="20"/>
          <w:szCs w:val="20"/>
          <w:color w:val="auto"/>
        </w:rPr>
      </w:pPr>
      <w:r>
        <w:rPr>
          <w:rFonts w:ascii="Times New Roman" w:cs="Times New Roman" w:eastAsia="Times New Roman" w:hAnsi="Times New Roman"/>
          <w:sz w:val="18"/>
          <w:szCs w:val="18"/>
          <w:color w:val="231F20"/>
        </w:rPr>
        <w:t>The growth in our revenue is driven by the demand for elective surgery and treatment utilizing our products. Such demand is often lower during summer months because of ECP vacations and in winter months in certain parts of the world because of fewer business or surgery days due to holidays and adverse weather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Cost of Goods Sold and Gross Margin</w:t>
      </w:r>
    </w:p>
    <w:p>
      <w:pPr>
        <w:spacing w:after="0" w:line="121" w:lineRule="exact"/>
        <w:rPr>
          <w:sz w:val="20"/>
          <w:szCs w:val="20"/>
          <w:color w:val="auto"/>
        </w:rPr>
      </w:pPr>
    </w:p>
    <w:p>
      <w:pPr>
        <w:ind w:right="160" w:firstLine="419"/>
        <w:spacing w:after="0" w:line="261" w:lineRule="auto"/>
        <w:rPr>
          <w:sz w:val="20"/>
          <w:szCs w:val="20"/>
          <w:color w:val="auto"/>
        </w:rPr>
      </w:pPr>
      <w:r>
        <w:rPr>
          <w:rFonts w:ascii="Times New Roman" w:cs="Times New Roman" w:eastAsia="Times New Roman" w:hAnsi="Times New Roman"/>
          <w:sz w:val="18"/>
          <w:szCs w:val="18"/>
          <w:color w:val="231F20"/>
        </w:rPr>
        <w:t>Our products are produced by third-party manufacturers. Our cost of goods sold consists primarily of amounts paid for our products to third-party manufacturers, and our manufacturing overhead costs, which consist primarily of personnel expenses, including salaries, benefits and stock-based compensation, and reserves for excess, obsolete and non-sellable inventory. Cost of goods sold also includes depreciation expenses for production equipment which we provide to our third-party manufacturers and certain direct costs, such as shipping and handling costs.</w:t>
      </w:r>
    </w:p>
    <w:p>
      <w:pPr>
        <w:spacing w:after="0" w:line="180" w:lineRule="exact"/>
        <w:rPr>
          <w:sz w:val="20"/>
          <w:szCs w:val="20"/>
          <w:color w:val="auto"/>
        </w:rPr>
      </w:pPr>
    </w:p>
    <w:p>
      <w:pPr>
        <w:ind w:right="100" w:firstLine="419"/>
        <w:spacing w:after="0" w:line="255" w:lineRule="auto"/>
        <w:rPr>
          <w:sz w:val="20"/>
          <w:szCs w:val="20"/>
          <w:color w:val="auto"/>
        </w:rPr>
      </w:pPr>
      <w:r>
        <w:rPr>
          <w:rFonts w:ascii="Times New Roman" w:cs="Times New Roman" w:eastAsia="Times New Roman" w:hAnsi="Times New Roman"/>
          <w:sz w:val="18"/>
          <w:szCs w:val="18"/>
          <w:color w:val="231F20"/>
        </w:rPr>
        <w:t>We calculate gross margin as gross profit divided by revenue. Our gross margin has been and will continue to be affected by a variety of factors, including differences in segment gross margins, changes in average selling prices, product sales mix, production and ordering volumes, manufacturing costs, product yields, and headcount. In general, we expect our gross margins to increase over the long-term to the extent our production and ordering volumes increase and to the extent we spread the fixed portion of our overhead costs over a larger number of units produced. We intend to use our design, engineering and manufacturing know-how and capabilities to further advance and improve the efficiency of our suppliers’ manufacturing processes, which we believe will reduce costs and increase our gross margins. Our gross margins could fluctuate from quarter to quarter as we transition to new suppliers, introduce new products and adopt new manufacturing processes and technologies.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Research and Development Expenses</w:t>
      </w:r>
    </w:p>
    <w:p>
      <w:pPr>
        <w:spacing w:after="0" w:line="121"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auto"/>
        </w:rPr>
        <w:t>Research and development ("R&amp;D") expenses consist primarily of engineering, product development, clinical studies to develop and support our products, including clinical trial design, clinical trial site initiation and study costs, internal and external costs associated with our regulatory compliance and quality assurance functions, medical affairs, cost of products used for clinical trials and other costs associated with products and technologies – either new or enhancements of existing platforms – that are in development. These expenses also include personnel expenses, including salaries, benefits and stock-based compensation, supplies, consulting, prototyping, testing, materials, travel expenses, depreciation expenses for equipment and an allocation of IT and facility overhead expenses. Our R&amp;D expenses as a percentage of revenue may vary over time depending on the level and timing of new product development efforts, as well as clinical development, clinical</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37" w:right="399" w:bottom="1440" w:gutter="0" w:footer="0" w:header="0"/>
        </w:sectPr>
      </w:pPr>
    </w:p>
    <w:bookmarkStart w:id="66" w:name="page67"/>
    <w:bookmarkEnd w:id="66"/>
    <w:p>
      <w:pPr>
        <w:ind w:right="240"/>
        <w:spacing w:after="0" w:line="282" w:lineRule="auto"/>
        <w:rPr>
          <w:sz w:val="20"/>
          <w:szCs w:val="20"/>
          <w:color w:val="auto"/>
        </w:rPr>
      </w:pPr>
      <w:r>
        <w:rPr>
          <w:rFonts w:ascii="Times New Roman" w:cs="Times New Roman" w:eastAsia="Times New Roman" w:hAnsi="Times New Roman"/>
          <w:sz w:val="18"/>
          <w:szCs w:val="18"/>
          <w:color w:val="auto"/>
        </w:rPr>
        <w:t>trial and other related activities. We expect our R&amp;D expenses to increase for the next several years as we continue to invest in our active clinical trial program, develop new products and improve our existing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Selling, General and Administrative Expenses</w:t>
      </w:r>
    </w:p>
    <w:p>
      <w:pPr>
        <w:spacing w:after="0" w:line="121" w:lineRule="exact"/>
        <w:rPr>
          <w:sz w:val="20"/>
          <w:szCs w:val="20"/>
          <w:color w:val="auto"/>
        </w:rPr>
      </w:pPr>
    </w:p>
    <w:p>
      <w:pPr>
        <w:ind w:right="60" w:firstLine="419"/>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("SG&amp;A") expenses consist primarily of personnel expenses, including salaries, benefits and stock-based compensation related to selling, marketing and corporate functions, allocation of IT and facility overhead expenses, bad debt expense, finance, legal and human resource costs. Other SG&amp;A expenses include training, travel expenses, promotional activities, marketing initiatives, market research and analysis, conferences and trade shows, professional services fees (including external legal, audit, consulting and tax fees), insurance costs, and general corporate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Interest Expense</w:t>
      </w:r>
    </w:p>
    <w:p>
      <w:pPr>
        <w:spacing w:after="0" w:line="121" w:lineRule="exact"/>
        <w:rPr>
          <w:sz w:val="20"/>
          <w:szCs w:val="20"/>
          <w:color w:val="auto"/>
        </w:rPr>
      </w:pPr>
    </w:p>
    <w:p>
      <w:pPr>
        <w:ind w:right="280" w:firstLine="419"/>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interest incurred on our outstanding indebtedness and non-cash interest related to the amortization of debt discount and issuance costs associated with our outstanding loan.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Other Income (Expense), Net</w:t>
      </w:r>
    </w:p>
    <w:p>
      <w:pPr>
        <w:spacing w:after="0" w:line="121" w:lineRule="exact"/>
        <w:rPr>
          <w:sz w:val="20"/>
          <w:szCs w:val="20"/>
          <w:color w:val="auto"/>
        </w:rPr>
      </w:pPr>
    </w:p>
    <w:p>
      <w:pPr>
        <w:ind w:firstLine="419"/>
        <w:spacing w:after="0" w:line="261" w:lineRule="auto"/>
        <w:rPr>
          <w:sz w:val="20"/>
          <w:szCs w:val="20"/>
          <w:color w:val="auto"/>
        </w:rPr>
      </w:pPr>
      <w:r>
        <w:rPr>
          <w:rFonts w:ascii="Times New Roman" w:cs="Times New Roman" w:eastAsia="Times New Roman" w:hAnsi="Times New Roman"/>
          <w:sz w:val="18"/>
          <w:szCs w:val="18"/>
          <w:color w:val="231F20"/>
        </w:rPr>
        <w:t>Other income (expense), net consists of interest and amortization on held-to-maturity investments in treasury securities, as well as, gains and losses resulting from the remeasurement of the fair value of our redeemable convertible preferred stock warrant liability. The redeemable convertible preferred stock warrants were exercised in 2021 and the final fair value of the warrant liability was reclassified to stockholders’ equity. We will no longer record any related periodic fair value adjustments.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37" w:right="439" w:bottom="1440" w:gutter="0" w:footer="0" w:header="0"/>
        </w:sectPr>
      </w:pPr>
    </w:p>
    <w:bookmarkStart w:id="67" w:name="page68"/>
    <w:bookmarkEnd w:id="67"/>
    <w:p>
      <w:pPr>
        <w:ind w:left="120"/>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2022 and 2021</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5"/>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36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7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Surgical Glaucoma</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65,594</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46,496</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19,098</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41.1 %</w:t>
            </w:r>
          </w:p>
        </w:tc>
      </w:tr>
      <w:tr>
        <w:trPr>
          <w:trHeight w:val="247"/>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i w:val="1"/>
                <w:iCs w:val="1"/>
                <w:color w:val="auto"/>
              </w:rPr>
              <w:t>Percentage of total revenue</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i w:val="1"/>
                <w:iCs w:val="1"/>
                <w:color w:val="auto"/>
              </w:rPr>
              <w:t>92.0 %</w:t>
            </w:r>
          </w:p>
        </w:tc>
        <w:tc>
          <w:tcPr>
            <w:tcW w:w="3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i w:val="1"/>
                <w:iCs w:val="1"/>
                <w:color w:val="auto"/>
              </w:rPr>
              <w:t>95.0 %</w:t>
            </w:r>
          </w:p>
        </w:tc>
        <w:tc>
          <w:tcPr>
            <w:tcW w:w="3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Dry Eye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4"/>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i w:val="1"/>
                <w:iCs w:val="1"/>
                <w:color w:val="auto"/>
              </w:rPr>
              <w:t>Percentage of total revenue</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i w:val="1"/>
                <w:iCs w:val="1"/>
                <w:color w:val="auto"/>
              </w:rPr>
              <w:t>8.0 %</w:t>
            </w:r>
          </w:p>
        </w:tc>
        <w:tc>
          <w:tcPr>
            <w:tcW w:w="3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i w:val="1"/>
                <w:iCs w:val="1"/>
                <w:color w:val="auto"/>
              </w:rPr>
              <w:t>5.0 %</w:t>
            </w:r>
          </w:p>
        </w:tc>
        <w:tc>
          <w:tcPr>
            <w:tcW w:w="3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574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71,331</w:t>
            </w:r>
          </w:p>
        </w:tc>
        <w:tc>
          <w:tcPr>
            <w:tcW w:w="26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48,956</w:t>
            </w:r>
          </w:p>
        </w:tc>
        <w:tc>
          <w:tcPr>
            <w:tcW w:w="24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22,375</w:t>
            </w:r>
          </w:p>
        </w:tc>
        <w:tc>
          <w:tcPr>
            <w:tcW w:w="22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Surgical Glaucoma</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8,295</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Dry Eye</w:t>
            </w: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5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12,361</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Surgical Glaucoma</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57,299</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17,276</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Dry Eye</w:t>
            </w: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5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58,970</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0"/>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Surgical Glaucoma</w:t>
            </w:r>
          </w:p>
        </w:tc>
        <w:tc>
          <w:tcPr>
            <w:tcW w:w="2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87.4 %</w:t>
            </w:r>
          </w:p>
        </w:tc>
        <w:tc>
          <w:tcPr>
            <w:tcW w:w="340" w:type="dxa"/>
            <w:vAlign w:val="bottom"/>
          </w:tcPr>
          <w:p>
            <w:pPr>
              <w:spacing w:after="0"/>
              <w:rPr>
                <w:sz w:val="20"/>
                <w:szCs w:val="20"/>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i w:val="1"/>
                <w:iCs w:val="1"/>
                <w:color w:val="auto"/>
              </w:rPr>
              <w:t>86.1 %</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Dry Eye</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i w:val="1"/>
                <w:iCs w:val="1"/>
                <w:color w:val="auto"/>
              </w:rPr>
              <w:t>29.1 %</w:t>
            </w:r>
          </w:p>
        </w:tc>
        <w:tc>
          <w:tcPr>
            <w:tcW w:w="3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i w:val="1"/>
                <w:iCs w:val="1"/>
                <w:color w:val="auto"/>
              </w:rPr>
              <w:t>13.1 %</w:t>
            </w:r>
          </w:p>
        </w:tc>
        <w:tc>
          <w:tcPr>
            <w:tcW w:w="3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57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5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xml:space="preserve">82.7 </w:t>
            </w:r>
            <w:r>
              <w:rPr>
                <w:rFonts w:ascii="Times New Roman" w:cs="Times New Roman" w:eastAsia="Times New Roman" w:hAnsi="Times New Roman"/>
                <w:sz w:val="18"/>
                <w:szCs w:val="18"/>
                <w:i w:val="1"/>
                <w:iCs w:val="1"/>
                <w:color w:val="auto"/>
                <w:highlight w:val="white"/>
              </w:rPr>
              <w:t>%</w:t>
            </w:r>
          </w:p>
        </w:tc>
        <w:tc>
          <w:tcPr>
            <w:tcW w:w="340" w:type="dxa"/>
            <w:vAlign w:val="bottom"/>
          </w:tcPr>
          <w:p>
            <w:pPr>
              <w:spacing w:after="0"/>
              <w:rPr>
                <w:sz w:val="20"/>
                <w:szCs w:val="20"/>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i w:val="1"/>
                <w:iCs w:val="1"/>
                <w:color w:val="auto"/>
              </w:rPr>
              <w:t xml:space="preserve">82.4 </w:t>
            </w:r>
            <w:r>
              <w:rPr>
                <w:rFonts w:ascii="Times New Roman" w:cs="Times New Roman" w:eastAsia="Times New Roman" w:hAnsi="Times New Roman"/>
                <w:sz w:val="18"/>
                <w:szCs w:val="18"/>
                <w:i w:val="1"/>
                <w:iCs w:val="1"/>
                <w:color w:val="auto"/>
                <w:highlight w:val="white"/>
              </w:rPr>
              <w:t>%</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22,859</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7,225</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120,065</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76,190</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43,875</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5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142,924</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91,824</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51,100</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(83,954</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(51,478</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(32,476</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0"/>
                <w:szCs w:val="20"/>
                <w:color w:val="auto"/>
              </w:rPr>
            </w:pP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(4,466 )</w:t>
            </w:r>
          </w:p>
        </w:tc>
        <w:tc>
          <w:tcPr>
            <w:tcW w:w="340" w:type="dxa"/>
            <w:vAlign w:val="bottom"/>
          </w:tcPr>
          <w:p>
            <w:pPr>
              <w:spacing w:after="0"/>
              <w:rPr>
                <w:sz w:val="20"/>
                <w:szCs w:val="20"/>
                <w:color w:val="auto"/>
              </w:rPr>
            </w:pPr>
          </w:p>
        </w:tc>
        <w:tc>
          <w:tcPr>
            <w:tcW w:w="11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(4,366 )</w:t>
            </w:r>
          </w:p>
        </w:tc>
        <w:tc>
          <w:tcPr>
            <w:tcW w:w="300" w:type="dxa"/>
            <w:vAlign w:val="bottom"/>
          </w:tcPr>
          <w:p>
            <w:pPr>
              <w:spacing w:after="0"/>
              <w:rPr>
                <w:sz w:val="20"/>
                <w:szCs w:val="20"/>
                <w:color w:val="auto"/>
              </w:rPr>
            </w:pP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(6,928 )</w:t>
            </w:r>
          </w:p>
        </w:tc>
        <w:tc>
          <w:tcPr>
            <w:tcW w:w="3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9,153</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(132.1 )</w:t>
            </w:r>
          </w:p>
        </w:tc>
        <w:tc>
          <w:tcPr>
            <w:tcW w:w="60" w:type="dxa"/>
            <w:vAlign w:val="bottom"/>
          </w:tcPr>
          <w:p>
            <w:pPr>
              <w:spacing w:after="0"/>
              <w:rPr>
                <w:sz w:val="21"/>
                <w:szCs w:val="21"/>
                <w:color w:val="auto"/>
              </w:rPr>
            </w:pPr>
          </w:p>
        </w:tc>
      </w:tr>
      <w:tr>
        <w:trPr>
          <w:trHeight w:val="20"/>
        </w:trPr>
        <w:tc>
          <w:tcPr>
            <w:tcW w:w="57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w:t>
            </w:r>
          </w:p>
        </w:tc>
        <w:tc>
          <w:tcPr>
            <w:tcW w:w="280" w:type="dxa"/>
            <w:vAlign w:val="bottom"/>
          </w:tcPr>
          <w:p>
            <w:pPr>
              <w:spacing w:after="0"/>
              <w:rPr>
                <w:sz w:val="24"/>
                <w:szCs w:val="24"/>
                <w:color w:val="auto"/>
              </w:rPr>
            </w:pP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(86,195 )</w:t>
            </w:r>
          </w:p>
        </w:tc>
        <w:tc>
          <w:tcPr>
            <w:tcW w:w="340" w:type="dxa"/>
            <w:vAlign w:val="bottom"/>
          </w:tcPr>
          <w:p>
            <w:pPr>
              <w:spacing w:after="0"/>
              <w:rPr>
                <w:sz w:val="24"/>
                <w:szCs w:val="24"/>
                <w:color w:val="auto"/>
              </w:rPr>
            </w:pPr>
          </w:p>
        </w:tc>
        <w:tc>
          <w:tcPr>
            <w:tcW w:w="11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(62,772 )</w:t>
            </w:r>
          </w:p>
        </w:tc>
        <w:tc>
          <w:tcPr>
            <w:tcW w:w="300" w:type="dxa"/>
            <w:vAlign w:val="bottom"/>
          </w:tcPr>
          <w:p>
            <w:pPr>
              <w:spacing w:after="0"/>
              <w:rPr>
                <w:sz w:val="24"/>
                <w:szCs w:val="24"/>
                <w:color w:val="auto"/>
              </w:rPr>
            </w:pP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(23,423 )</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5"/>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(141 )</w:t>
            </w:r>
          </w:p>
        </w:tc>
        <w:tc>
          <w:tcPr>
            <w:tcW w:w="3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(75.0 )</w:t>
            </w:r>
          </w:p>
        </w:tc>
        <w:tc>
          <w:tcPr>
            <w:tcW w:w="60" w:type="dxa"/>
            <w:vAlign w:val="bottom"/>
          </w:tcPr>
          <w:p>
            <w:pPr>
              <w:spacing w:after="0"/>
              <w:rPr>
                <w:sz w:val="21"/>
                <w:szCs w:val="21"/>
                <w:color w:val="auto"/>
              </w:rPr>
            </w:pPr>
          </w:p>
        </w:tc>
      </w:tr>
      <w:tr>
        <w:trPr>
          <w:trHeight w:val="20"/>
        </w:trPr>
        <w:tc>
          <w:tcPr>
            <w:tcW w:w="57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1"/>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80" w:type="dxa"/>
            <w:vAlign w:val="bottom"/>
          </w:tcPr>
          <w:p>
            <w:pPr>
              <w:spacing w:after="0"/>
              <w:rPr>
                <w:sz w:val="20"/>
                <w:szCs w:val="20"/>
                <w:color w:val="auto"/>
              </w:rPr>
            </w:pP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(86,242 )</w:t>
            </w:r>
          </w:p>
        </w:tc>
        <w:tc>
          <w:tcPr>
            <w:tcW w:w="340" w:type="dxa"/>
            <w:vAlign w:val="bottom"/>
          </w:tcPr>
          <w:p>
            <w:pPr>
              <w:spacing w:after="0"/>
              <w:rPr>
                <w:sz w:val="20"/>
                <w:szCs w:val="20"/>
                <w:color w:val="auto"/>
              </w:rPr>
            </w:pPr>
          </w:p>
        </w:tc>
        <w:tc>
          <w:tcPr>
            <w:tcW w:w="11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(62,960 )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(23,282 )</w:t>
            </w:r>
          </w:p>
        </w:tc>
        <w:tc>
          <w:tcPr>
            <w:tcW w:w="34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37.0 </w:t>
            </w:r>
            <w:r>
              <w:rPr>
                <w:rFonts w:ascii="Times New Roman" w:cs="Times New Roman" w:eastAsia="Times New Roman" w:hAnsi="Times New Roman"/>
                <w:sz w:val="18"/>
                <w:szCs w:val="18"/>
                <w:color w:val="auto"/>
                <w:highlight w:val="white"/>
              </w:rPr>
              <w:t>%</w:t>
            </w:r>
          </w:p>
        </w:tc>
      </w:tr>
      <w:tr>
        <w:trPr>
          <w:trHeight w:val="20"/>
        </w:trPr>
        <w:tc>
          <w:tcPr>
            <w:tcW w:w="5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-3796665</wp:posOffset>
            </wp:positionV>
            <wp:extent cx="77470"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-3796665</wp:posOffset>
            </wp:positionV>
            <wp:extent cx="6858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-3796665</wp:posOffset>
            </wp:positionV>
            <wp:extent cx="6858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-3171190</wp:posOffset>
            </wp:positionV>
            <wp:extent cx="77470" cy="162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-3171190</wp:posOffset>
            </wp:positionV>
            <wp:extent cx="68580"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-3171190</wp:posOffset>
            </wp:positionV>
            <wp:extent cx="68580" cy="162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-3171190</wp:posOffset>
            </wp:positionV>
            <wp:extent cx="68580"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-2545080</wp:posOffset>
            </wp:positionV>
            <wp:extent cx="77470"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-2545080</wp:posOffset>
            </wp:positionV>
            <wp:extent cx="68580"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-2545080</wp:posOffset>
            </wp:positionV>
            <wp:extent cx="68580"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-1919605</wp:posOffset>
            </wp:positionV>
            <wp:extent cx="68580" cy="162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162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-1293495</wp:posOffset>
            </wp:positionV>
            <wp:extent cx="7747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-1293495</wp:posOffset>
            </wp:positionV>
            <wp:extent cx="6858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-1293495</wp:posOffset>
            </wp:positionV>
            <wp:extent cx="6858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-659130</wp:posOffset>
            </wp:positionV>
            <wp:extent cx="77470" cy="316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31686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-659130</wp:posOffset>
            </wp:positionV>
            <wp:extent cx="68580" cy="316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-659130</wp:posOffset>
            </wp:positionV>
            <wp:extent cx="68580" cy="316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316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-187960</wp:posOffset>
            </wp:positionV>
            <wp:extent cx="77470"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-187960</wp:posOffset>
            </wp:positionV>
            <wp:extent cx="68580"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-187960</wp:posOffset>
            </wp:positionV>
            <wp:extent cx="68580"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3" w:lineRule="exact"/>
        <w:rPr>
          <w:sz w:val="20"/>
          <w:szCs w:val="20"/>
          <w:color w:val="auto"/>
        </w:rPr>
      </w:pPr>
    </w:p>
    <w:p>
      <w:pPr>
        <w:ind w:left="120" w:right="300" w:firstLine="419"/>
        <w:spacing w:after="0" w:line="256" w:lineRule="auto"/>
        <w:rPr>
          <w:sz w:val="20"/>
          <w:szCs w:val="20"/>
          <w:color w:val="auto"/>
        </w:rPr>
      </w:pPr>
      <w:r>
        <w:rPr>
          <w:rFonts w:ascii="Times New Roman" w:cs="Times New Roman" w:eastAsia="Times New Roman" w:hAnsi="Times New Roman"/>
          <w:sz w:val="18"/>
          <w:szCs w:val="18"/>
          <w:i w:val="1"/>
          <w:iCs w:val="1"/>
          <w:color w:val="231F20"/>
        </w:rPr>
        <w:t>Revenue</w:t>
      </w:r>
      <w:r>
        <w:rPr>
          <w:rFonts w:ascii="Times New Roman" w:cs="Times New Roman" w:eastAsia="Times New Roman" w:hAnsi="Times New Roman"/>
          <w:sz w:val="18"/>
          <w:szCs w:val="18"/>
          <w:color w:val="231F20"/>
        </w:rPr>
        <w:t>. Revenue in the year ended December 31, 2022 was $71.3 million, an increase of $22.4 million, or 45.7%, from our revenue in 2021.</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 xml:space="preserve">Surgical Glaucoma and Dry Eye sales contributed $65.6 million and $5.7 million, respectively. </w:t>
      </w:r>
      <w:r>
        <w:rPr>
          <w:rFonts w:ascii="Times New Roman" w:cs="Times New Roman" w:eastAsia="Times New Roman" w:hAnsi="Times New Roman"/>
          <w:sz w:val="18"/>
          <w:szCs w:val="18"/>
          <w:color w:val="000000"/>
        </w:rPr>
        <w:t>The overall increase in Surgical Glaucoma revenue was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primarily attributable to a significant increase in the number of OMNI units sold in the year ended December 31, 2022 as a result of growth in the number of facilities ordering OMNI and an increase in unit utilization per ordering facility, as well as the introduction of SION in the third quarter of 2022. Our Dry Eye revenues increased in the year ended December 31, 2022 versus the prior year due to the continued growth in our installed base of facilities that have purchased TearCare. Surgical Glaucoma sales represented 92.0% and 95.0% of our revenue generated in the years ended December 31, 2022 and 2021, respectively.</w:t>
      </w:r>
    </w:p>
    <w:p>
      <w:pPr>
        <w:spacing w:after="0" w:line="183" w:lineRule="exact"/>
        <w:rPr>
          <w:sz w:val="20"/>
          <w:szCs w:val="20"/>
          <w:color w:val="auto"/>
        </w:rPr>
      </w:pPr>
    </w:p>
    <w:p>
      <w:pPr>
        <w:ind w:left="120" w:right="280" w:firstLine="419"/>
        <w:spacing w:after="0" w:line="258" w:lineRule="auto"/>
        <w:rPr>
          <w:sz w:val="20"/>
          <w:szCs w:val="20"/>
          <w:color w:val="auto"/>
        </w:rPr>
      </w:pPr>
      <w:r>
        <w:rPr>
          <w:rFonts w:ascii="Times New Roman" w:cs="Times New Roman" w:eastAsia="Times New Roman" w:hAnsi="Times New Roman"/>
          <w:sz w:val="18"/>
          <w:szCs w:val="18"/>
          <w:i w:val="1"/>
          <w:iCs w:val="1"/>
          <w:color w:val="231F20"/>
        </w:rPr>
        <w:t>Cost of Goods Sold and Gross Profit</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Cost of goods sold during the year ended December 31, 2022, increased $3.8 million compared to the prior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year. The increase was driven by an increase both our Surgical Glaucoma and Dry Eye segments. Dry Eye cost of goods sold increased $1.9 million in the year ended December 31, 2022 over the prior year, which was driven by increased sales activity, as well as by $0.9 million of charges in 2022 associated with a voluntary recall of our SmartHub 1.0 devices. Our Surgical Glaucoma cost of goods sold increased $1.8 million as compared to 2021, which was primarily driven by an increase in sales activity.</w:t>
      </w:r>
    </w:p>
    <w:p>
      <w:pPr>
        <w:spacing w:after="0" w:line="185" w:lineRule="exact"/>
        <w:rPr>
          <w:sz w:val="20"/>
          <w:szCs w:val="20"/>
          <w:color w:val="auto"/>
        </w:rPr>
      </w:pPr>
    </w:p>
    <w:p>
      <w:pPr>
        <w:ind w:left="120" w:right="140" w:firstLine="419"/>
        <w:spacing w:after="0" w:line="261" w:lineRule="auto"/>
        <w:rPr>
          <w:sz w:val="20"/>
          <w:szCs w:val="20"/>
          <w:color w:val="auto"/>
        </w:rPr>
      </w:pPr>
      <w:r>
        <w:rPr>
          <w:rFonts w:ascii="Times New Roman" w:cs="Times New Roman" w:eastAsia="Times New Roman" w:hAnsi="Times New Roman"/>
          <w:sz w:val="18"/>
          <w:szCs w:val="18"/>
          <w:color w:val="auto"/>
        </w:rPr>
        <w:t>Our total gross profit was $59.0 million for the year ended December 31, 2022, an increase of $18.6 million compared to the prior year. Our total gross margin increased from 82.4% to 82.7% from the year ended December 31, 2021 to the year ended December 31, 2022. The increase in gross margin was primarily due to increased sales volume in OMNI units and manufacturing efficiencies. Gross margin in our Surgical Glaucoma segment was 87.4% for the year ended December</w:t>
      </w:r>
    </w:p>
    <w:p>
      <w:pPr>
        <w:spacing w:after="0" w:line="1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33" w:right="279" w:bottom="1440" w:gutter="0" w:footer="0" w:header="0"/>
        </w:sectPr>
      </w:pPr>
    </w:p>
    <w:bookmarkStart w:id="68" w:name="page69"/>
    <w:bookmarkEnd w:id="68"/>
    <w:p>
      <w:pPr>
        <w:ind w:right="180"/>
        <w:spacing w:after="0" w:line="282" w:lineRule="auto"/>
        <w:rPr>
          <w:sz w:val="20"/>
          <w:szCs w:val="20"/>
          <w:color w:val="auto"/>
        </w:rPr>
      </w:pPr>
      <w:r>
        <w:rPr>
          <w:rFonts w:ascii="Times New Roman" w:cs="Times New Roman" w:eastAsia="Times New Roman" w:hAnsi="Times New Roman"/>
          <w:sz w:val="18"/>
          <w:szCs w:val="18"/>
          <w:color w:val="auto"/>
        </w:rPr>
        <w:t>31, 2022, an increase from 86.1% for the prior year period. In our Dry Eye segment, gross margin increased from 13.1% in 2021, to 29.1% for the year ended December 31, 2022.</w:t>
      </w:r>
    </w:p>
    <w:p>
      <w:pPr>
        <w:spacing w:after="0" w:line="160" w:lineRule="exact"/>
        <w:rPr>
          <w:sz w:val="20"/>
          <w:szCs w:val="20"/>
          <w:color w:val="auto"/>
        </w:rPr>
      </w:pPr>
    </w:p>
    <w:p>
      <w:pPr>
        <w:ind w:firstLine="419"/>
        <w:spacing w:after="0" w:line="261" w:lineRule="auto"/>
        <w:rPr>
          <w:sz w:val="20"/>
          <w:szCs w:val="20"/>
          <w:color w:val="auto"/>
        </w:rPr>
      </w:pPr>
      <w:r>
        <w:rPr>
          <w:rFonts w:ascii="Times New Roman" w:cs="Times New Roman" w:eastAsia="Times New Roman" w:hAnsi="Times New Roman"/>
          <w:sz w:val="18"/>
          <w:szCs w:val="18"/>
          <w:i w:val="1"/>
          <w:iCs w:val="1"/>
          <w:color w:val="231F20"/>
        </w:rPr>
        <w:t>Research and Development Expenses</w:t>
      </w:r>
      <w:r>
        <w:rPr>
          <w:rFonts w:ascii="Times New Roman" w:cs="Times New Roman" w:eastAsia="Times New Roman" w:hAnsi="Times New Roman"/>
          <w:sz w:val="18"/>
          <w:szCs w:val="18"/>
          <w:color w:val="231F20"/>
        </w:rPr>
        <w:t>. R&amp;D expense for the year ended December 31, 2022 was $22.9 million, an increase of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$7.2 million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compared to the prior year. The increase was primarily attributable to a $3.9 million increase in personnel expenses as a result of increased headcount, including a $0.9 million increase in stock-based compensation expense. In addition, there was a $2.1 million increase in clinical studies expense and $0.8 million increase in legal expenses incurred.</w:t>
      </w:r>
    </w:p>
    <w:p>
      <w:pPr>
        <w:spacing w:after="0" w:line="180" w:lineRule="exact"/>
        <w:rPr>
          <w:sz w:val="20"/>
          <w:szCs w:val="20"/>
          <w:color w:val="auto"/>
        </w:rPr>
      </w:pPr>
    </w:p>
    <w:p>
      <w:pPr>
        <w:ind w:right="40" w:firstLine="419"/>
        <w:spacing w:after="0" w:line="258" w:lineRule="auto"/>
        <w:rPr>
          <w:sz w:val="20"/>
          <w:szCs w:val="20"/>
          <w:color w:val="auto"/>
        </w:rPr>
      </w:pPr>
      <w:r>
        <w:rPr>
          <w:rFonts w:ascii="Times New Roman" w:cs="Times New Roman" w:eastAsia="Times New Roman" w:hAnsi="Times New Roman"/>
          <w:sz w:val="18"/>
          <w:szCs w:val="18"/>
          <w:i w:val="1"/>
          <w:iCs w:val="1"/>
          <w:color w:val="231F20"/>
        </w:rPr>
        <w:t>Selling, General, and Administrative Expenses</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SG&amp;A expenses were $120.1 million for the year ended December 31, 2022, an increase of $43.9</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million from the prior year comparable period. The increase was attributable to a $27.9 million increase in personnel expenses as a result of increased headcount, which included a $7.0 million increase in stock-based compensation expense. In addition to personnel expense increases, our SG&amp;A expense from 2021 to the 2022 period included a $6.1 million increase in professional services expense, including consulting and legal expenses, a $3.8 million increase in marketing expenses, a $1.9 million increase in training, events, and demos, and a $1.7 million increase in travel expenses.</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231F20"/>
        </w:rPr>
        <w:t>Interest Expense</w:t>
      </w:r>
      <w:r>
        <w:rPr>
          <w:rFonts w:ascii="Times New Roman" w:cs="Times New Roman" w:eastAsia="Times New Roman" w:hAnsi="Times New Roman"/>
          <w:sz w:val="18"/>
          <w:szCs w:val="18"/>
          <w:color w:val="231F20"/>
        </w:rPr>
        <w:t>. I</w:t>
      </w:r>
      <w:r>
        <w:rPr>
          <w:rFonts w:ascii="Times New Roman" w:cs="Times New Roman" w:eastAsia="Times New Roman" w:hAnsi="Times New Roman"/>
          <w:sz w:val="18"/>
          <w:szCs w:val="18"/>
          <w:color w:val="000000"/>
        </w:rPr>
        <w:t>nterest expense was consistent during the year ended December 31, 2022 compared to the year ended December 31, 2021</w:t>
      </w:r>
      <w:r>
        <w:rPr>
          <w:rFonts w:ascii="Times New Roman" w:cs="Times New Roman" w:eastAsia="Times New Roman" w:hAnsi="Times New Roman"/>
          <w:sz w:val="18"/>
          <w:szCs w:val="18"/>
          <w:color w:val="231F20"/>
        </w:rPr>
        <w:t>.</w:t>
      </w:r>
    </w:p>
    <w:p>
      <w:pPr>
        <w:spacing w:after="0" w:line="225" w:lineRule="exact"/>
        <w:rPr>
          <w:sz w:val="20"/>
          <w:szCs w:val="20"/>
          <w:color w:val="auto"/>
        </w:rPr>
      </w:pPr>
    </w:p>
    <w:p>
      <w:pPr>
        <w:ind w:right="160" w:firstLine="419"/>
        <w:spacing w:after="0" w:line="257" w:lineRule="auto"/>
        <w:rPr>
          <w:sz w:val="20"/>
          <w:szCs w:val="20"/>
          <w:color w:val="auto"/>
        </w:rPr>
      </w:pPr>
      <w:r>
        <w:rPr>
          <w:rFonts w:ascii="Times New Roman" w:cs="Times New Roman" w:eastAsia="Times New Roman" w:hAnsi="Times New Roman"/>
          <w:sz w:val="18"/>
          <w:szCs w:val="18"/>
          <w:i w:val="1"/>
          <w:iCs w:val="1"/>
          <w:color w:val="231F20"/>
        </w:rPr>
        <w:t xml:space="preserve">Other Income (Expense), Net. </w:t>
      </w:r>
      <w:r>
        <w:rPr>
          <w:rFonts w:ascii="Times New Roman" w:cs="Times New Roman" w:eastAsia="Times New Roman" w:hAnsi="Times New Roman"/>
          <w:sz w:val="18"/>
          <w:szCs w:val="18"/>
          <w:color w:val="000000"/>
        </w:rPr>
        <w:t>Other income (expense), net was $2.2 million for the year ended December 31, 2022 as compared to an expense of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$6.9 million for the year ended December 31, 2021. The income in the current year is attributable to the amortization of purchase discounts on held-to-maturity cash-equivalent investments. During the related prior year comparable period, the expense relates to the remeasurement of our convertible preferred stock warrants and recognition of the change in fair value. As detailed in the notes to our financial statements included herein, the convertible preferred stock warrants were automatically converted into common stock warrants concurrent with our IPO and subsequently exercised in the third quarter of fiscal year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Cash Flows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following table summarizes our cash flows for the periods indicated (in thousands):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6900" w:type="dxa"/>
            <w:vAlign w:val="bottom"/>
          </w:tcPr>
          <w:p>
            <w:pPr>
              <w:spacing w:after="0"/>
              <w:rPr>
                <w:sz w:val="16"/>
                <w:szCs w:val="16"/>
                <w:color w:val="auto"/>
              </w:rPr>
            </w:pPr>
          </w:p>
        </w:tc>
        <w:tc>
          <w:tcPr>
            <w:tcW w:w="320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69"/>
        </w:trPr>
        <w:tc>
          <w:tcPr>
            <w:tcW w:w="69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gridSpan w:val="2"/>
          </w:tcPr>
          <w:p>
            <w:pPr>
              <w:spacing w:after="0"/>
              <w:rPr>
                <w:sz w:val="20"/>
                <w:szCs w:val="20"/>
                <w:color w:val="auto"/>
              </w:rPr>
            </w:pPr>
          </w:p>
        </w:tc>
      </w:tr>
      <w:tr>
        <w:trPr>
          <w:trHeight w:val="24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6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3"/>
              </w:rPr>
              <w:t>(75,965 )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(52,540 )</w:t>
            </w:r>
          </w:p>
        </w:tc>
      </w:tr>
      <w:tr>
        <w:trPr>
          <w:trHeight w:val="23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(970 )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(813 )</w:t>
            </w:r>
          </w:p>
        </w:tc>
      </w:tr>
      <w:tr>
        <w:trPr>
          <w:trHeight w:val="243"/>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252,529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3"/>
              </w:rPr>
              <w:t>(75,687 )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199,176</w:t>
            </w:r>
          </w:p>
        </w:tc>
        <w:tc>
          <w:tcPr>
            <w:tcW w:w="100" w:type="dxa"/>
            <w:vAlign w:val="bottom"/>
          </w:tcPr>
          <w:p>
            <w:pPr>
              <w:spacing w:after="0"/>
              <w:rPr>
                <w:sz w:val="20"/>
                <w:szCs w:val="20"/>
                <w:color w:val="auto"/>
              </w:rPr>
            </w:pPr>
          </w:p>
        </w:tc>
      </w:tr>
      <w:tr>
        <w:trPr>
          <w:trHeight w:val="20"/>
        </w:trPr>
        <w:tc>
          <w:tcPr>
            <w:tcW w:w="69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5577840</wp:posOffset>
            </wp:positionH>
            <wp:positionV relativeFrom="paragraph">
              <wp:posOffset>-187960</wp:posOffset>
            </wp:positionV>
            <wp:extent cx="60325"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-187960</wp:posOffset>
            </wp:positionV>
            <wp:extent cx="60325"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231F20"/>
        </w:rPr>
        <w:t>Net Cash Used in Operating Activities</w:t>
      </w:r>
    </w:p>
    <w:p>
      <w:pPr>
        <w:spacing w:after="0" w:line="119" w:lineRule="exact"/>
        <w:rPr>
          <w:sz w:val="20"/>
          <w:szCs w:val="20"/>
          <w:color w:val="auto"/>
        </w:rPr>
      </w:pPr>
    </w:p>
    <w:p>
      <w:pPr>
        <w:ind w:right="80" w:firstLine="419"/>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2022 was $76.0 million, consisting primarily of a net loss of $86.2 million and a net change in our operating assets and liabilities of $5.7 million, partially offset by non-cash charges of $16.0 million. The change in our net operating assets and liabilities was primarily due to a $6.8 million increase in accounts receivable and a $3.3 million increase in inventory to support the continued growth of our operations. The Company had a $0.7 million decrease in accounts payable, while accrued compensation, as well as accrued and other current liabilities, increased $4.0 million, driven by the timing of payments on invoices and bonuses. The non-cash charges primarily consisted of $13.0 million related to stock-based compensation, $0.7 million of depreciation, $0.7 of accretion of debt discount and amortization of debt issuance costs, and $0.5 million of noncash operating lease expense.</w:t>
      </w:r>
    </w:p>
    <w:p>
      <w:pPr>
        <w:spacing w:after="0" w:line="189" w:lineRule="exact"/>
        <w:rPr>
          <w:sz w:val="20"/>
          <w:szCs w:val="20"/>
          <w:color w:val="auto"/>
        </w:rPr>
      </w:pPr>
    </w:p>
    <w:p>
      <w:pPr>
        <w:ind w:right="40" w:firstLine="419"/>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2021 was $52.5 million, consisting primarily of a net loss of $63.0 million and a net change in our operating assets and liabilities of $4.3 million, partially offset by non-cash charges of $14.7 million. The change in our net operating assets and liabilities was primarily due to a $3.7 million increase in accounts receivable, a $3.0 million increase in our prepaid expenses to support the continued growth of our operations, and a $1.3 million increase in inventory. Partially offsetting those changes was a $1.2 million increase in accounts payable, a $1.9 million increase in accrued compensation, and a $0.3 million increase in accrued and other current liabilities, driven by the timing of payments on invoices and bonuses. The non-cash charges primarily consisted of $6.9</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37" w:right="419" w:bottom="1440" w:gutter="0" w:footer="0" w:header="0"/>
        </w:sectPr>
      </w:pPr>
    </w:p>
    <w:bookmarkStart w:id="69" w:name="page70"/>
    <w:bookmarkEnd w:id="69"/>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million from the fair value remeasurement of our convertible preferred stock warrants, $5.1 million related to stock-based compensation, $0.7 million of accretion of debt discount and amortization of debt issuance costs, $0.6 million in depreciation and amortization, $0.6 million of noncash operating lease expense, and $0.4 million provision for excess and obsolete inventories.</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231F20"/>
        </w:rPr>
        <w:t>Net Cash Used in Investing Activities</w:t>
      </w:r>
    </w:p>
    <w:p>
      <w:pPr>
        <w:spacing w:after="0" w:line="119" w:lineRule="exact"/>
        <w:rPr>
          <w:sz w:val="20"/>
          <w:szCs w:val="20"/>
          <w:color w:val="auto"/>
        </w:rPr>
      </w:pPr>
    </w:p>
    <w:p>
      <w:pPr>
        <w:ind w:right="20" w:firstLine="419"/>
        <w:spacing w:after="0" w:line="282" w:lineRule="auto"/>
        <w:rPr>
          <w:sz w:val="20"/>
          <w:szCs w:val="20"/>
          <w:color w:val="auto"/>
        </w:rPr>
      </w:pPr>
      <w:r>
        <w:rPr>
          <w:rFonts w:ascii="Times New Roman" w:cs="Times New Roman" w:eastAsia="Times New Roman" w:hAnsi="Times New Roman"/>
          <w:sz w:val="18"/>
          <w:szCs w:val="18"/>
          <w:color w:val="231F20"/>
        </w:rPr>
        <w:t>Net cash used in investing activities in the years ended December 31, 2022 and 2021 was $1.0 and $0.8 million, consisting of purchases of property and equipment.</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231F20"/>
        </w:rPr>
        <w:t>Net Cash Provided by (Used in) Financing Activities</w:t>
      </w:r>
    </w:p>
    <w:p>
      <w:pPr>
        <w:spacing w:after="0" w:line="119" w:lineRule="exact"/>
        <w:rPr>
          <w:sz w:val="20"/>
          <w:szCs w:val="20"/>
          <w:color w:val="auto"/>
        </w:rPr>
      </w:pPr>
    </w:p>
    <w:p>
      <w:pPr>
        <w:ind w:right="260" w:firstLine="419"/>
        <w:spacing w:after="0" w:line="282" w:lineRule="auto"/>
        <w:rPr>
          <w:sz w:val="20"/>
          <w:szCs w:val="20"/>
          <w:color w:val="auto"/>
        </w:rPr>
      </w:pPr>
      <w:r>
        <w:rPr>
          <w:rFonts w:ascii="Times New Roman" w:cs="Times New Roman" w:eastAsia="Times New Roman" w:hAnsi="Times New Roman"/>
          <w:sz w:val="18"/>
          <w:szCs w:val="18"/>
          <w:color w:val="231F20"/>
        </w:rPr>
        <w:t>Net cash provided by financing activities in the year ended December 31, 2022 of $1.2 million primarily relates to proceeds from the exercise of common stock options and proceeds from employee stock purchase plan purchases.</w:t>
      </w:r>
    </w:p>
    <w:p>
      <w:pPr>
        <w:spacing w:after="0" w:line="162" w:lineRule="exact"/>
        <w:rPr>
          <w:sz w:val="20"/>
          <w:szCs w:val="20"/>
          <w:color w:val="auto"/>
        </w:rPr>
      </w:pPr>
    </w:p>
    <w:p>
      <w:pPr>
        <w:ind w:right="60" w:firstLine="419"/>
        <w:spacing w:after="0" w:line="282" w:lineRule="auto"/>
        <w:rPr>
          <w:sz w:val="20"/>
          <w:szCs w:val="20"/>
          <w:color w:val="auto"/>
        </w:rPr>
      </w:pPr>
      <w:r>
        <w:rPr>
          <w:rFonts w:ascii="Times New Roman" w:cs="Times New Roman" w:eastAsia="Times New Roman" w:hAnsi="Times New Roman"/>
          <w:sz w:val="18"/>
          <w:szCs w:val="18"/>
          <w:color w:val="231F20"/>
        </w:rPr>
        <w:t>Net cash provided by financing activities in the year ended December 31, 2021 of $252.5 million primarily relates to proceeds from the issuance of common stock, net of related offering costs, of $252.2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Sources of Liquidity</w:t>
      </w:r>
    </w:p>
    <w:p>
      <w:pPr>
        <w:spacing w:after="0" w:line="121" w:lineRule="exact"/>
        <w:rPr>
          <w:sz w:val="20"/>
          <w:szCs w:val="20"/>
          <w:color w:val="auto"/>
        </w:rPr>
      </w:pPr>
    </w:p>
    <w:p>
      <w:pPr>
        <w:ind w:right="20" w:firstLine="419"/>
        <w:spacing w:after="0" w:line="261" w:lineRule="auto"/>
        <w:rPr>
          <w:sz w:val="20"/>
          <w:szCs w:val="20"/>
          <w:color w:val="auto"/>
        </w:rPr>
      </w:pPr>
      <w:r>
        <w:rPr>
          <w:rFonts w:ascii="Times New Roman" w:cs="Times New Roman" w:eastAsia="Times New Roman" w:hAnsi="Times New Roman"/>
          <w:sz w:val="18"/>
          <w:szCs w:val="18"/>
          <w:color w:val="231F20"/>
        </w:rPr>
        <w:t>To date, our primary sources of capital have been private placements of redeemable convertible preferred stock, debt financing agreements, the sale of common stock in our IPO, and revenue from the sale of our products. Since our inception, we have raised an aggregate of approximately $402.4 million in net proceeds from sales of our redeemable convertible preferred stock and common stock and borrowed $32.9 million of net proceeds under our term loans.</w:t>
      </w:r>
    </w:p>
    <w:p>
      <w:pPr>
        <w:spacing w:after="0" w:line="180" w:lineRule="exact"/>
        <w:rPr>
          <w:sz w:val="20"/>
          <w:szCs w:val="20"/>
          <w:color w:val="auto"/>
        </w:rPr>
      </w:pPr>
    </w:p>
    <w:p>
      <w:pPr>
        <w:ind w:right="20" w:firstLine="419"/>
        <w:spacing w:after="0" w:line="261" w:lineRule="auto"/>
        <w:rPr>
          <w:sz w:val="20"/>
          <w:szCs w:val="20"/>
          <w:color w:val="auto"/>
        </w:rPr>
      </w:pPr>
      <w:r>
        <w:rPr>
          <w:rFonts w:ascii="Times New Roman" w:cs="Times New Roman" w:eastAsia="Times New Roman" w:hAnsi="Times New Roman"/>
          <w:sz w:val="18"/>
          <w:szCs w:val="18"/>
          <w:color w:val="231F20"/>
        </w:rPr>
        <w:t>As of December 31, 2022, we had cash and cash equivalents of $185.0 million, an accumulated deficit of $239.2 million and $35.0 million outstanding under our term loan agreement (before debt discount). Based on our current planned operations, we expect our cash and cash equivalents and additional borrowings available under the 2020 Term Loan and the 2020 Revolver will enable us to fund our operations for at least the next twelve months and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MidCap Loan Agreements</w:t>
      </w:r>
    </w:p>
    <w:p>
      <w:pPr>
        <w:spacing w:after="0" w:line="121" w:lineRule="exact"/>
        <w:rPr>
          <w:sz w:val="20"/>
          <w:szCs w:val="20"/>
          <w:color w:val="auto"/>
        </w:rPr>
      </w:pPr>
    </w:p>
    <w:p>
      <w:pPr>
        <w:ind w:right="60" w:firstLine="419"/>
        <w:spacing w:after="0" w:line="256" w:lineRule="auto"/>
        <w:rPr>
          <w:sz w:val="20"/>
          <w:szCs w:val="20"/>
          <w:color w:val="auto"/>
        </w:rPr>
      </w:pPr>
      <w:r>
        <w:rPr>
          <w:rFonts w:ascii="Times New Roman" w:cs="Times New Roman" w:eastAsia="Times New Roman" w:hAnsi="Times New Roman"/>
          <w:sz w:val="18"/>
          <w:szCs w:val="18"/>
          <w:color w:val="auto"/>
        </w:rPr>
        <w:t>In January 2019, we entered into credit and security agreements with MidCap Financial Services (the "Lender"), which provided a maximum of $25.0 million credit facility consisting of a $20.0 million senior secured term loan (the "2019 Term Loan") and a $5.0 million 2019 revolving loan (the "2019 Revolver" and collectively with the 2019 Term Loan, the “2019 MidCap Credit Facility”). In November 2020, we entered into amended and restated credit and security agreements with the same institution, which replaced the 2019 MidCap Credit Facility, and provided for a maximum of $40.0 million credit facility consisting of a $35.0 million senior secured term loan (the "2020 Term Loan") and a $5.0 million revolving loan (the "2020 Revolver and collectively with the 2020 Term Loan, the “2020 MidCap Credit Facility”).</w:t>
      </w:r>
    </w:p>
    <w:p>
      <w:pPr>
        <w:spacing w:after="0" w:line="187" w:lineRule="exact"/>
        <w:rPr>
          <w:sz w:val="20"/>
          <w:szCs w:val="20"/>
          <w:color w:val="auto"/>
        </w:rPr>
      </w:pPr>
    </w:p>
    <w:p>
      <w:pPr>
        <w:ind w:firstLine="419"/>
        <w:spacing w:after="0" w:line="256" w:lineRule="auto"/>
        <w:rPr>
          <w:sz w:val="20"/>
          <w:szCs w:val="20"/>
          <w:color w:val="auto"/>
        </w:rPr>
      </w:pPr>
      <w:r>
        <w:rPr>
          <w:rFonts w:ascii="Times New Roman" w:cs="Times New Roman" w:eastAsia="Times New Roman" w:hAnsi="Times New Roman"/>
          <w:sz w:val="18"/>
          <w:szCs w:val="18"/>
          <w:color w:val="231F20"/>
        </w:rPr>
        <w:t>Our obligations under the 2020 MidCap Credit Facility are guaranteed by us and our future subsidiaries, subject to exceptions for certain foreign subsidiaries. Our obligations under the agreements are secured by substantially all of our assets, including our material intellectual property. Additionally, we are subject to customary affirmative and negative covenants, including covenants that limit or restrict the ability of us to, among other things, incur indebtedness, grant liens, merge or consolidate, make investments, dispose of assets, make acquisitions, pay dividends or make distributions, repurchase stock and enter into certain transactions with affiliates, in each case subject to certain exceptions. As of December 31, 2022, we were in compliance with all financial and non-financial covenants.</w:t>
      </w:r>
    </w:p>
    <w:p>
      <w:pPr>
        <w:spacing w:after="0" w:line="187" w:lineRule="exact"/>
        <w:rPr>
          <w:sz w:val="20"/>
          <w:szCs w:val="20"/>
          <w:color w:val="auto"/>
        </w:rPr>
      </w:pPr>
    </w:p>
    <w:p>
      <w:pPr>
        <w:ind w:right="420" w:firstLine="419"/>
        <w:spacing w:after="0" w:line="312" w:lineRule="auto"/>
        <w:rPr>
          <w:sz w:val="20"/>
          <w:szCs w:val="20"/>
          <w:color w:val="auto"/>
        </w:rPr>
      </w:pPr>
      <w:r>
        <w:rPr>
          <w:rFonts w:ascii="Times New Roman" w:cs="Times New Roman" w:eastAsia="Times New Roman" w:hAnsi="Times New Roman"/>
          <w:sz w:val="17"/>
          <w:szCs w:val="17"/>
          <w:color w:val="231F20"/>
        </w:rPr>
        <w:t>The 2019 MidCap Credit Facility and 2020 MidCap Credit Facility each contain events of default that include, among others, non-payment of principal, interest or fees, breach of covenants, inaccuracy of representations and warranties, cross-defaults and bankruptcy and insolvency events.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31F20"/>
        </w:rPr>
        <w:t>2020 Term Loan</w:t>
      </w:r>
    </w:p>
    <w:p>
      <w:pPr>
        <w:spacing w:after="0" w:line="117" w:lineRule="exact"/>
        <w:rPr>
          <w:sz w:val="20"/>
          <w:szCs w:val="20"/>
          <w:color w:val="auto"/>
        </w:rPr>
      </w:pPr>
    </w:p>
    <w:p>
      <w:pPr>
        <w:ind w:right="80" w:firstLine="419"/>
        <w:spacing w:after="0" w:line="266" w:lineRule="auto"/>
        <w:rPr>
          <w:sz w:val="20"/>
          <w:szCs w:val="20"/>
          <w:color w:val="auto"/>
        </w:rPr>
      </w:pPr>
      <w:r>
        <w:rPr>
          <w:rFonts w:ascii="Times New Roman" w:cs="Times New Roman" w:eastAsia="Times New Roman" w:hAnsi="Times New Roman"/>
          <w:sz w:val="18"/>
          <w:szCs w:val="18"/>
          <w:color w:val="231F20"/>
        </w:rPr>
        <w:t xml:space="preserve">The 2020 Term Loan agreement amended the maturity date to November 1, 2025 and adjusted the stated floating interest rate to reserve-adjusted SOFR, </w:t>
      </w:r>
      <w:r>
        <w:rPr>
          <w:rFonts w:ascii="Times New Roman" w:cs="Times New Roman" w:eastAsia="Times New Roman" w:hAnsi="Times New Roman"/>
          <w:sz w:val="18"/>
          <w:szCs w:val="18"/>
          <w:i w:val="1"/>
          <w:iCs w:val="1"/>
          <w:color w:val="231F20"/>
        </w:rPr>
        <w:t>plus</w:t>
      </w:r>
      <w:r>
        <w:rPr>
          <w:rFonts w:ascii="Times New Roman" w:cs="Times New Roman" w:eastAsia="Times New Roman" w:hAnsi="Times New Roman"/>
          <w:sz w:val="18"/>
          <w:szCs w:val="18"/>
          <w:color w:val="231F20"/>
        </w:rPr>
        <w:t xml:space="preserve"> 7.00%. Outstanding principal amounts of Tranche One Loans and Tranche Two Loans borrowed under the 2019 Term Loan were designated as Tranche One Loans and Tranche Two Loans under the</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37" w:right="399" w:bottom="1440" w:gutter="0" w:footer="0" w:header="0"/>
        </w:sectPr>
      </w:pPr>
    </w:p>
    <w:bookmarkStart w:id="70" w:name="page71"/>
    <w:bookmarkEnd w:id="70"/>
    <w:p>
      <w:pPr>
        <w:ind w:right="20"/>
        <w:spacing w:after="0" w:line="258" w:lineRule="auto"/>
        <w:rPr>
          <w:sz w:val="20"/>
          <w:szCs w:val="20"/>
          <w:color w:val="auto"/>
        </w:rPr>
      </w:pPr>
      <w:r>
        <w:rPr>
          <w:rFonts w:ascii="Times New Roman" w:cs="Times New Roman" w:eastAsia="Times New Roman" w:hAnsi="Times New Roman"/>
          <w:sz w:val="18"/>
          <w:szCs w:val="18"/>
          <w:color w:val="231F20"/>
        </w:rPr>
        <w:t>2020 Term Loan. The Tranche Three Loan commitment amount was increased to $21.0 million and the full amount was drawn in November 2020. Principal payments under the 2020 Term Loan have been extended and are scheduled to begin in December 2023. However, if certain conditions are met, the initiation of principal payments can be delayed to December 2024. We currently expect that we will be in a position to meet the conditions necessary to extend the commencement date for the initiation of principal payments under the 2020 Term Loan from December 1, 2023 to December 1, 2024. In addition, the final payment fee was amended to 6.0%. We are subject to certain financial and non-financial covenants.</w:t>
      </w:r>
    </w:p>
    <w:p>
      <w:pPr>
        <w:spacing w:after="0" w:line="183" w:lineRule="exact"/>
        <w:rPr>
          <w:sz w:val="20"/>
          <w:szCs w:val="20"/>
          <w:color w:val="auto"/>
        </w:rPr>
      </w:pPr>
    </w:p>
    <w:p>
      <w:pPr>
        <w:ind w:right="240" w:firstLine="419"/>
        <w:spacing w:after="0" w:line="282" w:lineRule="auto"/>
        <w:rPr>
          <w:sz w:val="20"/>
          <w:szCs w:val="20"/>
          <w:color w:val="auto"/>
        </w:rPr>
      </w:pPr>
      <w:r>
        <w:rPr>
          <w:rFonts w:ascii="Times New Roman" w:cs="Times New Roman" w:eastAsia="Times New Roman" w:hAnsi="Times New Roman"/>
          <w:sz w:val="18"/>
          <w:szCs w:val="18"/>
          <w:color w:val="231F20"/>
        </w:rPr>
        <w:t>We incurred $0.7 million of issuance costs in conjunction with the 2020 Term Loan which were netted against the borrowed funds in the balance sheet and are being accreted using the effective interest method as interest expense over the contractual period of five years.</w:t>
      </w:r>
    </w:p>
    <w:p>
      <w:pPr>
        <w:spacing w:after="0" w:line="162" w:lineRule="exact"/>
        <w:rPr>
          <w:sz w:val="20"/>
          <w:szCs w:val="20"/>
          <w:color w:val="auto"/>
        </w:rPr>
      </w:pPr>
    </w:p>
    <w:p>
      <w:pPr>
        <w:ind w:firstLine="419"/>
        <w:spacing w:after="0" w:line="261" w:lineRule="auto"/>
        <w:rPr>
          <w:sz w:val="20"/>
          <w:szCs w:val="20"/>
          <w:color w:val="auto"/>
        </w:rPr>
      </w:pPr>
      <w:r>
        <w:rPr>
          <w:rFonts w:ascii="Times New Roman" w:cs="Times New Roman" w:eastAsia="Times New Roman" w:hAnsi="Times New Roman"/>
          <w:sz w:val="18"/>
          <w:szCs w:val="18"/>
          <w:color w:val="231F20"/>
        </w:rPr>
        <w:t>In conjunction with the funding of the 2020 Term Loan, we issued a 10-year warrant to the Lender to purchase 300,000 shares of our Series F redeemable convertible preferred stock at an exercise price of $21.88 per share, or the 2020 MidCap Warrant, with the estimated fair value of $1.8 million. The 2020 MidCap Warrants were recorded at the fair value as a debt discount and as a warrant liability. The debt discount is being accreted using the effective interest method as interest expense over the contractual period of four years for the 2020 Term Loan.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31F20"/>
        </w:rPr>
        <w:t>2020 Revolver</w:t>
      </w:r>
    </w:p>
    <w:p>
      <w:pPr>
        <w:spacing w:after="0" w:line="117" w:lineRule="exact"/>
        <w:rPr>
          <w:sz w:val="20"/>
          <w:szCs w:val="20"/>
          <w:color w:val="auto"/>
        </w:rPr>
      </w:pPr>
    </w:p>
    <w:p>
      <w:pPr>
        <w:ind w:right="80" w:firstLine="419"/>
        <w:spacing w:after="0" w:line="266" w:lineRule="auto"/>
        <w:rPr>
          <w:sz w:val="20"/>
          <w:szCs w:val="20"/>
          <w:color w:val="auto"/>
        </w:rPr>
      </w:pPr>
      <w:r>
        <w:rPr>
          <w:rFonts w:ascii="Times New Roman" w:cs="Times New Roman" w:eastAsia="Times New Roman" w:hAnsi="Times New Roman"/>
          <w:sz w:val="18"/>
          <w:szCs w:val="18"/>
          <w:color w:val="231F20"/>
        </w:rPr>
        <w:t>The maturity date of the 2020 Revolver was amended to November 1, 2025 and the stated floating interest rate was adjusted to reserve-adjusted SOFR plus 7.00%. As of December 31, 2022, $5.0 million was available to be drawn under the 2020 Revolver which remains undrawn. Other key terms of the 2020 Revolver remained substantially unchanged compared to those of 2019 Revolver.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Lease Agreements</w:t>
      </w:r>
    </w:p>
    <w:p>
      <w:pPr>
        <w:spacing w:after="0" w:line="119" w:lineRule="exact"/>
        <w:rPr>
          <w:sz w:val="20"/>
          <w:szCs w:val="20"/>
          <w:color w:val="auto"/>
        </w:rPr>
      </w:pPr>
    </w:p>
    <w:p>
      <w:pPr>
        <w:ind w:right="40" w:firstLine="419"/>
        <w:spacing w:after="0" w:line="261" w:lineRule="auto"/>
        <w:rPr>
          <w:sz w:val="20"/>
          <w:szCs w:val="20"/>
          <w:color w:val="auto"/>
        </w:rPr>
      </w:pPr>
      <w:r>
        <w:rPr>
          <w:rFonts w:ascii="Times New Roman" w:cs="Times New Roman" w:eastAsia="Times New Roman" w:hAnsi="Times New Roman"/>
          <w:sz w:val="18"/>
          <w:szCs w:val="18"/>
          <w:color w:val="auto"/>
        </w:rPr>
        <w:t>Our corporate headquarters are located in Menlo Park, California, where we lease approximately 11,000 square feet of office, research and development, engineering and laboratory space pursuant to a lease that commenced on August 1, 2021, and expires on August 31, 2024. We also lease approximately 2,040 square feet of office space, which is primarily used by our commercial leadership team, in Southlake, Texas, pursuant to a lease that commenced on April 30, 2019 and expires on May 15,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Critical Accounting Estimates</w:t>
      </w:r>
    </w:p>
    <w:p>
      <w:pPr>
        <w:spacing w:after="0" w:line="121" w:lineRule="exact"/>
        <w:rPr>
          <w:sz w:val="20"/>
          <w:szCs w:val="20"/>
          <w:color w:val="auto"/>
        </w:rPr>
      </w:pPr>
    </w:p>
    <w:p>
      <w:pPr>
        <w:ind w:right="60" w:firstLine="419"/>
        <w:spacing w:after="0" w:line="258" w:lineRule="auto"/>
        <w:rPr>
          <w:sz w:val="20"/>
          <w:szCs w:val="20"/>
          <w:color w:val="auto"/>
        </w:rPr>
      </w:pPr>
      <w:r>
        <w:rPr>
          <w:rFonts w:ascii="Times New Roman" w:cs="Times New Roman" w:eastAsia="Times New Roman" w:hAnsi="Times New Roman"/>
          <w:sz w:val="18"/>
          <w:szCs w:val="18"/>
          <w:color w:val="231F20"/>
        </w:rPr>
        <w:t>Our financial statements have been prepared in accordance with U.S. generally accepted accounting principles, or GAAP. The preparation of these financial statements requires us to make estimates and assumptions for the reported amounts of assets, liabilities, revenue,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83" w:lineRule="exact"/>
        <w:rPr>
          <w:sz w:val="20"/>
          <w:szCs w:val="20"/>
          <w:color w:val="auto"/>
        </w:rPr>
      </w:pPr>
    </w:p>
    <w:p>
      <w:pPr>
        <w:ind w:right="200" w:firstLine="419"/>
        <w:spacing w:after="0" w:line="266" w:lineRule="auto"/>
        <w:rPr>
          <w:sz w:val="20"/>
          <w:szCs w:val="20"/>
          <w:color w:val="auto"/>
        </w:rPr>
      </w:pPr>
      <w:r>
        <w:rPr>
          <w:rFonts w:ascii="Times New Roman" w:cs="Times New Roman" w:eastAsia="Times New Roman" w:hAnsi="Times New Roman"/>
          <w:sz w:val="18"/>
          <w:szCs w:val="18"/>
          <w:color w:val="231F20"/>
        </w:rPr>
        <w:t>While our significant accounting policies are more fully described in Note 2 to our financial statements included elsewhere in this Annual Report on Form 10-K, we believe the following discussion addresses our most critical accounting policies, which are those that are most important to our financial condition and results of operations and require our most difficult, subjective and complex judgments.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Stock-Based Compensation</w:t>
      </w:r>
    </w:p>
    <w:p>
      <w:pPr>
        <w:spacing w:after="0" w:line="121" w:lineRule="exact"/>
        <w:rPr>
          <w:sz w:val="20"/>
          <w:szCs w:val="20"/>
          <w:color w:val="auto"/>
        </w:rPr>
      </w:pPr>
    </w:p>
    <w:p>
      <w:pPr>
        <w:ind w:right="100" w:firstLine="419"/>
        <w:spacing w:after="0" w:line="258" w:lineRule="auto"/>
        <w:rPr>
          <w:sz w:val="20"/>
          <w:szCs w:val="20"/>
          <w:color w:val="auto"/>
        </w:rPr>
      </w:pPr>
      <w:r>
        <w:rPr>
          <w:rFonts w:ascii="Times New Roman" w:cs="Times New Roman" w:eastAsia="Times New Roman" w:hAnsi="Times New Roman"/>
          <w:sz w:val="18"/>
          <w:szCs w:val="18"/>
          <w:color w:val="231F20"/>
        </w:rPr>
        <w:t>We maintain an equity incentive plan that permits the grant of share-based awards, such as stock options and restricted stock units (RSUs), to employees and directors. We recognize equity-based compensation expense for awards of equity instruments based on the grant date fair value of those awards. We estimate the fair value of our stock option awards made to employees and directors based on the estimated fair values as of the grant date using the Black-Scholes option-pricing model, net of estimated forfeitures. The model requires us to make a number of assumptions, including expected volatility, expected term, risk-free interest rate, and expected dividend yield.</w:t>
      </w:r>
    </w:p>
    <w:p>
      <w:pPr>
        <w:spacing w:after="0" w:line="75" w:lineRule="exact"/>
        <w:rPr>
          <w:sz w:val="20"/>
          <w:szCs w:val="20"/>
          <w:color w:val="auto"/>
        </w:rPr>
      </w:pPr>
    </w:p>
    <w:p>
      <w:pPr>
        <w:ind w:right="180" w:firstLine="419"/>
        <w:spacing w:after="0" w:line="282" w:lineRule="auto"/>
        <w:rPr>
          <w:sz w:val="20"/>
          <w:szCs w:val="20"/>
          <w:color w:val="auto"/>
        </w:rPr>
      </w:pPr>
      <w:r>
        <w:rPr>
          <w:rFonts w:ascii="Times New Roman" w:cs="Times New Roman" w:eastAsia="Times New Roman" w:hAnsi="Times New Roman"/>
          <w:sz w:val="18"/>
          <w:szCs w:val="18"/>
          <w:color w:val="231F20"/>
        </w:rPr>
        <w:t>The fair value of restricted stock unit ("RSU") awards is determined based on the number of units granted and the closing price of the Company's common stock as of the grant date. We expense the fair value of our equity-based</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37" w:right="3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231F20"/>
        </w:rPr>
        <w:t>compensation awards on a straight-line basis over the requisite service period, which is the period in which the related services are received.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firstLine="419"/>
        <w:spacing w:after="0" w:line="282" w:lineRule="auto"/>
        <w:rPr>
          <w:sz w:val="20"/>
          <w:szCs w:val="20"/>
          <w:color w:val="auto"/>
        </w:rPr>
      </w:pPr>
      <w:r>
        <w:rPr>
          <w:rFonts w:ascii="Times New Roman" w:cs="Times New Roman" w:eastAsia="Times New Roman" w:hAnsi="Times New Roman"/>
          <w:sz w:val="18"/>
          <w:szCs w:val="18"/>
          <w:color w:val="auto"/>
        </w:rPr>
        <w:t>See Note 2 to our consolidated financial statements appearing under Part II, Item 8 for more information about recent accounting pronouncements, the timing of their adoption, and our assessment.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40" w:top="337" w:right="479" w:bottom="1440" w:gutter="0" w:footer="0" w:header="0"/>
        </w:sectPr>
      </w:pPr>
    </w:p>
    <w:bookmarkStart w:id="72" w:name="page73"/>
    <w:bookmarkEnd w:id="72"/>
    <w:tbl>
      <w:tblPr>
        <w:tblLayout w:type="fixed"/>
        <w:tblInd w:w="10" w:type="dxa"/>
        <w:tblCellMar>
          <w:top w:w="0" w:type="dxa"/>
          <w:left w:w="0" w:type="dxa"/>
          <w:bottom w:w="0" w:type="dxa"/>
          <w:right w:w="0" w:type="dxa"/>
        </w:tblCellMar>
      </w:tblPr>
      <w:tr>
        <w:trPr>
          <w:trHeight w:val="238"/>
        </w:trPr>
        <w:tc>
          <w:tcPr>
            <w:tcW w:w="83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700" w:type="dxa"/>
            <w:vAlign w:val="bottom"/>
          </w:tcPr>
          <w:p>
            <w:pPr>
              <w:spacing w:after="0"/>
              <w:rPr>
                <w:sz w:val="20"/>
                <w:szCs w:val="20"/>
                <w:color w:val="auto"/>
              </w:rPr>
            </w:pPr>
          </w:p>
        </w:tc>
      </w:tr>
      <w:tr>
        <w:trPr>
          <w:trHeight w:val="540"/>
        </w:trPr>
        <w:tc>
          <w:tcPr>
            <w:tcW w:w="3180" w:type="dxa"/>
            <w:vAlign w:val="bottom"/>
          </w:tcPr>
          <w:p>
            <w:pPr>
              <w:spacing w:after="0"/>
              <w:rPr>
                <w:sz w:val="24"/>
                <w:szCs w:val="24"/>
                <w:color w:val="auto"/>
              </w:rPr>
            </w:pPr>
          </w:p>
        </w:tc>
        <w:tc>
          <w:tcPr>
            <w:tcW w:w="516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2700" w:type="dxa"/>
            <w:vAlign w:val="bottom"/>
          </w:tcPr>
          <w:p>
            <w:pPr>
              <w:spacing w:after="0"/>
              <w:rPr>
                <w:sz w:val="24"/>
                <w:szCs w:val="24"/>
                <w:color w:val="auto"/>
              </w:rPr>
            </w:pPr>
          </w:p>
        </w:tc>
      </w:tr>
      <w:tr>
        <w:trPr>
          <w:trHeight w:val="445"/>
        </w:trPr>
        <w:tc>
          <w:tcPr>
            <w:tcW w:w="8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Number 34)</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3180" w:type="dxa"/>
            <w:vAlign w:val="bottom"/>
            <w:tcBorders>
              <w:left w:val="single" w:sz="8" w:color="0000FF"/>
              <w:right w:val="single" w:sz="8" w:color="0000EE"/>
            </w:tcBorders>
            <w:shd w:val="clear" w:color="auto" w:fill="0000EE"/>
          </w:tcPr>
          <w:p>
            <w:pPr>
              <w:spacing w:after="0" w:line="20" w:lineRule="exact"/>
              <w:rPr>
                <w:sz w:val="1"/>
                <w:szCs w:val="1"/>
                <w:color w:val="auto"/>
              </w:rPr>
            </w:pPr>
          </w:p>
        </w:tc>
        <w:tc>
          <w:tcPr>
            <w:tcW w:w="1500" w:type="dxa"/>
            <w:vAlign w:val="bottom"/>
            <w:tcBorders>
              <w:right w:val="single" w:sz="8" w:color="0000EE"/>
            </w:tcBorders>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23"/>
        </w:trPr>
        <w:tc>
          <w:tcPr>
            <w:tcW w:w="8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2022 and 2021</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31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EE"/>
            </w:tcBorders>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23"/>
        </w:trPr>
        <w:tc>
          <w:tcPr>
            <w:tcW w:w="8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Years ended December 31, 2022 and 2021</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3180" w:type="dxa"/>
            <w:vAlign w:val="bottom"/>
            <w:tcBorders>
              <w:left w:val="single" w:sz="8" w:color="0000FF"/>
              <w:right w:val="single" w:sz="8" w:color="0000EE"/>
            </w:tcBorders>
            <w:shd w:val="clear" w:color="auto" w:fill="0000EE"/>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23"/>
        </w:trPr>
        <w:tc>
          <w:tcPr>
            <w:tcW w:w="8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2022 and 2021</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3180" w:type="dxa"/>
            <w:vAlign w:val="bottom"/>
            <w:tcBorders>
              <w:left w:val="single" w:sz="8" w:color="0000FF"/>
              <w:right w:val="single" w:sz="8" w:color="0000EE"/>
            </w:tcBorders>
            <w:shd w:val="clear" w:color="auto" w:fill="0000EE"/>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23"/>
        </w:trPr>
        <w:tc>
          <w:tcPr>
            <w:tcW w:w="8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2022 and 2021</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31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23"/>
        </w:trPr>
        <w:tc>
          <w:tcPr>
            <w:tcW w:w="8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31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333"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Sight Sciences,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3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Sight Sciences, Inc. and subsidiaries (the "Company") as of December 31, 2022 and 2021, the related consolidated statements of operations and comprehensive loss, stockholders'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3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40" w:top="333" w:right="47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SIGHT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260,687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 net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209,677</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277,035</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213,073</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280,186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17,817</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13,504</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32,656</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52,997</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48,079</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par value of $0.001 per share; 10,000,000 authorized; no shares issued and</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as of December 31, 2022 and 2021, respectively</w:t>
            </w:r>
          </w:p>
        </w:tc>
        <w:tc>
          <w:tcPr>
            <w:tcW w:w="2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par value of $0.001 per share; 200,000,000 shares authorized as of December 31,</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2022 and 2021, respectively; 48,298,138 and 47,504,704 shares issued and outstanding as of</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2022 and 2021, respectively</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399,271</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385,060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(239,243 )</w:t>
            </w:r>
          </w:p>
        </w:tc>
        <w:tc>
          <w:tcPr>
            <w:tcW w:w="2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(153,001 )</w:t>
            </w:r>
          </w:p>
        </w:tc>
      </w:tr>
      <w:tr>
        <w:trPr>
          <w:trHeight w:val="23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160,076</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232,107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213,073</w:t>
            </w:r>
          </w:p>
        </w:tc>
        <w:tc>
          <w:tcPr>
            <w:tcW w:w="2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280,186</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-3128645</wp:posOffset>
            </wp:positionV>
            <wp:extent cx="1234440" cy="1803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34440" cy="18034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-1859280</wp:posOffset>
            </wp:positionV>
            <wp:extent cx="6858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SIGHT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gridSpan w:val="5"/>
          </w:tcPr>
          <w:p>
            <w:pPr>
              <w:jc w:val="right"/>
              <w:ind w:right="92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69"/>
        </w:trPr>
        <w:tc>
          <w:tcPr>
            <w:tcW w:w="77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71,331</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48,956</w:t>
            </w: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12,361</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8,610</w:t>
            </w:r>
          </w:p>
        </w:tc>
        <w:tc>
          <w:tcPr>
            <w:tcW w:w="100" w:type="dxa"/>
            <w:vAlign w:val="bottom"/>
          </w:tcPr>
          <w:p>
            <w:pPr>
              <w:spacing w:after="0"/>
              <w:rPr>
                <w:sz w:val="20"/>
                <w:szCs w:val="20"/>
                <w:color w:val="auto"/>
              </w:rPr>
            </w:pPr>
          </w:p>
        </w:tc>
      </w:tr>
      <w:tr>
        <w:trPr>
          <w:trHeight w:val="241"/>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58,970</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40,346</w:t>
            </w: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22,859</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15,634</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120,065</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76,190</w:t>
            </w:r>
          </w:p>
        </w:tc>
        <w:tc>
          <w:tcPr>
            <w:tcW w:w="100" w:type="dxa"/>
            <w:vAlign w:val="bottom"/>
          </w:tcPr>
          <w:p>
            <w:pPr>
              <w:spacing w:after="0"/>
              <w:rPr>
                <w:sz w:val="20"/>
                <w:szCs w:val="20"/>
                <w:color w:val="auto"/>
              </w:rPr>
            </w:pPr>
          </w:p>
        </w:tc>
      </w:tr>
      <w:tr>
        <w:trPr>
          <w:trHeight w:val="237"/>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142,924</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91,824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(83,954 )</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(51,478 )</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(4,466 )</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(4,366 )</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(6,928 )</w:t>
            </w:r>
          </w:p>
        </w:tc>
      </w:tr>
      <w:tr>
        <w:trPr>
          <w:trHeight w:val="241"/>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(86,195</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(62,772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0"/>
                <w:szCs w:val="20"/>
                <w:color w:val="auto"/>
              </w:rPr>
            </w:pPr>
          </w:p>
        </w:tc>
      </w:tr>
      <w:tr>
        <w:trPr>
          <w:trHeight w:val="23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(86,242</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(62,960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(1.80 )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(2.36 )</w:t>
            </w:r>
          </w:p>
        </w:tc>
      </w:tr>
      <w:tr>
        <w:trPr>
          <w:trHeight w:val="277"/>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380" w:type="dxa"/>
            <w:vAlign w:val="bottom"/>
            <w:tcBorders>
              <w:top w:val="single" w:sz="8" w:color="auto"/>
              <w:bottom w:val="single" w:sz="8" w:color="auto"/>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47,849,058</w:t>
            </w: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26,734,097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-1302385</wp:posOffset>
            </wp:positionV>
            <wp:extent cx="68580" cy="163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-350520</wp:posOffset>
            </wp:positionV>
            <wp:extent cx="6858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SIGHT 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ectPr>
          <w:pgSz w:w="11900" w:h="16838" w:orient="portrait"/>
          <w:cols w:equalWidth="0" w:num="1">
            <w:col w:w="11180"/>
          </w:cols>
          <w:pgMar w:left="340" w:top="333" w:right="379" w:bottom="1440" w:gutter="0" w:footer="0" w:header="0"/>
        </w:sect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214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0" w:type="dxa"/>
            <w:vAlign w:val="bottom"/>
          </w:tcPr>
          <w:p>
            <w:pPr>
              <w:spacing w:after="0"/>
              <w:rPr>
                <w:sz w:val="1"/>
                <w:szCs w:val="1"/>
                <w:color w:val="auto"/>
              </w:rPr>
            </w:pPr>
          </w:p>
        </w:tc>
      </w:tr>
      <w:tr>
        <w:trPr>
          <w:trHeight w:val="187"/>
        </w:trPr>
        <w:tc>
          <w:tcPr>
            <w:tcW w:w="372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3720" w:type="dxa"/>
            <w:vAlign w:val="bottom"/>
          </w:tcPr>
          <w:p>
            <w:pPr>
              <w:spacing w:after="0"/>
              <w:rPr>
                <w:sz w:val="24"/>
                <w:szCs w:val="24"/>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12,767,202</w:t>
            </w:r>
          </w:p>
        </w:tc>
        <w:tc>
          <w:tcPr>
            <w:tcW w:w="2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$ 117,331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redeemable convertible preferred</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stock to common stock upon initial public</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offering</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(12,767,202 )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(117,331 )</w:t>
            </w:r>
          </w:p>
        </w:tc>
        <w:tc>
          <w:tcPr>
            <w:tcW w:w="0" w:type="dxa"/>
            <w:vAlign w:val="bottom"/>
          </w:tcPr>
          <w:p>
            <w:pPr>
              <w:spacing w:after="0"/>
              <w:rPr>
                <w:sz w:val="1"/>
                <w:szCs w:val="1"/>
                <w:color w:val="auto"/>
              </w:rPr>
            </w:pPr>
          </w:p>
        </w:tc>
      </w:tr>
      <w:tr>
        <w:trPr>
          <w:trHeight w:val="22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initial public offering, net of underwriting</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discounts and commissions and other offering</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costs of $23.8 million</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redeemable convertible preferred</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stock warrants to common stock warrants upon</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initial public offering</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common stock warrants</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2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 vesting of</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ESPP Purchase</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2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-3865245</wp:posOffset>
            </wp:positionV>
            <wp:extent cx="713232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-3282315</wp:posOffset>
            </wp:positionV>
            <wp:extent cx="7132320" cy="5657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5657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-2287905</wp:posOffset>
            </wp:positionV>
            <wp:extent cx="713232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-1979295</wp:posOffset>
            </wp:positionV>
            <wp:extent cx="713232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-1662430</wp:posOffset>
            </wp:positionV>
            <wp:extent cx="7132320" cy="291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-1079500</wp:posOffset>
            </wp:positionV>
            <wp:extent cx="7132320" cy="291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-633730</wp:posOffset>
            </wp:positionV>
            <wp:extent cx="713232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-316865</wp:posOffset>
            </wp:positionV>
            <wp:extent cx="7132320" cy="3175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00" w:type="dxa"/>
            <w:vAlign w:val="bottom"/>
            <w:gridSpan w:val="4"/>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3"/>
                <w:szCs w:val="13"/>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gridSpan w:val="2"/>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60" w:type="dxa"/>
            <w:vAlign w:val="bottom"/>
          </w:tcPr>
          <w:p>
            <w:pPr>
              <w:spacing w:after="0"/>
              <w:rPr>
                <w:sz w:val="13"/>
                <w:szCs w:val="13"/>
                <w:color w:val="auto"/>
              </w:rPr>
            </w:pPr>
          </w:p>
        </w:tc>
        <w:tc>
          <w:tcPr>
            <w:tcW w:w="86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900" w:type="dxa"/>
            <w:vAlign w:val="bottom"/>
            <w:tcBorders>
              <w:bottom w:val="single" w:sz="8" w:color="auto"/>
            </w:tcBorders>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2"/>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d</w:t>
            </w:r>
          </w:p>
        </w:tc>
        <w:tc>
          <w:tcPr>
            <w:tcW w:w="1020" w:type="dxa"/>
            <w:vAlign w:val="bottom"/>
            <w:gridSpan w:val="3"/>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1"/>
        </w:trPr>
        <w:tc>
          <w:tcPr>
            <w:tcW w:w="92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40" w:type="dxa"/>
            <w:vAlign w:val="bottom"/>
            <w:gridSpan w:val="2"/>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1"/>
                <w:szCs w:val="11"/>
                <w:color w:val="auto"/>
              </w:rPr>
            </w:pPr>
          </w:p>
        </w:tc>
        <w:tc>
          <w:tcPr>
            <w:tcW w:w="860" w:type="dxa"/>
            <w:vAlign w:val="bottom"/>
            <w:gridSpan w:val="2"/>
          </w:tcPr>
          <w:p>
            <w:pPr>
              <w:jc w:val="center"/>
              <w:ind w:right="201"/>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7"/>
        </w:trPr>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8"/>
        </w:trPr>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9,509,182</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(90,041</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(88,849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36"/>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25,534,40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117,305</w:t>
            </w:r>
          </w:p>
        </w:tc>
        <w:tc>
          <w:tcPr>
            <w:tcW w:w="200" w:type="dxa"/>
            <w:vAlign w:val="bottom"/>
          </w:tcPr>
          <w:p>
            <w:pPr>
              <w:spacing w:after="0"/>
              <w:rPr>
                <w:sz w:val="20"/>
                <w:szCs w:val="20"/>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252,162</w:t>
            </w:r>
          </w:p>
        </w:tc>
        <w:tc>
          <w:tcPr>
            <w:tcW w:w="200" w:type="dxa"/>
            <w:vAlign w:val="bottom"/>
          </w:tcPr>
          <w:p>
            <w:pPr>
              <w:spacing w:after="0"/>
              <w:rPr>
                <w:sz w:val="20"/>
                <w:szCs w:val="20"/>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200" w:type="dxa"/>
            <w:vAlign w:val="bottom"/>
          </w:tcPr>
          <w:p>
            <w:pPr>
              <w:spacing w:after="0"/>
              <w:rPr>
                <w:sz w:val="24"/>
                <w:szCs w:val="24"/>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483,554</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(1 )</w:t>
            </w: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477,564</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200" w:type="dxa"/>
            <w:vAlign w:val="bottom"/>
          </w:tcPr>
          <w:p>
            <w:pPr>
              <w:spacing w:after="0"/>
              <w:rPr>
                <w:sz w:val="21"/>
                <w:szCs w:val="21"/>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(62,960 )</w:t>
            </w:r>
          </w:p>
        </w:tc>
        <w:tc>
          <w:tcPr>
            <w:tcW w:w="16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(62,960 )</w:t>
            </w:r>
          </w:p>
        </w:tc>
        <w:tc>
          <w:tcPr>
            <w:tcW w:w="0" w:type="dxa"/>
            <w:vAlign w:val="bottom"/>
          </w:tcPr>
          <w:p>
            <w:pPr>
              <w:spacing w:after="0"/>
              <w:rPr>
                <w:sz w:val="1"/>
                <w:szCs w:val="1"/>
                <w:color w:val="auto"/>
              </w:rPr>
            </w:pPr>
          </w:p>
        </w:tc>
      </w:tr>
      <w:tr>
        <w:trPr>
          <w:trHeight w:val="211"/>
        </w:trPr>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47,504,70</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385,060</w:t>
            </w:r>
          </w:p>
        </w:tc>
        <w:tc>
          <w:tcPr>
            <w:tcW w:w="20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(153,001 )</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683,482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00" w:type="dxa"/>
            <w:vAlign w:val="bottom"/>
          </w:tcPr>
          <w:p>
            <w:pPr>
              <w:spacing w:after="0"/>
              <w:rPr>
                <w:sz w:val="24"/>
                <w:szCs w:val="24"/>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11,028</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98,924</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00" w:type="dxa"/>
            <w:vAlign w:val="bottom"/>
          </w:tcPr>
          <w:p>
            <w:pPr>
              <w:spacing w:after="0"/>
              <w:rPr>
                <w:sz w:val="21"/>
                <w:szCs w:val="21"/>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12,963</w:t>
            </w:r>
          </w:p>
        </w:tc>
        <w:tc>
          <w:tcPr>
            <w:tcW w:w="200" w:type="dxa"/>
            <w:vAlign w:val="bottom"/>
          </w:tcPr>
          <w:p>
            <w:pPr>
              <w:spacing w:after="0"/>
              <w:rPr>
                <w:sz w:val="21"/>
                <w:szCs w:val="21"/>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(86,242 )</w:t>
            </w:r>
          </w:p>
        </w:tc>
        <w:tc>
          <w:tcPr>
            <w:tcW w:w="16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(86,242 )</w:t>
            </w:r>
          </w:p>
        </w:tc>
        <w:tc>
          <w:tcPr>
            <w:tcW w:w="0" w:type="dxa"/>
            <w:vAlign w:val="bottom"/>
          </w:tcPr>
          <w:p>
            <w:pPr>
              <w:spacing w:after="0"/>
              <w:rPr>
                <w:sz w:val="1"/>
                <w:szCs w:val="1"/>
                <w:color w:val="auto"/>
              </w:rPr>
            </w:pPr>
          </w:p>
        </w:tc>
      </w:tr>
      <w:tr>
        <w:trPr>
          <w:trHeight w:val="211"/>
        </w:trPr>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48,298,13</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399,271</w:t>
            </w:r>
          </w:p>
        </w:tc>
        <w:tc>
          <w:tcPr>
            <w:tcW w:w="20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(239,243 )</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60" w:space="140"/>
            <w:col w:w="5180"/>
          </w:cols>
          <w:pgMar w:left="340" w:top="333"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333" w:right="379" w:bottom="1440"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SIGHT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(86,242 )</w:t>
            </w:r>
          </w:p>
        </w:tc>
        <w:tc>
          <w:tcPr>
            <w:tcW w:w="980" w:type="dxa"/>
            <w:vAlign w:val="bottom"/>
          </w:tcPr>
          <w:p>
            <w:pPr>
              <w:jc w:val="right"/>
              <w:ind w:right="80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(62,960 )</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Accretion of debt discount and amortization of debt issuance costs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12,963</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5,083</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Provision for doubtful accounts receivable</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Provision for excess and obsolete inventories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Noncash operating lease cost</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fair value of redeemable convertible preferred stock warrant</w:t>
            </w:r>
          </w:p>
        </w:tc>
        <w:tc>
          <w:tcPr>
            <w:tcW w:w="980" w:type="dxa"/>
            <w:vAlign w:val="bottom"/>
          </w:tcPr>
          <w:p>
            <w:pPr>
              <w:spacing w:after="0"/>
              <w:rPr>
                <w:sz w:val="19"/>
                <w:szCs w:val="19"/>
                <w:color w:val="auto"/>
              </w:rPr>
            </w:pPr>
          </w:p>
        </w:tc>
        <w:tc>
          <w:tcPr>
            <w:tcW w:w="8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6,861</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(6,841 )</w:t>
            </w:r>
          </w:p>
        </w:tc>
        <w:tc>
          <w:tcPr>
            <w:tcW w:w="98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(3,694 )</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Inventory</w:t>
            </w:r>
          </w:p>
        </w:tc>
        <w:tc>
          <w:tcPr>
            <w:tcW w:w="980" w:type="dxa"/>
            <w:vAlign w:val="bottom"/>
          </w:tcPr>
          <w:p>
            <w:pPr>
              <w:spacing w:after="0"/>
              <w:rPr>
                <w:sz w:val="19"/>
                <w:szCs w:val="19"/>
                <w:color w:val="auto"/>
              </w:rPr>
            </w:pPr>
          </w:p>
        </w:tc>
        <w:tc>
          <w:tcPr>
            <w:tcW w:w="8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(3,253 )</w:t>
            </w:r>
          </w:p>
        </w:tc>
        <w:tc>
          <w:tcPr>
            <w:tcW w:w="9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(1,313 )</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(3,003 )</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noncurrent assets</w:t>
            </w:r>
          </w:p>
        </w:tc>
        <w:tc>
          <w:tcPr>
            <w:tcW w:w="980" w:type="dxa"/>
            <w:vAlign w:val="bottom"/>
          </w:tcPr>
          <w:p>
            <w:pPr>
              <w:spacing w:after="0"/>
              <w:rPr>
                <w:sz w:val="19"/>
                <w:szCs w:val="19"/>
                <w:color w:val="auto"/>
              </w:rPr>
            </w:pPr>
          </w:p>
        </w:tc>
        <w:tc>
          <w:tcPr>
            <w:tcW w:w="8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(10 )</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(694 )</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compensation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2,634</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2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(75,965</w:t>
            </w:r>
          </w:p>
        </w:tc>
        <w:tc>
          <w:tcPr>
            <w:tcW w:w="28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(52,540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(970 )</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(813 )</w:t>
            </w:r>
          </w:p>
        </w:tc>
      </w:tr>
      <w:tr>
        <w:trPr>
          <w:trHeight w:val="23"/>
        </w:trPr>
        <w:tc>
          <w:tcPr>
            <w:tcW w:w="7720" w:type="dxa"/>
            <w:vAlign w:val="bottom"/>
            <w:shd w:val="clear" w:color="auto" w:fill="CFF0F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980" w:type="dxa"/>
            <w:vAlign w:val="bottom"/>
          </w:tcPr>
          <w:p>
            <w:pPr>
              <w:spacing w:after="0"/>
              <w:rPr>
                <w:sz w:val="19"/>
                <w:szCs w:val="19"/>
                <w:color w:val="auto"/>
              </w:rPr>
            </w:pPr>
          </w:p>
        </w:tc>
        <w:tc>
          <w:tcPr>
            <w:tcW w:w="8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(970 )</w:t>
            </w:r>
          </w:p>
        </w:tc>
        <w:tc>
          <w:tcPr>
            <w:tcW w:w="9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(813 )</w:t>
            </w:r>
          </w:p>
        </w:tc>
      </w:tr>
      <w:tr>
        <w:trPr>
          <w:trHeight w:val="22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2"/>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upon initial public offering, net of underwriting discounts and</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commissions</w:t>
            </w:r>
          </w:p>
        </w:tc>
        <w:tc>
          <w:tcPr>
            <w:tcW w:w="980" w:type="dxa"/>
            <w:vAlign w:val="bottom"/>
          </w:tcPr>
          <w:p>
            <w:pPr>
              <w:spacing w:after="0"/>
              <w:rPr>
                <w:sz w:val="19"/>
                <w:szCs w:val="19"/>
                <w:color w:val="auto"/>
              </w:rPr>
            </w:pPr>
          </w:p>
        </w:tc>
        <w:tc>
          <w:tcPr>
            <w:tcW w:w="8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256,680</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 of other offering costs related to the initial public offering</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(4,506 )</w:t>
            </w: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exercise of common stock options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Pr>
          <w:p>
            <w:pPr>
              <w:spacing w:after="0"/>
              <w:rPr>
                <w:sz w:val="19"/>
                <w:szCs w:val="19"/>
                <w:color w:val="auto"/>
              </w:rPr>
            </w:pPr>
          </w:p>
        </w:tc>
      </w:tr>
      <w:tr>
        <w:trPr>
          <w:trHeight w:val="23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employee stock purchase plan purchases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7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280" w:type="dxa"/>
            <w:vAlign w:val="bottom"/>
            <w:tcBorders>
              <w:top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252,529</w:t>
            </w:r>
          </w:p>
        </w:tc>
        <w:tc>
          <w:tcPr>
            <w:tcW w:w="100" w:type="dxa"/>
            <w:vAlign w:val="bottom"/>
            <w:tcBorders>
              <w:top w:val="single" w:sz="8" w:color="CFF0FC"/>
            </w:tcBorders>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(75,687</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199,176</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260,687</w:t>
            </w:r>
          </w:p>
        </w:tc>
        <w:tc>
          <w:tcPr>
            <w:tcW w:w="2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61,511</w:t>
            </w:r>
          </w:p>
        </w:tc>
        <w:tc>
          <w:tcPr>
            <w:tcW w:w="100" w:type="dxa"/>
            <w:vAlign w:val="bottom"/>
          </w:tcPr>
          <w:p>
            <w:pPr>
              <w:spacing w:after="0"/>
              <w:rPr>
                <w:sz w:val="19"/>
                <w:szCs w:val="19"/>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980" w:type="dxa"/>
            <w:vAlign w:val="bottom"/>
            <w:tcBorders>
              <w:bottom w:val="single" w:sz="8" w:color="auto"/>
            </w:tcBorders>
            <w:shd w:val="clear" w:color="auto" w:fill="CFF0FC"/>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185,000</w:t>
            </w:r>
          </w:p>
        </w:tc>
        <w:tc>
          <w:tcPr>
            <w:tcW w:w="2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ind w:right="80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260,687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3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980" w:type="dxa"/>
            <w:vAlign w:val="bottom"/>
            <w:shd w:val="clear" w:color="auto" w:fill="CFF0FC"/>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3,252</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80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3,105</w:t>
            </w:r>
          </w:p>
        </w:tc>
        <w:tc>
          <w:tcPr>
            <w:tcW w:w="100" w:type="dxa"/>
            <w:vAlign w:val="bottom"/>
            <w:shd w:val="clear" w:color="auto" w:fill="CFF0FC"/>
          </w:tcPr>
          <w:p>
            <w:pPr>
              <w:spacing w:after="0"/>
              <w:rPr>
                <w:sz w:val="20"/>
                <w:szCs w:val="20"/>
                <w:color w:val="auto"/>
              </w:rPr>
            </w:pP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information</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Acquisition of property and equipment included in accounts payable and accrued liabilities</w:t>
            </w:r>
          </w:p>
        </w:tc>
        <w:tc>
          <w:tcPr>
            <w:tcW w:w="980" w:type="dxa"/>
            <w:vAlign w:val="bottom"/>
            <w:shd w:val="clear" w:color="auto" w:fill="CFF0FC"/>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80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issued on conversion of convertible preferred stock</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80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117,331</w:t>
            </w:r>
          </w:p>
        </w:tc>
        <w:tc>
          <w:tcPr>
            <w:tcW w:w="100" w:type="dxa"/>
            <w:vAlign w:val="bottom"/>
          </w:tcPr>
          <w:p>
            <w:pPr>
              <w:spacing w:after="0"/>
              <w:rPr>
                <w:sz w:val="19"/>
                <w:szCs w:val="19"/>
                <w:color w:val="auto"/>
              </w:rPr>
            </w:pPr>
          </w:p>
        </w:tc>
      </w:tr>
      <w:tr>
        <w:trPr>
          <w:trHeight w:val="21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Common stock warrants issued on conversion of preferred stock warrants and the reclassification of the warrant</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liability</w:t>
            </w:r>
          </w:p>
        </w:tc>
        <w:tc>
          <w:tcPr>
            <w:tcW w:w="980" w:type="dxa"/>
            <w:vAlign w:val="bottom"/>
            <w:shd w:val="clear" w:color="auto" w:fill="CFF0FC"/>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80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8,973</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-3102610</wp:posOffset>
            </wp:positionV>
            <wp:extent cx="6858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-2802255</wp:posOffset>
            </wp:positionV>
            <wp:extent cx="68580" cy="163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-2802255</wp:posOffset>
            </wp:positionV>
            <wp:extent cx="68580" cy="1631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-1782445</wp:posOffset>
            </wp:positionV>
            <wp:extent cx="68580" cy="1631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1631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-1173480</wp:posOffset>
            </wp:positionV>
            <wp:extent cx="1243330" cy="316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43330" cy="31686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SIGHT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The Company and Nature of Business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Description of Business</w:t>
      </w:r>
    </w:p>
    <w:p>
      <w:pPr>
        <w:spacing w:after="0" w:line="121" w:lineRule="exact"/>
        <w:rPr>
          <w:sz w:val="20"/>
          <w:szCs w:val="20"/>
          <w:color w:val="auto"/>
        </w:rPr>
      </w:pPr>
    </w:p>
    <w:p>
      <w:pPr>
        <w:ind w:right="340" w:firstLine="419"/>
        <w:spacing w:after="0" w:line="266" w:lineRule="auto"/>
        <w:rPr>
          <w:sz w:val="20"/>
          <w:szCs w:val="20"/>
          <w:color w:val="auto"/>
        </w:rPr>
      </w:pPr>
      <w:r>
        <w:rPr>
          <w:rFonts w:ascii="Times New Roman" w:cs="Times New Roman" w:eastAsia="Times New Roman" w:hAnsi="Times New Roman"/>
          <w:sz w:val="18"/>
          <w:szCs w:val="18"/>
          <w:color w:val="auto"/>
        </w:rPr>
        <w:t>Sight Sciences, Inc. (the “Company”) was incorporated in the State of Delaware in 2010. The Company is located and headquartered in Menlo Park, California and has principal commercial offices in Southlake, Texas. The Company is an ophthalmic medical device company focused on the development and commercialization of surgical and nonsurgical technologies for the treatment of prevalent eye diseases.</w:t>
      </w:r>
    </w:p>
    <w:p>
      <w:pPr>
        <w:spacing w:after="0" w:line="176" w:lineRule="exact"/>
        <w:rPr>
          <w:sz w:val="20"/>
          <w:szCs w:val="20"/>
          <w:color w:val="auto"/>
        </w:rPr>
      </w:pPr>
    </w:p>
    <w:p>
      <w:pPr>
        <w:ind w:right="40" w:firstLine="419"/>
        <w:spacing w:after="0" w:line="256" w:lineRule="auto"/>
        <w:rPr>
          <w:sz w:val="20"/>
          <w:szCs w:val="20"/>
          <w:color w:val="auto"/>
        </w:rPr>
      </w:pPr>
      <w:r>
        <w:rPr>
          <w:rFonts w:ascii="Times New Roman" w:cs="Times New Roman" w:eastAsia="Times New Roman" w:hAnsi="Times New Roman"/>
          <w:sz w:val="18"/>
          <w:szCs w:val="18"/>
          <w:color w:val="auto"/>
        </w:rPr>
        <w:t>The Company has two reportable operating segments: Surgical Glaucoma and Dry Eye. The product portfolio for the Surgical Glaucoma segment features the OMNI® Surgical System, a device that facilitates the performance of both canaloplasty and trabeculotomy with a single device and single corneal incision to reduce intraocular pressure in adult patients with primary open-angle glaucoma, as well as the SION™ Surgical Instrument, the first bladeless device used in goniotomy. The product portfolio for the Dry Eye segment consists of the TearCare® System ("TearCare") for ophthalmologists and optometrists. TearCare is a wearable eyelid technology that delivers highly targeted and adjustable heat to the meibomian glands of the eyelids in adult patients with evaporative dry eye disease due to meibomian gland disfunction.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21" w:lineRule="exact"/>
        <w:rPr>
          <w:sz w:val="20"/>
          <w:szCs w:val="20"/>
          <w:color w:val="auto"/>
        </w:rPr>
      </w:pPr>
    </w:p>
    <w:p>
      <w:pPr>
        <w:ind w:right="200" w:firstLine="419"/>
        <w:spacing w:after="0" w:line="261" w:lineRule="auto"/>
        <w:rPr>
          <w:sz w:val="20"/>
          <w:szCs w:val="20"/>
          <w:color w:val="auto"/>
        </w:rPr>
      </w:pPr>
      <w:r>
        <w:rPr>
          <w:rFonts w:ascii="Times New Roman" w:cs="Times New Roman" w:eastAsia="Times New Roman" w:hAnsi="Times New Roman"/>
          <w:sz w:val="18"/>
          <w:szCs w:val="18"/>
          <w:color w:val="auto"/>
        </w:rPr>
        <w:t>In July 2021, the Company completed an initial public offering (“IPO”) of its common stock in which the Company issued and sold 10,000,000 shares of its common stock, and sold an additional 1,500,000 shares of common stock upon the full exercise of the underwriters’ option to purchase additional shares of the Company's common stock. These sales occurred at the initial public offering price of $24.00 per share. The Company received net proceeds of approximately $252.2 million from the IPO.</w:t>
      </w:r>
    </w:p>
    <w:p>
      <w:pPr>
        <w:spacing w:after="0" w:line="180" w:lineRule="exact"/>
        <w:rPr>
          <w:sz w:val="20"/>
          <w:szCs w:val="20"/>
          <w:color w:val="auto"/>
        </w:rPr>
      </w:pPr>
    </w:p>
    <w:p>
      <w:pPr>
        <w:ind w:right="100" w:firstLine="419"/>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of the IPO, all then-outstanding shares of redeemable convertible preferred stock were converted into 25,534,404 shares of common stock. Further, all outstanding redeemable convertible preferred stock warrants were converted into warrants to purchase 659,028 shares of common stock, which resulted in the reclassification of the convertible preferred stock warrant liability to additional paid-in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Significant Risks and Uncertainties</w:t>
      </w:r>
    </w:p>
    <w:p>
      <w:pPr>
        <w:spacing w:after="0" w:line="121" w:lineRule="exact"/>
        <w:rPr>
          <w:sz w:val="20"/>
          <w:szCs w:val="20"/>
          <w:color w:val="auto"/>
        </w:rPr>
      </w:pPr>
    </w:p>
    <w:p>
      <w:pPr>
        <w:ind w:firstLine="419"/>
        <w:spacing w:after="0" w:line="261" w:lineRule="auto"/>
        <w:rPr>
          <w:sz w:val="20"/>
          <w:szCs w:val="20"/>
          <w:color w:val="auto"/>
        </w:rPr>
      </w:pPr>
      <w:r>
        <w:rPr>
          <w:rFonts w:ascii="Times New Roman" w:cs="Times New Roman" w:eastAsia="Times New Roman" w:hAnsi="Times New Roman"/>
          <w:sz w:val="18"/>
          <w:szCs w:val="18"/>
          <w:color w:val="auto"/>
        </w:rPr>
        <w:t>Since inception, the Company has incurred losses and negative cash flows from operations. As of December 31, 2022, the Company had an accumulated deficit of $239.2 million and recorded a net loss of $86.2 million for the year then ended and expects to incur additional losses in the future. If the Company’s revenue levels from its products are not sufficient or if the Company is unable to secure additional funding when desired, the Company may need to delay the development of its products, scale back its business and operations, or change its business strategy.</w:t>
      </w:r>
    </w:p>
    <w:p>
      <w:pPr>
        <w:spacing w:after="0" w:line="180" w:lineRule="exact"/>
        <w:rPr>
          <w:sz w:val="20"/>
          <w:szCs w:val="20"/>
          <w:color w:val="auto"/>
        </w:rPr>
      </w:pPr>
    </w:p>
    <w:p>
      <w:pPr>
        <w:ind w:right="20" w:firstLine="419"/>
        <w:spacing w:after="0" w:line="258" w:lineRule="auto"/>
        <w:rPr>
          <w:sz w:val="20"/>
          <w:szCs w:val="20"/>
          <w:color w:val="auto"/>
        </w:rPr>
      </w:pPr>
      <w:r>
        <w:rPr>
          <w:rFonts w:ascii="Times New Roman" w:cs="Times New Roman" w:eastAsia="Times New Roman" w:hAnsi="Times New Roman"/>
          <w:sz w:val="18"/>
          <w:szCs w:val="18"/>
          <w:color w:val="auto"/>
        </w:rPr>
        <w:t>The Company believes that its existing sources of liquidity will satisfy its working capital and capital requirements for at least 12 months from the issuance of its financial statements. Any failure to generate increased revenues, achieve improved gross margins, or control operating costs could require the Company to raise additional capital through equity or debt financing. Such additional financing may not be available on acceptable terms, or at all, and could require the Company to modify, delay, or abandon some of its planned future expansion or expenditures or reduce some of its ongoing operating costs, which could harm its business, operating results, financial condition, and ability to achieve its intended business objectives.</w:t>
      </w:r>
    </w:p>
    <w:p>
      <w:pPr>
        <w:spacing w:after="0" w:line="183" w:lineRule="exact"/>
        <w:rPr>
          <w:sz w:val="20"/>
          <w:szCs w:val="20"/>
          <w:color w:val="auto"/>
        </w:rPr>
      </w:pPr>
    </w:p>
    <w:p>
      <w:pPr>
        <w:ind w:right="20" w:firstLine="419"/>
        <w:spacing w:after="0" w:line="258" w:lineRule="auto"/>
        <w:rPr>
          <w:sz w:val="20"/>
          <w:szCs w:val="20"/>
          <w:color w:val="auto"/>
        </w:rPr>
      </w:pPr>
      <w:r>
        <w:rPr>
          <w:rFonts w:ascii="Times New Roman" w:cs="Times New Roman" w:eastAsia="Times New Roman" w:hAnsi="Times New Roman"/>
          <w:sz w:val="18"/>
          <w:szCs w:val="18"/>
          <w:color w:val="auto"/>
        </w:rPr>
        <w:t>Outbreaks of infectious diseases, including the COVID-19 pandemic, have impacted, and may in the future impact, demand for the Company's products, which are used in procedures and therapies that are considered elective. These incidents may cause the Company to experience reduced customer demand and may have an unfavorable impact on other areas of the Company's business including, but not limited to, supply chain, third party manufacturing, research and development costs and clinical studies. The full effect of these incidents on the Company's financial condition and results of operations is uncertain and cannot be predicted with confidence.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33"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Basis of Presentation</w:t>
      </w:r>
    </w:p>
    <w:p>
      <w:pPr>
        <w:spacing w:after="0" w:line="121" w:lineRule="exact"/>
        <w:rPr>
          <w:sz w:val="20"/>
          <w:szCs w:val="20"/>
          <w:color w:val="auto"/>
        </w:rPr>
      </w:pPr>
    </w:p>
    <w:p>
      <w:pPr>
        <w:ind w:right="160" w:firstLine="419"/>
        <w:spacing w:after="0" w:line="266" w:lineRule="auto"/>
        <w:rPr>
          <w:sz w:val="20"/>
          <w:szCs w:val="20"/>
          <w:color w:val="auto"/>
        </w:rPr>
      </w:pPr>
      <w:r>
        <w:rPr>
          <w:rFonts w:ascii="Times New Roman" w:cs="Times New Roman" w:eastAsia="Times New Roman" w:hAnsi="Times New Roman"/>
          <w:sz w:val="18"/>
          <w:szCs w:val="18"/>
          <w:color w:val="231F20"/>
        </w:rPr>
        <w:t>The consolidated financial statements have been prepared in accordance with accounting principles generally accepted in the United States of America (US GAAP). The Company’s consolidated financial statements include the accounts of the Company and its wholly owned subsidiaries, Sight Sciences UK, Ltd and Sight Sciences GmbH. All intercompany balances and transactions have been eliminated in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Use of Estimates</w:t>
      </w:r>
    </w:p>
    <w:p>
      <w:pPr>
        <w:spacing w:after="0" w:line="121" w:lineRule="exact"/>
        <w:rPr>
          <w:sz w:val="20"/>
          <w:szCs w:val="20"/>
          <w:color w:val="auto"/>
        </w:rPr>
      </w:pPr>
    </w:p>
    <w:p>
      <w:pPr>
        <w:ind w:right="60" w:firstLine="419"/>
        <w:spacing w:after="0" w:line="254" w:lineRule="auto"/>
        <w:rPr>
          <w:sz w:val="20"/>
          <w:szCs w:val="20"/>
          <w:color w:val="auto"/>
        </w:rPr>
      </w:pPr>
      <w:r>
        <w:rPr>
          <w:rFonts w:ascii="Times New Roman" w:cs="Times New Roman" w:eastAsia="Times New Roman" w:hAnsi="Times New Roman"/>
          <w:sz w:val="18"/>
          <w:szCs w:val="18"/>
          <w:color w:val="231F20"/>
        </w:rPr>
        <w:t>The preparation of financial statements in conformity with US GAAP requires management to make estimates and assumptions that affect the reported amounts of assets and liabilities, disclosure of contingent liabilities at the date of the financial statements, and the reported amounts of revenues and expense during the reporting period. The most significant estimates related to the provision for doubtful accounts receivable, inventory excess and obsolescence, the selection of useful lives of property and equipment, determination of the fair value of stock option grants, and provisions for income taxes and contingencies. Management evaluates its estimates and assumptions on an ongoing basis using historical experience and other factors, including the current economic environment, and makes adjustments when facts and circumstances dictate. These estimates are based on information available as of the date of the financial statements. Actual results could differ from these estimates and such differences could be material to the Company’s financial position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Fair Value of Financial Instruments</w:t>
      </w:r>
    </w:p>
    <w:p>
      <w:pPr>
        <w:spacing w:after="0" w:line="121" w:lineRule="exact"/>
        <w:rPr>
          <w:sz w:val="20"/>
          <w:szCs w:val="20"/>
          <w:color w:val="auto"/>
        </w:rPr>
      </w:pPr>
    </w:p>
    <w:p>
      <w:pPr>
        <w:ind w:right="240" w:firstLine="419"/>
        <w:spacing w:after="0" w:line="258" w:lineRule="auto"/>
        <w:rPr>
          <w:sz w:val="20"/>
          <w:szCs w:val="20"/>
          <w:color w:val="auto"/>
        </w:rPr>
      </w:pPr>
      <w:r>
        <w:rPr>
          <w:rFonts w:ascii="Times New Roman" w:cs="Times New Roman" w:eastAsia="Times New Roman" w:hAnsi="Times New Roman"/>
          <w:sz w:val="18"/>
          <w:szCs w:val="18"/>
          <w:color w:val="231F20"/>
        </w:rPr>
        <w:t>The Company’s financial instruments consist of cash and cash equivalents, accounts receivable, accounts payable, accrued liabilities, and short-term and long-term debt. The Company's cash equivalents include U.S. treasury securities that are classified as held-to-maturity and recorded at amortized cost in the financial statements. The Company states accounts receivable, accounts payable, and accrued and other current liabilities at their carrying value, which approximates fair value due to the short time to the expected receipt or payment. The carrying amount of the Company’s short-term debt approximates its fair value as the effective interest rate approximates market rates currently available to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Concentration of Credit Risk</w:t>
      </w:r>
    </w:p>
    <w:p>
      <w:pPr>
        <w:spacing w:after="0" w:line="121" w:lineRule="exact"/>
        <w:rPr>
          <w:sz w:val="20"/>
          <w:szCs w:val="20"/>
          <w:color w:val="auto"/>
        </w:rPr>
      </w:pPr>
    </w:p>
    <w:p>
      <w:pPr>
        <w:ind w:right="20" w:firstLine="419"/>
        <w:spacing w:after="0" w:line="261" w:lineRule="auto"/>
        <w:rPr>
          <w:sz w:val="20"/>
          <w:szCs w:val="20"/>
          <w:color w:val="auto"/>
        </w:rPr>
      </w:pPr>
      <w:r>
        <w:rPr>
          <w:rFonts w:ascii="Times New Roman" w:cs="Times New Roman" w:eastAsia="Times New Roman" w:hAnsi="Times New Roman"/>
          <w:sz w:val="18"/>
          <w:szCs w:val="18"/>
          <w:color w:val="231F20"/>
        </w:rPr>
        <w:t>Financial instruments that subject the Company to concentration of credit risk consist of cash and cash equivalents and accounts receivable. The Company’s cash and cash equivalents are deposited with a high-quality financial institution. Deposits at this institution may, at times, exceed federally insured limits. Management believes that this financial institution is financially sound and, accordingly, that minimal credit risk exists. The Company has not experienced any losses on its deposits of cash and cash equivalents.</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Company relies on third-party contract manufacturers for the manufacture of all of our commercial products currently available for sale.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Disruption in production would have a negative impact on the Company’s financial position, results of operations and cash flows.</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For the years ended December 31, 2022 and 2021, there were no customers that represented 10% or more of the Company's revenue.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Cash and Cash Equivalents</w:t>
      </w:r>
    </w:p>
    <w:p>
      <w:pPr>
        <w:spacing w:after="0" w:line="121"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231F20"/>
        </w:rPr>
        <w:t>The Company considers all highly liquid investments with an original maturity of 90 days or less, when purchased, to be cash and cash equivalents. As of December 31, 2022, cash and cash equivalents includes $144.3 million of U.S. treasury securities that are classified as held-to-maturity and recorded at amortized cost in the financial statements. As of December 31, 2022 and 2021, the remainder of cash and cash equivalents consists primarily of checking and savings deposits, which are recorded at cost, which approximate fair value. The Company’s cash balances exceed those that are federally insured. To date, the Company has not recognized any losses caused by uninsured balances.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Accounts Receivable and Provision for Doubtful Accounts</w:t>
      </w:r>
    </w:p>
    <w:p>
      <w:pPr>
        <w:spacing w:after="0" w:line="121" w:lineRule="exact"/>
        <w:rPr>
          <w:sz w:val="20"/>
          <w:szCs w:val="20"/>
          <w:color w:val="auto"/>
        </w:rPr>
      </w:pPr>
    </w:p>
    <w:p>
      <w:pPr>
        <w:ind w:right="100" w:firstLine="419"/>
        <w:spacing w:after="0" w:line="282" w:lineRule="auto"/>
        <w:rPr>
          <w:sz w:val="20"/>
          <w:szCs w:val="20"/>
          <w:color w:val="auto"/>
        </w:rPr>
      </w:pPr>
      <w:r>
        <w:rPr>
          <w:rFonts w:ascii="Times New Roman" w:cs="Times New Roman" w:eastAsia="Times New Roman" w:hAnsi="Times New Roman"/>
          <w:sz w:val="18"/>
          <w:szCs w:val="18"/>
          <w:color w:val="231F20"/>
        </w:rPr>
        <w:t>Accounts receivable are stated at invoiced amounts, net of estimated provisions for doubtful accounts. The majority of customers are not extended credit and, therefore, time to maturity for receivables is short. The Company makes estimates of</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33" w:right="419" w:bottom="1440" w:gutter="0" w:footer="0" w:header="0"/>
        </w:sectPr>
      </w:pPr>
    </w:p>
    <w:bookmarkStart w:id="80" w:name="page81"/>
    <w:bookmarkEnd w:id="80"/>
    <w:p>
      <w:pPr>
        <w:spacing w:after="0" w:line="258" w:lineRule="auto"/>
        <w:rPr>
          <w:sz w:val="20"/>
          <w:szCs w:val="20"/>
          <w:color w:val="auto"/>
        </w:rPr>
      </w:pPr>
      <w:r>
        <w:rPr>
          <w:rFonts w:ascii="Times New Roman" w:cs="Times New Roman" w:eastAsia="Times New Roman" w:hAnsi="Times New Roman"/>
          <w:sz w:val="18"/>
          <w:szCs w:val="18"/>
          <w:color w:val="231F20"/>
        </w:rPr>
        <w:t>the collectability of customer accounts and provisions based primarily on analysis of historical trends and experience and changes in customers’ financial condition. The Company uses its judgment, based on the best available facts and circumstances, and records a provision against amounts due to reduce the receivable to the amount that is expected to be collected. These specific provisions are reevaluated and adjusted as additional information is received that impacts the amount reserved. To date, the Company has not experienced material credit-related losses. The provision for doubtful accounts was $1.0 million and $0.6 million as of December 31, 2022 and 2021,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Inventory, net</w:t>
      </w:r>
    </w:p>
    <w:p>
      <w:pPr>
        <w:spacing w:after="0" w:line="121" w:lineRule="exact"/>
        <w:rPr>
          <w:sz w:val="20"/>
          <w:szCs w:val="20"/>
          <w:color w:val="auto"/>
        </w:rPr>
      </w:pPr>
    </w:p>
    <w:p>
      <w:pPr>
        <w:ind w:right="180" w:firstLine="419"/>
        <w:spacing w:after="0" w:line="255" w:lineRule="auto"/>
        <w:rPr>
          <w:sz w:val="20"/>
          <w:szCs w:val="20"/>
          <w:color w:val="auto"/>
        </w:rPr>
      </w:pPr>
      <w:r>
        <w:rPr>
          <w:rFonts w:ascii="Times New Roman" w:cs="Times New Roman" w:eastAsia="Times New Roman" w:hAnsi="Times New Roman"/>
          <w:sz w:val="18"/>
          <w:szCs w:val="18"/>
          <w:color w:val="231F20"/>
        </w:rPr>
        <w:t>Inventory represents finished goods purchased from a third-party manufacturer and is valued at the lower of cost or net realizable value. Cost is determined using actual costs on a first-in, first-out basis for all inventory. Net realizable value is determined as the estimated selling prices in the ordinary course of business, less reasonably predictable costs of completion, disposal, and transportation. The Company regularly reviews inventory quantities in consideration of actual loss experiences, projected future demand, and remaining shelf life to record a provision for excess and obsolete inventory when appropriate. The Company’s policy is to write down inventory that has become obsolete, inventory that has a cost basis in excess of its expected lower of cost or net realizable value, and inventory in excess of expected requirements. The estimate of excess quantities is judgmental and primarily dependent on the Company’s estimates of future demand for the particular product.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Property and Equipment, net</w:t>
      </w:r>
    </w:p>
    <w:p>
      <w:pPr>
        <w:spacing w:after="0" w:line="121" w:lineRule="exact"/>
        <w:rPr>
          <w:sz w:val="20"/>
          <w:szCs w:val="20"/>
          <w:color w:val="auto"/>
        </w:rPr>
      </w:pPr>
    </w:p>
    <w:p>
      <w:pPr>
        <w:ind w:right="60" w:firstLine="419"/>
        <w:spacing w:after="0" w:line="261" w:lineRule="auto"/>
        <w:rPr>
          <w:sz w:val="20"/>
          <w:szCs w:val="20"/>
          <w:color w:val="auto"/>
        </w:rPr>
      </w:pPr>
      <w:r>
        <w:rPr>
          <w:rFonts w:ascii="Times New Roman" w:cs="Times New Roman" w:eastAsia="Times New Roman" w:hAnsi="Times New Roman"/>
          <w:sz w:val="18"/>
          <w:szCs w:val="18"/>
          <w:color w:val="231F20"/>
        </w:rPr>
        <w:t>Property and equipment are recorded at cost, less accumulated depreciation. Repairs and maintenance costs are expensed as incurred. Depreciation is calculated using the straight-line method over the estimated useful lives of the assets, typically two to five years. When assets are retired or otherwise disposed of, the cost and accumulated depreciation are removed from the balance sheet and any resulting gain or loss is reflected in operations in the period realized.</w:t>
      </w:r>
    </w:p>
    <w:p>
      <w:pPr>
        <w:spacing w:after="0" w:line="180" w:lineRule="exact"/>
        <w:rPr>
          <w:sz w:val="20"/>
          <w:szCs w:val="20"/>
          <w:color w:val="auto"/>
        </w:rPr>
      </w:pPr>
    </w:p>
    <w:p>
      <w:pPr>
        <w:ind w:right="80" w:firstLine="419"/>
        <w:spacing w:after="0" w:line="266" w:lineRule="auto"/>
        <w:rPr>
          <w:sz w:val="20"/>
          <w:szCs w:val="20"/>
          <w:color w:val="auto"/>
        </w:rPr>
      </w:pPr>
      <w:r>
        <w:rPr>
          <w:rFonts w:ascii="Times New Roman" w:cs="Times New Roman" w:eastAsia="Times New Roman" w:hAnsi="Times New Roman"/>
          <w:sz w:val="18"/>
          <w:szCs w:val="18"/>
          <w:color w:val="231F20"/>
        </w:rPr>
        <w:t>Construction-in-process assets consist primarily of tools and equipment that have not yet been placed in service. These assets are stated at cost and are not depreciated. Once the assets are placed into service, assets are reclassified to the appropriate asset class based on their nature and depreciated in accordance with the useful lives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Impairment of Long-Lived Assets</w:t>
      </w:r>
    </w:p>
    <w:p>
      <w:pPr>
        <w:spacing w:after="0" w:line="121" w:lineRule="exact"/>
        <w:rPr>
          <w:sz w:val="20"/>
          <w:szCs w:val="20"/>
          <w:color w:val="auto"/>
        </w:rPr>
      </w:pPr>
    </w:p>
    <w:p>
      <w:pPr>
        <w:ind w:right="120" w:firstLine="419"/>
        <w:spacing w:after="0" w:line="256" w:lineRule="auto"/>
        <w:rPr>
          <w:sz w:val="20"/>
          <w:szCs w:val="20"/>
          <w:color w:val="auto"/>
        </w:rPr>
      </w:pPr>
      <w:r>
        <w:rPr>
          <w:rFonts w:ascii="Times New Roman" w:cs="Times New Roman" w:eastAsia="Times New Roman" w:hAnsi="Times New Roman"/>
          <w:sz w:val="18"/>
          <w:szCs w:val="18"/>
          <w:color w:val="231F20"/>
        </w:rPr>
        <w:t>The Company assesses long-lived assets, including property and equipment, whenever events or changes in business circumstances indicate that the carrying amount of the assets may not be fully recoverable. If indicators of impairment exist, an impairment loss may be recognized when estimated undiscounted future cash flows expected to result from the use of the assets and their eventual disposition are less than their carrying amount. Impairment, if any, is measured as the amount by which the carrying amount of the long-lived assets exceeds their fair value. Fair value is determined through various valuation techniques, including discounted cash flow models, quoted market values, and third-party independent appraisals, as considered necessary. The Company did not record any impairment of long-lived assets for the years ended December 31, 2022 and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Leases</w:t>
      </w:r>
    </w:p>
    <w:p>
      <w:pPr>
        <w:spacing w:after="0" w:line="121" w:lineRule="exact"/>
        <w:rPr>
          <w:sz w:val="20"/>
          <w:szCs w:val="20"/>
          <w:color w:val="auto"/>
        </w:rPr>
      </w:pPr>
    </w:p>
    <w:p>
      <w:pPr>
        <w:ind w:right="180" w:firstLine="419"/>
        <w:spacing w:after="0" w:line="261" w:lineRule="auto"/>
        <w:rPr>
          <w:sz w:val="20"/>
          <w:szCs w:val="20"/>
          <w:color w:val="auto"/>
        </w:rPr>
      </w:pPr>
      <w:r>
        <w:rPr>
          <w:rFonts w:ascii="Times New Roman" w:cs="Times New Roman" w:eastAsia="Times New Roman" w:hAnsi="Times New Roman"/>
          <w:sz w:val="18"/>
          <w:szCs w:val="18"/>
          <w:color w:val="231F20"/>
        </w:rPr>
        <w:t>Contractual arrangements that meet the definition of a lease are classified as operating or finance leases and are recorded on the balance sheets as both a right-of-use asset (“ROU asset”) and lease liability, calculated by discounting fixed lease payments over the lease term at the Company’s incremental borrowing rate (“IBR”). Lease ROU assets and lease obligations are recognized based on the present value of the future minimum lease payments over the lease term at commencement date. The Company currently does not have any finance leases.</w:t>
      </w:r>
    </w:p>
    <w:p>
      <w:pPr>
        <w:spacing w:after="0" w:line="180" w:lineRule="exact"/>
        <w:rPr>
          <w:sz w:val="20"/>
          <w:szCs w:val="20"/>
          <w:color w:val="auto"/>
        </w:rPr>
      </w:pPr>
    </w:p>
    <w:p>
      <w:pPr>
        <w:ind w:right="100" w:firstLine="419"/>
        <w:spacing w:after="0" w:line="255" w:lineRule="auto"/>
        <w:rPr>
          <w:sz w:val="20"/>
          <w:szCs w:val="20"/>
          <w:color w:val="auto"/>
        </w:rPr>
      </w:pPr>
      <w:r>
        <w:rPr>
          <w:rFonts w:ascii="Times New Roman" w:cs="Times New Roman" w:eastAsia="Times New Roman" w:hAnsi="Times New Roman"/>
          <w:sz w:val="18"/>
          <w:szCs w:val="18"/>
          <w:color w:val="231F20"/>
        </w:rPr>
        <w:t>Operating lease ROU assets are adjusted for (i) payments made at or before the commencement date, (ii) initial direct costs incurred, and (iii) tenant incentives under the lease. As the implicit rates for the operating leases are not determinable, the Company uses an IBR based on the information available at the respective lease commencement dates to determine the present value of future payments. IBR represents the interest rate that the Company would expect to incur at lease commencement to borrow an amount equal to the lease payments on a collateralized basis with similar terms and payments, in an economic environment where the leased asset is located. The Company considers a lease term to be the noncancelable period that it has the right to use the underlying asset, including any periods where it is reasonably certain the Company will exercise any option to extend the contract.</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37" w:right="419" w:bottom="1440" w:gutter="0" w:footer="0" w:header="0"/>
        </w:sectPr>
      </w:pPr>
    </w:p>
    <w:bookmarkStart w:id="81" w:name="page82"/>
    <w:bookmarkEnd w:id="81"/>
    <w:p>
      <w:pPr>
        <w:ind w:right="220" w:firstLine="419"/>
        <w:spacing w:after="0" w:line="256" w:lineRule="auto"/>
        <w:rPr>
          <w:sz w:val="20"/>
          <w:szCs w:val="20"/>
          <w:color w:val="auto"/>
        </w:rPr>
      </w:pPr>
      <w:r>
        <w:rPr>
          <w:rFonts w:ascii="Times New Roman" w:cs="Times New Roman" w:eastAsia="Times New Roman" w:hAnsi="Times New Roman"/>
          <w:sz w:val="18"/>
          <w:szCs w:val="18"/>
          <w:color w:val="231F20"/>
        </w:rPr>
        <w:t>Lease costs for minimum lease payments for operating leases are recognized on a straight-line basis over the lease term. Lease liabilities are increased by interest and reduced by payments each period, and the ROU asset is amortized over the lease term. Variable lease payments that do not depend on an index or rate are recognized as lease costs when incurred. In measuring the ROU assets and lease liabilities, the Company has elected to combine lease and non-lease components. The Company does not recognize ROU assets or lease liabilities for short-term leases, if any, having initial terms of 12 months or less at lease commencement as an accounting policy election, and recognizes rent expense on a straight-line basis over the lease term for these types of leases.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Revenue Recognition</w:t>
      </w:r>
    </w:p>
    <w:p>
      <w:pPr>
        <w:spacing w:after="0" w:line="121" w:lineRule="exact"/>
        <w:rPr>
          <w:sz w:val="20"/>
          <w:szCs w:val="20"/>
          <w:color w:val="auto"/>
        </w:rPr>
      </w:pPr>
    </w:p>
    <w:p>
      <w:pPr>
        <w:ind w:right="80" w:firstLine="419"/>
        <w:spacing w:after="0" w:line="282" w:lineRule="auto"/>
        <w:rPr>
          <w:sz w:val="20"/>
          <w:szCs w:val="20"/>
          <w:color w:val="auto"/>
        </w:rPr>
      </w:pPr>
      <w:r>
        <w:rPr>
          <w:rFonts w:ascii="Times New Roman" w:cs="Times New Roman" w:eastAsia="Times New Roman" w:hAnsi="Times New Roman"/>
          <w:sz w:val="18"/>
          <w:szCs w:val="18"/>
          <w:color w:val="231F20"/>
        </w:rPr>
        <w:t>The Company applies the following five steps in order to determine the appropriate amount of revenue to be recognized as it fulfills its obligations under each of its arrangements:</w:t>
      </w:r>
    </w:p>
    <w:p>
      <w:pPr>
        <w:spacing w:after="0" w:line="54" w:lineRule="exact"/>
        <w:rPr>
          <w:sz w:val="20"/>
          <w:szCs w:val="20"/>
          <w:color w:val="auto"/>
        </w:rPr>
      </w:pPr>
    </w:p>
    <w:p>
      <w:pPr>
        <w:ind w:left="800" w:hanging="283"/>
        <w:spacing w:after="0"/>
        <w:tabs>
          <w:tab w:leader="none" w:pos="80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Identify the contract with a customer,</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Identify the performance obligations in the contract,</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Determine the transaction price,</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Allocate the transaction price to performance obligations in the contract, and</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Recognize revenue as the performance obligations are satisfied.</w:t>
      </w:r>
    </w:p>
    <w:p>
      <w:pPr>
        <w:spacing w:after="0" w:line="117" w:lineRule="exact"/>
        <w:rPr>
          <w:sz w:val="20"/>
          <w:szCs w:val="20"/>
          <w:color w:val="auto"/>
        </w:rPr>
      </w:pPr>
    </w:p>
    <w:p>
      <w:pPr>
        <w:jc w:val="both"/>
        <w:ind w:right="40" w:firstLine="419"/>
        <w:spacing w:after="0" w:line="266" w:lineRule="auto"/>
        <w:rPr>
          <w:sz w:val="20"/>
          <w:szCs w:val="20"/>
          <w:color w:val="auto"/>
        </w:rPr>
      </w:pPr>
      <w:r>
        <w:rPr>
          <w:rFonts w:ascii="Times New Roman" w:cs="Times New Roman" w:eastAsia="Times New Roman" w:hAnsi="Times New Roman"/>
          <w:sz w:val="18"/>
          <w:szCs w:val="18"/>
          <w:color w:val="231F20"/>
        </w:rPr>
        <w:t>Revenue recognized during the years ended December 31, 2022 and 2021 relates entirely to the sale of the Company’s products within the Surgical Glaucoma and Dry Eye segments. These sales are primarily to hospitals, medical centers, and eyecare professions ("ECPs") throughout the United States through sales representatives and distributors.</w:t>
      </w:r>
    </w:p>
    <w:p>
      <w:pPr>
        <w:spacing w:after="0" w:line="176"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231F20"/>
        </w:rPr>
        <w:t>The Company’s revenue arrangements consist of a single performance obligation. Revenue is recognized at the point in time when control of the promised goods transfer to the Company’s customers. Revenue is measured at the amount of consideration expected to be received in exchange for the transfer of goods. The amount of revenue that is recognized is based on the transaction price, which represented the invoiced amounts and includes estimates of variable consideration, such as discounted, where applicable. The Company does not offer right of return, except in the case where items are defective as manufactured, and the company does not typically provide customers with a right to a refund. The amount of variable consideration included in the transaction price may be constrained and is included only to the extent that it is probable that a significant reversal in the amount of the cumulative revenue recognized under the contract will not occur in a future period. Payment terms, typically 30 days, are offered to customers and do not include a significant financing component. The Company extends credit to customers based upon their financial condition and credit history and generally require no collateral. The Company does not have any contract balances related to product sales.</w:t>
      </w:r>
    </w:p>
    <w:p>
      <w:pPr>
        <w:spacing w:after="0" w:line="188" w:lineRule="exact"/>
        <w:rPr>
          <w:sz w:val="20"/>
          <w:szCs w:val="20"/>
          <w:color w:val="auto"/>
        </w:rPr>
      </w:pPr>
    </w:p>
    <w:p>
      <w:pPr>
        <w:ind w:right="40" w:firstLine="419"/>
        <w:spacing w:after="0" w:line="258" w:lineRule="auto"/>
        <w:rPr>
          <w:sz w:val="20"/>
          <w:szCs w:val="20"/>
          <w:color w:val="auto"/>
        </w:rPr>
      </w:pPr>
      <w:r>
        <w:rPr>
          <w:rFonts w:ascii="Times New Roman" w:cs="Times New Roman" w:eastAsia="Times New Roman" w:hAnsi="Times New Roman"/>
          <w:sz w:val="18"/>
          <w:szCs w:val="18"/>
          <w:color w:val="231F20"/>
        </w:rPr>
        <w:t>Shipping and handling costs incurred for the delivery of goods to customers are included in cost of goods sold. In cases where the Company bills shipping and handling cost to customers, the Company classifies those amounts in net revenue. As a practical expedient, the Company recognizes the incremental costs of obtaining contracts, such as sales commissions, as an expense when incurred since the amortization period of the asset we otherwise would have recognized is one year or less. Sales commissions are recorded within selling, general, and administrative expenses in the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Cost of Goods Sold</w:t>
      </w:r>
    </w:p>
    <w:p>
      <w:pPr>
        <w:spacing w:after="0" w:line="121" w:lineRule="exact"/>
        <w:rPr>
          <w:sz w:val="20"/>
          <w:szCs w:val="20"/>
          <w:color w:val="auto"/>
        </w:rPr>
      </w:pPr>
    </w:p>
    <w:p>
      <w:pPr>
        <w:ind w:right="140" w:firstLine="419"/>
        <w:spacing w:after="0" w:line="266" w:lineRule="auto"/>
        <w:rPr>
          <w:sz w:val="20"/>
          <w:szCs w:val="20"/>
          <w:color w:val="auto"/>
        </w:rPr>
      </w:pPr>
      <w:r>
        <w:rPr>
          <w:rFonts w:ascii="Times New Roman" w:cs="Times New Roman" w:eastAsia="Times New Roman" w:hAnsi="Times New Roman"/>
          <w:sz w:val="18"/>
          <w:szCs w:val="18"/>
          <w:color w:val="231F20"/>
        </w:rPr>
        <w:t>The Company purchases its products from third-party manufacturers. Cost of goods sold consists primarily of costs related to materials, manufacturing overhead costs, reserves for excess, and obsolete and non-sellable inventories. Cost of goods sold also includes depreciation expense for production equipment and certain direct costs, such as shipping and handling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Research and Development</w:t>
      </w:r>
    </w:p>
    <w:p>
      <w:pPr>
        <w:spacing w:after="0" w:line="121" w:lineRule="exact"/>
        <w:rPr>
          <w:sz w:val="20"/>
          <w:szCs w:val="20"/>
          <w:color w:val="auto"/>
        </w:rPr>
      </w:pPr>
    </w:p>
    <w:p>
      <w:pPr>
        <w:ind w:right="460" w:firstLine="419"/>
        <w:spacing w:after="0" w:line="281" w:lineRule="auto"/>
        <w:rPr>
          <w:sz w:val="20"/>
          <w:szCs w:val="20"/>
          <w:color w:val="auto"/>
        </w:rPr>
      </w:pPr>
      <w:r>
        <w:rPr>
          <w:rFonts w:ascii="Times New Roman" w:cs="Times New Roman" w:eastAsia="Times New Roman" w:hAnsi="Times New Roman"/>
          <w:sz w:val="17"/>
          <w:szCs w:val="17"/>
          <w:color w:val="231F20"/>
        </w:rPr>
        <w:t>The Company expenses research and development costs as incurred. Research and development expenses consist primarily of product development, clinical studies to develop and support the Company’s products, regulatory expenses, medical affairs, and other costs associated with products and technologies that are in development. Research and development expenses include employee compensation, including stock-based compensation, supplies, consulting, prototyping, testing, materials, travel expenses, depreciation, and an allocation of facility overhead expenses.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37" w:right="4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231F20"/>
        </w:rPr>
        <w:t>Selling, General and Administrative</w:t>
      </w:r>
    </w:p>
    <w:p>
      <w:pPr>
        <w:spacing w:after="0" w:line="121" w:lineRule="exact"/>
        <w:rPr>
          <w:sz w:val="20"/>
          <w:szCs w:val="20"/>
          <w:color w:val="auto"/>
        </w:rPr>
      </w:pPr>
    </w:p>
    <w:p>
      <w:pPr>
        <w:jc w:val="both"/>
        <w:ind w:right="120" w:firstLine="419"/>
        <w:spacing w:after="0" w:line="266" w:lineRule="auto"/>
        <w:rPr>
          <w:sz w:val="20"/>
          <w:szCs w:val="20"/>
          <w:color w:val="auto"/>
        </w:rPr>
      </w:pPr>
      <w:r>
        <w:rPr>
          <w:rFonts w:ascii="Times New Roman" w:cs="Times New Roman" w:eastAsia="Times New Roman" w:hAnsi="Times New Roman"/>
          <w:sz w:val="18"/>
          <w:szCs w:val="18"/>
          <w:color w:val="231F20"/>
        </w:rPr>
        <w:t>Selling, general and administrative expenses include compensation, employee benefits, and stock-based compensation for executive management, finance administration, and human resources; facility costs (including rent); bad debt costs; professional service fees; and other general overhead costs, including depreciation to support the Company’s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Advertising Expense</w:t>
      </w:r>
    </w:p>
    <w:p>
      <w:pPr>
        <w:spacing w:after="0" w:line="121" w:lineRule="exact"/>
        <w:rPr>
          <w:sz w:val="20"/>
          <w:szCs w:val="20"/>
          <w:color w:val="auto"/>
        </w:rPr>
      </w:pPr>
    </w:p>
    <w:p>
      <w:pPr>
        <w:ind w:right="360" w:firstLine="419"/>
        <w:spacing w:after="0" w:line="282" w:lineRule="auto"/>
        <w:rPr>
          <w:sz w:val="20"/>
          <w:szCs w:val="20"/>
          <w:color w:val="auto"/>
        </w:rPr>
      </w:pPr>
      <w:r>
        <w:rPr>
          <w:rFonts w:ascii="Times New Roman" w:cs="Times New Roman" w:eastAsia="Times New Roman" w:hAnsi="Times New Roman"/>
          <w:sz w:val="18"/>
          <w:szCs w:val="18"/>
          <w:color w:val="231F20"/>
        </w:rPr>
        <w:t>The Company expenses advertising costs as incurred. Advertising expenses for fiscal years 2022 and 2021 were $2.6 million and $2.1 million, respectively, included in selling, general, and administrative expenses in the statements of operations and comprehensive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Stock-Based Compensation</w:t>
      </w:r>
    </w:p>
    <w:p>
      <w:pPr>
        <w:spacing w:after="0" w:line="121"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231F20"/>
        </w:rPr>
        <w:t>The Company's equity incentive plan permits the grant of stock-based awards, such as stock options and restricted stock units ("RSUs"), to employees and directors, as well as allows employees to purchase stock through an employee stock purchase plan ("ESPP"). 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 line method to recognize stock-based compensation, and accounts for forfeitures as they occur. The Company selected the Black-Scholes-Merton (“Black-Scholes”) option-pricing model as the method for determining the estimated fair value for stock options and the employee stock purchase plan ("ESPP"). The Black-Scholes option-pricing model requires the use of highly subjective and complex assumptions, which determine the fair value of share-based awards, including the option’s expected term, expected volatility of the underlying stock, risk-free interest rate and expected dividend yield.</w:t>
      </w:r>
    </w:p>
    <w:p>
      <w:pPr>
        <w:spacing w:after="0" w:line="188" w:lineRule="exact"/>
        <w:rPr>
          <w:sz w:val="20"/>
          <w:szCs w:val="20"/>
          <w:color w:val="auto"/>
        </w:rPr>
      </w:pPr>
    </w:p>
    <w:p>
      <w:pPr>
        <w:jc w:val="both"/>
        <w:ind w:right="120" w:firstLine="419"/>
        <w:spacing w:after="0" w:line="266" w:lineRule="auto"/>
        <w:rPr>
          <w:sz w:val="20"/>
          <w:szCs w:val="20"/>
          <w:color w:val="auto"/>
        </w:rPr>
      </w:pPr>
      <w:r>
        <w:rPr>
          <w:rFonts w:ascii="Times New Roman" w:cs="Times New Roman" w:eastAsia="Times New Roman" w:hAnsi="Times New Roman"/>
          <w:sz w:val="18"/>
          <w:szCs w:val="18"/>
          <w:color w:val="231F20"/>
        </w:rPr>
        <w:t>The fair value of RSU awards is determined based on the number of units granted and the closing price of the Company's common stock as of the grant date. The Company expenses the fair value of stock-based compensation awards on a straight-line basis over the requisite service period, which is the period in which the related services are received.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Currency Remeasurement</w:t>
      </w:r>
    </w:p>
    <w:p>
      <w:pPr>
        <w:spacing w:after="0" w:line="121" w:lineRule="exact"/>
        <w:rPr>
          <w:sz w:val="20"/>
          <w:szCs w:val="20"/>
          <w:color w:val="auto"/>
        </w:rPr>
      </w:pPr>
    </w:p>
    <w:p>
      <w:pPr>
        <w:ind w:right="400" w:firstLine="419"/>
        <w:spacing w:after="0" w:line="282" w:lineRule="auto"/>
        <w:rPr>
          <w:sz w:val="20"/>
          <w:szCs w:val="20"/>
          <w:color w:val="auto"/>
        </w:rPr>
      </w:pPr>
      <w:r>
        <w:rPr>
          <w:rFonts w:ascii="Times New Roman" w:cs="Times New Roman" w:eastAsia="Times New Roman" w:hAnsi="Times New Roman"/>
          <w:sz w:val="18"/>
          <w:szCs w:val="18"/>
          <w:color w:val="231F20"/>
        </w:rPr>
        <w:t>Foreign currency transaction gains and losses are recorded in other income (expense), net in the Company’s statements of operations and such amounts have not been material for all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Income Taxes</w:t>
      </w:r>
    </w:p>
    <w:p>
      <w:pPr>
        <w:spacing w:after="0" w:line="121" w:lineRule="exact"/>
        <w:rPr>
          <w:sz w:val="20"/>
          <w:szCs w:val="20"/>
          <w:color w:val="auto"/>
        </w:rPr>
      </w:pPr>
    </w:p>
    <w:p>
      <w:pPr>
        <w:ind w:firstLine="419"/>
        <w:spacing w:after="0" w:line="256" w:lineRule="auto"/>
        <w:rPr>
          <w:sz w:val="20"/>
          <w:szCs w:val="20"/>
          <w:color w:val="auto"/>
        </w:rPr>
      </w:pPr>
      <w:r>
        <w:rPr>
          <w:rFonts w:ascii="Times New Roman" w:cs="Times New Roman" w:eastAsia="Times New Roman" w:hAnsi="Times New Roman"/>
          <w:sz w:val="18"/>
          <w:szCs w:val="18"/>
          <w:color w:val="231F20"/>
        </w:rPr>
        <w:t>The Company uses the asset and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Management makes an assessment of the likelihood that the resulting deferred tax assets will be realized. A valuation allowance is provided when it is more likely than not that some portion or all off a deferred tax asset will not be realized. Due to the Company's historical operating performance and the recorded cumulative net losses in prior fiscal periods, the net deferred tax assets have been fully offset by a valuation allowance.</w:t>
      </w:r>
    </w:p>
    <w:p>
      <w:pPr>
        <w:spacing w:after="0" w:line="187" w:lineRule="exact"/>
        <w:rPr>
          <w:sz w:val="20"/>
          <w:szCs w:val="20"/>
          <w:color w:val="auto"/>
        </w:rPr>
      </w:pPr>
    </w:p>
    <w:p>
      <w:pPr>
        <w:ind w:right="140" w:firstLine="419"/>
        <w:spacing w:after="0" w:line="261" w:lineRule="auto"/>
        <w:rPr>
          <w:sz w:val="20"/>
          <w:szCs w:val="20"/>
          <w:color w:val="auto"/>
        </w:rPr>
      </w:pPr>
      <w:r>
        <w:rPr>
          <w:rFonts w:ascii="Times New Roman" w:cs="Times New Roman" w:eastAsia="Times New Roman" w:hAnsi="Times New Roman"/>
          <w:sz w:val="18"/>
          <w:szCs w:val="18"/>
          <w:color w:val="231F20"/>
        </w:rPr>
        <w:t>The Company recognizes uncertain income tax positions at the largest amount that is more likely than not to be sustained upon audit by relevant taxing authority. An uncertain income tax position will not be recognized if it has less than a 50% likelihood of being sustained. Changes in recognition or measurement are reflected in the period in which judgment occurs. The Company's policy is to recognize interest and penalties related to the underpayment of income tax as a component of provision for income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Comprehensive Loss</w:t>
      </w:r>
    </w:p>
    <w:p>
      <w:pPr>
        <w:spacing w:after="0" w:line="121" w:lineRule="exact"/>
        <w:rPr>
          <w:sz w:val="20"/>
          <w:szCs w:val="20"/>
          <w:color w:val="auto"/>
        </w:rPr>
      </w:pPr>
    </w:p>
    <w:p>
      <w:pPr>
        <w:ind w:right="60" w:firstLine="419"/>
        <w:spacing w:after="0" w:line="266" w:lineRule="auto"/>
        <w:rPr>
          <w:sz w:val="20"/>
          <w:szCs w:val="20"/>
          <w:color w:val="auto"/>
        </w:rPr>
      </w:pPr>
      <w:r>
        <w:rPr>
          <w:rFonts w:ascii="Times New Roman" w:cs="Times New Roman" w:eastAsia="Times New Roman" w:hAnsi="Times New Roman"/>
          <w:sz w:val="18"/>
          <w:szCs w:val="18"/>
          <w:color w:val="231F20"/>
        </w:rPr>
        <w:t>Comprehensive loss represents all changes in stockholders’ equity except those resulting from distributions to stockholders. There have been no items qualifying as other comprehensive income (loss) and, therefore, for all periods presented, there was no difference between comprehensive loss and the Company’s reported net loss.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33" w:right="4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i w:val="1"/>
          <w:iCs w:val="1"/>
          <w:color w:val="231F20"/>
        </w:rPr>
        <w:t>Net loss per share attributable to common stockholders</w:t>
      </w:r>
    </w:p>
    <w:p>
      <w:pPr>
        <w:spacing w:after="0" w:line="121"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231F20"/>
        </w:rPr>
        <w:t>Basic and diluted net loss per share attributable to common stockholders is presented in conformity with the two-class method required for participating securities. The Company considers all series of its restricted stock awards to be participating securities as the holders are entitled to receive dividends on a pari passu basis in the event that a dividend is paid on common stock. Under the two-class method, the net loss attributable to common stockholders is not allocated to the restricted stock awards as the holders of the Company’s restricted stock awards do not have a contractual obligation to share in losses.</w:t>
      </w:r>
    </w:p>
    <w:p>
      <w:pPr>
        <w:spacing w:after="0" w:line="183" w:lineRule="exact"/>
        <w:rPr>
          <w:sz w:val="20"/>
          <w:szCs w:val="20"/>
          <w:color w:val="auto"/>
        </w:rPr>
      </w:pPr>
    </w:p>
    <w:p>
      <w:pPr>
        <w:ind w:right="80" w:firstLine="419"/>
        <w:spacing w:after="0" w:line="261" w:lineRule="auto"/>
        <w:rPr>
          <w:sz w:val="20"/>
          <w:szCs w:val="20"/>
          <w:color w:val="auto"/>
        </w:rPr>
      </w:pPr>
      <w:r>
        <w:rPr>
          <w:rFonts w:ascii="Times New Roman" w:cs="Times New Roman" w:eastAsia="Times New Roman" w:hAnsi="Times New Roman"/>
          <w:sz w:val="18"/>
          <w:szCs w:val="18"/>
          <w:color w:val="231F20"/>
        </w:rPr>
        <w:t>Basic and diluted net loss per share attributable to common stockholders is computed by dividing the net loss attributable to common stockholders by the weighted-average number of common shares outstanding for the period without consideration of potentially dilutive securities. The Company’s potentially dilutive shares, which consist of outstanding common stock options and restricted stock awards, were excluded in the computation of diluted net loss per share for the period as the result would be anti-dilutive.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Emerging growth company and smaller reporting company</w:t>
      </w:r>
    </w:p>
    <w:p>
      <w:pPr>
        <w:spacing w:after="0" w:line="121" w:lineRule="exact"/>
        <w:rPr>
          <w:sz w:val="20"/>
          <w:szCs w:val="20"/>
          <w:color w:val="auto"/>
        </w:rPr>
      </w:pPr>
    </w:p>
    <w:p>
      <w:pPr>
        <w:ind w:right="120" w:firstLine="419"/>
        <w:spacing w:after="0" w:line="256" w:lineRule="auto"/>
        <w:rPr>
          <w:sz w:val="20"/>
          <w:szCs w:val="20"/>
          <w:color w:val="auto"/>
        </w:rPr>
      </w:pPr>
      <w:r>
        <w:rPr>
          <w:rFonts w:ascii="Times New Roman" w:cs="Times New Roman" w:eastAsia="Times New Roman" w:hAnsi="Times New Roman"/>
          <w:sz w:val="18"/>
          <w:szCs w:val="18"/>
          <w:color w:val="231F20"/>
        </w:rPr>
        <w:t>The Company is an “emerging growth company” as defined in the Jumpstart Our Business Startups Act of 2012, as well as a "smaller reporting company, as defined by the Securities and Exchange Commission per Rule 12b-2 of the Exchange Act.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themselves of this exemption and, therefore, will not be subject to the timeline for adopting new or revised accounting standards for public business entities that are not emerging growth companies, and will follow the transition guidance applicable to private companies.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119" w:lineRule="exact"/>
        <w:rPr>
          <w:sz w:val="20"/>
          <w:szCs w:val="20"/>
          <w:color w:val="auto"/>
        </w:rPr>
      </w:pPr>
    </w:p>
    <w:p>
      <w:pPr>
        <w:ind w:right="60" w:firstLine="419"/>
        <w:spacing w:after="0" w:line="258" w:lineRule="auto"/>
        <w:rPr>
          <w:sz w:val="20"/>
          <w:szCs w:val="20"/>
          <w:color w:val="auto"/>
        </w:rPr>
      </w:pPr>
      <w:r>
        <w:rPr>
          <w:rFonts w:ascii="Times New Roman" w:cs="Times New Roman" w:eastAsia="Times New Roman" w:hAnsi="Times New Roman"/>
          <w:sz w:val="18"/>
          <w:szCs w:val="18"/>
          <w:color w:val="auto"/>
        </w:rPr>
        <w:t xml:space="preserve">In the fourth quarter of 2022, the Company adopted Financial Accounting Standards Board ("FASB") Accounting Standards Update ("ASU") No.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issued in December 2019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amendments in ASU 2019-12 simplify the accounting for income taxes by eliminating certain exceptions related to the approach for intra-period tax allocation and modified the methodology for calculating income taxes in an interim period. It also clarifies and simplifies other aspects of the accounting for income taxes. The amendments in ASU 2019-12 were adopted with no material impact on the Company's consolidated financial statements or its note disclosures.</w:t>
      </w:r>
    </w:p>
    <w:p>
      <w:pPr>
        <w:spacing w:after="0" w:line="181" w:lineRule="exact"/>
        <w:rPr>
          <w:sz w:val="20"/>
          <w:szCs w:val="20"/>
          <w:color w:val="auto"/>
        </w:rPr>
      </w:pPr>
    </w:p>
    <w:p>
      <w:pPr>
        <w:ind w:right="100" w:firstLine="419"/>
        <w:spacing w:after="0" w:line="256" w:lineRule="auto"/>
        <w:rPr>
          <w:sz w:val="20"/>
          <w:szCs w:val="20"/>
          <w:color w:val="auto"/>
        </w:rPr>
      </w:pPr>
      <w:r>
        <w:rPr>
          <w:rFonts w:ascii="Times New Roman" w:cs="Times New Roman" w:eastAsia="Times New Roman" w:hAnsi="Times New Roman"/>
          <w:sz w:val="18"/>
          <w:szCs w:val="18"/>
          <w:color w:val="auto"/>
        </w:rPr>
        <w:t xml:space="preserve">In March 2020, the FASB issued ASU No. 2020-04, </w:t>
      </w:r>
      <w:r>
        <w:rPr>
          <w:rFonts w:ascii="Times New Roman" w:cs="Times New Roman" w:eastAsia="Times New Roman" w:hAnsi="Times New Roman"/>
          <w:sz w:val="18"/>
          <w:szCs w:val="18"/>
          <w:i w:val="1"/>
          <w:iCs w:val="1"/>
          <w:color w:val="auto"/>
        </w:rPr>
        <w:t>Reference Rate Reform (Topic 848): Facilitation of the Effects of Reference Rate Reform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Reporting</w:t>
      </w:r>
      <w:r>
        <w:rPr>
          <w:rFonts w:ascii="Times New Roman" w:cs="Times New Roman" w:eastAsia="Times New Roman" w:hAnsi="Times New Roman"/>
          <w:sz w:val="18"/>
          <w:szCs w:val="18"/>
          <w:color w:val="auto"/>
        </w:rPr>
        <w:t>. The new guidance provides optional expedients and exceptions for applying generally accepted accounting principles to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modifications and hedging relationships, subject to meeting certain criteria, that reference LIBOR or another reference rate expected to be discontinued. The guidance also establishes (1) a general contract modification principle that entities can apply in other areas that may be affected by reference rate reform and (2) certain elective hedge accounting expedients. The amendment is effective for all entities through December 31, 2022. The Company evaluated the effect of this new guidance and did not elect to utilize any of the option expedients or exceptions permitted. The guidance did not have material impact on the Company’s consolidated financial statements or its note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17" w:lineRule="exact"/>
        <w:rPr>
          <w:sz w:val="20"/>
          <w:szCs w:val="20"/>
          <w:color w:val="auto"/>
        </w:rPr>
      </w:pPr>
    </w:p>
    <w:p>
      <w:pPr>
        <w:ind w:right="100" w:firstLine="419"/>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which amends the impairment model by requiring entities to use a forward-looking approach based on expected losses to estimate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on certain types of financial instruments, including trade receivables and available-for-sale debt securities. The guidance is effective for the Company beginning in the first quarter of 2023. The Company has evaluated the impact of adopting this guidance and it will not have a material impact on the Company’s financial statements and related disclosures.</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33" w:right="419" w:bottom="1440" w:gutter="0" w:footer="0" w:header="0"/>
        </w:sectPr>
      </w:pPr>
    </w:p>
    <w:bookmarkStart w:id="84" w:name="page85"/>
    <w:bookmarkEnd w:id="84"/>
    <w:p>
      <w:pPr>
        <w:ind w:left="120"/>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121" w:lineRule="exact"/>
        <w:rPr>
          <w:sz w:val="20"/>
          <w:szCs w:val="20"/>
          <w:color w:val="auto"/>
        </w:rPr>
      </w:pPr>
    </w:p>
    <w:p>
      <w:pPr>
        <w:ind w:left="120" w:right="200" w:firstLine="419"/>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187" w:lineRule="exact"/>
        <w:rPr>
          <w:sz w:val="20"/>
          <w:szCs w:val="20"/>
          <w:color w:val="auto"/>
        </w:rPr>
      </w:pPr>
    </w:p>
    <w:p>
      <w:pPr>
        <w:ind w:left="120" w:right="240" w:firstLine="419"/>
        <w:spacing w:after="0" w:line="282" w:lineRule="auto"/>
        <w:rPr>
          <w:sz w:val="20"/>
          <w:szCs w:val="20"/>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162" w:lineRule="exact"/>
        <w:rPr>
          <w:sz w:val="20"/>
          <w:szCs w:val="20"/>
          <w:color w:val="auto"/>
        </w:rPr>
      </w:pPr>
    </w:p>
    <w:p>
      <w:pPr>
        <w:ind w:left="120" w:right="120" w:firstLine="419"/>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176" w:lineRule="exact"/>
        <w:rPr>
          <w:sz w:val="20"/>
          <w:szCs w:val="20"/>
          <w:color w:val="auto"/>
        </w:rPr>
      </w:pPr>
    </w:p>
    <w:p>
      <w:pPr>
        <w:ind w:left="120" w:right="160" w:firstLine="419"/>
        <w:spacing w:after="0" w:line="282" w:lineRule="auto"/>
        <w:rPr>
          <w:sz w:val="20"/>
          <w:szCs w:val="20"/>
          <w:color w:val="auto"/>
        </w:rPr>
      </w:pPr>
      <w:r>
        <w:rPr>
          <w:rFonts w:ascii="Times New Roman" w:cs="Times New Roman" w:eastAsia="Times New Roman" w:hAnsi="Times New Roman"/>
          <w:sz w:val="18"/>
          <w:szCs w:val="18"/>
          <w:color w:val="auto"/>
        </w:rPr>
        <w:t>Level 3—Inputs are unobservable inputs for the asset or liability. The level in the fair value hierarchy within which a fair value measurement in its entirety is based on the lowest-level input that is significant to the fair value measurement in its entirety.</w:t>
      </w:r>
    </w:p>
    <w:p>
      <w:pPr>
        <w:spacing w:after="0" w:line="162" w:lineRule="exact"/>
        <w:rPr>
          <w:sz w:val="20"/>
          <w:szCs w:val="20"/>
          <w:color w:val="auto"/>
        </w:rPr>
      </w:pPr>
    </w:p>
    <w:p>
      <w:pPr>
        <w:jc w:val="both"/>
        <w:ind w:left="120" w:right="280" w:firstLine="419"/>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included Level 1 investments in treasury securities of $144.4 million as of December 31, 2022. These securities are classified as held-to-maturity and all have been purchased with original maturities of 90 days or less. Held-to-maturity debt securities are recorded at amortized cost in the financial statements. As of December 31, 2021, there were no investments in treasury securities.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2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80" w:type="dxa"/>
            <w:vAlign w:val="bottom"/>
          </w:tcPr>
          <w:p>
            <w:pPr>
              <w:spacing w:after="0"/>
              <w:rPr>
                <w:sz w:val="14"/>
                <w:szCs w:val="1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Fair Value</w:t>
            </w:r>
          </w:p>
        </w:tc>
        <w:tc>
          <w:tcPr>
            <w:tcW w:w="100" w:type="dxa"/>
            <w:vAlign w:val="bottom"/>
          </w:tcPr>
          <w:p>
            <w:pPr>
              <w:spacing w:after="0"/>
              <w:rPr>
                <w:sz w:val="14"/>
                <w:szCs w:val="14"/>
                <w:color w:val="auto"/>
              </w:rPr>
            </w:pPr>
          </w:p>
        </w:tc>
      </w:tr>
      <w:tr>
        <w:trPr>
          <w:trHeight w:val="23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144,319</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144,364</w:t>
            </w:r>
          </w:p>
        </w:tc>
        <w:tc>
          <w:tcPr>
            <w:tcW w:w="100" w:type="dxa"/>
            <w:vAlign w:val="bottom"/>
            <w:shd w:val="clear" w:color="auto" w:fill="CFF0FC"/>
          </w:tcPr>
          <w:p>
            <w:pPr>
              <w:spacing w:after="0"/>
              <w:rPr>
                <w:sz w:val="20"/>
                <w:szCs w:val="20"/>
                <w:color w:val="auto"/>
              </w:rPr>
            </w:pPr>
          </w:p>
        </w:tc>
      </w:tr>
    </w:tbl>
    <w:p>
      <w:pPr>
        <w:spacing w:after="0" w:line="198" w:lineRule="exact"/>
        <w:rPr>
          <w:sz w:val="20"/>
          <w:szCs w:val="20"/>
          <w:color w:val="auto"/>
        </w:rPr>
      </w:pPr>
    </w:p>
    <w:p>
      <w:pPr>
        <w:ind w:left="120" w:right="300" w:firstLine="419"/>
        <w:spacing w:after="0" w:line="266" w:lineRule="auto"/>
        <w:rPr>
          <w:sz w:val="20"/>
          <w:szCs w:val="20"/>
          <w:color w:val="auto"/>
        </w:rPr>
      </w:pPr>
      <w:r>
        <w:rPr>
          <w:rFonts w:ascii="Times New Roman" w:cs="Times New Roman" w:eastAsia="Times New Roman" w:hAnsi="Times New Roman"/>
          <w:sz w:val="18"/>
          <w:szCs w:val="18"/>
          <w:color w:val="auto"/>
        </w:rPr>
        <w:t>The Company measures the fair value of outstanding debt for disclosure purposes on a recurring basis. As of December 31, 2022 and 2021, total debt of $33.3 million and $32.7 million is reported at amortized cost, respectively. This outstanding debt is classified as Level 2 as it is not actively traded. The amortized cost of the outstanding debt approximates the fair value.</w:t>
      </w:r>
    </w:p>
    <w:p>
      <w:pPr>
        <w:spacing w:after="0" w:line="176" w:lineRule="exact"/>
        <w:rPr>
          <w:sz w:val="20"/>
          <w:szCs w:val="20"/>
          <w:color w:val="auto"/>
        </w:rPr>
      </w:pPr>
    </w:p>
    <w:p>
      <w:pPr>
        <w:ind w:left="120" w:right="140" w:firstLine="419"/>
        <w:spacing w:after="0" w:line="256" w:lineRule="auto"/>
        <w:rPr>
          <w:sz w:val="20"/>
          <w:szCs w:val="20"/>
          <w:color w:val="auto"/>
        </w:rPr>
      </w:pPr>
      <w:r>
        <w:rPr>
          <w:rFonts w:ascii="Times New Roman" w:cs="Times New Roman" w:eastAsia="Times New Roman" w:hAnsi="Times New Roman"/>
          <w:sz w:val="18"/>
          <w:szCs w:val="18"/>
          <w:color w:val="auto"/>
        </w:rPr>
        <w:t>The Company measured the redeemable convertible preferred stock warrants using Level 3 unobservable inputs within the Black-Scholes option-pricing model. The key assumptions included the fair value of redeemable convertible preferred stock, volatility, risk-free interest rate, expected term (remaining contractual term of the warrants) and dividend yield. The Company had limited historical volatility information available, and the expected volatility was based on actual volatility for comparable public companies projected over the expected terms of the warrants. The Company did not apply a forfeiture rate to the warrants as there was not enough historical information available to estimate such a rate. The risk-free rate was based on the U.S. Treasury yield curve at the time of the grant over the expected term of the warrants.</w:t>
      </w:r>
    </w:p>
    <w:p>
      <w:pPr>
        <w:spacing w:after="0" w:line="187" w:lineRule="exact"/>
        <w:rPr>
          <w:sz w:val="20"/>
          <w:szCs w:val="20"/>
          <w:color w:val="auto"/>
        </w:rPr>
      </w:pPr>
    </w:p>
    <w:p>
      <w:pPr>
        <w:ind w:left="120" w:right="320" w:firstLine="419"/>
        <w:spacing w:after="0" w:line="261" w:lineRule="auto"/>
        <w:rPr>
          <w:sz w:val="20"/>
          <w:szCs w:val="20"/>
          <w:color w:val="auto"/>
        </w:rPr>
      </w:pPr>
      <w:r>
        <w:rPr>
          <w:rFonts w:ascii="Times New Roman" w:cs="Times New Roman" w:eastAsia="Times New Roman" w:hAnsi="Times New Roman"/>
          <w:sz w:val="18"/>
          <w:szCs w:val="18"/>
          <w:color w:val="auto"/>
        </w:rPr>
        <w:t>The Company determined the fair value of the redeemable convertible preferred stock warrants quarterly, with subsequent gains and losses from remeasurement of Level 3 financial liabilities recorded through other income (expense), net in condensed consolidated statements of operations and comprehensive loss. The redeemable convertible preferred stock warrants were converted to common stock warrants upon the closing of the IPO and subsequently settled during the third quarter of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5" w:name="page86"/>
    <w:bookmarkEnd w:id="85"/>
    <w:p>
      <w:pPr>
        <w:ind w:left="120" w:right="60" w:firstLine="419"/>
        <w:spacing w:after="0" w:line="282" w:lineRule="auto"/>
        <w:rPr>
          <w:sz w:val="20"/>
          <w:szCs w:val="20"/>
          <w:color w:val="auto"/>
        </w:rPr>
      </w:pPr>
      <w:r>
        <w:rPr>
          <w:rFonts w:ascii="Times New Roman" w:cs="Times New Roman" w:eastAsia="Times New Roman" w:hAnsi="Times New Roman"/>
          <w:sz w:val="18"/>
          <w:szCs w:val="18"/>
          <w:color w:val="auto"/>
        </w:rPr>
        <w:t>A summary of the changes in the fair value of the Company’s Level 3 financial instruments for the years ended December 31, 2021 is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r>
      <w:tr>
        <w:trPr>
          <w:trHeight w:val="148"/>
        </w:trPr>
        <w:tc>
          <w:tcPr>
            <w:tcW w:w="9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 warrants</w:t>
            </w:r>
          </w:p>
        </w:tc>
      </w:tr>
      <w:tr>
        <w:trPr>
          <w:trHeight w:val="187"/>
        </w:trPr>
        <w:tc>
          <w:tcPr>
            <w:tcW w:w="9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237"/>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 December 31, 2020</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shd w:val="clear" w:color="auto" w:fill="CFF0FC"/>
          </w:tcPr>
          <w:p>
            <w:pPr>
              <w:spacing w:after="0"/>
              <w:rPr>
                <w:sz w:val="20"/>
                <w:szCs w:val="20"/>
                <w:color w:val="auto"/>
              </w:rPr>
            </w:pPr>
          </w:p>
        </w:tc>
      </w:tr>
      <w:tr>
        <w:trPr>
          <w:trHeight w:val="23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6,861</w:t>
            </w:r>
          </w:p>
        </w:tc>
        <w:tc>
          <w:tcPr>
            <w:tcW w:w="100" w:type="dxa"/>
            <w:vAlign w:val="bottom"/>
          </w:tcPr>
          <w:p>
            <w:pPr>
              <w:spacing w:after="0"/>
              <w:rPr>
                <w:sz w:val="20"/>
                <w:szCs w:val="20"/>
                <w:color w:val="auto"/>
              </w:rPr>
            </w:pPr>
          </w:p>
        </w:tc>
      </w:tr>
      <w:tr>
        <w:trPr>
          <w:trHeight w:val="243"/>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Conversion of preferred stock warrants to common stock warrants upon the closing of the IPO</w:t>
            </w:r>
          </w:p>
        </w:tc>
        <w:tc>
          <w:tcPr>
            <w:tcW w:w="14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(8,973 )</w:t>
            </w:r>
          </w:p>
        </w:tc>
      </w:tr>
      <w:tr>
        <w:trPr>
          <w:trHeight w:val="237"/>
        </w:trPr>
        <w:tc>
          <w:tcPr>
            <w:tcW w:w="92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 December 31, 2021</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r>
      <w:tr>
        <w:trPr>
          <w:trHeight w:val="20"/>
        </w:trPr>
        <w:tc>
          <w:tcPr>
            <w:tcW w:w="9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financial statements as of December 31, 2022 and 2021, do not include any assets or liabilities that are measured at fair value on a nonrecurring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Balance Sheet Components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231F20"/>
        </w:rPr>
        <w:t>Property and Equipment, Net</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Property and equipment, net consist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Tools and equipment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(1,434 )</w:t>
            </w:r>
          </w:p>
        </w:tc>
        <w:tc>
          <w:tcPr>
            <w:tcW w:w="5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(1,204 )</w:t>
            </w:r>
          </w:p>
        </w:tc>
      </w:tr>
      <w:tr>
        <w:trPr>
          <w:trHeight w:val="236"/>
        </w:trPr>
        <w:tc>
          <w:tcPr>
            <w:tcW w:w="77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280" w:type="dxa"/>
            <w:vAlign w:val="bottom"/>
            <w:tcBorders>
              <w:top w:val="single" w:sz="8" w:color="CFF0FC"/>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Borders>
              <w:top w:val="single" w:sz="8" w:color="CFF0FC"/>
            </w:tcBorders>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-504825</wp:posOffset>
            </wp:positionV>
            <wp:extent cx="68580" cy="163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3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Depreciation expense was $0.7 million and $0.6 million for the years ended December 31, 2022 and 2021 respectively.</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231F20"/>
        </w:rPr>
        <w:t>Accrued and Other Current Liabilities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Accrued and other current liabilities consist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81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 term interest payable</w:t>
            </w:r>
          </w:p>
        </w:tc>
        <w:tc>
          <w:tcPr>
            <w:tcW w:w="2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22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81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7,775</w:t>
            </w:r>
          </w:p>
        </w:tc>
        <w:tc>
          <w:tcPr>
            <w:tcW w:w="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231F20"/>
              </w:rPr>
              <w:t>Other Noncurrent Liabilities</w:t>
            </w:r>
          </w:p>
        </w:tc>
        <w:tc>
          <w:tcPr>
            <w:tcW w:w="2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noncurrent liabilities consist of the following (in thousands):</w:t>
            </w:r>
          </w:p>
        </w:tc>
        <w:tc>
          <w:tcPr>
            <w:tcW w:w="2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 term interest payable</w:t>
            </w:r>
          </w:p>
        </w:tc>
        <w:tc>
          <w:tcPr>
            <w:tcW w:w="2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81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1,194</w:t>
            </w:r>
          </w:p>
        </w:tc>
        <w:tc>
          <w:tcPr>
            <w:tcW w:w="26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2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635</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3300" w:type="dxa"/>
            <w:vAlign w:val="bottom"/>
            <w:gridSpan w:val="2"/>
          </w:tcPr>
          <w:p>
            <w:pPr>
              <w:jc w:val="right"/>
              <w:ind w:right="81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1,867</w:t>
            </w:r>
          </w:p>
        </w:tc>
        <w:tc>
          <w:tcPr>
            <w:tcW w:w="26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28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85</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4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-2030730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-2013585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-685165</wp:posOffset>
            </wp:positionV>
            <wp:extent cx="68580"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ind w:left="120"/>
        <w:spacing w:after="0"/>
        <w:rPr>
          <w:sz w:val="20"/>
          <w:szCs w:val="20"/>
          <w:color w:val="auto"/>
        </w:rPr>
      </w:pPr>
      <w:r>
        <w:rPr>
          <w:rFonts w:ascii="Times New Roman" w:cs="Times New Roman" w:eastAsia="Times New Roman" w:hAnsi="Times New Roman"/>
          <w:sz w:val="18"/>
          <w:szCs w:val="18"/>
          <w:b w:val="1"/>
          <w:bCs w:val="1"/>
          <w:color w:val="auto"/>
        </w:rPr>
        <w:t>Note 5. Debt</w:t>
      </w:r>
    </w:p>
    <w:p>
      <w:pPr>
        <w:spacing w:after="0" w:line="121" w:lineRule="exact"/>
        <w:rPr>
          <w:sz w:val="20"/>
          <w:szCs w:val="20"/>
          <w:color w:val="auto"/>
        </w:rPr>
      </w:pPr>
    </w:p>
    <w:p>
      <w:pPr>
        <w:ind w:left="120" w:right="260" w:firstLine="419"/>
        <w:spacing w:after="0" w:line="256" w:lineRule="auto"/>
        <w:rPr>
          <w:sz w:val="20"/>
          <w:szCs w:val="20"/>
          <w:color w:val="auto"/>
        </w:rPr>
      </w:pPr>
      <w:r>
        <w:rPr>
          <w:rFonts w:ascii="Times New Roman" w:cs="Times New Roman" w:eastAsia="Times New Roman" w:hAnsi="Times New Roman"/>
          <w:sz w:val="18"/>
          <w:szCs w:val="18"/>
          <w:color w:val="auto"/>
        </w:rPr>
        <w:t>In January 2019, the Company entered into credit and security agreements with MidCap Financial Services (the "Lender"), which provided a maximum of $25.0 million credit facility consisting of a $20.0 million senior secured term loan (the "2019 Term Loan") and a $5.0 million 2019 revolving loan (the "2019 Revolver" and collectively with the 2019 Term Loan, the “2019 MidCap Credit Facility”). In November 2020, the Company entered into amended and restated credit and security agreements with the same institution, which replaced the 2019 MidCap Credit Facility, and provided for a maximum $40.0 million credit facility consisting of a $35.0 million senior secured term loan (the "2020 Term Loan") and a $5.0 million revolving loan (the "2020 Revolver and collectively with the 2020 Term Loan, the “2020 MidCap Credit Facility”).</w:t>
      </w:r>
    </w:p>
    <w:p>
      <w:pPr>
        <w:spacing w:after="0" w:line="187" w:lineRule="exact"/>
        <w:rPr>
          <w:sz w:val="20"/>
          <w:szCs w:val="20"/>
          <w:color w:val="auto"/>
        </w:rPr>
      </w:pPr>
    </w:p>
    <w:p>
      <w:pPr>
        <w:ind w:left="120" w:right="80" w:firstLine="419"/>
        <w:spacing w:after="0" w:line="256" w:lineRule="auto"/>
        <w:rPr>
          <w:sz w:val="20"/>
          <w:szCs w:val="20"/>
          <w:color w:val="auto"/>
        </w:rPr>
      </w:pPr>
      <w:r>
        <w:rPr>
          <w:rFonts w:ascii="Times New Roman" w:cs="Times New Roman" w:eastAsia="Times New Roman" w:hAnsi="Times New Roman"/>
          <w:sz w:val="18"/>
          <w:szCs w:val="18"/>
          <w:color w:val="231F20"/>
        </w:rPr>
        <w:t>The obligations under the MidCap Credit Facility are guaranteed by the Company's current and future subsidiaries, subject to exceptions for certain foreign subsidiaries. Obligations under the agreements are secured by substantially all assets of the Company, including material intellectual property. Additionally, the Company is subject to customary affirmative and negative covenants as defined in the credit agreements, including covenants that limit or restrict the ability to, among other things, incur indebtedness, grant liens, merge or consolidate, make investments, dispose of assets, make acquisitions, pay dividends or make distributions, repurchase stock and enter into certain transactions with affiliates, in each case subject to certain exceptions. As of December 31, 2022, the Company was in compliance with all financial and non-financial covenants.</w:t>
      </w:r>
    </w:p>
    <w:p>
      <w:pPr>
        <w:spacing w:after="0" w:line="187" w:lineRule="exact"/>
        <w:rPr>
          <w:sz w:val="20"/>
          <w:szCs w:val="20"/>
          <w:color w:val="auto"/>
        </w:rPr>
      </w:pPr>
    </w:p>
    <w:p>
      <w:pPr>
        <w:ind w:left="120" w:right="580" w:firstLine="419"/>
        <w:spacing w:after="0" w:line="282" w:lineRule="auto"/>
        <w:rPr>
          <w:sz w:val="20"/>
          <w:szCs w:val="20"/>
          <w:color w:val="auto"/>
        </w:rPr>
      </w:pPr>
      <w:r>
        <w:rPr>
          <w:rFonts w:ascii="Times New Roman" w:cs="Times New Roman" w:eastAsia="Times New Roman" w:hAnsi="Times New Roman"/>
          <w:sz w:val="18"/>
          <w:szCs w:val="18"/>
          <w:color w:val="231F20"/>
        </w:rPr>
        <w:t>The MidCap Credit Facility agreements each contain events of default that include, among others, non-payment of principal, interest or fees, breach of covenants, inaccuracy of representations and warranties, cross-defaults and bankruptcy and insolvency events.</w:t>
      </w:r>
    </w:p>
    <w:p>
      <w:pPr>
        <w:spacing w:after="0" w:line="162" w:lineRule="exact"/>
        <w:rPr>
          <w:sz w:val="20"/>
          <w:szCs w:val="20"/>
          <w:color w:val="auto"/>
        </w:rPr>
      </w:pPr>
    </w:p>
    <w:p>
      <w:pPr>
        <w:ind w:left="120" w:right="100" w:firstLine="419"/>
        <w:spacing w:after="0" w:line="282" w:lineRule="auto"/>
        <w:rPr>
          <w:sz w:val="20"/>
          <w:szCs w:val="20"/>
          <w:color w:val="auto"/>
        </w:rPr>
      </w:pPr>
      <w:r>
        <w:rPr>
          <w:rFonts w:ascii="Times New Roman" w:cs="Times New Roman" w:eastAsia="Times New Roman" w:hAnsi="Times New Roman"/>
          <w:sz w:val="18"/>
          <w:szCs w:val="18"/>
          <w:color w:val="auto"/>
        </w:rPr>
        <w:t>As of December 31, 2022 and 2021, $5.0 million was available to be drawn under the 2020 Revolver. The 2020 Revolver had not been drawn upon as of December 31, 2022 and 2021. Long-term and short-term debt was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40" w:type="dxa"/>
            <w:vAlign w:val="bottom"/>
            <w:vMerge w:val="restart"/>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460" w:type="dxa"/>
            <w:vAlign w:val="bottom"/>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2020 Term Loan</w:t>
            </w:r>
          </w:p>
        </w:tc>
        <w:tc>
          <w:tcPr>
            <w:tcW w:w="1020" w:type="dxa"/>
            <w:vAlign w:val="bottom"/>
            <w:tcBorders>
              <w:bottom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8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principal payments due</w:t>
            </w:r>
          </w:p>
        </w:tc>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debt discount related to warrant liability and issuance costs</w:t>
            </w:r>
          </w:p>
        </w:tc>
        <w:tc>
          <w:tcPr>
            <w:tcW w:w="10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28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amounts outstanding</w:t>
            </w:r>
          </w:p>
        </w:tc>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33,313</w:t>
            </w:r>
          </w:p>
        </w:tc>
        <w:tc>
          <w:tcPr>
            <w:tcW w:w="2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02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33,313</w:t>
            </w:r>
          </w:p>
        </w:tc>
        <w:tc>
          <w:tcPr>
            <w:tcW w:w="280" w:type="dxa"/>
            <w:vAlign w:val="bottom"/>
          </w:tcPr>
          <w:p>
            <w:pPr>
              <w:spacing w:after="0"/>
              <w:rPr>
                <w:sz w:val="20"/>
                <w:szCs w:val="20"/>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-831215</wp:posOffset>
            </wp:positionV>
            <wp:extent cx="6858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-187960</wp:posOffset>
            </wp:positionV>
            <wp:extent cx="68580"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repayment schedule relating to the principal amount of the Company’s 2020 Term Loan as of December 31, 2022,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gridSpan w:val="2"/>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top w:val="single" w:sz="8" w:color="auto"/>
            </w:tcBorders>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3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(2,917 )</w:t>
            </w:r>
          </w:p>
        </w:tc>
      </w:tr>
      <w:tr>
        <w:trPr>
          <w:trHeight w:val="247"/>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(32,083 )</w:t>
            </w:r>
          </w:p>
        </w:tc>
      </w:tr>
      <w:tr>
        <w:trPr>
          <w:trHeight w:val="23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Pr>
          <w:p>
            <w:pPr>
              <w:spacing w:after="0"/>
              <w:rPr>
                <w:sz w:val="20"/>
                <w:szCs w:val="20"/>
                <w:color w:val="auto"/>
              </w:rPr>
            </w:pPr>
          </w:p>
        </w:tc>
        <w:tc>
          <w:tcPr>
            <w:tcW w:w="16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repayments</w:t>
            </w:r>
          </w:p>
        </w:tc>
        <w:tc>
          <w:tcPr>
            <w:tcW w:w="42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Obligations</w:t>
      </w:r>
    </w:p>
    <w:p>
      <w:pPr>
        <w:spacing w:after="0" w:line="121" w:lineRule="exact"/>
        <w:rPr>
          <w:sz w:val="20"/>
          <w:szCs w:val="20"/>
          <w:color w:val="auto"/>
        </w:rPr>
      </w:pPr>
    </w:p>
    <w:p>
      <w:pPr>
        <w:ind w:left="120" w:right="300" w:firstLine="419"/>
        <w:spacing w:after="0" w:line="261" w:lineRule="auto"/>
        <w:rPr>
          <w:sz w:val="20"/>
          <w:szCs w:val="20"/>
          <w:color w:val="auto"/>
        </w:rPr>
      </w:pPr>
      <w:r>
        <w:rPr>
          <w:rFonts w:ascii="Times New Roman" w:cs="Times New Roman" w:eastAsia="Times New Roman" w:hAnsi="Times New Roman"/>
          <w:sz w:val="18"/>
          <w:szCs w:val="18"/>
          <w:color w:val="auto"/>
        </w:rPr>
        <w:t>The Company’s leases include facility leases and storage leases. In determining the present value of lease payments, the Company uses its incremental borrowing rate based on the information available at the lease commencement date if the rate implicit in the lease is not readily determinable. The Company estimates its incremental borrowing rate based on qualitative factors including company specific credit offers, lease term, general economics, and the interest rate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7" w:name="page88"/>
    <w:bookmarkEnd w:id="87"/>
    <w:p>
      <w:pPr>
        <w:ind w:left="120"/>
        <w:spacing w:after="0"/>
        <w:rPr>
          <w:sz w:val="20"/>
          <w:szCs w:val="20"/>
          <w:color w:val="auto"/>
        </w:rPr>
      </w:pPr>
      <w:r>
        <w:rPr>
          <w:rFonts w:ascii="Times New Roman" w:cs="Times New Roman" w:eastAsia="Times New Roman" w:hAnsi="Times New Roman"/>
          <w:sz w:val="18"/>
          <w:szCs w:val="18"/>
          <w:color w:val="auto"/>
        </w:rPr>
        <w:t>environment. In the determining the lease term, the Company includes all renewal options that are reasonably probable to be executed.</w:t>
      </w:r>
    </w:p>
    <w:p>
      <w:pPr>
        <w:spacing w:after="0" w:line="225" w:lineRule="exact"/>
        <w:rPr>
          <w:sz w:val="20"/>
          <w:szCs w:val="20"/>
          <w:color w:val="auto"/>
        </w:rPr>
      </w:pPr>
    </w:p>
    <w:p>
      <w:pPr>
        <w:ind w:left="120" w:right="160" w:firstLine="419"/>
        <w:spacing w:after="0" w:line="261" w:lineRule="auto"/>
        <w:rPr>
          <w:sz w:val="20"/>
          <w:szCs w:val="20"/>
          <w:color w:val="auto"/>
        </w:rPr>
      </w:pPr>
      <w:r>
        <w:rPr>
          <w:rFonts w:ascii="Times New Roman" w:cs="Times New Roman" w:eastAsia="Times New Roman" w:hAnsi="Times New Roman"/>
          <w:sz w:val="18"/>
          <w:szCs w:val="18"/>
          <w:color w:val="auto"/>
        </w:rPr>
        <w:t>During the first quarter of 2021, the Company entered into a lease to renew the corporate headquarters in Menlo Park, California. The lease commenced in early August 2021 and is for a term of 37 months from the commencement date. The Company recorded an aggregate right-of-use ("ROU") asset and lease liability of $1.5 million. The ROU asset and corresponding lease liability were estimated using a weighted-average incremental borrowing rate of 13.59%. Total base rent is approximately $1.6 million under the lease agreement.</w:t>
      </w:r>
    </w:p>
    <w:p>
      <w:pPr>
        <w:spacing w:after="0" w:line="180" w:lineRule="exact"/>
        <w:rPr>
          <w:sz w:val="20"/>
          <w:szCs w:val="20"/>
          <w:color w:val="auto"/>
        </w:rPr>
      </w:pPr>
    </w:p>
    <w:p>
      <w:pPr>
        <w:jc w:val="both"/>
        <w:ind w:left="120" w:right="440" w:firstLine="419"/>
        <w:spacing w:after="0" w:line="258" w:lineRule="auto"/>
        <w:rPr>
          <w:sz w:val="20"/>
          <w:szCs w:val="20"/>
          <w:color w:val="auto"/>
        </w:rPr>
      </w:pPr>
      <w:r>
        <w:rPr>
          <w:rFonts w:ascii="Times New Roman" w:cs="Times New Roman" w:eastAsia="Times New Roman" w:hAnsi="Times New Roman"/>
          <w:sz w:val="18"/>
          <w:szCs w:val="18"/>
          <w:color w:val="auto"/>
        </w:rPr>
        <w:t>During the fourth quarter of 2022, the Company entered into a supply agreement that is expected to last approximately 18 months. The supply agreement contained provisions that, when evaluated, indicated an embedded lease was present within the agreement. The agreement commenced in early December 2022 and the Company recorded an aggregate ROU asset and lease liability of $0.7 million. the ROU asset and corresponding lease liability were estimated using a weighted-average incremental borrowing rate of 10.75%. Total base rent under the agreement is approximately $0.7 million.</w:t>
      </w:r>
    </w:p>
    <w:p>
      <w:pPr>
        <w:spacing w:after="0" w:line="183" w:lineRule="exact"/>
        <w:rPr>
          <w:sz w:val="20"/>
          <w:szCs w:val="20"/>
          <w:color w:val="auto"/>
        </w:rPr>
      </w:pPr>
    </w:p>
    <w:p>
      <w:pPr>
        <w:ind w:left="120" w:right="80" w:firstLine="419"/>
        <w:spacing w:after="0" w:line="282" w:lineRule="auto"/>
        <w:rPr>
          <w:sz w:val="20"/>
          <w:szCs w:val="20"/>
          <w:color w:val="auto"/>
        </w:rPr>
      </w:pPr>
      <w:r>
        <w:rPr>
          <w:rFonts w:ascii="Times New Roman" w:cs="Times New Roman" w:eastAsia="Times New Roman" w:hAnsi="Times New Roman"/>
          <w:sz w:val="18"/>
          <w:szCs w:val="18"/>
          <w:color w:val="auto"/>
        </w:rPr>
        <w:t>The Company recognizes rent expense on a straight-line basis over the noncancelable lease term. The Company’s rent expense was $0.7 million for both the years ended December 31, 2022 and 2021, respectively. As of December 31, 2022, the remaining lease term for the lease was 1.6 years.</w:t>
      </w:r>
    </w:p>
    <w:p>
      <w:pPr>
        <w:spacing w:after="0" w:line="162" w:lineRule="exact"/>
        <w:rPr>
          <w:sz w:val="20"/>
          <w:szCs w:val="20"/>
          <w:color w:val="auto"/>
        </w:rPr>
      </w:pPr>
    </w:p>
    <w:p>
      <w:pPr>
        <w:ind w:left="120" w:right="120" w:firstLine="419"/>
        <w:spacing w:after="0" w:line="282" w:lineRule="auto"/>
        <w:rPr>
          <w:sz w:val="20"/>
          <w:szCs w:val="20"/>
          <w:color w:val="auto"/>
        </w:rPr>
      </w:pPr>
      <w:r>
        <w:rPr>
          <w:rFonts w:ascii="Times New Roman" w:cs="Times New Roman" w:eastAsia="Times New Roman" w:hAnsi="Times New Roman"/>
          <w:sz w:val="18"/>
          <w:szCs w:val="18"/>
          <w:color w:val="auto"/>
        </w:rPr>
        <w:t>Operating lease expense and supplemental cash flow information related to operating leases for the years ended December 31, 2022 and 2021 were as follows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20" w:type="dxa"/>
            <w:vAlign w:val="bottom"/>
          </w:tcPr>
          <w:p>
            <w:pPr>
              <w:spacing w:after="0"/>
              <w:rPr>
                <w:sz w:val="16"/>
                <w:szCs w:val="16"/>
                <w:color w:val="auto"/>
              </w:rPr>
            </w:pPr>
          </w:p>
        </w:tc>
        <w:tc>
          <w:tcPr>
            <w:tcW w:w="232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120" w:type="dxa"/>
            <w:vAlign w:val="bottom"/>
          </w:tcPr>
          <w:p>
            <w:pPr>
              <w:spacing w:after="0"/>
              <w:rPr>
                <w:sz w:val="14"/>
                <w:szCs w:val="14"/>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7"/>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880" w:type="dxa"/>
            <w:vAlign w:val="bottom"/>
            <w:tcBorders>
              <w:top w:val="single" w:sz="8" w:color="auto"/>
            </w:tcBorders>
            <w:shd w:val="clear" w:color="auto" w:fill="CFF0FC"/>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20" w:type="dxa"/>
            <w:vAlign w:val="bottom"/>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80" w:type="dxa"/>
            <w:vAlign w:val="bottom"/>
            <w:shd w:val="clear" w:color="auto" w:fill="CFF0FC"/>
          </w:tcPr>
          <w:p>
            <w:pPr>
              <w:spacing w:after="0"/>
              <w:rPr>
                <w:sz w:val="20"/>
                <w:szCs w:val="20"/>
                <w:color w:val="auto"/>
              </w:rPr>
            </w:pPr>
          </w:p>
        </w:tc>
      </w:tr>
      <w:tr>
        <w:trPr>
          <w:trHeight w:val="23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8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tcPr>
          <w:p>
            <w:pPr>
              <w:spacing w:after="0"/>
              <w:rPr>
                <w:sz w:val="20"/>
                <w:szCs w:val="20"/>
                <w:color w:val="auto"/>
              </w:rPr>
            </w:pPr>
          </w:p>
        </w:tc>
      </w:tr>
      <w:tr>
        <w:trPr>
          <w:trHeight w:val="215"/>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operating lease assets obtained in exchange for</w:t>
            </w:r>
          </w:p>
        </w:tc>
        <w:tc>
          <w:tcPr>
            <w:tcW w:w="8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48"/>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8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8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Aggregate future minimum lease payments at December 31, 2022 under these noncancelable operating leases was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7"/>
        </w:trPr>
        <w:tc>
          <w:tcPr>
            <w:tcW w:w="9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9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shd w:val="clear" w:color="auto" w:fill="CFF0FC"/>
          </w:tcPr>
          <w:p>
            <w:pPr>
              <w:spacing w:after="0"/>
              <w:rPr>
                <w:sz w:val="20"/>
                <w:szCs w:val="20"/>
                <w:color w:val="auto"/>
              </w:rPr>
            </w:pPr>
          </w:p>
        </w:tc>
      </w:tr>
      <w:tr>
        <w:trPr>
          <w:trHeight w:val="239"/>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20"/>
                <w:szCs w:val="20"/>
                <w:color w:val="auto"/>
              </w:rPr>
            </w:pPr>
          </w:p>
        </w:tc>
      </w:tr>
      <w:tr>
        <w:trPr>
          <w:trHeight w:val="241"/>
        </w:trPr>
        <w:tc>
          <w:tcPr>
            <w:tcW w:w="9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shd w:val="clear" w:color="auto" w:fill="CFF0FC"/>
          </w:tcPr>
          <w:p>
            <w:pPr>
              <w:spacing w:after="0"/>
              <w:rPr>
                <w:sz w:val="20"/>
                <w:szCs w:val="20"/>
                <w:color w:val="auto"/>
              </w:rPr>
            </w:pPr>
          </w:p>
        </w:tc>
      </w:tr>
      <w:tr>
        <w:trPr>
          <w:trHeight w:val="239"/>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(178 )</w:t>
            </w:r>
          </w:p>
        </w:tc>
      </w:tr>
      <w:tr>
        <w:trPr>
          <w:trHeight w:val="241"/>
        </w:trPr>
        <w:tc>
          <w:tcPr>
            <w:tcW w:w="9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shd w:val="clear" w:color="auto" w:fill="CFF0FC"/>
          </w:tcPr>
          <w:p>
            <w:pPr>
              <w:spacing w:after="0"/>
              <w:rPr>
                <w:sz w:val="20"/>
                <w:szCs w:val="20"/>
                <w:color w:val="auto"/>
              </w:rPr>
            </w:pPr>
          </w:p>
        </w:tc>
      </w:tr>
      <w:tr>
        <w:trPr>
          <w:trHeight w:val="239"/>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operating lease liability</w:t>
            </w:r>
          </w:p>
        </w:tc>
        <w:tc>
          <w:tcPr>
            <w:tcW w:w="26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(1,033 )</w:t>
            </w:r>
          </w:p>
        </w:tc>
      </w:tr>
      <w:tr>
        <w:trPr>
          <w:trHeight w:val="277"/>
        </w:trPr>
        <w:tc>
          <w:tcPr>
            <w:tcW w:w="9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231F20"/>
        </w:rPr>
        <w:t>Legal Proceedings</w:t>
      </w:r>
    </w:p>
    <w:p>
      <w:pPr>
        <w:spacing w:after="0" w:line="121" w:lineRule="exact"/>
        <w:rPr>
          <w:sz w:val="20"/>
          <w:szCs w:val="20"/>
          <w:color w:val="auto"/>
        </w:rPr>
      </w:pPr>
    </w:p>
    <w:p>
      <w:pPr>
        <w:ind w:left="120" w:right="80" w:firstLine="419"/>
        <w:spacing w:after="0" w:line="253" w:lineRule="auto"/>
        <w:rPr>
          <w:sz w:val="20"/>
          <w:szCs w:val="20"/>
          <w:color w:val="auto"/>
        </w:rPr>
      </w:pPr>
      <w:r>
        <w:rPr>
          <w:rFonts w:ascii="Times New Roman" w:cs="Times New Roman" w:eastAsia="Times New Roman" w:hAnsi="Times New Roman"/>
          <w:sz w:val="18"/>
          <w:szCs w:val="18"/>
          <w:color w:val="auto"/>
        </w:rPr>
        <w:t xml:space="preserve">On September 16, 2021, the Company filed suit in the U.S. District Court for the District of Delaware (C.A. No. 1:21-cv-01317) alleging that Ivantis, Inc. directly and indirectly infringes U.S. Patent Nos. 8,287,482, 9,370,443, 9,486,361, and 10,314,742 by making, using, selling, and offering for sale the Hydrus® Microstent. The Company’s Complaint seeks money damages and injunctive relief. On January 24, 2022, Ivantis asserted counterclaims requesting declaratory judgments that the Company's asserted patents-in-suit are not infringed and/or invalid. On August 1, 2022, the Company filed an amended complaint alleging that Alcon Inc., Alcon Vision, LLC and Alcon Research, LLC infringe the four originally asserted patents by making, using, selling, and offering for sale the Hydrus® Microstent, and that all defendants also infringe U.S. Patent No. 11,389,328. The defendants reasserted counterclaims requesting declaratory judgments that the Company’s asserted patents-in-suit are not infringed and/or invalid. A five-day jury trial is scheduled to commence on April 8, 2024. Ivantis and Alcon filed petitions with the U.S. Patent Office seeking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of U.S. Patent Nos. 8,287,482, 9,370,443, 9,486,361, and 10,314,742 (IPR2022-01529, IPR2022-01530, IPR2022-01533, IPR2022-01540). Around the end of March 2023, the U.S. Patent Office will determine whether to institute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If any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is instituted, the U.S. Patent Office would make validity findings as to the affected patent(s) by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end of March 2024. The Company is presently unable to predict the outcome of this lawsuit or to reasonably estimate the potential financial impact of the lawsuit on the Company, if any.</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subject to claims and assessments from time to time in the ordinary course of business. Accruals for litigation and contingencies are reflected in the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 As of December 31, 2022 and December 31, 2021, the Company was not involved in any material legal proceedings except as described above.</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231F20"/>
        </w:rPr>
        <w:t>Indemnification</w:t>
      </w:r>
    </w:p>
    <w:p>
      <w:pPr>
        <w:spacing w:after="0" w:line="121" w:lineRule="exact"/>
        <w:rPr>
          <w:sz w:val="20"/>
          <w:szCs w:val="20"/>
          <w:color w:val="auto"/>
        </w:rPr>
      </w:pPr>
    </w:p>
    <w:p>
      <w:pPr>
        <w:ind w:left="120" w:right="140" w:firstLine="419"/>
        <w:spacing w:after="0" w:line="281" w:lineRule="auto"/>
        <w:rPr>
          <w:sz w:val="20"/>
          <w:szCs w:val="20"/>
          <w:color w:val="auto"/>
        </w:rPr>
      </w:pPr>
      <w:r>
        <w:rPr>
          <w:rFonts w:ascii="Times New Roman" w:cs="Times New Roman" w:eastAsia="Times New Roman" w:hAnsi="Times New Roman"/>
          <w:sz w:val="17"/>
          <w:szCs w:val="17"/>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164" w:lineRule="exact"/>
        <w:rPr>
          <w:sz w:val="20"/>
          <w:szCs w:val="20"/>
          <w:color w:val="auto"/>
        </w:rPr>
      </w:pPr>
    </w:p>
    <w:p>
      <w:pPr>
        <w:ind w:left="120" w:right="80" w:firstLine="419"/>
        <w:spacing w:after="0" w:line="255" w:lineRule="auto"/>
        <w:rPr>
          <w:sz w:val="20"/>
          <w:szCs w:val="20"/>
          <w:color w:val="auto"/>
        </w:rPr>
      </w:pPr>
      <w:r>
        <w:rPr>
          <w:rFonts w:ascii="Times New Roman" w:cs="Times New Roman" w:eastAsia="Times New Roman" w:hAnsi="Times New Roman"/>
          <w:sz w:val="18"/>
          <w:szCs w:val="18"/>
          <w:color w:val="auto"/>
        </w:rPr>
        <w:t>The Company indemnifies each of its directors and officers for certain events or occurrences, subject to certain limits, while the director is or was serving at the Company’s request in such capacity, as permitted under Delaware law and in accordance with its certificate of incorporation and bylaws. The term of the indemnification period lasts as long as a director may be subject to any proceeding arising out of acts or omissions of such director in such capacity. The maximum amount of potential future indemnification is unlimited; however, the Company currently holds director liability insurance. This insurance allows the transfer of risk associated with the Company’s exposure and may enable it to recover a portion of any future amounts paid. The Company believes that the fair value of these indemnification obligations is minimal. Accordingly, the Company has not recognized any liabilities relating to these obligations as of December 31, 2022 and 2021.</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Stockholders' Equity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231F20"/>
        </w:rPr>
        <w:t>Common Stock</w:t>
      </w:r>
    </w:p>
    <w:p>
      <w:pPr>
        <w:spacing w:after="0" w:line="121" w:lineRule="exact"/>
        <w:rPr>
          <w:sz w:val="20"/>
          <w:szCs w:val="20"/>
          <w:color w:val="auto"/>
        </w:rPr>
      </w:pPr>
    </w:p>
    <w:p>
      <w:pPr>
        <w:ind w:left="120" w:right="80" w:firstLine="419"/>
        <w:spacing w:after="0" w:line="261" w:lineRule="auto"/>
        <w:rPr>
          <w:sz w:val="20"/>
          <w:szCs w:val="20"/>
          <w:color w:val="auto"/>
        </w:rPr>
      </w:pPr>
      <w:r>
        <w:rPr>
          <w:rFonts w:ascii="Times New Roman" w:cs="Times New Roman" w:eastAsia="Times New Roman" w:hAnsi="Times New Roman"/>
          <w:sz w:val="18"/>
          <w:szCs w:val="18"/>
          <w:color w:val="auto"/>
        </w:rPr>
        <w:t>In connection with the IPO, the Company’s certificate of incorporation was amended and restated to provide for 200,000,000 authorized shares of common stock with a par value of $0.001 per share and 10,000,000 authorized shares of preferred stock with a par value of $0.001 per share. The holders of common stock were also entitled to receive dividends whenever funds are legally available, when and if declared by the board of directors. As of December 31, 2022, no dividends have been declared to date. Each share of common stock is entitled to one vote.</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 December 31, 2022 and 2021, the Company had reserved common stock for future issuances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26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5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5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options issued and outstanding</w:t>
            </w:r>
          </w:p>
        </w:tc>
        <w:tc>
          <w:tcPr>
            <w:tcW w:w="326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4,819,906</w:t>
            </w:r>
          </w:p>
        </w:tc>
        <w:tc>
          <w:tcPr>
            <w:tcW w:w="2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4,996,945</w:t>
            </w:r>
          </w:p>
        </w:tc>
        <w:tc>
          <w:tcPr>
            <w:tcW w:w="100" w:type="dxa"/>
            <w:vAlign w:val="bottom"/>
            <w:shd w:val="clear" w:color="auto" w:fill="CFF0FC"/>
          </w:tcPr>
          <w:p>
            <w:pPr>
              <w:spacing w:after="0"/>
              <w:rPr>
                <w:sz w:val="20"/>
                <w:szCs w:val="20"/>
                <w:color w:val="auto"/>
              </w:rPr>
            </w:pPr>
          </w:p>
        </w:tc>
      </w:tr>
      <w:tr>
        <w:trPr>
          <w:trHeight w:val="23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available for future grant</w:t>
            </w:r>
          </w:p>
        </w:tc>
        <w:tc>
          <w:tcPr>
            <w:tcW w:w="4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6,099,584</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5,321,687</w:t>
            </w:r>
          </w:p>
        </w:tc>
        <w:tc>
          <w:tcPr>
            <w:tcW w:w="100" w:type="dxa"/>
            <w:vAlign w:val="bottom"/>
          </w:tcPr>
          <w:p>
            <w:pPr>
              <w:spacing w:after="0"/>
              <w:rPr>
                <w:sz w:val="20"/>
                <w:szCs w:val="20"/>
                <w:color w:val="auto"/>
              </w:rPr>
            </w:pPr>
          </w:p>
        </w:tc>
      </w:tr>
      <w:tr>
        <w:trPr>
          <w:trHeight w:val="247"/>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4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1,014,123</w:t>
            </w: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53,250</w:t>
            </w:r>
          </w:p>
        </w:tc>
        <w:tc>
          <w:tcPr>
            <w:tcW w:w="100" w:type="dxa"/>
            <w:vAlign w:val="bottom"/>
            <w:shd w:val="clear" w:color="auto" w:fill="CFF0FC"/>
          </w:tcPr>
          <w:p>
            <w:pPr>
              <w:spacing w:after="0"/>
              <w:rPr>
                <w:sz w:val="21"/>
                <w:szCs w:val="21"/>
                <w:color w:val="auto"/>
              </w:rPr>
            </w:pPr>
          </w:p>
        </w:tc>
      </w:tr>
      <w:tr>
        <w:trPr>
          <w:trHeight w:val="23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future purchase under ESPP</w:t>
            </w:r>
          </w:p>
        </w:tc>
        <w:tc>
          <w:tcPr>
            <w:tcW w:w="4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1,226,123</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00" w:type="dxa"/>
            <w:vAlign w:val="bottom"/>
          </w:tcPr>
          <w:p>
            <w:pPr>
              <w:spacing w:after="0"/>
              <w:rPr>
                <w:sz w:val="20"/>
                <w:szCs w:val="20"/>
                <w:color w:val="auto"/>
              </w:rPr>
            </w:pPr>
          </w:p>
        </w:tc>
      </w:tr>
      <w:tr>
        <w:trPr>
          <w:trHeight w:val="277"/>
        </w:trPr>
        <w:tc>
          <w:tcPr>
            <w:tcW w:w="4520" w:type="dxa"/>
            <w:vAlign w:val="bottom"/>
            <w:tcBorders>
              <w:bottom w:val="single" w:sz="8" w:color="CFF0FC"/>
            </w:tcBorders>
            <w:shd w:val="clear" w:color="auto" w:fill="CFF0FC"/>
          </w:tcPr>
          <w:p>
            <w:pPr>
              <w:spacing w:after="0"/>
              <w:rPr>
                <w:sz w:val="24"/>
                <w:szCs w:val="24"/>
                <w:color w:val="auto"/>
              </w:rPr>
            </w:pPr>
          </w:p>
        </w:tc>
        <w:tc>
          <w:tcPr>
            <w:tcW w:w="3260" w:type="dxa"/>
            <w:vAlign w:val="bottom"/>
            <w:tcBorders>
              <w:bottom w:val="single" w:sz="8" w:color="CFF0FC"/>
            </w:tcBorders>
            <w:shd w:val="clear" w:color="auto" w:fill="CFF0FC"/>
          </w:tcPr>
          <w:p>
            <w:pPr>
              <w:spacing w:after="0"/>
              <w:rPr>
                <w:sz w:val="24"/>
                <w:szCs w:val="24"/>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13,159,736</w:t>
            </w:r>
          </w:p>
        </w:tc>
        <w:tc>
          <w:tcPr>
            <w:tcW w:w="22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spacing w:after="0"/>
              <w:rPr>
                <w:sz w:val="24"/>
                <w:szCs w:val="2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11,221,882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3"/>
        </w:trPr>
        <w:tc>
          <w:tcPr>
            <w:tcW w:w="4520" w:type="dxa"/>
            <w:vAlign w:val="bottom"/>
          </w:tcPr>
          <w:p>
            <w:pPr>
              <w:spacing w:after="0"/>
              <w:rPr>
                <w:sz w:val="24"/>
                <w:szCs w:val="24"/>
                <w:color w:val="auto"/>
              </w:rPr>
            </w:pPr>
          </w:p>
        </w:tc>
        <w:tc>
          <w:tcPr>
            <w:tcW w:w="326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88</w:t>
            </w: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-521970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-504825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b w:val="1"/>
          <w:bCs w:val="1"/>
          <w:color w:val="231F20"/>
        </w:rPr>
        <w:t>Equity Incentive Plans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231F20"/>
        </w:rPr>
        <w:t>2011 Stock Option Plan and 2021 Equity Incentive Plan</w:t>
      </w:r>
    </w:p>
    <w:p>
      <w:pPr>
        <w:spacing w:after="0" w:line="121" w:lineRule="exact"/>
        <w:rPr>
          <w:sz w:val="20"/>
          <w:szCs w:val="20"/>
          <w:color w:val="auto"/>
        </w:rPr>
      </w:pPr>
    </w:p>
    <w:p>
      <w:pPr>
        <w:ind w:left="120" w:right="320" w:firstLine="419"/>
        <w:spacing w:after="0" w:line="282" w:lineRule="auto"/>
        <w:rPr>
          <w:sz w:val="20"/>
          <w:szCs w:val="20"/>
          <w:color w:val="auto"/>
        </w:rPr>
      </w:pPr>
      <w:r>
        <w:rPr>
          <w:rFonts w:ascii="Times New Roman" w:cs="Times New Roman" w:eastAsia="Times New Roman" w:hAnsi="Times New Roman"/>
          <w:sz w:val="18"/>
          <w:szCs w:val="18"/>
          <w:color w:val="auto"/>
        </w:rPr>
        <w:t>In 2011, the Company established its 2011 Stock Option Plan (the “2011 Plan”) that provided for the granting of stock options to employees and nonemployees of the Company.</w:t>
      </w:r>
    </w:p>
    <w:p>
      <w:pPr>
        <w:spacing w:after="0" w:line="162" w:lineRule="exact"/>
        <w:rPr>
          <w:sz w:val="20"/>
          <w:szCs w:val="20"/>
          <w:color w:val="auto"/>
        </w:rPr>
      </w:pPr>
    </w:p>
    <w:p>
      <w:pPr>
        <w:ind w:left="120" w:right="80" w:firstLine="419"/>
        <w:spacing w:after="0" w:line="253" w:lineRule="auto"/>
        <w:rPr>
          <w:sz w:val="20"/>
          <w:szCs w:val="20"/>
          <w:color w:val="auto"/>
        </w:rPr>
      </w:pPr>
      <w:r>
        <w:rPr>
          <w:rFonts w:ascii="Times New Roman" w:cs="Times New Roman" w:eastAsia="Times New Roman" w:hAnsi="Times New Roman"/>
          <w:sz w:val="18"/>
          <w:szCs w:val="18"/>
          <w:color w:val="auto"/>
        </w:rPr>
        <w:t>In July 2021, the board of directors and stockholders adopted and approved the 2021 Incentive Award Plan, (the “2021 Plan”). Under the 2021 Plan, the Company has the ability to issue incentive stock options ("ISOs"), nonqualified stock options ("NSOs"), stock appreciation rights, dividend equivalent rights, restricted stock awards, and restricted stock unit awards. Options under the 2021 Plan can be granted for periods of up to 10 years. For incentive stock options granted to a grantee who, at the time the option is granted, owns stock representing more than 10% of the voting power of all classes of stock of the Company or any parent or subsidiary of the Company, the term of the incentive stock option may be granted for periods of up to five years. The ISOs and NSOs will be granted at a price per share not less than the fair value at the date of grant. The exercise price of an ISO granted to a 10% stockholder shall not be less than 110% of the estimated fair value of the shares on the date of grant, as determined by the board of directors. Options granted to new hires generally vest over a four-year period, with 25% vesting at the end of one year and the remaining vesting in 36 equal monthly installments thereafter; options granted as merit awards generally vest monthly over a four-year period. The Company initially reserved 5,200,000 shares of common stock for future issuance under the 2021 Plan. This initial reserve will be increased annually on the first day of each calendar year beginning on January 1, 2022 and ending on and including January 1, 2031. These annual increases shall be equal to the lesser of (i) 5% of the aggregate number of shares of Common Stock outstanding on the final day of the immediately preceding calendar year and (ii) such smaller number of shares of Common Stock as determined by the Board, subject to certain limitations.</w:t>
      </w:r>
    </w:p>
    <w:p>
      <w:pPr>
        <w:spacing w:after="0" w:line="187" w:lineRule="exact"/>
        <w:rPr>
          <w:sz w:val="20"/>
          <w:szCs w:val="20"/>
          <w:color w:val="auto"/>
        </w:rPr>
      </w:pPr>
    </w:p>
    <w:p>
      <w:pPr>
        <w:ind w:left="120" w:right="500" w:firstLine="419"/>
        <w:spacing w:after="0" w:line="282" w:lineRule="auto"/>
        <w:rPr>
          <w:sz w:val="20"/>
          <w:szCs w:val="20"/>
          <w:color w:val="auto"/>
        </w:rPr>
      </w:pPr>
      <w:r>
        <w:rPr>
          <w:rFonts w:ascii="Times New Roman" w:cs="Times New Roman" w:eastAsia="Times New Roman" w:hAnsi="Times New Roman"/>
          <w:sz w:val="18"/>
          <w:szCs w:val="18"/>
          <w:color w:val="auto"/>
        </w:rPr>
        <w:t>The 2011 Plan was terminated in connection with the IPO and no further grants will be made under the 2011 Plan from the date the 2021 Plan became effective. The terms under the 2011 Plan are consistent with those described above for the 2021 Plan.</w:t>
      </w:r>
    </w:p>
    <w:p>
      <w:pPr>
        <w:spacing w:after="0" w:line="162" w:lineRule="exact"/>
        <w:rPr>
          <w:sz w:val="20"/>
          <w:szCs w:val="20"/>
          <w:color w:val="auto"/>
        </w:rPr>
      </w:pPr>
    </w:p>
    <w:p>
      <w:pPr>
        <w:ind w:left="120" w:right="80" w:firstLine="419"/>
        <w:spacing w:after="0" w:line="282" w:lineRule="auto"/>
        <w:rPr>
          <w:sz w:val="20"/>
          <w:szCs w:val="20"/>
          <w:color w:val="auto"/>
        </w:rPr>
      </w:pPr>
      <w:r>
        <w:rPr>
          <w:rFonts w:ascii="Times New Roman" w:cs="Times New Roman" w:eastAsia="Times New Roman" w:hAnsi="Times New Roman"/>
          <w:sz w:val="18"/>
          <w:szCs w:val="18"/>
          <w:color w:val="auto"/>
        </w:rPr>
        <w:t>At December 31, 2022 and 2021, there were 6,099,584 shares and 5,321,687 shares, respectively, of common stock available for issuance under the 2021 Plan, respectively.</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2011 and 2021 Plans: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90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40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4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Average Intrinsic Value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600" w:type="dxa"/>
            <w:vAlign w:val="bottom"/>
          </w:tcPr>
          <w:p>
            <w:pPr>
              <w:spacing w:after="0"/>
              <w:rPr>
                <w:sz w:val="16"/>
                <w:szCs w:val="16"/>
                <w:color w:val="auto"/>
              </w:rPr>
            </w:pPr>
          </w:p>
        </w:tc>
        <w:tc>
          <w:tcPr>
            <w:tcW w:w="190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14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4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2021</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4,996,945</w:t>
            </w: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40" w:type="dxa"/>
            <w:vAlign w:val="bottom"/>
            <w:shd w:val="clear" w:color="auto" w:fill="CFF0FC"/>
          </w:tcPr>
          <w:p>
            <w:pPr>
              <w:spacing w:after="0"/>
              <w:rPr>
                <w:sz w:val="20"/>
                <w:szCs w:val="20"/>
                <w:color w:val="auto"/>
              </w:rPr>
            </w:pPr>
          </w:p>
        </w:tc>
        <w:tc>
          <w:tcPr>
            <w:tcW w:w="1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1,388,900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Forfeited/cancelled</w:t>
            </w: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(882,457 )</w:t>
            </w: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40" w:type="dxa"/>
            <w:vAlign w:val="bottom"/>
            <w:shd w:val="clear" w:color="auto" w:fill="CFF0FC"/>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(683,482 )</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2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2022</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4,819,906</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0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60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Vested and exercisable as of December 31,</w:t>
            </w:r>
          </w:p>
        </w:tc>
        <w:tc>
          <w:tcPr>
            <w:tcW w:w="1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2,288,715</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December</w:t>
            </w:r>
          </w:p>
        </w:tc>
        <w:tc>
          <w:tcPr>
            <w:tcW w:w="1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31, 2022</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4,819,906</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-607695</wp:posOffset>
            </wp:positionV>
            <wp:extent cx="76835" cy="3168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316865"/>
                    </a:xfrm>
                    <a:prstGeom prst="rect">
                      <a:avLst/>
                    </a:prstGeom>
                    <a:noFill/>
                  </pic:spPr>
                </pic:pic>
              </a:graphicData>
            </a:graphic>
          </wp:anchor>
        </w:drawing>
      </w:r>
    </w:p>
    <w:p>
      <w:pPr>
        <w:spacing w:after="0" w:line="178" w:lineRule="exact"/>
        <w:rPr>
          <w:sz w:val="20"/>
          <w:szCs w:val="20"/>
          <w:color w:val="auto"/>
        </w:rPr>
      </w:pPr>
    </w:p>
    <w:p>
      <w:pPr>
        <w:ind w:left="120" w:right="80" w:firstLine="419"/>
        <w:spacing w:after="0" w:line="261" w:lineRule="auto"/>
        <w:rPr>
          <w:sz w:val="20"/>
          <w:szCs w:val="20"/>
          <w:color w:val="auto"/>
        </w:rPr>
      </w:pPr>
      <w:r>
        <w:rPr>
          <w:rFonts w:ascii="Times New Roman" w:cs="Times New Roman" w:eastAsia="Times New Roman" w:hAnsi="Times New Roman"/>
          <w:sz w:val="18"/>
          <w:szCs w:val="18"/>
          <w:color w:val="auto"/>
        </w:rPr>
        <w:t>The weighted-average grant-date fair values of options granted during the year ended December 31, 2022 and 2021 was $9.56 and $11.35 per share, respectively. The aggregate intrinsic value of options exercised were $5.3 million during the year ended December 31, 2022. The aggregate intrinsic value was calculated as the difference between the exercise prices of the underlying options and the estimated fair value of the common stock on the date of exercise.</w:t>
      </w:r>
    </w:p>
    <w:p>
      <w:pPr>
        <w:spacing w:after="0" w:line="180" w:lineRule="exact"/>
        <w:rPr>
          <w:sz w:val="20"/>
          <w:szCs w:val="20"/>
          <w:color w:val="auto"/>
        </w:rPr>
      </w:pPr>
    </w:p>
    <w:p>
      <w:pPr>
        <w:ind w:left="120" w:right="300" w:firstLine="41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recorded stock-based compensation of $9.7 million related to options. As of December 31, 2022, the unrecognized stock-based compensation of unvested options was $22.8 million, which is expected to be recognized over a weighted-average period of 2.5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0" w:name="page91"/>
    <w:bookmarkEnd w:id="90"/>
    <w:p>
      <w:pPr>
        <w:ind w:left="120"/>
        <w:spacing w:after="0"/>
        <w:rPr>
          <w:sz w:val="20"/>
          <w:szCs w:val="20"/>
          <w:color w:val="auto"/>
        </w:rPr>
      </w:pPr>
      <w:r>
        <w:rPr>
          <w:rFonts w:ascii="Times New Roman" w:cs="Times New Roman" w:eastAsia="Times New Roman" w:hAnsi="Times New Roman"/>
          <w:sz w:val="18"/>
          <w:szCs w:val="18"/>
          <w:i w:val="1"/>
          <w:iCs w:val="1"/>
          <w:color w:val="auto"/>
        </w:rPr>
        <w:t>Determination of fair value</w:t>
      </w:r>
    </w:p>
    <w:p>
      <w:pPr>
        <w:spacing w:after="0" w:line="119" w:lineRule="exact"/>
        <w:rPr>
          <w:sz w:val="20"/>
          <w:szCs w:val="20"/>
          <w:color w:val="auto"/>
        </w:rPr>
      </w:pPr>
    </w:p>
    <w:p>
      <w:pPr>
        <w:ind w:left="120" w:right="120" w:firstLine="419"/>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stock options using the Black-Scholes option-pricing model. The fair value of stock options is recognized on a straight-line basis over the requisite service periods of the awards. The fair value of stock options was estimated using the following weighted-average assumptions:</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5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69"/>
        </w:trPr>
        <w:tc>
          <w:tcPr>
            <w:tcW w:w="4520" w:type="dxa"/>
            <w:vAlign w:val="bottom"/>
          </w:tcPr>
          <w:p>
            <w:pPr>
              <w:spacing w:after="0"/>
              <w:rPr>
                <w:sz w:val="14"/>
                <w:szCs w:val="14"/>
                <w:color w:val="auto"/>
              </w:rPr>
            </w:pPr>
          </w:p>
        </w:tc>
        <w:tc>
          <w:tcPr>
            <w:tcW w:w="1900" w:type="dxa"/>
            <w:vAlign w:val="bottom"/>
            <w:gridSpan w:val="2"/>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5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7"/>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40" w:type="dxa"/>
            <w:vAlign w:val="bottom"/>
            <w:tcBorders>
              <w:top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6.95</w:t>
            </w:r>
          </w:p>
        </w:tc>
        <w:tc>
          <w:tcPr>
            <w:tcW w:w="10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6.18</w:t>
            </w:r>
          </w:p>
        </w:tc>
      </w:tr>
      <w:tr>
        <w:trPr>
          <w:trHeight w:val="26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64.97%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61.08%</w:t>
            </w:r>
          </w:p>
        </w:tc>
      </w:tr>
      <w:tr>
        <w:trPr>
          <w:trHeight w:val="250"/>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3.97%</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1.33%</w:t>
            </w:r>
          </w:p>
        </w:tc>
      </w:tr>
      <w:tr>
        <w:trPr>
          <w:trHeight w:val="257"/>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60" w:type="dxa"/>
            <w:vAlign w:val="bottom"/>
          </w:tcPr>
          <w:p>
            <w:pPr>
              <w:spacing w:after="0"/>
              <w:rPr>
                <w:sz w:val="22"/>
                <w:szCs w:val="22"/>
                <w:color w:val="auto"/>
              </w:rPr>
            </w:pP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spacing w:after="0"/>
              <w:rPr>
                <w:sz w:val="22"/>
                <w:szCs w:val="22"/>
                <w:color w:val="auto"/>
              </w:rPr>
            </w:pPr>
          </w:p>
        </w:tc>
      </w:tr>
    </w:tbl>
    <w:p>
      <w:pPr>
        <w:spacing w:after="0" w:line="200" w:lineRule="exact"/>
        <w:rPr>
          <w:sz w:val="20"/>
          <w:szCs w:val="20"/>
          <w:color w:val="auto"/>
        </w:rPr>
      </w:pP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Expected Term</w:t>
      </w:r>
    </w:p>
    <w:p>
      <w:pPr>
        <w:spacing w:after="0" w:line="119" w:lineRule="exact"/>
        <w:rPr>
          <w:sz w:val="20"/>
          <w:szCs w:val="20"/>
          <w:color w:val="auto"/>
        </w:rPr>
      </w:pPr>
    </w:p>
    <w:p>
      <w:pPr>
        <w:ind w:left="120" w:right="220" w:firstLine="419"/>
        <w:spacing w:after="0" w:line="258" w:lineRule="auto"/>
        <w:rPr>
          <w:sz w:val="20"/>
          <w:szCs w:val="20"/>
          <w:color w:val="auto"/>
        </w:rPr>
      </w:pPr>
      <w:r>
        <w:rPr>
          <w:rFonts w:ascii="Times New Roman" w:cs="Times New Roman" w:eastAsia="Times New Roman" w:hAnsi="Times New Roman"/>
          <w:sz w:val="18"/>
          <w:szCs w:val="18"/>
          <w:color w:val="auto"/>
        </w:rPr>
        <w:t>The expected term is calculated using the simplified method, which is available if there is insufficient historical data about exercise patterns and post vesting employment termination behavior. The simplified method is based on the vesting period and the contractual term for each grant or for each vesting tranche for awards with graded vesting. The midpoint of the vesting date and the maximum contractual expiration date is used as the expected term under this method. For awards with multiple vesting tranches, the time from grant until the midpoints for each of the tranches may be averaged to provide an overall expected term.</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Expected Volatility</w:t>
      </w:r>
    </w:p>
    <w:p>
      <w:pPr>
        <w:spacing w:after="0" w:line="119" w:lineRule="exact"/>
        <w:rPr>
          <w:sz w:val="20"/>
          <w:szCs w:val="20"/>
          <w:color w:val="auto"/>
        </w:rPr>
      </w:pPr>
    </w:p>
    <w:p>
      <w:pPr>
        <w:ind w:left="120" w:right="80" w:firstLine="419"/>
        <w:spacing w:after="0" w:line="261" w:lineRule="auto"/>
        <w:rPr>
          <w:sz w:val="20"/>
          <w:szCs w:val="20"/>
          <w:color w:val="auto"/>
        </w:rPr>
      </w:pPr>
      <w:r>
        <w:rPr>
          <w:rFonts w:ascii="Times New Roman" w:cs="Times New Roman" w:eastAsia="Times New Roman" w:hAnsi="Times New Roman"/>
          <w:sz w:val="18"/>
          <w:szCs w:val="18"/>
          <w:color w:val="auto"/>
        </w:rPr>
        <w:t>The Company used an average historical stock price volatility of a peer group of publicly traded companies to be representative of its expected future stock price volatility, as the Company did not have any trading history for its common stock. For purposes of identifying these peer companies, the Company considered the industry, stage of development, size, and financial leverage of potential comparable companies. For each grant, the Company measured historical volatility over a period equivalent to the expected term.</w:t>
      </w:r>
    </w:p>
    <w:p>
      <w:pPr>
        <w:spacing w:after="0" w:line="1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Risk-Free Interest Rate</w:t>
      </w:r>
    </w:p>
    <w:p>
      <w:pPr>
        <w:spacing w:after="0" w:line="119" w:lineRule="exact"/>
        <w:rPr>
          <w:sz w:val="20"/>
          <w:szCs w:val="20"/>
          <w:color w:val="auto"/>
        </w:rPr>
      </w:pPr>
    </w:p>
    <w:p>
      <w:pPr>
        <w:ind w:left="120" w:right="220" w:firstLine="419"/>
        <w:spacing w:after="0" w:line="282" w:lineRule="auto"/>
        <w:rPr>
          <w:sz w:val="20"/>
          <w:szCs w:val="20"/>
          <w:color w:val="auto"/>
        </w:rPr>
      </w:pPr>
      <w:r>
        <w:rPr>
          <w:rFonts w:ascii="Times New Roman" w:cs="Times New Roman" w:eastAsia="Times New Roman" w:hAnsi="Times New Roman"/>
          <w:sz w:val="18"/>
          <w:szCs w:val="18"/>
          <w:color w:val="auto"/>
        </w:rPr>
        <w:t>The risk-free interest rate is based on the implied yield currently available on US Treasury zero-coupon issues with remaining terms equivalent to the expected term of a stock award.</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Expected Dividend Rate</w:t>
      </w:r>
    </w:p>
    <w:p>
      <w:pPr>
        <w:spacing w:after="0" w:line="119" w:lineRule="exact"/>
        <w:rPr>
          <w:sz w:val="20"/>
          <w:szCs w:val="20"/>
          <w:color w:val="auto"/>
        </w:rPr>
      </w:pPr>
    </w:p>
    <w:p>
      <w:pPr>
        <w:ind w:left="120" w:right="120" w:firstLine="419"/>
        <w:spacing w:after="0" w:line="282" w:lineRule="auto"/>
        <w:rPr>
          <w:sz w:val="20"/>
          <w:szCs w:val="20"/>
          <w:color w:val="auto"/>
        </w:rPr>
      </w:pPr>
      <w:r>
        <w:rPr>
          <w:rFonts w:ascii="Times New Roman" w:cs="Times New Roman" w:eastAsia="Times New Roman" w:hAnsi="Times New Roman"/>
          <w:sz w:val="18"/>
          <w:szCs w:val="18"/>
          <w:color w:val="auto"/>
        </w:rPr>
        <w:t>The Company has not paid, and does not anticipate paying, any dividends in the near future. Accordingly, the Company has estimated the dividend yield to be 0%.</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231F20"/>
        </w:rPr>
        <w:t>Restricted Stock Units</w:t>
      </w:r>
    </w:p>
    <w:p>
      <w:pPr>
        <w:spacing w:after="0" w:line="121" w:lineRule="exact"/>
        <w:rPr>
          <w:sz w:val="20"/>
          <w:szCs w:val="20"/>
          <w:color w:val="auto"/>
        </w:rPr>
      </w:pPr>
    </w:p>
    <w:p>
      <w:pPr>
        <w:ind w:left="120" w:right="160" w:firstLine="419"/>
        <w:spacing w:after="0" w:line="261" w:lineRule="auto"/>
        <w:rPr>
          <w:sz w:val="20"/>
          <w:szCs w:val="20"/>
          <w:color w:val="auto"/>
        </w:rPr>
      </w:pPr>
      <w:r>
        <w:rPr>
          <w:rFonts w:ascii="Times New Roman" w:cs="Times New Roman" w:eastAsia="Times New Roman" w:hAnsi="Times New Roman"/>
          <w:sz w:val="18"/>
          <w:szCs w:val="18"/>
          <w:color w:val="auto"/>
        </w:rPr>
        <w:t>RSUs are share awards that entitle the holder to receive freely tradable shares of the Company’s common stock upon vesting. The RSUs cannot be transferred, and the awards are subject to forfeiture if the holder’s employment terminates prior to the release of the vesting restrictions. The RSUs generally vest over a four-year period with straight-line vesting in equal amounts on an annual basis, provided the employee remains continuously employed with the Company. The fair value of the RSUs is equal to the closing price of the Company’s common stock on the grant date.</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summarizes restricted share award activity: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4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right"/>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 Per</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4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15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2021</w:t>
            </w:r>
          </w:p>
        </w:tc>
        <w:tc>
          <w:tcPr>
            <w:tcW w:w="2300" w:type="dxa"/>
            <w:vAlign w:val="bottom"/>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53,250</w:t>
            </w: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80" w:type="dxa"/>
            <w:vAlign w:val="bottom"/>
            <w:shd w:val="clear" w:color="auto" w:fill="CFF0FC"/>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920" w:type="dxa"/>
            <w:vAlign w:val="bottom"/>
          </w:tcPr>
          <w:p>
            <w:pPr>
              <w:spacing w:after="0"/>
              <w:rPr>
                <w:sz w:val="20"/>
                <w:szCs w:val="20"/>
                <w:color w:val="auto"/>
              </w:rPr>
            </w:pPr>
          </w:p>
        </w:tc>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Grants</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1,101,923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20" w:type="dxa"/>
            <w:vAlign w:val="bottom"/>
          </w:tcPr>
          <w:p>
            <w:pPr>
              <w:spacing w:after="0"/>
              <w:rPr>
                <w:sz w:val="21"/>
                <w:szCs w:val="21"/>
                <w:color w:val="auto"/>
              </w:rPr>
            </w:pPr>
          </w:p>
        </w:tc>
        <w:tc>
          <w:tcPr>
            <w:tcW w:w="3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Forfeited/cancelled</w:t>
            </w:r>
          </w:p>
        </w:tc>
        <w:tc>
          <w:tcPr>
            <w:tcW w:w="41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(130,022 )</w:t>
            </w:r>
          </w:p>
        </w:tc>
        <w:tc>
          <w:tcPr>
            <w:tcW w:w="1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80" w:type="dxa"/>
            <w:vAlign w:val="bottom"/>
            <w:shd w:val="clear" w:color="auto" w:fill="CFF0FC"/>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4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(11,028 )</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920" w:type="dxa"/>
            <w:vAlign w:val="bottom"/>
          </w:tcPr>
          <w:p>
            <w:pPr>
              <w:spacing w:after="0"/>
              <w:rPr>
                <w:sz w:val="24"/>
                <w:szCs w:val="24"/>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2022</w:t>
            </w:r>
          </w:p>
        </w:tc>
        <w:tc>
          <w:tcPr>
            <w:tcW w:w="230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1,014,123</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80" w:type="dxa"/>
            <w:vAlign w:val="bottom"/>
            <w:tcBorders>
              <w:bottom w:val="single" w:sz="8" w:color="CFF0FC"/>
            </w:tcBorders>
            <w:shd w:val="clear" w:color="auto" w:fill="CFF0FC"/>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9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3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90</w:t>
            </w: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920" w:type="dxa"/>
            <w:vAlign w:val="bottom"/>
            <w:tcBorders>
              <w:bottom w:val="single" w:sz="8" w:color="9A9A9A"/>
            </w:tcBorders>
          </w:tcPr>
          <w:p>
            <w:pPr>
              <w:spacing w:after="0"/>
              <w:rPr>
                <w:sz w:val="8"/>
                <w:szCs w:val="8"/>
                <w:color w:val="auto"/>
              </w:rPr>
            </w:pPr>
          </w:p>
        </w:tc>
        <w:tc>
          <w:tcPr>
            <w:tcW w:w="356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-513715</wp:posOffset>
            </wp:positionV>
            <wp:extent cx="603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-496570</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1" w:name="page92"/>
    <w:bookmarkEnd w:id="91"/>
    <w:p>
      <w:pPr>
        <w:ind w:right="20" w:firstLine="41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recorded stock-based compensation of $2.9 million related to RSUs. As of December 31, 2022, the unrecognized stock-based compensation of unvested RSUs was $11.8 million, which is expected to be recognized over a weighted-average period of 3.3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Employee Stock Purchase Plan</w:t>
      </w:r>
    </w:p>
    <w:p>
      <w:pPr>
        <w:spacing w:after="0" w:line="121" w:lineRule="exact"/>
        <w:rPr>
          <w:sz w:val="20"/>
          <w:szCs w:val="20"/>
          <w:color w:val="auto"/>
        </w:rPr>
      </w:pPr>
    </w:p>
    <w:p>
      <w:pPr>
        <w:ind w:right="100" w:firstLine="419"/>
        <w:spacing w:after="0" w:line="258" w:lineRule="auto"/>
        <w:rPr>
          <w:sz w:val="20"/>
          <w:szCs w:val="20"/>
          <w:color w:val="auto"/>
        </w:rPr>
      </w:pPr>
      <w:r>
        <w:rPr>
          <w:rFonts w:ascii="Times New Roman" w:cs="Times New Roman" w:eastAsia="Times New Roman" w:hAnsi="Times New Roman"/>
          <w:sz w:val="18"/>
          <w:szCs w:val="18"/>
          <w:color w:val="auto"/>
        </w:rPr>
        <w:t>Inn July 2021, the board of directors and stockholders also adopted and approved the 2021 Employee Stock Purchase Plan (the “ESPP”). The Company initially reserved 850,000 shares of common stock for future issuance under the ESPP. This initial reserve is subject to annual increase on the first day of each calendar year beginning on January 1, 2022 and ending on and including January 1, 2031. These annual increases shall be equal to the lesser of (i) 1% of the aggregate number of shares of Common Stock outstanding on the final day of the immediately preceding calendar year and (ii) such smaller number of shares of Common Stock as determined by the Board, subject to certain limitations.</w:t>
      </w:r>
    </w:p>
    <w:p>
      <w:pPr>
        <w:spacing w:after="0" w:line="183" w:lineRule="exact"/>
        <w:rPr>
          <w:sz w:val="20"/>
          <w:szCs w:val="20"/>
          <w:color w:val="auto"/>
        </w:rPr>
      </w:pPr>
    </w:p>
    <w:p>
      <w:pPr>
        <w:jc w:val="both"/>
        <w:ind w:right="180" w:firstLine="419"/>
        <w:spacing w:after="0" w:line="266" w:lineRule="auto"/>
        <w:rPr>
          <w:sz w:val="20"/>
          <w:szCs w:val="20"/>
          <w:color w:val="auto"/>
        </w:rPr>
      </w:pPr>
      <w:r>
        <w:rPr>
          <w:rFonts w:ascii="Times New Roman" w:cs="Times New Roman" w:eastAsia="Times New Roman" w:hAnsi="Times New Roman"/>
          <w:sz w:val="18"/>
          <w:szCs w:val="18"/>
          <w:color w:val="auto"/>
        </w:rPr>
        <w:t>The Company's first six-month offering period under the ESPP began during the second quarter of 2022. The Company has two offering periods annually, running for six-months, with the first offering period beginning in the second quarter, and the second offering period beginning in the fourth quarter. The purchase of shares for participants in the ESPP occurs at the conclusion of each offering period.</w:t>
      </w:r>
    </w:p>
    <w:p>
      <w:pPr>
        <w:spacing w:after="0" w:line="176"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participants in the ESPP purchased 98,924 shares for a total of $0.7 million. As of December 31, 2022, the Company has collected withholdings of $0.2 million in the current offering period for purchase of shares. The Company recorded $0.4 million of stock-based compensation associated with the ESPP for the year ended December 31, 2022. There was no stock-based compensation associated with the ESPP for the year ended December 31, 2021.</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2022, there were 1,226,123 shares of common stock available for issuance under the ESPP.</w:t>
      </w:r>
    </w:p>
    <w:p>
      <w:pPr>
        <w:spacing w:after="0" w:line="225" w:lineRule="exact"/>
        <w:rPr>
          <w:sz w:val="20"/>
          <w:szCs w:val="20"/>
          <w:color w:val="auto"/>
        </w:rPr>
      </w:pPr>
    </w:p>
    <w:p>
      <w:pPr>
        <w:ind w:right="200" w:firstLine="419"/>
        <w:spacing w:after="0" w:line="282" w:lineRule="auto"/>
        <w:rPr>
          <w:sz w:val="20"/>
          <w:szCs w:val="20"/>
          <w:color w:val="auto"/>
        </w:rPr>
      </w:pPr>
      <w:r>
        <w:rPr>
          <w:rFonts w:ascii="Times New Roman" w:cs="Times New Roman" w:eastAsia="Times New Roman" w:hAnsi="Times New Roman"/>
          <w:sz w:val="18"/>
          <w:szCs w:val="18"/>
          <w:color w:val="auto"/>
        </w:rPr>
        <w:t>The fair value of shares to be issued under the ESPP was estimated using the Black-Scholes valuation model with the following assumptions for the year ended December 31, 2022:</w:t>
      </w:r>
    </w:p>
    <w:p>
      <w:pPr>
        <w:spacing w:after="0" w:line="169" w:lineRule="exact"/>
        <w:rPr>
          <w:sz w:val="20"/>
          <w:szCs w:val="20"/>
          <w:color w:val="auto"/>
        </w:rPr>
      </w:pPr>
    </w:p>
    <w:tbl>
      <w:tblPr>
        <w:tblLayout w:type="fixed"/>
        <w:tblInd w:w="2540" w:type="dxa"/>
        <w:tblCellMar>
          <w:top w:w="0" w:type="dxa"/>
          <w:left w:w="0" w:type="dxa"/>
          <w:bottom w:w="0" w:type="dxa"/>
          <w:right w:w="0" w:type="dxa"/>
        </w:tblCellMar>
      </w:tblPr>
      <w:tr>
        <w:trPr>
          <w:trHeight w:val="187"/>
        </w:trPr>
        <w:tc>
          <w:tcPr>
            <w:tcW w:w="4160" w:type="dxa"/>
            <w:vAlign w:val="bottom"/>
          </w:tcPr>
          <w:p>
            <w:pPr>
              <w:spacing w:after="0"/>
              <w:rPr>
                <w:sz w:val="16"/>
                <w:szCs w:val="16"/>
                <w:color w:val="auto"/>
              </w:rPr>
            </w:pPr>
          </w:p>
        </w:tc>
        <w:tc>
          <w:tcPr>
            <w:tcW w:w="1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6"/>
                <w:szCs w:val="16"/>
                <w:color w:val="auto"/>
              </w:rPr>
            </w:pPr>
          </w:p>
        </w:tc>
      </w:tr>
      <w:tr>
        <w:trPr>
          <w:trHeight w:val="169"/>
        </w:trPr>
        <w:tc>
          <w:tcPr>
            <w:tcW w:w="4160" w:type="dxa"/>
            <w:vAlign w:val="bottom"/>
          </w:tcPr>
          <w:p>
            <w:pPr>
              <w:spacing w:after="0"/>
              <w:rPr>
                <w:sz w:val="14"/>
                <w:szCs w:val="14"/>
                <w:color w:val="auto"/>
              </w:rPr>
            </w:pPr>
          </w:p>
        </w:tc>
        <w:tc>
          <w:tcPr>
            <w:tcW w:w="1660" w:type="dxa"/>
            <w:vAlign w:val="bottom"/>
            <w:tcBorders>
              <w:bottom w:val="single" w:sz="8" w:color="auto"/>
            </w:tcBorders>
            <w:gridSpan w:val="2"/>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r>
      <w:tr>
        <w:trPr>
          <w:trHeight w:val="23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- 0.50</w:t>
            </w:r>
          </w:p>
        </w:tc>
        <w:tc>
          <w:tcPr>
            <w:tcW w:w="120" w:type="dxa"/>
            <w:vAlign w:val="bottom"/>
            <w:shd w:val="clear" w:color="auto" w:fill="CFF0FC"/>
          </w:tcPr>
          <w:p>
            <w:pPr>
              <w:spacing w:after="0"/>
              <w:rPr>
                <w:sz w:val="20"/>
                <w:szCs w:val="20"/>
                <w:color w:val="auto"/>
              </w:rPr>
            </w:pPr>
          </w:p>
        </w:tc>
      </w:tr>
      <w:tr>
        <w:trPr>
          <w:trHeight w:val="26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- 97.38%</w:t>
            </w:r>
          </w:p>
        </w:tc>
        <w:tc>
          <w:tcPr>
            <w:tcW w:w="120" w:type="dxa"/>
            <w:vAlign w:val="bottom"/>
          </w:tcPr>
          <w:p>
            <w:pPr>
              <w:spacing w:after="0"/>
              <w:rPr>
                <w:sz w:val="22"/>
                <w:szCs w:val="22"/>
                <w:color w:val="auto"/>
              </w:rPr>
            </w:pPr>
          </w:p>
        </w:tc>
      </w:tr>
      <w:tr>
        <w:trPr>
          <w:trHeight w:val="25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- 4.62%</w:t>
            </w:r>
          </w:p>
        </w:tc>
        <w:tc>
          <w:tcPr>
            <w:tcW w:w="120" w:type="dxa"/>
            <w:vAlign w:val="bottom"/>
            <w:shd w:val="clear" w:color="auto" w:fill="CFF0FC"/>
          </w:tcPr>
          <w:p>
            <w:pPr>
              <w:spacing w:after="0"/>
              <w:rPr>
                <w:sz w:val="21"/>
                <w:szCs w:val="21"/>
                <w:color w:val="auto"/>
              </w:rPr>
            </w:pPr>
          </w:p>
        </w:tc>
      </w:tr>
      <w:tr>
        <w:trPr>
          <w:trHeight w:val="257"/>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80" w:type="dxa"/>
            <w:vAlign w:val="bottom"/>
          </w:tcPr>
          <w:p>
            <w:pPr>
              <w:spacing w:after="0"/>
              <w:rPr>
                <w:sz w:val="22"/>
                <w:szCs w:val="22"/>
                <w:color w:val="auto"/>
              </w:rPr>
            </w:pPr>
          </w:p>
        </w:tc>
        <w:tc>
          <w:tcPr>
            <w:tcW w:w="88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2"/>
                <w:szCs w:val="22"/>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Stock Based Compensation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stock-based compensation expense by function (in thousands):</w:t>
      </w:r>
    </w:p>
    <w:p>
      <w:pPr>
        <w:spacing w:after="0" w:line="232" w:lineRule="exact"/>
        <w:rPr>
          <w:sz w:val="20"/>
          <w:szCs w:val="20"/>
          <w:color w:val="auto"/>
        </w:rPr>
      </w:pPr>
    </w:p>
    <w:tbl>
      <w:tblPr>
        <w:tblLayout w:type="fixed"/>
        <w:tblInd w:w="102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 w:type="dxa"/>
            <w:vAlign w:val="bottom"/>
          </w:tcPr>
          <w:p>
            <w:pPr>
              <w:spacing w:after="0"/>
              <w:rPr>
                <w:sz w:val="16"/>
                <w:szCs w:val="16"/>
                <w:color w:val="auto"/>
              </w:rPr>
            </w:pPr>
          </w:p>
        </w:tc>
      </w:tr>
      <w:tr>
        <w:trPr>
          <w:trHeight w:val="169"/>
        </w:trPr>
        <w:tc>
          <w:tcPr>
            <w:tcW w:w="6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FF0FC"/>
          </w:tcPr>
          <w:p>
            <w:pPr>
              <w:spacing w:after="0"/>
              <w:rPr>
                <w:sz w:val="20"/>
                <w:szCs w:val="20"/>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Pr>
          <w:p>
            <w:pPr>
              <w:spacing w:after="0"/>
              <w:rPr>
                <w:sz w:val="20"/>
                <w:szCs w:val="20"/>
                <w:color w:val="auto"/>
              </w:rPr>
            </w:pPr>
          </w:p>
        </w:tc>
      </w:tr>
      <w:tr>
        <w:trPr>
          <w:trHeight w:val="243"/>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11,481</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12,963</w:t>
            </w: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80" w:type="dxa"/>
            <w:vAlign w:val="bottom"/>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5372100</wp:posOffset>
            </wp:positionH>
            <wp:positionV relativeFrom="paragraph">
              <wp:posOffset>-187960</wp:posOffset>
            </wp:positionV>
            <wp:extent cx="59690"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-187960</wp:posOffset>
            </wp:positionV>
            <wp:extent cx="51435"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b w:val="1"/>
          <w:bCs w:val="1"/>
          <w:color w:val="231F20"/>
        </w:rPr>
        <w:t>Net Loss per Share Attributable to Common Stockholders</w:t>
      </w:r>
    </w:p>
    <w:p>
      <w:pPr>
        <w:spacing w:after="0" w:line="121" w:lineRule="exact"/>
        <w:rPr>
          <w:sz w:val="20"/>
          <w:szCs w:val="20"/>
          <w:color w:val="auto"/>
        </w:rPr>
      </w:pPr>
    </w:p>
    <w:p>
      <w:pPr>
        <w:ind w:right="20" w:firstLine="419"/>
        <w:spacing w:after="0" w:line="266"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by the weighted-average number of common shares outstanding for the period. As the Company reported a net loss for the years ended December 31, 2022 and 2021, basic net loss per share is the same as diluted net loss per share as the inclusion of potentially dilutive shares would have been antidilutive if included in the calculation.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553" w:right="459" w:bottom="1440" w:gutter="0" w:footer="0" w:header="0"/>
        </w:sectPr>
      </w:pPr>
    </w:p>
    <w:bookmarkStart w:id="92" w:name="page93"/>
    <w:bookmarkEnd w:id="92"/>
    <w:p>
      <w:pPr>
        <w:ind w:left="120" w:right="380" w:firstLine="41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(in thousands, except share and per share data):</w:t>
      </w:r>
    </w:p>
    <w:p>
      <w:pPr>
        <w:spacing w:after="0" w:line="16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16510</wp:posOffset>
            </wp:positionV>
            <wp:extent cx="19456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9" w:lineRule="exact"/>
        <w:rPr>
          <w:sz w:val="20"/>
          <w:szCs w:val="20"/>
          <w:color w:val="auto"/>
        </w:rPr>
      </w:pPr>
    </w:p>
    <w:p>
      <w:pPr>
        <w:ind w:left="7000"/>
        <w:spacing w:after="0"/>
        <w:tabs>
          <w:tab w:leader="none" w:pos="862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5" w:lineRule="exact"/>
        <w:rPr>
          <w:sz w:val="20"/>
          <w:szCs w:val="20"/>
          <w:color w:val="auto"/>
        </w:rPr>
      </w:pPr>
    </w:p>
    <w:tbl>
      <w:tblPr>
        <w:tblLayout w:type="fixed"/>
        <w:tblInd w:w="1700" w:type="dxa"/>
        <w:tblCellMar>
          <w:top w:w="0" w:type="dxa"/>
          <w:left w:w="0" w:type="dxa"/>
          <w:bottom w:w="0" w:type="dxa"/>
          <w:right w:w="0" w:type="dxa"/>
        </w:tblCellMar>
      </w:tblPr>
      <w:tr>
        <w:trPr>
          <w:trHeight w:val="237"/>
        </w:trPr>
        <w:tc>
          <w:tcPr>
            <w:tcW w:w="4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(86,242 )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(62,960 )</w:t>
            </w:r>
          </w:p>
        </w:tc>
        <w:tc>
          <w:tcPr>
            <w:tcW w:w="0" w:type="dxa"/>
            <w:vAlign w:val="bottom"/>
          </w:tcPr>
          <w:p>
            <w:pPr>
              <w:spacing w:after="0"/>
              <w:rPr>
                <w:sz w:val="1"/>
                <w:szCs w:val="1"/>
                <w:color w:val="auto"/>
              </w:rPr>
            </w:pPr>
          </w:p>
        </w:tc>
      </w:tr>
      <w:tr>
        <w:trPr>
          <w:trHeight w:val="247"/>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shares of common stock</w:t>
            </w:r>
          </w:p>
        </w:tc>
        <w:tc>
          <w:tcPr>
            <w:tcW w:w="3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47,849,058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26,734,097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outstanding—basic and diluted</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720" w:type="dxa"/>
            <w:vAlign w:val="bottom"/>
            <w:shd w:val="clear" w:color="auto" w:fill="CFF0FC"/>
          </w:tcPr>
          <w:p>
            <w:pPr>
              <w:ind w:left="180"/>
              <w:spacing w:after="0" w:line="205"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36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(1.80 )</w:t>
            </w:r>
          </w:p>
        </w:tc>
        <w:tc>
          <w:tcPr>
            <w:tcW w:w="340" w:type="dxa"/>
            <w:vAlign w:val="bottom"/>
            <w:vMerge w:val="restart"/>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0" w:type="dxa"/>
            <w:vAlign w:val="bottom"/>
          </w:tcPr>
          <w:p>
            <w:pPr>
              <w:spacing w:after="0"/>
              <w:rPr>
                <w:sz w:val="1"/>
                <w:szCs w:val="1"/>
                <w:color w:val="auto"/>
              </w:rPr>
            </w:pPr>
          </w:p>
        </w:tc>
      </w:tr>
      <w:tr>
        <w:trPr>
          <w:trHeight w:val="227"/>
        </w:trPr>
        <w:tc>
          <w:tcPr>
            <w:tcW w:w="4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stockholders—basic and diluted</w:t>
            </w:r>
          </w:p>
        </w:tc>
        <w:tc>
          <w:tcPr>
            <w:tcW w:w="360" w:type="dxa"/>
            <w:vAlign w:val="bottom"/>
            <w:vMerge w:val="continue"/>
            <w:shd w:val="clear" w:color="auto" w:fill="CFF0FC"/>
          </w:tcPr>
          <w:p>
            <w:pPr>
              <w:spacing w:after="0"/>
              <w:rPr>
                <w:sz w:val="19"/>
                <w:szCs w:val="19"/>
                <w:color w:val="auto"/>
              </w:rPr>
            </w:pPr>
          </w:p>
        </w:tc>
        <w:tc>
          <w:tcPr>
            <w:tcW w:w="1320" w:type="dxa"/>
            <w:vAlign w:val="bottom"/>
            <w:gridSpan w:val="2"/>
            <w:vMerge w:val="continue"/>
            <w:shd w:val="clear" w:color="auto" w:fill="CFF0FC"/>
          </w:tcPr>
          <w:p>
            <w:pPr>
              <w:spacing w:after="0"/>
              <w:rPr>
                <w:sz w:val="19"/>
                <w:szCs w:val="19"/>
                <w:color w:val="auto"/>
              </w:rPr>
            </w:pPr>
          </w:p>
        </w:tc>
        <w:tc>
          <w:tcPr>
            <w:tcW w:w="340" w:type="dxa"/>
            <w:vAlign w:val="bottom"/>
            <w:vMerge w:val="continue"/>
            <w:shd w:val="clear" w:color="auto" w:fill="CFF0FC"/>
          </w:tcPr>
          <w:p>
            <w:pPr>
              <w:spacing w:after="0"/>
              <w:rPr>
                <w:sz w:val="19"/>
                <w:szCs w:val="19"/>
                <w:color w:val="auto"/>
              </w:rPr>
            </w:pPr>
          </w:p>
        </w:tc>
        <w:tc>
          <w:tcPr>
            <w:tcW w:w="11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-24765</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left="120" w:right="200" w:firstLine="419"/>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attributable to common stockholders for the period presented because including them would have been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00" w:type="dxa"/>
            <w:vAlign w:val="bottom"/>
          </w:tcPr>
          <w:p>
            <w:pPr>
              <w:spacing w:after="0"/>
              <w:rPr>
                <w:sz w:val="16"/>
                <w:szCs w:val="16"/>
                <w:color w:val="auto"/>
              </w:rPr>
            </w:pPr>
          </w:p>
        </w:tc>
        <w:tc>
          <w:tcPr>
            <w:tcW w:w="2500" w:type="dxa"/>
            <w:vAlign w:val="bottom"/>
            <w:tcBorders>
              <w:bottom w:val="single" w:sz="8" w:color="auto"/>
            </w:tcBorders>
            <w:gridSpan w:val="3"/>
          </w:tcPr>
          <w:p>
            <w:pPr>
              <w:ind w:left="1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400" w:type="dxa"/>
            <w:vAlign w:val="bottom"/>
          </w:tcPr>
          <w:p>
            <w:pPr>
              <w:spacing w:after="0"/>
              <w:rPr>
                <w:sz w:val="14"/>
                <w:szCs w:val="14"/>
                <w:color w:val="auto"/>
              </w:rPr>
            </w:pPr>
          </w:p>
        </w:tc>
        <w:tc>
          <w:tcPr>
            <w:tcW w:w="174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4,819,906</w:t>
            </w: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4,996,945</w:t>
            </w:r>
          </w:p>
        </w:tc>
        <w:tc>
          <w:tcPr>
            <w:tcW w:w="100" w:type="dxa"/>
            <w:vAlign w:val="bottom"/>
            <w:shd w:val="clear" w:color="auto" w:fill="CFF0FC"/>
          </w:tcPr>
          <w:p>
            <w:pPr>
              <w:spacing w:after="0"/>
              <w:rPr>
                <w:sz w:val="20"/>
                <w:szCs w:val="20"/>
                <w:color w:val="auto"/>
              </w:rPr>
            </w:pP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1,014,123</w:t>
            </w:r>
          </w:p>
        </w:tc>
        <w:tc>
          <w:tcPr>
            <w:tcW w:w="2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53,250</w:t>
            </w:r>
          </w:p>
        </w:tc>
        <w:tc>
          <w:tcPr>
            <w:tcW w:w="100" w:type="dxa"/>
            <w:vAlign w:val="bottom"/>
          </w:tcPr>
          <w:p>
            <w:pPr>
              <w:spacing w:after="0"/>
              <w:rPr>
                <w:sz w:val="20"/>
                <w:szCs w:val="20"/>
                <w:color w:val="auto"/>
              </w:rPr>
            </w:pPr>
          </w:p>
        </w:tc>
      </w:tr>
      <w:tr>
        <w:trPr>
          <w:trHeight w:val="277"/>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5,834,029</w:t>
            </w:r>
          </w:p>
        </w:tc>
        <w:tc>
          <w:tcPr>
            <w:tcW w:w="26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spacing w:after="0"/>
              <w:rPr>
                <w:sz w:val="24"/>
                <w:szCs w:val="2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5,050,195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b w:val="1"/>
          <w:bCs w:val="1"/>
          <w:color w:val="231F20"/>
        </w:rPr>
        <w:t>Income Taxes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231F20"/>
        </w:rPr>
        <w:t>The Company’s income tax provision for the years ended December 31, 2022 and 2021, consists of the following (in thousands):</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Current</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48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5480" w:type="dxa"/>
            <w:vAlign w:val="bottom"/>
          </w:tcPr>
          <w:p>
            <w:pPr>
              <w:spacing w:after="0"/>
              <w:rPr>
                <w:sz w:val="14"/>
                <w:szCs w:val="14"/>
                <w:color w:val="auto"/>
              </w:rPr>
            </w:pPr>
          </w:p>
        </w:tc>
        <w:tc>
          <w:tcPr>
            <w:tcW w:w="11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w:t>
            </w:r>
          </w:p>
        </w:tc>
        <w:tc>
          <w:tcPr>
            <w:tcW w:w="110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r>
      <w:tr>
        <w:trPr>
          <w:trHeight w:val="239"/>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100" w:type="dxa"/>
            <w:vAlign w:val="bottom"/>
          </w:tcPr>
          <w:p>
            <w:pPr>
              <w:spacing w:after="0"/>
              <w:rPr>
                <w:sz w:val="20"/>
                <w:szCs w:val="20"/>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47</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0"/>
                <w:szCs w:val="20"/>
                <w:color w:val="auto"/>
              </w:rPr>
            </w:pPr>
          </w:p>
        </w:tc>
      </w:tr>
      <w:tr>
        <w:trPr>
          <w:trHeight w:val="247"/>
        </w:trPr>
        <w:tc>
          <w:tcPr>
            <w:tcW w:w="5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w:t>
            </w:r>
          </w:p>
        </w:tc>
        <w:tc>
          <w:tcPr>
            <w:tcW w:w="1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47</w:t>
            </w:r>
          </w:p>
        </w:tc>
        <w:tc>
          <w:tcPr>
            <w:tcW w:w="7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20"/>
                <w:szCs w:val="20"/>
                <w:color w:val="auto"/>
              </w:rPr>
            </w:pPr>
          </w:p>
        </w:tc>
      </w:tr>
      <w:tr>
        <w:trPr>
          <w:trHeight w:val="20"/>
        </w:trPr>
        <w:tc>
          <w:tcPr>
            <w:tcW w:w="54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78" w:lineRule="exact"/>
        <w:rPr>
          <w:sz w:val="20"/>
          <w:szCs w:val="20"/>
          <w:color w:val="auto"/>
        </w:rPr>
      </w:pPr>
    </w:p>
    <w:p>
      <w:pPr>
        <w:ind w:left="120" w:right="260" w:firstLine="419"/>
        <w:spacing w:after="0" w:line="266" w:lineRule="auto"/>
        <w:rPr>
          <w:sz w:val="20"/>
          <w:szCs w:val="20"/>
          <w:color w:val="auto"/>
        </w:rPr>
      </w:pPr>
      <w:r>
        <w:rPr>
          <w:rFonts w:ascii="Times New Roman" w:cs="Times New Roman" w:eastAsia="Times New Roman" w:hAnsi="Times New Roman"/>
          <w:sz w:val="18"/>
          <w:szCs w:val="18"/>
          <w:color w:val="231F20"/>
        </w:rPr>
        <w:t>The Company's components of income/(loss) before the provision for income taxes includes domestic loss of $86.0 million and $63.0 million for the years ended December 31, 2022 and 2021, respectively. Foreign income/(loss) for the year ended December 31, 2022 was a loss of $0.2 million, while the Company recording income of $0.1 million for the year ended December 31, 2021.</w:t>
      </w:r>
    </w:p>
    <w:p>
      <w:pPr>
        <w:spacing w:after="0" w:line="176" w:lineRule="exact"/>
        <w:rPr>
          <w:sz w:val="20"/>
          <w:szCs w:val="20"/>
          <w:color w:val="auto"/>
        </w:rPr>
      </w:pPr>
    </w:p>
    <w:p>
      <w:pPr>
        <w:jc w:val="both"/>
        <w:ind w:left="120" w:right="360" w:firstLine="419"/>
        <w:spacing w:after="0" w:line="266" w:lineRule="auto"/>
        <w:rPr>
          <w:sz w:val="20"/>
          <w:szCs w:val="20"/>
          <w:color w:val="auto"/>
        </w:rPr>
      </w:pPr>
      <w:r>
        <w:rPr>
          <w:rFonts w:ascii="Times New Roman" w:cs="Times New Roman" w:eastAsia="Times New Roman" w:hAnsi="Times New Roman"/>
          <w:sz w:val="18"/>
          <w:szCs w:val="18"/>
          <w:color w:val="231F20"/>
        </w:rPr>
        <w:t>Deferred tax assets and liabilities reflect the net tax effect of temporary differences between carrying value of assets and liabilities for financial reporting purposes and the tax basis of these assets and liabilities as measured by income tax law. The income tax effect of temporary differences that give rise to deferred tax assets and (liabilities) consist of the following (in thousands):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tbl>
      <w:tblPr>
        <w:tblLayout w:type="fixed"/>
        <w:tblInd w:w="1020" w:type="dxa"/>
        <w:tblCellMar>
          <w:top w:w="0" w:type="dxa"/>
          <w:left w:w="0" w:type="dxa"/>
          <w:bottom w:w="0" w:type="dxa"/>
          <w:right w:w="0" w:type="dxa"/>
        </w:tblCellMar>
      </w:tblPr>
      <w:tr>
        <w:trPr>
          <w:trHeight w:val="187"/>
        </w:trPr>
        <w:tc>
          <w:tcPr>
            <w:tcW w:w="6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52,616</w:t>
            </w:r>
          </w:p>
        </w:tc>
        <w:tc>
          <w:tcPr>
            <w:tcW w:w="24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35,186</w:t>
            </w:r>
          </w:p>
        </w:tc>
        <w:tc>
          <w:tcPr>
            <w:tcW w:w="80" w:type="dxa"/>
            <w:vAlign w:val="bottom"/>
          </w:tcPr>
          <w:p>
            <w:pPr>
              <w:spacing w:after="0"/>
              <w:rPr>
                <w:sz w:val="20"/>
                <w:szCs w:val="20"/>
                <w:color w:val="auto"/>
              </w:rPr>
            </w:pPr>
          </w:p>
        </w:tc>
      </w:tr>
      <w:tr>
        <w:trPr>
          <w:trHeight w:val="247"/>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80" w:type="dxa"/>
            <w:vAlign w:val="bottom"/>
            <w:shd w:val="clear" w:color="auto" w:fill="CFF0FC"/>
          </w:tcPr>
          <w:p>
            <w:pPr>
              <w:spacing w:after="0"/>
              <w:rPr>
                <w:sz w:val="21"/>
                <w:szCs w:val="21"/>
                <w:color w:val="auto"/>
              </w:rPr>
            </w:pPr>
          </w:p>
        </w:tc>
      </w:tr>
      <w:tr>
        <w:trPr>
          <w:trHeight w:val="23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80" w:type="dxa"/>
            <w:vAlign w:val="bottom"/>
          </w:tcPr>
          <w:p>
            <w:pPr>
              <w:spacing w:after="0"/>
              <w:rPr>
                <w:sz w:val="20"/>
                <w:szCs w:val="20"/>
                <w:color w:val="auto"/>
              </w:rPr>
            </w:pPr>
          </w:p>
        </w:tc>
      </w:tr>
      <w:tr>
        <w:trPr>
          <w:trHeight w:val="247"/>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Disallowed interest expense carryover</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shd w:val="clear" w:color="auto" w:fill="CFF0FC"/>
          </w:tcPr>
          <w:p>
            <w:pPr>
              <w:spacing w:after="0"/>
              <w:rPr>
                <w:sz w:val="21"/>
                <w:szCs w:val="21"/>
                <w:color w:val="auto"/>
              </w:rPr>
            </w:pPr>
          </w:p>
        </w:tc>
      </w:tr>
      <w:tr>
        <w:trPr>
          <w:trHeight w:val="23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bad debt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20"/>
                <w:szCs w:val="20"/>
                <w:color w:val="auto"/>
              </w:rPr>
            </w:pPr>
          </w:p>
        </w:tc>
      </w:tr>
      <w:tr>
        <w:trPr>
          <w:trHeight w:val="243"/>
        </w:trPr>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61,673</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39,195</w:t>
            </w:r>
          </w:p>
        </w:tc>
        <w:tc>
          <w:tcPr>
            <w:tcW w:w="80" w:type="dxa"/>
            <w:vAlign w:val="bottom"/>
          </w:tcPr>
          <w:p>
            <w:pPr>
              <w:spacing w:after="0"/>
              <w:rPr>
                <w:sz w:val="20"/>
                <w:szCs w:val="20"/>
                <w:color w:val="auto"/>
              </w:rPr>
            </w:pPr>
          </w:p>
        </w:tc>
      </w:tr>
      <w:tr>
        <w:trPr>
          <w:trHeight w:val="243"/>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(61,251 )</w:t>
            </w:r>
          </w:p>
        </w:tc>
        <w:tc>
          <w:tcPr>
            <w:tcW w:w="4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(38,804 )</w:t>
            </w:r>
          </w:p>
        </w:tc>
      </w:tr>
      <w:tr>
        <w:trPr>
          <w:trHeight w:val="237"/>
        </w:trPr>
        <w:tc>
          <w:tcPr>
            <w:tcW w:w="6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40" w:type="dxa"/>
            <w:vAlign w:val="bottom"/>
            <w:tcBorders>
              <w:top w:val="single" w:sz="8" w:color="CFF0FC"/>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Borders>
              <w:top w:val="single" w:sz="8" w:color="CFF0FC"/>
            </w:tcBorders>
          </w:tcPr>
          <w:p>
            <w:pPr>
              <w:spacing w:after="0"/>
              <w:rPr>
                <w:sz w:val="20"/>
                <w:szCs w:val="20"/>
                <w:color w:val="auto"/>
              </w:rPr>
            </w:pPr>
          </w:p>
        </w:tc>
      </w:tr>
      <w:tr>
        <w:trPr>
          <w:trHeight w:val="247"/>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(422 )</w:t>
            </w:r>
          </w:p>
        </w:tc>
        <w:tc>
          <w:tcPr>
            <w:tcW w:w="4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(391 )</w:t>
            </w:r>
          </w:p>
        </w:tc>
      </w:tr>
      <w:tr>
        <w:trPr>
          <w:trHeight w:val="23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(422 )</w:t>
            </w:r>
          </w:p>
        </w:tc>
        <w:tc>
          <w:tcPr>
            <w:tcW w:w="4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(391 )</w:t>
            </w:r>
          </w:p>
        </w:tc>
      </w:tr>
      <w:tr>
        <w:trPr>
          <w:trHeight w:val="277"/>
        </w:trPr>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8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5337810</wp:posOffset>
            </wp:positionH>
            <wp:positionV relativeFrom="paragraph">
              <wp:posOffset>-976630</wp:posOffset>
            </wp:positionV>
            <wp:extent cx="60325" cy="1631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-976630</wp:posOffset>
            </wp:positionV>
            <wp:extent cx="51435" cy="1631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-659765</wp:posOffset>
            </wp:positionV>
            <wp:extent cx="60325" cy="1631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-659765</wp:posOffset>
            </wp:positionV>
            <wp:extent cx="51435" cy="1631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-25400</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-8255</wp:posOffset>
            </wp:positionV>
            <wp:extent cx="603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-25400</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-8255</wp:posOffset>
            </wp:positionV>
            <wp:extent cx="514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right="280" w:firstLine="419"/>
        <w:spacing w:after="0" w:line="266" w:lineRule="auto"/>
        <w:rPr>
          <w:sz w:val="20"/>
          <w:szCs w:val="20"/>
          <w:color w:val="auto"/>
        </w:rPr>
      </w:pPr>
      <w:r>
        <w:rPr>
          <w:rFonts w:ascii="Times New Roman" w:cs="Times New Roman" w:eastAsia="Times New Roman" w:hAnsi="Times New Roman"/>
          <w:sz w:val="18"/>
          <w:szCs w:val="18"/>
          <w:color w:val="231F20"/>
        </w:rPr>
        <w:t>Internal Revenue Code (IRC) Section 382 limits the use of federal net operating losses and income tax credit carryforwards in certain situations where changes occur in stock ownership of a company. If the Company should have an ownership change of more than 50% of the value of the Company’s capital stock, utilization of the carryforwards could be restricted.</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reconciliation of the statutory federal income tax rate to the Company’s effective tax rate is as follows (in thousands):</w:t>
      </w:r>
    </w:p>
    <w:p>
      <w:pPr>
        <w:spacing w:after="0" w:line="232"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6" w:lineRule="exact"/>
        <w:rPr>
          <w:sz w:val="20"/>
          <w:szCs w:val="20"/>
          <w:color w:val="auto"/>
        </w:rPr>
      </w:pPr>
    </w:p>
    <w:tbl>
      <w:tblPr>
        <w:tblLayout w:type="fixed"/>
        <w:tblInd w:w="1020" w:type="dxa"/>
        <w:tblCellMar>
          <w:top w:w="0" w:type="dxa"/>
          <w:left w:w="0" w:type="dxa"/>
          <w:bottom w:w="0" w:type="dxa"/>
          <w:right w:w="0" w:type="dxa"/>
        </w:tblCellMar>
      </w:tblPr>
      <w:tr>
        <w:trPr>
          <w:trHeight w:val="169"/>
        </w:trPr>
        <w:tc>
          <w:tcPr>
            <w:tcW w:w="598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r>
      <w:tr>
        <w:trPr>
          <w:trHeight w:val="22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Tax at statutory federal rate</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43"/>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3"/>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(26 )%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5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Pr>
          <w:p>
            <w:pPr>
              <w:spacing w:after="0"/>
              <w:rPr>
                <w:sz w:val="21"/>
                <w:szCs w:val="21"/>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9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0"/>
        </w:trPr>
        <w:tc>
          <w:tcPr>
            <w:tcW w:w="5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-959485</wp:posOffset>
            </wp:positionV>
            <wp:extent cx="5700395"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-650875</wp:posOffset>
            </wp:positionV>
            <wp:extent cx="5700395"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-342265</wp:posOffset>
            </wp:positionV>
            <wp:extent cx="5700395" cy="3429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700395" cy="342900"/>
                    </a:xfrm>
                    <a:prstGeom prst="rect">
                      <a:avLst/>
                    </a:prstGeom>
                    <a:noFill/>
                  </pic:spPr>
                </pic:pic>
              </a:graphicData>
            </a:graphic>
          </wp:anchor>
        </w:drawing>
      </w:r>
    </w:p>
    <w:p>
      <w:pPr>
        <w:spacing w:after="0" w:line="178"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231F20"/>
        </w:rPr>
        <w:t>A valuation allowance is recorded when it is more likely than not that some portion of the deferred tax assets will not be realized. As of each reporting date, the Company's management considers all evidence, both positive and negative, that could impact management's view with regard to future realization of deferred tax assets. As of December 31, 2022, a full valuation allowance for deferred tax assets was recorded as management believes it is not more likely than not that all of the deferred tax assets will be realized. At December 31, 2021 and December 31, 2022, the Company has a net operating loss carryforward for federal income tax purposes of approximately $136.8 million and $204.6 million, respectively. At December 31, 2021 and December 31, 2022, the Company has a net operating loss carryforward for state income tax purposes of approximately $126.6 million and $187.5 million, respectively. Of the $204.6 million of federal net operating loss carryovers, $14.8 million was generated before January 1, 2018 and is subject to a 20-year carryforward period. The remaining $189.9 million can be carried forward indefinitely but is subject to an 80% taxable income limitation. The pre-2018 federal and certain state net operating losses will begin to expire in 2031 and 2032, respectively, if not utilized.</w:t>
      </w:r>
    </w:p>
    <w:p>
      <w:pPr>
        <w:spacing w:after="0" w:line="188" w:lineRule="exact"/>
        <w:rPr>
          <w:sz w:val="20"/>
          <w:szCs w:val="20"/>
          <w:color w:val="auto"/>
        </w:rPr>
      </w:pPr>
    </w:p>
    <w:p>
      <w:pPr>
        <w:ind w:firstLine="419"/>
        <w:spacing w:after="0" w:line="256" w:lineRule="auto"/>
        <w:rPr>
          <w:sz w:val="20"/>
          <w:szCs w:val="20"/>
          <w:color w:val="auto"/>
        </w:rPr>
      </w:pPr>
      <w:r>
        <w:rPr>
          <w:rFonts w:ascii="Times New Roman" w:cs="Times New Roman" w:eastAsia="Times New Roman" w:hAnsi="Times New Roman"/>
          <w:sz w:val="18"/>
          <w:szCs w:val="18"/>
          <w:color w:val="231F20"/>
        </w:rPr>
        <w:t>As of December 31, 2022 and 2021, the Company has federal research and development income tax credit carryforwards of approximately $1.5 million and $1.2 million, respectively. As of December 31, 2022 and 2021, the Company has state research and development income tax credit carryforwards of approximately $1.5 million and $0.9 million, respectively. The Federal income tax credits begin to expire in 2032. The California Research and Development credits can be carried forward indefinitely. The total amount of uncertain tax positions ("UTP") on research and development tax credits is $0.7 million and $0.6 million as of December 31, 2022 and 2021, respectively. The Company does not expect any significant change to the UTP balances in the next 12 months.</w:t>
      </w:r>
    </w:p>
    <w:p>
      <w:pPr>
        <w:spacing w:after="0" w:line="187" w:lineRule="exact"/>
        <w:rPr>
          <w:sz w:val="20"/>
          <w:szCs w:val="20"/>
          <w:color w:val="auto"/>
        </w:rPr>
      </w:pPr>
    </w:p>
    <w:p>
      <w:pPr>
        <w:ind w:right="400" w:firstLine="419"/>
        <w:spacing w:after="0" w:line="282" w:lineRule="auto"/>
        <w:rPr>
          <w:sz w:val="20"/>
          <w:szCs w:val="20"/>
          <w:color w:val="auto"/>
        </w:rPr>
      </w:pPr>
      <w:r>
        <w:rPr>
          <w:rFonts w:ascii="Times New Roman" w:cs="Times New Roman" w:eastAsia="Times New Roman" w:hAnsi="Times New Roman"/>
          <w:sz w:val="18"/>
          <w:szCs w:val="18"/>
          <w:color w:val="231F20"/>
        </w:rPr>
        <w:t>As of December 31, 2022, the Company has business interest expense carryforwards of $0.4 million. Business interest expense can be carried forward indefinitely.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44" w:right="439" w:bottom="1440" w:gutter="0" w:footer="0" w:header="0"/>
        </w:sectPr>
      </w:pPr>
    </w:p>
    <w:bookmarkStart w:id="94" w:name="page95"/>
    <w:bookmarkEnd w:id="94"/>
    <w:p>
      <w:pPr>
        <w:ind w:left="420"/>
        <w:spacing w:after="0"/>
        <w:rPr>
          <w:sz w:val="20"/>
          <w:szCs w:val="20"/>
          <w:color w:val="auto"/>
        </w:rPr>
      </w:pPr>
      <w:r>
        <w:rPr>
          <w:rFonts w:ascii="Times New Roman" w:cs="Times New Roman" w:eastAsia="Times New Roman" w:hAnsi="Times New Roman"/>
          <w:sz w:val="18"/>
          <w:szCs w:val="18"/>
          <w:color w:val="231F20"/>
        </w:rPr>
        <w:t>The following table summarizes the activity related to the unrecognized tax benefits (in thousands):</w:t>
      </w:r>
    </w:p>
    <w:p>
      <w:pPr>
        <w:spacing w:after="0" w:line="232" w:lineRule="exact"/>
        <w:rPr>
          <w:sz w:val="20"/>
          <w:szCs w:val="20"/>
          <w:color w:val="auto"/>
        </w:rPr>
      </w:pPr>
    </w:p>
    <w:tbl>
      <w:tblPr>
        <w:tblLayout w:type="fixed"/>
        <w:tblInd w:w="1020" w:type="dxa"/>
        <w:tblCellMar>
          <w:top w:w="0" w:type="dxa"/>
          <w:left w:w="0" w:type="dxa"/>
          <w:bottom w:w="0" w:type="dxa"/>
          <w:right w:w="0" w:type="dxa"/>
        </w:tblCellMar>
      </w:tblPr>
      <w:tr>
        <w:trPr>
          <w:trHeight w:val="187"/>
        </w:trPr>
        <w:tc>
          <w:tcPr>
            <w:tcW w:w="6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12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at the beginning of the year</w:t>
            </w:r>
          </w:p>
        </w:tc>
        <w:tc>
          <w:tcPr>
            <w:tcW w:w="86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shd w:val="clear" w:color="auto" w:fill="CFF0FC"/>
          </w:tcPr>
          <w:p>
            <w:pPr>
              <w:spacing w:after="0"/>
              <w:rPr>
                <w:sz w:val="20"/>
                <w:szCs w:val="20"/>
                <w:color w:val="auto"/>
              </w:rPr>
            </w:pPr>
          </w:p>
        </w:tc>
      </w:t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8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20"/>
                <w:szCs w:val="20"/>
                <w:color w:val="auto"/>
              </w:rPr>
            </w:pPr>
          </w:p>
        </w:tc>
      </w:tr>
      <w:tr>
        <w:trPr>
          <w:trHeight w:val="252"/>
        </w:trPr>
        <w:tc>
          <w:tcPr>
            <w:tcW w:w="6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86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at the end of the year</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6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tcPr>
          <w:p>
            <w:pPr>
              <w:spacing w:after="0"/>
              <w:rPr>
                <w:sz w:val="20"/>
                <w:szCs w:val="20"/>
                <w:color w:val="auto"/>
              </w:rPr>
            </w:pPr>
          </w:p>
        </w:tc>
      </w:tr>
      <w:tr>
        <w:trPr>
          <w:trHeight w:val="20"/>
        </w:trPr>
        <w:tc>
          <w:tcPr>
            <w:tcW w:w="6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5346700</wp:posOffset>
            </wp:positionH>
            <wp:positionV relativeFrom="paragraph">
              <wp:posOffset>-187960</wp:posOffset>
            </wp:positionV>
            <wp:extent cx="60325" cy="1885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-187960</wp:posOffset>
            </wp:positionV>
            <wp:extent cx="51435" cy="1885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78" w:lineRule="exact"/>
        <w:rPr>
          <w:sz w:val="20"/>
          <w:szCs w:val="20"/>
          <w:color w:val="auto"/>
        </w:rPr>
      </w:pPr>
    </w:p>
    <w:p>
      <w:pPr>
        <w:ind w:right="380" w:firstLine="419"/>
        <w:spacing w:after="0" w:line="282" w:lineRule="auto"/>
        <w:rPr>
          <w:sz w:val="20"/>
          <w:szCs w:val="20"/>
          <w:color w:val="auto"/>
        </w:rPr>
      </w:pPr>
      <w:r>
        <w:rPr>
          <w:rFonts w:ascii="Times New Roman" w:cs="Times New Roman" w:eastAsia="Times New Roman" w:hAnsi="Times New Roman"/>
          <w:sz w:val="18"/>
          <w:szCs w:val="18"/>
          <w:color w:val="231F20"/>
        </w:rPr>
        <w:t>The Company does not have any material uncertain tax positions as of December 31, 2022 and does not expect any significant change to such balances in the next twelve months.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Company currently has no federal or state tax examinations in progress nor has it had any federal or state tax examinations since its inception.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Due to the history of net operating losses, the Company’s federal and state tax returns remain open to examination by the tax authorities.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b w:val="1"/>
          <w:bCs w:val="1"/>
          <w:color w:val="231F20"/>
        </w:rPr>
        <w:t>Segment Information</w:t>
      </w:r>
    </w:p>
    <w:p>
      <w:pPr>
        <w:spacing w:after="0" w:line="121" w:lineRule="exact"/>
        <w:rPr>
          <w:sz w:val="20"/>
          <w:szCs w:val="20"/>
          <w:color w:val="auto"/>
        </w:rPr>
      </w:pPr>
    </w:p>
    <w:p>
      <w:pPr>
        <w:ind w:firstLine="419"/>
        <w:spacing w:after="0" w:line="261" w:lineRule="auto"/>
        <w:rPr>
          <w:sz w:val="20"/>
          <w:szCs w:val="20"/>
          <w:color w:val="auto"/>
        </w:rPr>
      </w:pPr>
      <w:r>
        <w:rPr>
          <w:rFonts w:ascii="Times New Roman" w:cs="Times New Roman" w:eastAsia="Times New Roman" w:hAnsi="Times New Roman"/>
          <w:sz w:val="18"/>
          <w:szCs w:val="18"/>
          <w:color w:val="auto"/>
        </w:rPr>
        <w:t>The Company has two reportable operating segments which are determined on the basis of the product portfolio: Surgical Glaucoma and Dry Eye. The operating and reportable segments were determined based on how the Company’s Chief Executive Officer, its Chief Operating Decision Maker (“CODM”), views and evaluates the Company’s operations. The CODM allocates resources to and evaluates the financial performance of each operating segment primarily based on gross profit and gross profit margin.</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Surgical Glaucoma segment includes sales of the Company’s OMNI® Surgical System for use in minimally invasive glaucoma procedures.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Dry Eye segment includes sales of the Company’s TearCare® System and related components.</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select operating results information for each reportable segment (dollars in thousands):</w:t>
      </w:r>
    </w:p>
    <w:p>
      <w:pPr>
        <w:spacing w:after="0" w:line="232" w:lineRule="exact"/>
        <w:rPr>
          <w:sz w:val="20"/>
          <w:szCs w:val="20"/>
          <w:color w:val="auto"/>
        </w:rPr>
      </w:pPr>
    </w:p>
    <w:tbl>
      <w:tblPr>
        <w:tblLayout w:type="fixed"/>
        <w:tblInd w:w="158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53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Surgical Glaucoma</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65,594</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46,496</w:t>
            </w:r>
          </w:p>
        </w:tc>
        <w:tc>
          <w:tcPr>
            <w:tcW w:w="80" w:type="dxa"/>
            <w:vAlign w:val="bottom"/>
          </w:tcPr>
          <w:p>
            <w:pPr>
              <w:spacing w:after="0"/>
              <w:rPr>
                <w:sz w:val="20"/>
                <w:szCs w:val="20"/>
                <w:color w:val="auto"/>
              </w:rPr>
            </w:pPr>
          </w:p>
        </w:tc>
      </w:tr>
      <w:tr>
        <w:trPr>
          <w:trHeight w:val="243"/>
        </w:trPr>
        <w:tc>
          <w:tcPr>
            <w:tcW w:w="5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Dry Eye</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48,956</w:t>
            </w:r>
          </w:p>
        </w:tc>
        <w:tc>
          <w:tcPr>
            <w:tcW w:w="80" w:type="dxa"/>
            <w:vAlign w:val="bottom"/>
          </w:tcPr>
          <w:p>
            <w:pPr>
              <w:spacing w:after="0"/>
              <w:rPr>
                <w:sz w:val="20"/>
                <w:szCs w:val="20"/>
                <w:color w:val="auto"/>
              </w:rPr>
            </w:pPr>
          </w:p>
        </w:tc>
      </w:tr>
      <w:tr>
        <w:trPr>
          <w:trHeight w:val="24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Surgical Glaucoma</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80" w:type="dxa"/>
            <w:vAlign w:val="bottom"/>
          </w:tcPr>
          <w:p>
            <w:pPr>
              <w:spacing w:after="0"/>
              <w:rPr>
                <w:sz w:val="20"/>
                <w:szCs w:val="20"/>
                <w:color w:val="auto"/>
              </w:rPr>
            </w:pPr>
          </w:p>
        </w:tc>
      </w:tr>
      <w:tr>
        <w:trPr>
          <w:trHeight w:val="243"/>
        </w:trPr>
        <w:tc>
          <w:tcPr>
            <w:tcW w:w="5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Dry Eye</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8,610</w:t>
            </w:r>
          </w:p>
        </w:tc>
        <w:tc>
          <w:tcPr>
            <w:tcW w:w="80" w:type="dxa"/>
            <w:vAlign w:val="bottom"/>
          </w:tcPr>
          <w:p>
            <w:pPr>
              <w:spacing w:after="0"/>
              <w:rPr>
                <w:sz w:val="20"/>
                <w:szCs w:val="20"/>
                <w:color w:val="auto"/>
              </w:rPr>
            </w:pPr>
          </w:p>
        </w:tc>
      </w:tr>
      <w:tr>
        <w:trPr>
          <w:trHeight w:val="24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Surgical Glaucoma</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40,023</w:t>
            </w:r>
          </w:p>
        </w:tc>
        <w:tc>
          <w:tcPr>
            <w:tcW w:w="80" w:type="dxa"/>
            <w:vAlign w:val="bottom"/>
          </w:tcPr>
          <w:p>
            <w:pPr>
              <w:spacing w:after="0"/>
              <w:rPr>
                <w:sz w:val="20"/>
                <w:szCs w:val="20"/>
                <w:color w:val="auto"/>
              </w:rPr>
            </w:pPr>
          </w:p>
        </w:tc>
      </w:tr>
      <w:tr>
        <w:trPr>
          <w:trHeight w:val="243"/>
        </w:trPr>
        <w:tc>
          <w:tcPr>
            <w:tcW w:w="5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Dry Eye</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58,970</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40,346</w:t>
            </w:r>
          </w:p>
        </w:tc>
        <w:tc>
          <w:tcPr>
            <w:tcW w:w="80" w:type="dxa"/>
            <w:vAlign w:val="bottom"/>
          </w:tcPr>
          <w:p>
            <w:pPr>
              <w:spacing w:after="0"/>
              <w:rPr>
                <w:sz w:val="20"/>
                <w:szCs w:val="20"/>
                <w:color w:val="auto"/>
              </w:rPr>
            </w:pPr>
          </w:p>
        </w:tc>
      </w:tr>
      <w:tr>
        <w:trPr>
          <w:trHeight w:val="241"/>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expense</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142,924</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91,824</w:t>
            </w:r>
          </w:p>
        </w:tc>
        <w:tc>
          <w:tcPr>
            <w:tcW w:w="80" w:type="dxa"/>
            <w:vAlign w:val="bottom"/>
            <w:shd w:val="clear" w:color="auto" w:fill="CFF0FC"/>
          </w:tcPr>
          <w:p>
            <w:pPr>
              <w:spacing w:after="0"/>
              <w:rPr>
                <w:sz w:val="20"/>
                <w:szCs w:val="20"/>
                <w:color w:val="auto"/>
              </w:rPr>
            </w:pPr>
          </w:p>
        </w:tc>
      </w:tr>
      <w:tr>
        <w:trPr>
          <w:trHeight w:val="238"/>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0" w:type="dxa"/>
            <w:vAlign w:val="bottom"/>
          </w:tcPr>
          <w:p>
            <w:pPr>
              <w:spacing w:after="0"/>
              <w:rPr>
                <w:sz w:val="20"/>
                <w:szCs w:val="20"/>
                <w:color w:val="auto"/>
              </w:rPr>
            </w:pP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(83,954 )</w:t>
            </w:r>
          </w:p>
        </w:tc>
        <w:tc>
          <w:tcPr>
            <w:tcW w:w="2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(51,478 )</w:t>
            </w:r>
          </w:p>
        </w:tc>
      </w:tr>
      <w:tr>
        <w:trPr>
          <w:trHeight w:val="248"/>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(4,466 )</w:t>
            </w:r>
          </w:p>
        </w:tc>
        <w:tc>
          <w:tcPr>
            <w:tcW w:w="2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(4,366 )</w:t>
            </w:r>
          </w:p>
        </w:tc>
      </w:tr>
      <w:tr>
        <w:trPr>
          <w:trHeight w:val="23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(6,928 )</w:t>
            </w:r>
          </w:p>
        </w:tc>
      </w:tr>
      <w:tr>
        <w:trPr>
          <w:trHeight w:val="278"/>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(86,195</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(62,772</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5097780</wp:posOffset>
            </wp:positionH>
            <wp:positionV relativeFrom="paragraph">
              <wp:posOffset>-2228215</wp:posOffset>
            </wp:positionV>
            <wp:extent cx="51435" cy="1631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5946775</wp:posOffset>
            </wp:positionH>
            <wp:positionV relativeFrom="paragraph">
              <wp:posOffset>-2228215</wp:posOffset>
            </wp:positionV>
            <wp:extent cx="43180" cy="1631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5097780</wp:posOffset>
            </wp:positionH>
            <wp:positionV relativeFrom="paragraph">
              <wp:posOffset>-1602740</wp:posOffset>
            </wp:positionV>
            <wp:extent cx="51435" cy="1631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5946775</wp:posOffset>
            </wp:positionH>
            <wp:positionV relativeFrom="paragraph">
              <wp:posOffset>-1602740</wp:posOffset>
            </wp:positionV>
            <wp:extent cx="43180" cy="1631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5097780</wp:posOffset>
            </wp:positionH>
            <wp:positionV relativeFrom="paragraph">
              <wp:posOffset>-976630</wp:posOffset>
            </wp:positionV>
            <wp:extent cx="51435" cy="1714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5946775</wp:posOffset>
            </wp:positionH>
            <wp:positionV relativeFrom="paragraph">
              <wp:posOffset>-976630</wp:posOffset>
            </wp:positionV>
            <wp:extent cx="43180"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5097780</wp:posOffset>
            </wp:positionH>
            <wp:positionV relativeFrom="paragraph">
              <wp:posOffset>-24765</wp:posOffset>
            </wp:positionV>
            <wp:extent cx="514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5097780</wp:posOffset>
            </wp:positionH>
            <wp:positionV relativeFrom="paragraph">
              <wp:posOffset>-8255</wp:posOffset>
            </wp:positionV>
            <wp:extent cx="514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5946775</wp:posOffset>
            </wp:positionH>
            <wp:positionV relativeFrom="paragraph">
              <wp:posOffset>-24765</wp:posOffset>
            </wp:positionV>
            <wp:extent cx="431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5946775</wp:posOffset>
            </wp:positionH>
            <wp:positionV relativeFrom="paragraph">
              <wp:posOffset>-8255</wp:posOffset>
            </wp:positionV>
            <wp:extent cx="431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ind w:right="240" w:firstLine="419"/>
        <w:spacing w:after="0" w:line="266" w:lineRule="auto"/>
        <w:rPr>
          <w:sz w:val="20"/>
          <w:szCs w:val="20"/>
          <w:color w:val="auto"/>
        </w:rPr>
      </w:pPr>
      <w:r>
        <w:rPr>
          <w:rFonts w:ascii="Times New Roman" w:cs="Times New Roman" w:eastAsia="Times New Roman" w:hAnsi="Times New Roman"/>
          <w:sz w:val="18"/>
          <w:szCs w:val="18"/>
          <w:color w:val="auto"/>
        </w:rPr>
        <w:t>The Company does not allocate any income and expenses beyond revenue and cost of goods sold to the reportable operating segments in its reporting to the CODM. No asset information is provided for reportable operating segments because they are not reviewed by the CODM on segment basis. Substantially all of the Company’s revenue is generated from sales in the United States.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553"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231F20"/>
        </w:rPr>
        <w:t>Note 12. Subsequent Events</w:t>
      </w:r>
    </w:p>
    <w:p>
      <w:pPr>
        <w:spacing w:after="0" w:line="121" w:lineRule="exact"/>
        <w:rPr>
          <w:sz w:val="20"/>
          <w:szCs w:val="20"/>
          <w:color w:val="auto"/>
        </w:rPr>
      </w:pPr>
    </w:p>
    <w:p>
      <w:pPr>
        <w:ind w:firstLine="419"/>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through March 16, 2023, the date on which the consolidated financial statements were available for issuance.</w:t>
      </w:r>
    </w:p>
    <w:p>
      <w:pPr>
        <w:spacing w:after="0" w:line="16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440" w:top="657" w:right="7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60" w:firstLine="419"/>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principal executive officer and our principal financial and accounting officer, evaluated our disclosure controls and procedures (as defined in Rules 13a-15(e) and 15d-15(e) under the Exchange Act).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principal financial officer and principal accounting officer, as appropriate to allow timely decisions regarding required disclosure.</w:t>
      </w:r>
    </w:p>
    <w:p>
      <w:pPr>
        <w:spacing w:after="0" w:line="192" w:lineRule="exact"/>
        <w:rPr>
          <w:sz w:val="20"/>
          <w:szCs w:val="20"/>
          <w:color w:val="auto"/>
        </w:rPr>
      </w:pPr>
    </w:p>
    <w:p>
      <w:pPr>
        <w:ind w:firstLine="419"/>
        <w:spacing w:after="0" w:line="256" w:lineRule="auto"/>
        <w:rPr>
          <w:sz w:val="20"/>
          <w:szCs w:val="20"/>
          <w:color w:val="auto"/>
        </w:rPr>
      </w:pPr>
      <w:r>
        <w:rPr>
          <w:rFonts w:ascii="Times New Roman" w:cs="Times New Roman" w:eastAsia="Times New Roman" w:hAnsi="Times New Roman"/>
          <w:sz w:val="18"/>
          <w:szCs w:val="18"/>
          <w:color w:val="auto"/>
        </w:rPr>
        <w:t>Based on this evaluation, our principal executive officer and our principal financial and accounting officer concluded that, as a result of the material weakness in our internal control over financial reporting described below, as of the end of the period covered by this Annual Report on Form 10-K, our disclosure controls and procedures were not effective. However, our management, including our principal executive officer and our principal financial and accounting officer, has concluded that, notwithstanding the identified material weakness in our internal control over financial reporting, the condensed consolidated financial statements in this Annual Report on Form 10-K fairly present, in all material respects, our financial position, results of operations, and cash flows for the periods presented in conformity with GAAP.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Efforts</w:t>
      </w:r>
    </w:p>
    <w:p>
      <w:pPr>
        <w:spacing w:after="0" w:line="121" w:lineRule="exact"/>
        <w:rPr>
          <w:sz w:val="20"/>
          <w:szCs w:val="20"/>
          <w:color w:val="auto"/>
        </w:rPr>
      </w:pPr>
    </w:p>
    <w:p>
      <w:pPr>
        <w:jc w:val="both"/>
        <w:ind w:right="40" w:firstLine="419"/>
        <w:spacing w:after="0" w:line="272" w:lineRule="auto"/>
        <w:rPr>
          <w:sz w:val="20"/>
          <w:szCs w:val="20"/>
          <w:color w:val="auto"/>
        </w:rPr>
      </w:pPr>
      <w:r>
        <w:rPr>
          <w:rFonts w:ascii="Times New Roman" w:cs="Times New Roman" w:eastAsia="Times New Roman" w:hAnsi="Times New Roman"/>
          <w:sz w:val="17"/>
          <w:szCs w:val="17"/>
          <w:color w:val="auto"/>
        </w:rPr>
        <w:t>In connection with the preparation of our financial statements in connection with our IPO, we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 xml:space="preserve">The material weakness related to a lack of </w:t>
      </w:r>
      <w:r>
        <w:rPr>
          <w:rFonts w:ascii="Times New Roman" w:cs="Times New Roman" w:eastAsia="Times New Roman" w:hAnsi="Times New Roman"/>
          <w:sz w:val="18"/>
          <w:szCs w:val="18"/>
          <w:color w:val="231F20"/>
        </w:rPr>
        <w:t>sufficient full-time accounting personnel with requisite experience and deep technical accounting knowledge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(i) identify and resolve complex accounting issues under GAAP, and (ii) enable appropriate segregation of duties and reviews over the financial reviews over the financial close and reporting process.</w:t>
      </w:r>
    </w:p>
    <w:p>
      <w:pPr>
        <w:spacing w:after="0" w:line="186" w:lineRule="exact"/>
        <w:rPr>
          <w:sz w:val="20"/>
          <w:szCs w:val="20"/>
          <w:color w:val="auto"/>
        </w:rPr>
      </w:pPr>
    </w:p>
    <w:p>
      <w:pPr>
        <w:ind w:right="240" w:firstLine="419"/>
        <w:spacing w:after="0" w:line="266" w:lineRule="auto"/>
        <w:rPr>
          <w:sz w:val="20"/>
          <w:szCs w:val="20"/>
          <w:color w:val="auto"/>
        </w:rPr>
      </w:pPr>
      <w:r>
        <w:rPr>
          <w:rFonts w:ascii="Times New Roman" w:cs="Times New Roman" w:eastAsia="Times New Roman" w:hAnsi="Times New Roman"/>
          <w:sz w:val="18"/>
          <w:szCs w:val="18"/>
          <w:color w:val="231F20"/>
        </w:rPr>
        <w:t>During the year ended December 31, 2022, our management, with the oversight of the Audit Committee of our Board of Directors, designed and implemented measures to remediate the control deficiencies contributing to the material weakness and completed testing of internal controls. These remediation efforts, which continued initiatives that began during the year ended December 31, 2021, included the following:</w:t>
      </w:r>
    </w:p>
    <w:p>
      <w:pPr>
        <w:spacing w:after="0" w:line="176" w:lineRule="exact"/>
        <w:rPr>
          <w:sz w:val="20"/>
          <w:szCs w:val="20"/>
          <w:color w:val="auto"/>
        </w:rPr>
      </w:pPr>
    </w:p>
    <w:p>
      <w:pPr>
        <w:ind w:left="800" w:right="980" w:hanging="283"/>
        <w:spacing w:after="0" w:line="282" w:lineRule="auto"/>
        <w:tabs>
          <w:tab w:leader="none" w:pos="80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Significantly increased our accounting and financial reporting personnel, including hiring of CPAs, and technical accounting and SEC reporting resources with requisite technical accounting knowledge.</w:t>
      </w:r>
    </w:p>
    <w:p>
      <w:pPr>
        <w:spacing w:after="0" w:line="53" w:lineRule="exact"/>
        <w:rPr>
          <w:rFonts w:ascii="Times New Roman" w:cs="Times New Roman" w:eastAsia="Times New Roman" w:hAnsi="Times New Roman"/>
          <w:sz w:val="18"/>
          <w:szCs w:val="18"/>
          <w:color w:val="231F20"/>
        </w:rPr>
      </w:pPr>
    </w:p>
    <w:p>
      <w:pPr>
        <w:ind w:left="800" w:right="780" w:hanging="283"/>
        <w:spacing w:after="0" w:line="266" w:lineRule="auto"/>
        <w:tabs>
          <w:tab w:leader="none" w:pos="80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Designed and implemented controls to formalize review procedures around the financial close process with appropriate segregation of duties </w:t>
      </w:r>
      <w:r>
        <w:rPr>
          <w:rFonts w:ascii="Times New Roman" w:cs="Times New Roman" w:eastAsia="Times New Roman" w:hAnsi="Times New Roman"/>
          <w:sz w:val="18"/>
          <w:szCs w:val="18"/>
          <w:color w:val="000000"/>
        </w:rPr>
        <w:t>and to improve the completeness, timeliness and accuracy of our financial reporting and disclosures including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assessment of more judgmental areas of accounting.</w:t>
      </w:r>
    </w:p>
    <w:p>
      <w:pPr>
        <w:spacing w:after="0" w:line="68" w:lineRule="exact"/>
        <w:rPr>
          <w:sz w:val="20"/>
          <w:szCs w:val="20"/>
          <w:color w:val="auto"/>
        </w:rPr>
      </w:pPr>
    </w:p>
    <w:p>
      <w:pPr>
        <w:ind w:firstLine="419"/>
        <w:spacing w:after="0" w:line="281" w:lineRule="auto"/>
        <w:rPr>
          <w:sz w:val="20"/>
          <w:szCs w:val="20"/>
          <w:color w:val="auto"/>
        </w:rPr>
      </w:pPr>
      <w:r>
        <w:rPr>
          <w:rFonts w:ascii="Times New Roman" w:cs="Times New Roman" w:eastAsia="Times New Roman" w:hAnsi="Times New Roman"/>
          <w:sz w:val="17"/>
          <w:szCs w:val="17"/>
          <w:color w:val="231F20"/>
        </w:rPr>
        <w:t>While significant progress has been made to improve our internal control over financial reporting, not all aspects of our past material weakness have been sufficiently remediated. The remaining aspect of the material weakness relates to the lack of sufficient accounting resources with deep technical accounting knowledge to identify and resolve complex accounting issues in a timely manner. Remediation of the material weakness will require further validation and testing of the operating effectiveness of the applicable remedial controls over a sustained period of financial reporting cycles.</w:t>
      </w:r>
    </w:p>
    <w:p>
      <w:pPr>
        <w:spacing w:after="0" w:line="200" w:lineRule="exact"/>
        <w:rPr>
          <w:sz w:val="20"/>
          <w:szCs w:val="20"/>
          <w:color w:val="auto"/>
        </w:rPr>
      </w:pP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657" w:right="3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firstLine="419"/>
        <w:spacing w:after="0" w:line="281" w:lineRule="auto"/>
        <w:rPr>
          <w:sz w:val="20"/>
          <w:szCs w:val="20"/>
          <w:color w:val="auto"/>
        </w:rPr>
      </w:pPr>
      <w:r>
        <w:rPr>
          <w:rFonts w:ascii="Times New Roman" w:cs="Times New Roman" w:eastAsia="Times New Roman" w:hAnsi="Times New Roman"/>
          <w:sz w:val="17"/>
          <w:szCs w:val="17"/>
          <w:color w:val="auto"/>
        </w:rPr>
        <w:t>Our management, with the participation and supervision of our principal executive officer and our principal financial and accounting officer, assessed the effectiveness of our internal control over financial reporting (as defined in Rules 13a-15(f) and 15d-15(f) under the Exchange Act). “Internal control over financial reporting,” as defined in Rules 13a-15(f) and 15d-15(f) under the Exchange Act, means a process designed to provide reasonable assurance regarding the reliability of financial reporting and the preparation of financial statements for external purposes in accordance with GAAP.</w:t>
      </w:r>
    </w:p>
    <w:p>
      <w:pPr>
        <w:spacing w:after="0" w:line="164" w:lineRule="exact"/>
        <w:rPr>
          <w:sz w:val="20"/>
          <w:szCs w:val="20"/>
          <w:color w:val="auto"/>
        </w:rPr>
      </w:pPr>
    </w:p>
    <w:p>
      <w:pPr>
        <w:jc w:val="both"/>
        <w:ind w:right="140" w:firstLine="419"/>
        <w:spacing w:after="0" w:line="266" w:lineRule="auto"/>
        <w:rPr>
          <w:sz w:val="20"/>
          <w:szCs w:val="20"/>
          <w:color w:val="auto"/>
        </w:rPr>
      </w:pPr>
      <w:r>
        <w:rPr>
          <w:rFonts w:ascii="Times New Roman" w:cs="Times New Roman" w:eastAsia="Times New Roman" w:hAnsi="Times New Roman"/>
          <w:sz w:val="18"/>
          <w:szCs w:val="18"/>
          <w:color w:val="auto"/>
        </w:rPr>
        <w:t>In making this assessment, our management used the Internal Control – Integrated Framework (2013) as issued by the Committee of Sponsoring Organizations of the Treadway Commission. Based on this assessment, as a result of the material weakness described above, as of the end of the period covered by this Annual Report on Form 10-K, our internal control over financial reporting was not effective.</w:t>
      </w:r>
    </w:p>
    <w:p>
      <w:pPr>
        <w:spacing w:after="0" w:line="176" w:lineRule="exact"/>
        <w:rPr>
          <w:sz w:val="20"/>
          <w:szCs w:val="20"/>
          <w:color w:val="auto"/>
        </w:rPr>
      </w:pPr>
    </w:p>
    <w:p>
      <w:pPr>
        <w:jc w:val="both"/>
        <w:ind w:right="160" w:firstLine="419"/>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registered public accounting firm due to an exemption established by SEC rules for emerging growth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40" w:firstLine="419"/>
        <w:spacing w:after="0" w:line="266" w:lineRule="auto"/>
        <w:rPr>
          <w:sz w:val="20"/>
          <w:szCs w:val="20"/>
          <w:color w:val="auto"/>
        </w:rPr>
      </w:pPr>
      <w:r>
        <w:rPr>
          <w:rFonts w:ascii="Times New Roman" w:cs="Times New Roman" w:eastAsia="Times New Roman" w:hAnsi="Times New Roman"/>
          <w:sz w:val="18"/>
          <w:szCs w:val="18"/>
          <w:color w:val="auto"/>
        </w:rPr>
        <w:t>Other than the changes intended to remediate the material weakness noted above, there were no changes in our internal control over financial reporting during the most recently completed fiscal quarter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Effectiveness of Controls and Procedures</w:t>
      </w:r>
    </w:p>
    <w:p>
      <w:pPr>
        <w:spacing w:after="0" w:line="121"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auto"/>
        </w:rPr>
        <w:t>In designing and evaluating our controls and procedures, management recognizes that any controls and procedures, no matter how well designed and operated, can provide only reasonable and not absolute assurance of achieving the desired control objectives. In assessing whether our disclosure controls and procedures were effective at a reasonable level of assurance, management necessarily was required to apply its judgment in evaluating the cost-benefit relationship of possible controls and procedures. There are inherent limitations to the effectiveness of any system of controls and procedures, including the possibility of human error and the circumvention or overriding of the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33" w:right="419" w:bottom="1440" w:gutter="0" w:footer="0" w:header="0"/>
        </w:sectPr>
      </w:pPr>
    </w:p>
    <w:bookmarkStart w:id="98" w:name="page99"/>
    <w:bookmarkEnd w:id="9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19" w:lineRule="exact"/>
        <w:rPr>
          <w:sz w:val="20"/>
          <w:szCs w:val="20"/>
          <w:color w:val="auto"/>
        </w:rPr>
      </w:pPr>
    </w:p>
    <w:p>
      <w:pPr>
        <w:ind w:right="240" w:firstLine="419"/>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Paul Badawi </w:t>
      </w:r>
      <w:r>
        <w:rPr>
          <w:rFonts w:ascii="Times New Roman" w:cs="Times New Roman" w:eastAsia="Times New Roman" w:hAnsi="Times New Roman"/>
          <w:sz w:val="17"/>
          <w:szCs w:val="17"/>
          <w:color w:val="auto"/>
        </w:rPr>
        <w:t>is a co-founder of our Company and has served as our Chief Executive Officer and a member of our Board since the Company was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founded in 2011. Prior to launching Sight Sciences, Paul led the U.S. healthcare venture capital practice for 3i Group, a global private equity firm.</w:t>
      </w:r>
    </w:p>
    <w:p>
      <w:pPr>
        <w:spacing w:after="0" w:line="135" w:lineRule="exact"/>
        <w:rPr>
          <w:sz w:val="20"/>
          <w:szCs w:val="20"/>
          <w:color w:val="auto"/>
        </w:rPr>
      </w:pPr>
    </w:p>
    <w:p>
      <w:pPr>
        <w:ind w:right="300" w:firstLine="41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David Badawi, M.D. </w:t>
      </w:r>
      <w:r>
        <w:rPr>
          <w:rFonts w:ascii="Times New Roman" w:cs="Times New Roman" w:eastAsia="Times New Roman" w:hAnsi="Times New Roman"/>
          <w:sz w:val="18"/>
          <w:szCs w:val="18"/>
          <w:color w:val="auto"/>
        </w:rPr>
        <w:t>is a co-founder of our Company and has served as our Chief Technology Officer and a member of our Board since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was founded in 2011. Since 2012, Dr. Badawi has also served as the president and a practicing ophthalmologist at Central Eye Care Ltd, an ophthalmology practice.</w:t>
      </w:r>
    </w:p>
    <w:p>
      <w:pPr>
        <w:spacing w:after="0" w:line="173" w:lineRule="exact"/>
        <w:rPr>
          <w:sz w:val="20"/>
          <w:szCs w:val="20"/>
          <w:color w:val="auto"/>
        </w:rPr>
      </w:pPr>
    </w:p>
    <w:p>
      <w:pPr>
        <w:ind w:right="100" w:firstLine="419"/>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Jesse Selnick </w:t>
      </w:r>
      <w:r>
        <w:rPr>
          <w:rFonts w:ascii="Times New Roman" w:cs="Times New Roman" w:eastAsia="Times New Roman" w:hAnsi="Times New Roman"/>
          <w:sz w:val="17"/>
          <w:szCs w:val="17"/>
          <w:color w:val="auto"/>
        </w:rPr>
        <w:t>stepped down as our Chief Financial Officer and Treasurer, effective January 2023. Mr. Selnick previously serviced as our Chief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Officer since January 2018. From March 2012 to March 2017, Mr. Selnick served as the Chief Financial Officer and a member of the board of Electric Lightwave (previously known as Integra Telecom), a telecom infrastructure company, until its purchase by Zayo Group Holdings, Inc. in March 2017. Prior to that, Mr. Selnick worked at The Blackstone Group from 2003 to February 2012, where he most recently served as Managing Director.</w:t>
      </w:r>
    </w:p>
    <w:p>
      <w:pPr>
        <w:spacing w:after="0" w:line="164" w:lineRule="exact"/>
        <w:rPr>
          <w:sz w:val="20"/>
          <w:szCs w:val="20"/>
          <w:color w:val="auto"/>
        </w:rPr>
      </w:pPr>
    </w:p>
    <w:p>
      <w:pPr>
        <w:ind w:firstLine="419"/>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Jim Rodberg </w:t>
      </w:r>
      <w:r>
        <w:rPr>
          <w:rFonts w:ascii="Times New Roman" w:cs="Times New Roman" w:eastAsia="Times New Roman" w:hAnsi="Times New Roman"/>
          <w:sz w:val="17"/>
          <w:szCs w:val="17"/>
          <w:color w:val="auto"/>
        </w:rPr>
        <w:t>has served as our interim Chief Financial Officer and Treasurer since January 2023. Mr. Rodberg has also served as our Vice President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Finance and Corporate Controller since May 2021. Prior to joining the Company, Mr. Rodberg served as the Vice President of Finance from 2020 to 2021, and the Vice President of Internal Audit from 2018 to 2020, at nVent Electric PLC. From 2017 to 2018, Mr. Rodberg served as Director of Finance at Abbott Laboratories (“Abbott”). In 2017, Abbott acquired St. Jude Medical, Inc., where Mr. Rodberg served in progressive leadership positions in finance and accounting since 2009. From 2005 to 2009, Mr. Rodberg worked in the audit and assurance division of Deloitte Touche Tohmatsu Limited.</w:t>
      </w:r>
    </w:p>
    <w:p>
      <w:pPr>
        <w:spacing w:after="0" w:line="168" w:lineRule="exact"/>
        <w:rPr>
          <w:sz w:val="20"/>
          <w:szCs w:val="20"/>
          <w:color w:val="auto"/>
        </w:rPr>
      </w:pPr>
    </w:p>
    <w:p>
      <w:pPr>
        <w:ind w:right="140" w:firstLine="4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Sam Park </w:t>
      </w:r>
      <w:r>
        <w:rPr>
          <w:rFonts w:ascii="Times New Roman" w:cs="Times New Roman" w:eastAsia="Times New Roman" w:hAnsi="Times New Roman"/>
          <w:sz w:val="18"/>
          <w:szCs w:val="18"/>
          <w:color w:val="auto"/>
        </w:rPr>
        <w:t>has served as our Chief Operating Officer since March 2020. From March 2016 to May 2019, Mr. Park served as the founder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of Park Medical, a medical device company.</w:t>
      </w:r>
    </w:p>
    <w:p>
      <w:pPr>
        <w:spacing w:after="0" w:line="158" w:lineRule="exact"/>
        <w:rPr>
          <w:sz w:val="20"/>
          <w:szCs w:val="20"/>
          <w:color w:val="auto"/>
        </w:rPr>
      </w:pPr>
    </w:p>
    <w:p>
      <w:pPr>
        <w:ind w:right="40" w:firstLine="4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Jeremy Hayden </w:t>
      </w:r>
      <w:r>
        <w:rPr>
          <w:rFonts w:ascii="Times New Roman" w:cs="Times New Roman" w:eastAsia="Times New Roman" w:hAnsi="Times New Roman"/>
          <w:sz w:val="18"/>
          <w:szCs w:val="18"/>
          <w:color w:val="auto"/>
        </w:rPr>
        <w:t>has served as our Chief Legal Officer since April 2020. From August 2017 to April 2020, Mr. Hayden served as General Counsel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Endologix, Inc. Prior to that, Mr. Hayden served as General Counsel and Vice President, Business Development at Cytori Therapeutics, Inc. from July 2015 to August 2017 and from May 2012 to July 2015 he served as Assistant General Counsel at Volcano Corporation, a publicly traded medical device company that was acquired by Royal Phillips in 2015.</w:t>
      </w:r>
    </w:p>
    <w:p>
      <w:pPr>
        <w:spacing w:after="0" w:line="180" w:lineRule="exact"/>
        <w:rPr>
          <w:sz w:val="20"/>
          <w:szCs w:val="20"/>
          <w:color w:val="auto"/>
        </w:rPr>
      </w:pPr>
    </w:p>
    <w:p>
      <w:pPr>
        <w:ind w:right="640" w:firstLine="4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Staffan Encrantz </w:t>
      </w:r>
      <w:r>
        <w:rPr>
          <w:rFonts w:ascii="Times New Roman" w:cs="Times New Roman" w:eastAsia="Times New Roman" w:hAnsi="Times New Roman"/>
          <w:sz w:val="18"/>
          <w:szCs w:val="18"/>
          <w:color w:val="auto"/>
        </w:rPr>
        <w:t>has served as a member of our Board since 2017. Mr. Encrantz is the President of Allegro Investment Inc., the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manager of Allegro Investment Fund, L.P. Mr. Encrantz holds a law degree from Uppsala University, Sweden.</w:t>
      </w:r>
    </w:p>
    <w:p>
      <w:pPr>
        <w:spacing w:after="0" w:line="158" w:lineRule="exact"/>
        <w:rPr>
          <w:sz w:val="20"/>
          <w:szCs w:val="20"/>
          <w:color w:val="auto"/>
        </w:rPr>
      </w:pPr>
    </w:p>
    <w:p>
      <w:pPr>
        <w:ind w:right="140" w:firstLine="41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Mack Hicks </w:t>
      </w:r>
      <w:r>
        <w:rPr>
          <w:rFonts w:ascii="Times New Roman" w:cs="Times New Roman" w:eastAsia="Times New Roman" w:hAnsi="Times New Roman"/>
          <w:sz w:val="18"/>
          <w:szCs w:val="18"/>
          <w:color w:val="auto"/>
        </w:rPr>
        <w:t>stepped down as a member of our Board, effective January 2023, after serving as a member of our Board since 2011. Since 2007,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Hicks has been a Partner of Hicks Holdings LLC, an investment company. Prior to that, Mr. Hicks served as a research analyst at Halcyon Asset Management from 2005 to 2006 and worked at Credit Suisse in 2004.</w:t>
      </w:r>
    </w:p>
    <w:p>
      <w:pPr>
        <w:spacing w:after="0" w:line="173" w:lineRule="exact"/>
        <w:rPr>
          <w:sz w:val="20"/>
          <w:szCs w:val="20"/>
          <w:color w:val="auto"/>
        </w:rPr>
      </w:pPr>
    </w:p>
    <w:p>
      <w:pPr>
        <w:ind w:right="240" w:firstLine="419"/>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Brenda Becker </w:t>
      </w:r>
      <w:r>
        <w:rPr>
          <w:rFonts w:ascii="Times New Roman" w:cs="Times New Roman" w:eastAsia="Times New Roman" w:hAnsi="Times New Roman"/>
          <w:sz w:val="17"/>
          <w:szCs w:val="17"/>
          <w:color w:val="auto"/>
        </w:rPr>
        <w:t>has served as a member of our Board since March 2022. Since 2007, Ms. Becker has served as Senior Vice President of Global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Government Affairs at Boston Scientific. Prior to joining Boston Scientific, Ms. Becker served in the Bush administration for six years where she held the position as Assistant to the Vice President for Legislative Affairs and held various leadership positions over 20 years at Blue Cross Blue Shield.</w:t>
      </w:r>
    </w:p>
    <w:p>
      <w:pPr>
        <w:spacing w:after="0" w:line="155" w:lineRule="exact"/>
        <w:rPr>
          <w:sz w:val="20"/>
          <w:szCs w:val="20"/>
          <w:color w:val="auto"/>
        </w:rPr>
      </w:pPr>
    </w:p>
    <w:p>
      <w:pPr>
        <w:ind w:firstLine="4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Tamara Fountain, M.D. </w:t>
      </w:r>
      <w:r>
        <w:rPr>
          <w:rFonts w:ascii="Times New Roman" w:cs="Times New Roman" w:eastAsia="Times New Roman" w:hAnsi="Times New Roman"/>
          <w:sz w:val="18"/>
          <w:szCs w:val="18"/>
          <w:color w:val="auto"/>
        </w:rPr>
        <w:t>has served as a member of our Board since July 2022. Dr. Fountain served as the 2021 President of the American Academy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Ophthalmology. She has been on faculty at Rush University Medical Center in Chicago since May 1998 where she is professor of ophthalmology and section chair emeritus of ophthalmic plastic and reconstructive surgery. She has maintained a private practice, Ophthalmology Partners, Ltd., on Chicago’s North Shore since December 2000.</w:t>
      </w:r>
    </w:p>
    <w:p>
      <w:pPr>
        <w:spacing w:after="0" w:line="1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33" w:right="399" w:bottom="1440" w:gutter="0" w:footer="0" w:header="0"/>
        </w:sectPr>
      </w:pPr>
    </w:p>
    <w:bookmarkStart w:id="99" w:name="page100"/>
    <w:bookmarkEnd w:id="99"/>
    <w:p>
      <w:pPr>
        <w:ind w:right="460" w:firstLine="41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Erica Rogers </w:t>
      </w:r>
      <w:r>
        <w:rPr>
          <w:rFonts w:ascii="Times New Roman" w:cs="Times New Roman" w:eastAsia="Times New Roman" w:hAnsi="Times New Roman"/>
          <w:sz w:val="18"/>
          <w:szCs w:val="18"/>
          <w:color w:val="auto"/>
        </w:rPr>
        <w:t>has served as a member of our Board since November 2019. Since October 2012, Ms. Rogers has served as President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and a member of the board of Silk Road Medical, a medical device company. Ms. Rogers is also a director of Lucira Health, a diagnostics company, and currently serves as an advisor to Alydia Health and Venture Investors.</w:t>
      </w:r>
    </w:p>
    <w:p>
      <w:pPr>
        <w:spacing w:after="0" w:line="173" w:lineRule="exact"/>
        <w:rPr>
          <w:sz w:val="20"/>
          <w:szCs w:val="20"/>
          <w:color w:val="auto"/>
        </w:rPr>
      </w:pPr>
    </w:p>
    <w:p>
      <w:pPr>
        <w:ind w:right="140" w:firstLine="4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Valeska Schroeder, Ph.D. </w:t>
      </w:r>
      <w:r>
        <w:rPr>
          <w:rFonts w:ascii="Times New Roman" w:cs="Times New Roman" w:eastAsia="Times New Roman" w:hAnsi="Times New Roman"/>
          <w:sz w:val="18"/>
          <w:szCs w:val="18"/>
          <w:color w:val="auto"/>
        </w:rPr>
        <w:t>has served as a member of our Board since 2019. Since October 2022, Ms. Schroeder has served as Chairman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of Cerapedics, Inc. Before that, from 2016 to October 2022, Dr. Schroeder served as a Managing Director of KCK Medical Technologies, a single family evergreen fund that invests in medical technologies. From March 2014 to July 2016, Dr. Schroeder served as Senior Vice President, Product Management of Vital Connect, Inc., a wearable biosensor technology company.</w:t>
      </w:r>
    </w:p>
    <w:p>
      <w:pPr>
        <w:spacing w:after="0" w:line="180" w:lineRule="exact"/>
        <w:rPr>
          <w:sz w:val="20"/>
          <w:szCs w:val="20"/>
          <w:color w:val="auto"/>
        </w:rPr>
      </w:pPr>
    </w:p>
    <w:p>
      <w:pPr>
        <w:ind w:firstLine="4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Donald Zurbay </w:t>
      </w:r>
      <w:r>
        <w:rPr>
          <w:rFonts w:ascii="Times New Roman" w:cs="Times New Roman" w:eastAsia="Times New Roman" w:hAnsi="Times New Roman"/>
          <w:sz w:val="18"/>
          <w:szCs w:val="18"/>
          <w:color w:val="auto"/>
        </w:rPr>
        <w:t>has served as a member of our Board since July 2020. Since October 2022, Mr. Zurbay has served as President and Chief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of Patterson Companies, Inc., a global medical device company. Before that, from June 2018 to October 2022, Mr. Zurbay served as the Chief Financial Officer of Patterson Companies. Before that, from March 2004 to February 2017, Mr. Zurbay held various leadership positions at St. Jude Medical, Inc., where he most recently served as Vice President and Chief Financial Officer from August 2012 to January 2017.</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right="20" w:firstLine="419"/>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written code of business conduct and ethics, or the Code of Business Conduct and Ethics, that applies to our directors, officers and employees, including our principal executive officer, principal financial officer, principal accounting officer or controller, or persons performing similar functions. Our Code of Business Conduct and Ethics is available on our website at </w:t>
      </w:r>
      <w:r>
        <w:rPr>
          <w:rFonts w:ascii="Times New Roman" w:cs="Times New Roman" w:eastAsia="Times New Roman" w:hAnsi="Times New Roman"/>
          <w:sz w:val="18"/>
          <w:szCs w:val="18"/>
          <w:i w:val="1"/>
          <w:iCs w:val="1"/>
          <w:u w:val="single" w:color="auto"/>
          <w:color w:val="auto"/>
        </w:rPr>
        <w:t>www.sightsciences.com</w:t>
      </w:r>
      <w:r>
        <w:rPr>
          <w:rFonts w:ascii="Times New Roman" w:cs="Times New Roman" w:eastAsia="Times New Roman" w:hAnsi="Times New Roman"/>
          <w:sz w:val="18"/>
          <w:szCs w:val="18"/>
          <w:color w:val="auto"/>
        </w:rPr>
        <w:t xml:space="preserve"> in the “Corporate Governance” section of the “Investors” page. In addition, we intend to post on our website all disclosures that are required by law concerning any amendments to, or waivers from, any provision of our Code of Business Conduct and Ethics</w:t>
      </w:r>
    </w:p>
    <w:p>
      <w:pPr>
        <w:spacing w:after="0" w:line="183" w:lineRule="exact"/>
        <w:rPr>
          <w:sz w:val="20"/>
          <w:szCs w:val="20"/>
          <w:color w:val="auto"/>
        </w:rPr>
      </w:pPr>
    </w:p>
    <w:p>
      <w:pPr>
        <w:ind w:right="160" w:firstLine="419"/>
        <w:spacing w:after="0" w:line="312" w:lineRule="auto"/>
        <w:rPr>
          <w:sz w:val="20"/>
          <w:szCs w:val="20"/>
          <w:color w:val="auto"/>
        </w:rPr>
      </w:pPr>
      <w:r>
        <w:rPr>
          <w:rFonts w:ascii="Times New Roman" w:cs="Times New Roman" w:eastAsia="Times New Roman" w:hAnsi="Times New Roman"/>
          <w:sz w:val="17"/>
          <w:szCs w:val="17"/>
          <w:color w:val="auto"/>
        </w:rPr>
        <w:t>The remaining information required by this item will be included in our definitive proxy statement for our 2022 Annual Meeting of Stockholders, or the 2023 Proxy Statement, to be filed with the SEC no later than 120 days after December 31, 2022, and is incorporated herein by reference.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2023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2023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2023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2023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35" w:right="399" w:bottom="1440" w:gutter="0" w:footer="0" w:header="0"/>
        </w:sectPr>
      </w:pPr>
    </w:p>
    <w:bookmarkStart w:id="100" w:name="page101"/>
    <w:bookmarkEnd w:id="100"/>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1040" w:hanging="462"/>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Financial Statements</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Balance Sheets</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Statements of Operations and Comprehensive Loss</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Statements of Stockholders’ Equity</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Statements of Cash Flows</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117" w:lineRule="exact"/>
        <w:rPr>
          <w:sz w:val="20"/>
          <w:szCs w:val="20"/>
          <w:color w:val="auto"/>
        </w:rPr>
      </w:pPr>
    </w:p>
    <w:p>
      <w:pPr>
        <w:ind w:left="1500" w:hanging="462"/>
        <w:spacing w:after="0"/>
        <w:tabs>
          <w:tab w:leader="none" w:pos="15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7" w:lineRule="exact"/>
        <w:rPr>
          <w:rFonts w:ascii="Times New Roman" w:cs="Times New Roman" w:eastAsia="Times New Roman" w:hAnsi="Times New Roman"/>
          <w:sz w:val="18"/>
          <w:szCs w:val="18"/>
          <w:color w:val="auto"/>
        </w:rPr>
      </w:pPr>
    </w:p>
    <w:p>
      <w:pPr>
        <w:ind w:left="15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 schedules are omitted because they are not applicable or the amounts are immaterial or the required information is presented in the financial statements and notes thereto.</w:t>
      </w:r>
    </w:p>
    <w:p>
      <w:pPr>
        <w:spacing w:after="0" w:line="53" w:lineRule="exact"/>
        <w:rPr>
          <w:rFonts w:ascii="Times New Roman" w:cs="Times New Roman" w:eastAsia="Times New Roman" w:hAnsi="Times New Roman"/>
          <w:sz w:val="18"/>
          <w:szCs w:val="18"/>
          <w:color w:val="auto"/>
        </w:rPr>
      </w:pPr>
    </w:p>
    <w:p>
      <w:pPr>
        <w:ind w:left="1500" w:hanging="462"/>
        <w:spacing w:after="0"/>
        <w:tabs>
          <w:tab w:leader="none" w:pos="15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see Exhibit Index submitted as a separate section of this report</w:t>
      </w:r>
    </w:p>
    <w:p>
      <w:pPr>
        <w:spacing w:after="0" w:line="117" w:lineRule="exact"/>
        <w:rPr>
          <w:rFonts w:ascii="Times New Roman" w:cs="Times New Roman" w:eastAsia="Times New Roman" w:hAnsi="Times New Roman"/>
          <w:sz w:val="18"/>
          <w:szCs w:val="18"/>
          <w:color w:val="auto"/>
        </w:rPr>
      </w:pPr>
    </w:p>
    <w:p>
      <w:pPr>
        <w:ind w:left="1040" w:hanging="470"/>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Exhibit Index submitted as a separate section of this report</w:t>
      </w:r>
    </w:p>
    <w:p>
      <w:pPr>
        <w:spacing w:after="0" w:line="117" w:lineRule="exact"/>
        <w:rPr>
          <w:rFonts w:ascii="Times New Roman" w:cs="Times New Roman" w:eastAsia="Times New Roman" w:hAnsi="Times New Roman"/>
          <w:sz w:val="18"/>
          <w:szCs w:val="18"/>
          <w:color w:val="auto"/>
        </w:rPr>
      </w:pPr>
    </w:p>
    <w:p>
      <w:pPr>
        <w:ind w:left="1040" w:hanging="470"/>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333" w:right="12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22"/>
            <w:vMerge w:val="restart"/>
          </w:tcPr>
          <w:p>
            <w:pPr>
              <w:jc w:val="center"/>
              <w:ind w:right="19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148"/>
        </w:trPr>
        <w:tc>
          <w:tcPr>
            <w:tcW w:w="94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20" w:type="dxa"/>
            <w:vAlign w:val="bottom"/>
            <w:gridSpan w:val="22"/>
            <w:vMerge w:val="continue"/>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87"/>
        </w:trPr>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22"/>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4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9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4960" w:type="dxa"/>
            <w:vAlign w:val="bottom"/>
            <w:gridSpan w:val="28"/>
          </w:tcPr>
          <w:p>
            <w:pPr>
              <w:spacing w:after="0" w:line="169"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Restated Certificate of Incorporation of Sight Sciences, Inc.</w:t>
              </w:r>
            </w:hyperlink>
          </w:p>
        </w:tc>
        <w:tc>
          <w:tcPr>
            <w:tcW w:w="940" w:type="dxa"/>
            <w:vAlign w:val="bottom"/>
          </w:tcPr>
          <w:p>
            <w:pPr>
              <w:jc w:val="center"/>
              <w:ind w:left="11"/>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001-40587</w:t>
            </w:r>
          </w:p>
        </w:tc>
        <w:tc>
          <w:tcPr>
            <w:tcW w:w="9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2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07/19/2021</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4960" w:type="dxa"/>
            <w:vAlign w:val="bottom"/>
            <w:gridSpan w:val="28"/>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Amended and Restated Bylaws of Sight Sciences, Inc.</w:t>
              </w:r>
            </w:hyperlink>
          </w:p>
        </w:tc>
        <w:tc>
          <w:tcPr>
            <w:tcW w:w="9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001-40587</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07/19/2021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FF"/>
            </w:tcBorders>
          </w:tcPr>
          <w:p>
            <w:pPr>
              <w:spacing w:after="0" w:line="20" w:lineRule="exact"/>
              <w:rPr>
                <w:sz w:val="1"/>
                <w:szCs w:val="1"/>
                <w:color w:val="auto"/>
              </w:rPr>
            </w:pPr>
          </w:p>
        </w:tc>
        <w:tc>
          <w:tcPr>
            <w:tcW w:w="1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4960" w:type="dxa"/>
            <w:vAlign w:val="bottom"/>
            <w:gridSpan w:val="28"/>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Third Amended and Restated Investors' Rights Agreement, dated</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07/08/2021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60" w:type="dxa"/>
            <w:vAlign w:val="bottom"/>
            <w:gridSpan w:val="28"/>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November 23, 2020, as amended</w:t>
              </w:r>
            </w:hyperlink>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FF"/>
            </w:tcBorders>
          </w:tcPr>
          <w:p>
            <w:pPr>
              <w:spacing w:after="0" w:line="20" w:lineRule="exact"/>
              <w:rPr>
                <w:sz w:val="1"/>
                <w:szCs w:val="1"/>
                <w:color w:val="auto"/>
              </w:rPr>
            </w:pPr>
          </w:p>
        </w:tc>
        <w:tc>
          <w:tcPr>
            <w:tcW w:w="1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4960" w:type="dxa"/>
            <w:vAlign w:val="bottom"/>
            <w:gridSpan w:val="28"/>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Specimen Stock Certificate evidencing the shares of common stock</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07/08/2021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49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Description of Capital Stock</w:t>
            </w: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4960" w:type="dxa"/>
            <w:vAlign w:val="bottom"/>
            <w:gridSpan w:val="28"/>
          </w:tcPr>
          <w:p>
            <w:pPr>
              <w:spacing w:after="0"/>
              <w:rPr>
                <w:rFonts w:ascii="Times New Roman" w:cs="Times New Roman" w:eastAsia="Times New Roman" w:hAnsi="Times New Roman"/>
                <w:sz w:val="18"/>
                <w:szCs w:val="18"/>
                <w:color w:val="0000FF"/>
                <w:w w:val="97"/>
              </w:rPr>
            </w:pPr>
            <w:hyperlink r:id="rId241">
              <w:r>
                <w:rPr>
                  <w:rFonts w:ascii="Times New Roman" w:cs="Times New Roman" w:eastAsia="Times New Roman" w:hAnsi="Times New Roman"/>
                  <w:sz w:val="18"/>
                  <w:szCs w:val="18"/>
                  <w:color w:val="0000FF"/>
                  <w:w w:val="97"/>
                </w:rPr>
                <w:t>Sight Sciences, Inc. 2011 Stock Incentive Plan, as amended, and U.K.</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6/23/2021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60" w:type="dxa"/>
            <w:vAlign w:val="bottom"/>
            <w:gridSpan w:val="28"/>
          </w:tcPr>
          <w:p>
            <w:pPr>
              <w:spacing w:after="0" w:line="196"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sub-plan and forms of agreements thereunder</w:t>
              </w:r>
            </w:hyperlink>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4960" w:type="dxa"/>
            <w:vAlign w:val="bottom"/>
            <w:gridSpan w:val="28"/>
          </w:tcPr>
          <w:p>
            <w:pPr>
              <w:spacing w:after="0"/>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Sight Sciences, Inc. 2021 Incentive Award Plan and form of option</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07/08/2021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60" w:type="dxa"/>
            <w:vAlign w:val="bottom"/>
            <w:gridSpan w:val="28"/>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agreements thereunder</w:t>
              </w:r>
            </w:hyperlink>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4960" w:type="dxa"/>
            <w:vAlign w:val="bottom"/>
            <w:gridSpan w:val="28"/>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Sight Sciences, Inc. 2021 Incentive Award Plan Sub-Plan for UK</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001-40587</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05/10/2022</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60" w:type="dxa"/>
            <w:vAlign w:val="bottom"/>
            <w:gridSpan w:val="28"/>
          </w:tcPr>
          <w:p>
            <w:pPr>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Employees and Forms of Agreements thereunder</w:t>
              </w:r>
            </w:hyperlink>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960" w:type="dxa"/>
            <w:vAlign w:val="bottom"/>
            <w:gridSpan w:val="28"/>
          </w:tcPr>
          <w:p>
            <w:pPr>
              <w:spacing w:after="0"/>
              <w:rPr>
                <w:rFonts w:ascii="Times New Roman" w:cs="Times New Roman" w:eastAsia="Times New Roman" w:hAnsi="Times New Roman"/>
                <w:sz w:val="18"/>
                <w:szCs w:val="18"/>
                <w:color w:val="0000FF"/>
                <w:w w:val="99"/>
              </w:rPr>
            </w:pPr>
            <w:hyperlink r:id="rId244">
              <w:r>
                <w:rPr>
                  <w:rFonts w:ascii="Times New Roman" w:cs="Times New Roman" w:eastAsia="Times New Roman" w:hAnsi="Times New Roman"/>
                  <w:sz w:val="18"/>
                  <w:szCs w:val="18"/>
                  <w:color w:val="0000FF"/>
                  <w:w w:val="99"/>
                </w:rPr>
                <w:t>Sight Sciences, Inc. Non-Employee Director Compensation Program</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07/08/2021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4960" w:type="dxa"/>
            <w:vAlign w:val="bottom"/>
            <w:gridSpan w:val="28"/>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Sight Sciences, Inc. 2021 Employee Stock Purchase Plan</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07/08/2021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4960" w:type="dxa"/>
            <w:vAlign w:val="bottom"/>
            <w:gridSpan w:val="28"/>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Form of Indemnification Agreement for Directors and Officers</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07/08/2021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4960" w:type="dxa"/>
            <w:vAlign w:val="bottom"/>
            <w:gridSpan w:val="28"/>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Employment Agreement between Sight Sciences, Inc. and Paul</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07/08/2021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60" w:type="dxa"/>
            <w:vAlign w:val="bottom"/>
            <w:gridSpan w:val="28"/>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Badawi, dated July 7, 2021</w:t>
              </w:r>
            </w:hyperlink>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4960" w:type="dxa"/>
            <w:vAlign w:val="bottom"/>
            <w:gridSpan w:val="28"/>
          </w:tcPr>
          <w:p>
            <w:pPr>
              <w:spacing w:after="0"/>
              <w:rPr>
                <w:rFonts w:ascii="Times New Roman" w:cs="Times New Roman" w:eastAsia="Times New Roman" w:hAnsi="Times New Roman"/>
                <w:sz w:val="18"/>
                <w:szCs w:val="18"/>
                <w:color w:val="0000FF"/>
                <w:w w:val="98"/>
              </w:rPr>
            </w:pPr>
            <w:hyperlink r:id="rId248">
              <w:r>
                <w:rPr>
                  <w:rFonts w:ascii="Times New Roman" w:cs="Times New Roman" w:eastAsia="Times New Roman" w:hAnsi="Times New Roman"/>
                  <w:sz w:val="18"/>
                  <w:szCs w:val="18"/>
                  <w:color w:val="0000FF"/>
                  <w:w w:val="98"/>
                </w:rPr>
                <w:t>Employment Agreement between Sight Sciences, Inc. and Sam Park,</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07/08/2021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60" w:type="dxa"/>
            <w:vAlign w:val="bottom"/>
            <w:gridSpan w:val="28"/>
          </w:tcPr>
          <w:p>
            <w:pPr>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dated July 7, 2021</w:t>
              </w:r>
            </w:hyperlink>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4960" w:type="dxa"/>
            <w:vAlign w:val="bottom"/>
            <w:gridSpan w:val="28"/>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Employment Agreement between Sight Sciences, Inc. and David</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07/08/2021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60" w:type="dxa"/>
            <w:vAlign w:val="bottom"/>
            <w:gridSpan w:val="28"/>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Badawi, M.D., dated July 7, 2021</w:t>
              </w:r>
            </w:hyperlink>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49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Employment Agreement between Sight Sciences, Inc. and Jeremy</w:t>
            </w: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Hayden, dated July 7, 2021</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4960" w:type="dxa"/>
            <w:vAlign w:val="bottom"/>
            <w:gridSpan w:val="28"/>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Multi-Tenant Space Lease between Sight Sciences and Deerfield</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06/23/2021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60" w:type="dxa"/>
            <w:vAlign w:val="bottom"/>
            <w:gridSpan w:val="28"/>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Campbell, LLC, dated February 5, 2021.</w:t>
              </w:r>
            </w:hyperlink>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4960" w:type="dxa"/>
            <w:vAlign w:val="bottom"/>
            <w:gridSpan w:val="28"/>
          </w:tcPr>
          <w:p>
            <w:pPr>
              <w:spacing w:after="0"/>
              <w:rPr>
                <w:rFonts w:ascii="Times New Roman" w:cs="Times New Roman" w:eastAsia="Times New Roman" w:hAnsi="Times New Roman"/>
                <w:sz w:val="18"/>
                <w:szCs w:val="18"/>
                <w:color w:val="0000FF"/>
                <w:w w:val="99"/>
              </w:rPr>
            </w:pPr>
            <w:hyperlink r:id="rId251">
              <w:r>
                <w:rPr>
                  <w:rFonts w:ascii="Times New Roman" w:cs="Times New Roman" w:eastAsia="Times New Roman" w:hAnsi="Times New Roman"/>
                  <w:sz w:val="18"/>
                  <w:szCs w:val="18"/>
                  <w:color w:val="0000FF"/>
                  <w:w w:val="99"/>
                </w:rPr>
                <w:t>Amended and Restated Credit and Security Agreement (Term Loan)</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06/23/2021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60" w:type="dxa"/>
            <w:vAlign w:val="bottom"/>
            <w:gridSpan w:val="28"/>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between Sight Sciences, Inc. and Midcap Financial Trust, dated</w:t>
              </w:r>
            </w:hyperlink>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60" w:type="dxa"/>
            <w:vAlign w:val="bottom"/>
            <w:gridSpan w:val="28"/>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November 23, 2020</w:t>
              </w:r>
            </w:hyperlink>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4960" w:type="dxa"/>
            <w:vAlign w:val="bottom"/>
            <w:gridSpan w:val="28"/>
          </w:tcPr>
          <w:p>
            <w:pPr>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First Amendment to the Amended and Restated Credit and Security</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001-40587</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11/10/2021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6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340" w:type="dxa"/>
            <w:vAlign w:val="bottom"/>
            <w:tcBorders>
              <w:left w:val="single" w:sz="8" w:color="0000FF"/>
            </w:tcBorders>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60" w:type="dxa"/>
            <w:vAlign w:val="bottom"/>
            <w:gridSpan w:val="28"/>
          </w:tcPr>
          <w:p>
            <w:pPr>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Agreement (Term Loan) between Sight Sciences, Inc. and Midcap</w:t>
              </w:r>
            </w:hyperlink>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6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340" w:type="dxa"/>
            <w:vAlign w:val="bottom"/>
            <w:tcBorders>
              <w:left w:val="single" w:sz="8" w:color="0000FF"/>
            </w:tcBorders>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60" w:type="dxa"/>
            <w:vAlign w:val="bottom"/>
            <w:gridSpan w:val="28"/>
          </w:tcPr>
          <w:p>
            <w:pPr>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Financial Trust, dated October 5, 2021</w:t>
              </w:r>
            </w:hyperlink>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86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4960" w:type="dxa"/>
            <w:vAlign w:val="bottom"/>
            <w:gridSpan w:val="28"/>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Second Amendment to the Amended and Restated Credit and</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001-40587</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03/24/2022</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86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60" w:type="dxa"/>
            <w:vAlign w:val="bottom"/>
            <w:gridSpan w:val="28"/>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Security Agreement (Term Loan) between Sight Sciences, Inc. and</w:t>
              </w:r>
            </w:hyperlink>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6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1160" w:type="dxa"/>
            <w:vAlign w:val="bottom"/>
            <w:gridSpan w:val="11"/>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60" w:type="dxa"/>
            <w:vAlign w:val="bottom"/>
            <w:gridSpan w:val="28"/>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Midcap Financial Trust, dated November 15, 2021</w:t>
              </w:r>
            </w:hyperlink>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86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EE"/>
            </w:tcBorders>
            <w:gridSpan w:val="3"/>
            <w:shd w:val="clear" w:color="auto" w:fill="0000FF"/>
          </w:tcPr>
          <w:p>
            <w:pPr>
              <w:spacing w:after="0" w:line="20" w:lineRule="exact"/>
              <w:rPr>
                <w:sz w:val="1"/>
                <w:szCs w:val="1"/>
                <w:color w:val="auto"/>
              </w:rPr>
            </w:pPr>
          </w:p>
        </w:tc>
        <w:tc>
          <w:tcPr>
            <w:tcW w:w="1160" w:type="dxa"/>
            <w:vAlign w:val="bottom"/>
            <w:gridSpan w:val="1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49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w w:val="99"/>
              </w:rPr>
              <w:t>Third Amendment to the Amended and Restated Credit and Security</w:t>
            </w: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6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0" w:type="dxa"/>
            <w:vAlign w:val="bottom"/>
            <w:gridSpan w:val="14"/>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Agreement (Term Loan) between Sight Sciences, Inc. and Midcap</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6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780" w:type="dxa"/>
            <w:vAlign w:val="bottom"/>
            <w:gridSpan w:val="1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Financial Trust, dated December 28, 2022</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86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0" w:type="dxa"/>
            <w:vAlign w:val="bottom"/>
            <w:gridSpan w:val="1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4960" w:type="dxa"/>
            <w:vAlign w:val="bottom"/>
            <w:gridSpan w:val="28"/>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Amended and Restated Credit and Security Agreement (Revolving</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06/23/2021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6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0" w:type="dxa"/>
            <w:vAlign w:val="bottom"/>
            <w:gridSpan w:val="16"/>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60" w:type="dxa"/>
            <w:vAlign w:val="bottom"/>
            <w:gridSpan w:val="28"/>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Loan) between Sight Sciences, Inc. and Midcap Funding IV Trust,</w:t>
              </w:r>
            </w:hyperlink>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6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0" w:type="dxa"/>
            <w:vAlign w:val="bottom"/>
            <w:gridSpan w:val="16"/>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60" w:type="dxa"/>
            <w:vAlign w:val="bottom"/>
            <w:gridSpan w:val="28"/>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dated November 23, 2020</w:t>
              </w:r>
            </w:hyperlink>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860" w:type="dxa"/>
            <w:vAlign w:val="bottom"/>
            <w:tcBorders>
              <w:right w:val="single" w:sz="8" w:color="0000EE"/>
            </w:tcBorders>
            <w:gridSpan w:val="4"/>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160" w:type="dxa"/>
            <w:vAlign w:val="bottom"/>
            <w:gridSpan w:val="18"/>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4960" w:type="dxa"/>
            <w:vAlign w:val="bottom"/>
            <w:gridSpan w:val="28"/>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First Amendment to the Amended and Restated Credit and Security</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001-40587</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11/10/2021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00" w:type="dxa"/>
            <w:vAlign w:val="bottom"/>
            <w:gridSpan w:val="8"/>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80" w:type="dxa"/>
            <w:vAlign w:val="bottom"/>
            <w:gridSpan w:val="1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60" w:type="dxa"/>
            <w:vAlign w:val="bottom"/>
            <w:gridSpan w:val="28"/>
          </w:tcPr>
          <w:p>
            <w:pPr>
              <w:spacing w:after="0" w:line="19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Agreement (Revolving Loan) between</w:t>
              </w:r>
            </w:hyperlink>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40" w:type="dxa"/>
            <w:vAlign w:val="bottom"/>
          </w:tcPr>
          <w:p>
            <w:pPr>
              <w:spacing w:after="0"/>
              <w:rPr>
                <w:sz w:val="24"/>
                <w:szCs w:val="24"/>
                <w:color w:val="auto"/>
              </w:rPr>
            </w:pPr>
          </w:p>
        </w:tc>
        <w:tc>
          <w:tcPr>
            <w:tcW w:w="2800" w:type="dxa"/>
            <w:vAlign w:val="bottom"/>
            <w:tcBorders>
              <w:top w:val="single" w:sz="8" w:color="0000EE"/>
            </w:tcBorders>
            <w:gridSpan w:val="10"/>
          </w:tcPr>
          <w:p>
            <w:pPr>
              <w:spacing w:after="0"/>
              <w:rPr>
                <w:sz w:val="24"/>
                <w:szCs w:val="24"/>
                <w:color w:val="auto"/>
              </w:rPr>
            </w:pPr>
          </w:p>
        </w:tc>
        <w:tc>
          <w:tcPr>
            <w:tcW w:w="2000" w:type="dxa"/>
            <w:vAlign w:val="bottom"/>
            <w:gridSpan w:val="16"/>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2" w:name="page103"/>
    <w:bookmarkEnd w:id="102"/>
    <w:tbl>
      <w:tblPr>
        <w:tblLayout w:type="fixed"/>
        <w:tblInd w:w="2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5000" w:type="dxa"/>
            <w:vAlign w:val="bottom"/>
            <w:gridSpan w:val="19"/>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Sight Sciences, Inc. and Midcap Funding IV Trust, dated October 5,</w:t>
              </w:r>
            </w:hyperlink>
          </w:p>
        </w:tc>
      </w:tr>
      <w:tr>
        <w:trPr>
          <w:trHeight w:val="20"/>
        </w:trPr>
        <w:tc>
          <w:tcPr>
            <w:tcW w:w="9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60" w:type="dxa"/>
            <w:vAlign w:val="bottom"/>
          </w:tcPr>
          <w:p>
            <w:pPr>
              <w:spacing w:after="0" w:line="196" w:lineRule="exact"/>
              <w:rPr>
                <w:rFonts w:ascii="Times New Roman" w:cs="Times New Roman" w:eastAsia="Times New Roman" w:hAnsi="Times New Roman"/>
                <w:sz w:val="18"/>
                <w:szCs w:val="18"/>
                <w:color w:val="0000FF"/>
                <w:w w:val="88"/>
              </w:rPr>
            </w:pPr>
            <w:hyperlink r:id="rId255">
              <w:r>
                <w:rPr>
                  <w:rFonts w:ascii="Times New Roman" w:cs="Times New Roman" w:eastAsia="Times New Roman" w:hAnsi="Times New Roman"/>
                  <w:sz w:val="18"/>
                  <w:szCs w:val="18"/>
                  <w:color w:val="0000FF"/>
                  <w:w w:val="88"/>
                </w:rPr>
                <w:t>2021</w:t>
              </w:r>
            </w:hyperlink>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44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Second Amendment to the Amended and Restated Credit and</w:t>
            </w:r>
          </w:p>
        </w:tc>
        <w:tc>
          <w:tcPr>
            <w:tcW w:w="560" w:type="dxa"/>
            <w:vAlign w:val="bottom"/>
            <w:gridSpan w:val="7"/>
          </w:tcPr>
          <w:p>
            <w:pPr>
              <w:spacing w:after="0"/>
              <w:rPr>
                <w:sz w:val="18"/>
                <w:szCs w:val="18"/>
                <w:color w:val="auto"/>
              </w:rPr>
            </w:pPr>
          </w:p>
        </w:tc>
      </w:tr>
      <w:tr>
        <w:trPr>
          <w:trHeight w:val="196"/>
        </w:trPr>
        <w:tc>
          <w:tcPr>
            <w:tcW w:w="920" w:type="dxa"/>
            <w:vAlign w:val="bottom"/>
          </w:tcPr>
          <w:p>
            <w:pPr>
              <w:spacing w:after="0"/>
              <w:rPr>
                <w:sz w:val="17"/>
                <w:szCs w:val="17"/>
                <w:color w:val="auto"/>
              </w:rPr>
            </w:pPr>
          </w:p>
        </w:tc>
        <w:tc>
          <w:tcPr>
            <w:tcW w:w="50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Security Agreement (Revolving Loan) between Sight Sciences, Inc.</w:t>
            </w:r>
          </w:p>
        </w:tc>
      </w:tr>
      <w:tr>
        <w:trPr>
          <w:trHeight w:val="20"/>
        </w:trPr>
        <w:tc>
          <w:tcPr>
            <w:tcW w:w="920" w:type="dxa"/>
            <w:vAlign w:val="bottom"/>
            <w:tcBorders>
              <w:righ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and Midcap Funding IV Trust, dated November 15, 2021</w:t>
            </w:r>
          </w:p>
        </w:tc>
      </w:tr>
      <w:tr>
        <w:trPr>
          <w:trHeight w:val="20"/>
        </w:trPr>
        <w:tc>
          <w:tcPr>
            <w:tcW w:w="920" w:type="dxa"/>
            <w:vAlign w:val="bottom"/>
            <w:tcBorders>
              <w:righ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5000" w:type="dxa"/>
            <w:vAlign w:val="bottom"/>
            <w:gridSpan w:val="19"/>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Third Amendment to the Amended and Restated Credit and Security</w:t>
              </w:r>
            </w:hyperlink>
          </w:p>
        </w:tc>
      </w:tr>
      <w:tr>
        <w:trPr>
          <w:trHeight w:val="20"/>
        </w:trPr>
        <w:tc>
          <w:tcPr>
            <w:tcW w:w="9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19"/>
          </w:tcPr>
          <w:p>
            <w:pPr>
              <w:spacing w:after="0" w:line="19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Agreement (Revolving Loan) between Sight Sciences, Inc. and</w:t>
              </w:r>
            </w:hyperlink>
          </w:p>
        </w:tc>
      </w:tr>
      <w:tr>
        <w:trPr>
          <w:trHeight w:val="20"/>
        </w:trPr>
        <w:tc>
          <w:tcPr>
            <w:tcW w:w="9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19"/>
          </w:tcPr>
          <w:p>
            <w:pPr>
              <w:spacing w:after="0" w:line="19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Midcap Funding IV Trust, dated May 10, 1022</w:t>
              </w:r>
            </w:hyperlink>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50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Fourth Amendment to the Amended and Restated Credit and Security</w:t>
            </w:r>
          </w:p>
        </w:tc>
      </w:tr>
      <w:tr>
        <w:trPr>
          <w:trHeight w:val="20"/>
        </w:trPr>
        <w:tc>
          <w:tcPr>
            <w:tcW w:w="9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Agreement (Revolving Loan) between Sight Sciences, Inc. and</w:t>
            </w:r>
          </w:p>
        </w:tc>
      </w:tr>
      <w:tr>
        <w:trPr>
          <w:trHeight w:val="20"/>
        </w:trPr>
        <w:tc>
          <w:tcPr>
            <w:tcW w:w="9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Midcap Funding IV Trust, dated December 28, 2022</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5000" w:type="dxa"/>
            <w:vAlign w:val="bottom"/>
            <w:gridSpan w:val="19"/>
          </w:tcPr>
          <w:p>
            <w:pPr>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Supply Agreement between Sight Sciences, Inc. and Peter's</w:t>
              </w:r>
            </w:hyperlink>
          </w:p>
        </w:tc>
      </w:tr>
      <w:tr>
        <w:trPr>
          <w:trHeight w:val="20"/>
        </w:trPr>
        <w:tc>
          <w:tcPr>
            <w:tcW w:w="9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56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19"/>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Technology (Suzhou CO., LTD., dated January 14, 2021</w:t>
              </w:r>
            </w:hyperlink>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560" w:type="dxa"/>
            <w:vAlign w:val="bottom"/>
            <w:tcBorders>
              <w:left w:val="single" w:sz="8" w:color="0000FF"/>
              <w:right w:val="single" w:sz="8" w:color="0000EE"/>
            </w:tcBorders>
            <w:gridSpan w:val="5"/>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5000" w:type="dxa"/>
            <w:vAlign w:val="bottom"/>
            <w:gridSpan w:val="19"/>
          </w:tcPr>
          <w:p>
            <w:pPr>
              <w:spacing w:after="0"/>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Amendment #1 to Supply Agreement between Sight Sciences, Inc.</w:t>
              </w:r>
            </w:hyperlink>
          </w:p>
        </w:tc>
      </w:tr>
      <w:tr>
        <w:trPr>
          <w:trHeight w:val="20"/>
        </w:trPr>
        <w:tc>
          <w:tcPr>
            <w:tcW w:w="9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9"/>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19"/>
          </w:tcPr>
          <w:p>
            <w:pPr>
              <w:spacing w:after="0" w:line="196"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and Peter's Technology (Suzhou) CO. LTD., dated January 28, 2022</w:t>
              </w:r>
            </w:hyperlink>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9"/>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5000" w:type="dxa"/>
            <w:vAlign w:val="bottom"/>
            <w:gridSpan w:val="19"/>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Amendment #2 to Supply Agreement between Sight Sciences, Inc.</w:t>
              </w:r>
            </w:hyperlink>
          </w:p>
        </w:tc>
      </w:tr>
      <w:tr>
        <w:trPr>
          <w:trHeight w:val="20"/>
        </w:trPr>
        <w:tc>
          <w:tcPr>
            <w:tcW w:w="9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9"/>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3"/>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19"/>
          </w:tcPr>
          <w:p>
            <w:pPr>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and Peter's Technology (Suzhou) CO. LTD., dated July 19, 2022</w:t>
              </w:r>
            </w:hyperlink>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9"/>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50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Subsidiaries of Sight Sciences, Inc.</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160" w:type="dxa"/>
            <w:vAlign w:val="bottom"/>
            <w:tcBorders>
              <w:left w:val="single" w:sz="8" w:color="0000FF"/>
            </w:tcBorders>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0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Consent of Deloitte &amp; Touche LLP</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16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0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Power of Attorney</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332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0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Rule 13a-</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540" w:type="dxa"/>
            <w:vAlign w:val="bottom"/>
            <w:gridSpan w:val="1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14(a)/15d-14(a)</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540" w:type="dxa"/>
            <w:vAlign w:val="bottom"/>
            <w:gridSpan w:val="1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0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Rule 13a-</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740" w:type="dxa"/>
            <w:vAlign w:val="bottom"/>
            <w:tcBorders>
              <w:left w:val="single" w:sz="8" w:color="0000FF"/>
            </w:tcBorders>
            <w:gridSpan w:val="1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14(a)/15d-14(a)</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540" w:type="dxa"/>
            <w:vAlign w:val="bottom"/>
            <w:gridSpan w:val="1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0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18 U.S.C.</w:t>
            </w:r>
          </w:p>
        </w:tc>
      </w:tr>
      <w:tr>
        <w:trPr>
          <w:trHeight w:val="20"/>
        </w:trPr>
        <w:tc>
          <w:tcPr>
            <w:tcW w:w="9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740" w:type="dxa"/>
            <w:vAlign w:val="bottom"/>
            <w:tcBorders>
              <w:left w:val="single" w:sz="8" w:color="0000FF"/>
            </w:tcBorders>
            <w:gridSpan w:val="1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Section 1350</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740" w:type="dxa"/>
            <w:vAlign w:val="bottom"/>
            <w:gridSpan w:val="1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0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18 U.S.C.</w:t>
            </w:r>
          </w:p>
        </w:tc>
      </w:tr>
      <w:tr>
        <w:trPr>
          <w:trHeight w:val="20"/>
        </w:trPr>
        <w:tc>
          <w:tcPr>
            <w:tcW w:w="9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740" w:type="dxa"/>
            <w:vAlign w:val="bottom"/>
            <w:tcBorders>
              <w:left w:val="single" w:sz="8" w:color="0000FF"/>
            </w:tcBorders>
            <w:gridSpan w:val="13"/>
            <w:shd w:val="clear" w:color="auto" w:fill="0000FF"/>
          </w:tcPr>
          <w:p>
            <w:pPr>
              <w:spacing w:after="0" w:line="20" w:lineRule="exact"/>
              <w:rPr>
                <w:sz w:val="1"/>
                <w:szCs w:val="1"/>
                <w:color w:val="auto"/>
              </w:rPr>
            </w:pPr>
          </w:p>
        </w:tc>
        <w:tc>
          <w:tcPr>
            <w:tcW w:w="340" w:type="dxa"/>
            <w:vAlign w:val="bottom"/>
            <w:tcBorders>
              <w:left w:val="single" w:sz="8" w:color="0000FF"/>
            </w:tcBorders>
            <w:gridSpan w:val="4"/>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Section 1350</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80" w:type="dxa"/>
            <w:vAlign w:val="bottom"/>
            <w:tcBorders>
              <w:left w:val="single" w:sz="8" w:color="0000EE"/>
            </w:tcBorders>
            <w:gridSpan w:val="17"/>
          </w:tcPr>
          <w:p>
            <w:pPr>
              <w:spacing w:after="0" w:line="20" w:lineRule="exact"/>
              <w:rPr>
                <w:sz w:val="1"/>
                <w:szCs w:val="1"/>
                <w:color w:val="auto"/>
              </w:rPr>
            </w:pPr>
          </w:p>
        </w:tc>
      </w:tr>
      <w:tr>
        <w:trPr>
          <w:trHeight w:val="2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0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r>
      <w:tr>
        <w:trPr>
          <w:trHeight w:val="216"/>
        </w:trPr>
        <w:tc>
          <w:tcPr>
            <w:tcW w:w="920" w:type="dxa"/>
            <w:vAlign w:val="bottom"/>
          </w:tcPr>
          <w:p>
            <w:pPr>
              <w:spacing w:after="0"/>
              <w:rPr>
                <w:sz w:val="18"/>
                <w:szCs w:val="18"/>
                <w:color w:val="auto"/>
              </w:rPr>
            </w:pPr>
          </w:p>
        </w:tc>
        <w:tc>
          <w:tcPr>
            <w:tcW w:w="50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r>
      <w:tr>
        <w:trPr>
          <w:trHeight w:val="230"/>
        </w:trPr>
        <w:tc>
          <w:tcPr>
            <w:tcW w:w="920" w:type="dxa"/>
            <w:vAlign w:val="bottom"/>
          </w:tcPr>
          <w:p>
            <w:pPr>
              <w:spacing w:after="0"/>
              <w:rPr>
                <w:sz w:val="19"/>
                <w:szCs w:val="19"/>
                <w:color w:val="auto"/>
              </w:rPr>
            </w:pPr>
          </w:p>
        </w:tc>
        <w:tc>
          <w:tcPr>
            <w:tcW w:w="50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0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0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0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0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0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2339975</wp:posOffset>
            </wp:positionH>
            <wp:positionV relativeFrom="paragraph">
              <wp:posOffset>-4568190</wp:posOffset>
            </wp:positionV>
            <wp:extent cx="2857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ind w:left="920" w:right="380" w:hanging="899"/>
        <w:spacing w:after="0" w:line="276" w:lineRule="auto"/>
        <w:tabs>
          <w:tab w:leader="none" w:pos="9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14230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or compensatory plan</w:t>
      </w:r>
    </w:p>
    <w:p>
      <w:pPr>
        <w:spacing w:after="0" w:line="200" w:lineRule="exact"/>
        <w:rPr>
          <w:sz w:val="20"/>
          <w:szCs w:val="20"/>
          <w:color w:val="auto"/>
        </w:rPr>
      </w:pPr>
    </w:p>
    <w:p>
      <w:pPr>
        <w:spacing w:after="0" w:line="24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tabs>
          <w:tab w:leader="none" w:pos="860" w:val="left"/>
          <w:tab w:leader="none" w:pos="2160" w:val="left"/>
          <w:tab w:leader="none" w:pos="308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001-40587</w:t>
      </w:r>
      <w:r>
        <w:rPr>
          <w:sz w:val="20"/>
          <w:szCs w:val="20"/>
          <w:color w:val="auto"/>
        </w:rPr>
        <w:tab/>
      </w: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7"/>
          <w:szCs w:val="17"/>
          <w:color w:val="auto"/>
        </w:rPr>
        <w:t>03/24/2022</w:t>
      </w:r>
    </w:p>
    <w:p>
      <w:pPr>
        <w:spacing w:after="0" w:line="200" w:lineRule="exact"/>
        <w:rPr>
          <w:sz w:val="20"/>
          <w:szCs w:val="20"/>
          <w:color w:val="auto"/>
        </w:rPr>
      </w:pPr>
    </w:p>
    <w:p>
      <w:pPr>
        <w:spacing w:after="0" w:line="255" w:lineRule="exact"/>
        <w:rPr>
          <w:sz w:val="20"/>
          <w:szCs w:val="20"/>
          <w:color w:val="auto"/>
        </w:rPr>
      </w:pPr>
    </w:p>
    <w:p>
      <w:pPr>
        <w:spacing w:after="0"/>
        <w:tabs>
          <w:tab w:leader="none" w:pos="860" w:val="left"/>
          <w:tab w:leader="none" w:pos="2220" w:val="left"/>
          <w:tab w:leader="none" w:pos="308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001-40587</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08/11/2022</w:t>
      </w:r>
    </w:p>
    <w:p>
      <w:pPr>
        <w:spacing w:after="0" w:line="200" w:lineRule="exact"/>
        <w:rPr>
          <w:sz w:val="20"/>
          <w:szCs w:val="20"/>
          <w:color w:val="auto"/>
        </w:rPr>
      </w:pPr>
    </w:p>
    <w:p>
      <w:pPr>
        <w:spacing w:after="0" w:line="25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333-257320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06/23/2021</w:t>
            </w:r>
          </w:p>
        </w:tc>
      </w:tr>
      <w:tr>
        <w:trPr>
          <w:trHeight w:val="445"/>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001-40587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03/24/2022</w:t>
            </w:r>
          </w:p>
        </w:tc>
      </w:tr>
      <w:tr>
        <w:trPr>
          <w:trHeight w:val="446"/>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001-40587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11/10/2022</w:t>
            </w:r>
          </w:p>
        </w:tc>
      </w:tr>
    </w:tbl>
    <w:p>
      <w:pPr>
        <w:spacing w:after="0" w:line="21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t>
      </w:r>
    </w:p>
    <w:p>
      <w:pPr>
        <w:spacing w:after="0" w:line="23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5940" w:space="280"/>
            <w:col w:w="4660"/>
          </w:cols>
          <w:pgMar w:left="320" w:top="324" w:right="69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SIGHT SCIENCES, INC.</w:t>
            </w:r>
          </w:p>
        </w:tc>
      </w:tr>
      <w:tr>
        <w:trPr>
          <w:trHeight w:val="47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2023</w:t>
            </w:r>
          </w:p>
        </w:tc>
        <w:tc>
          <w:tcPr>
            <w:tcW w:w="25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Badawi</w:t>
            </w:r>
          </w:p>
        </w:tc>
      </w:tr>
      <w:tr>
        <w:trPr>
          <w:trHeight w:val="205"/>
        </w:trPr>
        <w:tc>
          <w:tcPr>
            <w:tcW w:w="35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2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Paul Badawi</w:t>
            </w:r>
          </w:p>
        </w:tc>
      </w:tr>
      <w:tr>
        <w:trPr>
          <w:trHeight w:val="234"/>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03"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2" w:lineRule="exact"/>
        <w:rPr>
          <w:sz w:val="20"/>
          <w:szCs w:val="20"/>
          <w:color w:val="auto"/>
        </w:rPr>
      </w:pPr>
    </w:p>
    <w:p>
      <w:pPr>
        <w:ind w:left="1240"/>
        <w:spacing w:after="0"/>
        <w:tabs>
          <w:tab w:leader="none" w:pos="6100" w:val="left"/>
          <w:tab w:leader="none" w:pos="9860" w:val="left"/>
        </w:tabs>
        <w:rPr>
          <w:sz w:val="20"/>
          <w:szCs w:val="20"/>
          <w:color w:val="auto"/>
        </w:rPr>
      </w:pPr>
      <w:r>
        <w:rPr>
          <w:rFonts w:ascii="Times New Roman" w:cs="Times New Roman" w:eastAsia="Times New Roman" w:hAnsi="Times New Roman"/>
          <w:sz w:val="14"/>
          <w:szCs w:val="14"/>
          <w:b w:val="1"/>
          <w:bCs w:val="1"/>
          <w:color w:val="auto"/>
        </w:rPr>
        <w:t>Name and 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p>
      <w:pPr>
        <w:spacing w:after="0" w:line="31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Paul Badawi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571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Paul Badawi</w:t>
      </w:r>
    </w:p>
    <w:p>
      <w:pPr>
        <w:spacing w:after="0" w:line="30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Jim Rodberg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571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7">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Jim Rodberg</w:t>
      </w:r>
    </w:p>
    <w:p>
      <w:pPr>
        <w:spacing w:after="0" w:line="30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Staffan Encrantz</w:t>
      </w:r>
    </w:p>
    <w:p>
      <w:pPr>
        <w:spacing w:after="0" w:line="3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Staffan Encrantz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3571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8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David Badawi</w:t>
      </w:r>
    </w:p>
    <w:p>
      <w:pPr>
        <w:spacing w:after="0" w:line="3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David Badawi,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3571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8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Tamara Fountain</w:t>
      </w:r>
    </w:p>
    <w:p>
      <w:pPr>
        <w:spacing w:after="0" w:line="3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Tamara Fountain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3571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8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Brenda Becker</w:t>
      </w:r>
    </w:p>
    <w:p>
      <w:pPr>
        <w:spacing w:after="0" w:line="3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Brenda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3571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8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Erica Rogers</w:t>
      </w:r>
    </w:p>
    <w:p>
      <w:pPr>
        <w:spacing w:after="0" w:line="3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Erica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3571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2">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8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/s/ Valeska Schroeder</w:t>
      </w:r>
    </w:p>
    <w:p>
      <w:pPr>
        <w:spacing w:after="0" w:line="4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b w:val="1"/>
          <w:bCs w:val="1"/>
          <w:color w:val="auto"/>
        </w:rPr>
        <w:t>Valeska Schroeder,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3571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8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Donald Zurbay</w:t>
      </w:r>
    </w:p>
    <w:p>
      <w:pPr>
        <w:spacing w:after="0" w:line="3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Donald Zurbay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3571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tabs>
          <w:tab w:leader="none" w:pos="5580" w:val="left"/>
        </w:tabs>
        <w:rPr>
          <w:sz w:val="20"/>
          <w:szCs w:val="20"/>
          <w:color w:val="auto"/>
        </w:rPr>
      </w:pPr>
      <w:r>
        <w:rPr>
          <w:rFonts w:ascii="Times New Roman" w:cs="Times New Roman" w:eastAsia="Times New Roman" w:hAnsi="Times New Roman"/>
          <w:sz w:val="18"/>
          <w:szCs w:val="18"/>
          <w:color w:val="auto"/>
        </w:rPr>
        <w:t>President, Chief Executive Officer and Director</w:t>
      </w:r>
      <w:r>
        <w:rPr>
          <w:sz w:val="20"/>
          <w:szCs w:val="20"/>
          <w:color w:val="auto"/>
        </w:rPr>
        <w:tab/>
      </w:r>
      <w:r>
        <w:rPr>
          <w:rFonts w:ascii="Times New Roman" w:cs="Times New Roman" w:eastAsia="Times New Roman" w:hAnsi="Times New Roman"/>
          <w:sz w:val="17"/>
          <w:szCs w:val="17"/>
          <w:color w:val="auto"/>
        </w:rPr>
        <w:t>March 16,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8" w:lineRule="exact"/>
        <w:rPr>
          <w:sz w:val="20"/>
          <w:szCs w:val="20"/>
          <w:color w:val="auto"/>
        </w:rPr>
      </w:pPr>
    </w:p>
    <w:p>
      <w:pPr>
        <w:spacing w:after="0"/>
        <w:tabs>
          <w:tab w:leader="none" w:pos="5580" w:val="left"/>
        </w:tabs>
        <w:rPr>
          <w:sz w:val="20"/>
          <w:szCs w:val="20"/>
          <w:color w:val="auto"/>
        </w:rPr>
      </w:pPr>
      <w:r>
        <w:rPr>
          <w:rFonts w:ascii="Times New Roman" w:cs="Times New Roman" w:eastAsia="Times New Roman" w:hAnsi="Times New Roman"/>
          <w:sz w:val="18"/>
          <w:szCs w:val="18"/>
          <w:color w:val="auto"/>
        </w:rPr>
        <w:t>Interim Chief Financial Officer (principal financial</w:t>
      </w:r>
      <w:r>
        <w:rPr>
          <w:sz w:val="20"/>
          <w:szCs w:val="20"/>
          <w:color w:val="auto"/>
        </w:rPr>
        <w:tab/>
      </w:r>
      <w:r>
        <w:rPr>
          <w:rFonts w:ascii="Times New Roman" w:cs="Times New Roman" w:eastAsia="Times New Roman" w:hAnsi="Times New Roman"/>
          <w:sz w:val="17"/>
          <w:szCs w:val="17"/>
          <w:color w:val="auto"/>
        </w:rPr>
        <w:t>March 16,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and principal accounting officer)</w:t>
      </w:r>
    </w:p>
    <w:p>
      <w:pPr>
        <w:spacing w:after="0" w:line="328" w:lineRule="exact"/>
        <w:rPr>
          <w:sz w:val="20"/>
          <w:szCs w:val="20"/>
          <w:color w:val="auto"/>
        </w:rPr>
      </w:pPr>
    </w:p>
    <w:p>
      <w:pPr>
        <w:spacing w:after="0"/>
        <w:tabs>
          <w:tab w:leader="none" w:pos="5580" w:val="left"/>
        </w:tabs>
        <w:rPr>
          <w:sz w:val="20"/>
          <w:szCs w:val="20"/>
          <w:color w:val="auto"/>
        </w:rPr>
      </w:pPr>
      <w:r>
        <w:rPr>
          <w:rFonts w:ascii="Times New Roman" w:cs="Times New Roman" w:eastAsia="Times New Roman" w:hAnsi="Times New Roman"/>
          <w:sz w:val="18"/>
          <w:szCs w:val="18"/>
          <w:color w:val="auto"/>
        </w:rPr>
        <w:t>Chairman of the Board of Directors</w:t>
      </w:r>
      <w:r>
        <w:rPr>
          <w:sz w:val="20"/>
          <w:szCs w:val="20"/>
          <w:color w:val="auto"/>
        </w:rPr>
        <w:tab/>
      </w:r>
      <w:r>
        <w:rPr>
          <w:rFonts w:ascii="Times New Roman" w:cs="Times New Roman" w:eastAsia="Times New Roman" w:hAnsi="Times New Roman"/>
          <w:sz w:val="17"/>
          <w:szCs w:val="17"/>
          <w:color w:val="auto"/>
        </w:rPr>
        <w:t>March 16, 2023</w:t>
      </w:r>
    </w:p>
    <w:p>
      <w:pPr>
        <w:spacing w:after="0" w:line="200" w:lineRule="exact"/>
        <w:rPr>
          <w:sz w:val="20"/>
          <w:szCs w:val="20"/>
          <w:color w:val="auto"/>
        </w:rPr>
      </w:pPr>
    </w:p>
    <w:p>
      <w:pPr>
        <w:spacing w:after="0" w:line="295" w:lineRule="exact"/>
        <w:rPr>
          <w:sz w:val="20"/>
          <w:szCs w:val="20"/>
          <w:color w:val="auto"/>
        </w:rPr>
      </w:pPr>
    </w:p>
    <w:p>
      <w:pPr>
        <w:ind w:left="40"/>
        <w:spacing w:after="0"/>
        <w:tabs>
          <w:tab w:leader="none" w:pos="558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16, 2023</w:t>
      </w:r>
    </w:p>
    <w:p>
      <w:pPr>
        <w:spacing w:after="0" w:line="200" w:lineRule="exact"/>
        <w:rPr>
          <w:sz w:val="20"/>
          <w:szCs w:val="20"/>
          <w:color w:val="auto"/>
        </w:rPr>
      </w:pPr>
    </w:p>
    <w:p>
      <w:pPr>
        <w:spacing w:after="0" w:line="307" w:lineRule="exact"/>
        <w:rPr>
          <w:sz w:val="20"/>
          <w:szCs w:val="20"/>
          <w:color w:val="auto"/>
        </w:rPr>
      </w:pPr>
    </w:p>
    <w:p>
      <w:pPr>
        <w:ind w:left="40"/>
        <w:spacing w:after="0"/>
        <w:tabs>
          <w:tab w:leader="none" w:pos="558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16, 2023</w:t>
      </w:r>
    </w:p>
    <w:p>
      <w:pPr>
        <w:spacing w:after="0" w:line="200" w:lineRule="exact"/>
        <w:rPr>
          <w:sz w:val="20"/>
          <w:szCs w:val="20"/>
          <w:color w:val="auto"/>
        </w:rPr>
      </w:pPr>
    </w:p>
    <w:p>
      <w:pPr>
        <w:spacing w:after="0" w:line="307" w:lineRule="exact"/>
        <w:rPr>
          <w:sz w:val="20"/>
          <w:szCs w:val="20"/>
          <w:color w:val="auto"/>
        </w:rPr>
      </w:pPr>
    </w:p>
    <w:p>
      <w:pPr>
        <w:ind w:left="40"/>
        <w:spacing w:after="0"/>
        <w:tabs>
          <w:tab w:leader="none" w:pos="558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16, 2023</w:t>
      </w:r>
    </w:p>
    <w:p>
      <w:pPr>
        <w:spacing w:after="0" w:line="200" w:lineRule="exact"/>
        <w:rPr>
          <w:sz w:val="20"/>
          <w:szCs w:val="20"/>
          <w:color w:val="auto"/>
        </w:rPr>
      </w:pPr>
    </w:p>
    <w:p>
      <w:pPr>
        <w:spacing w:after="0" w:line="307" w:lineRule="exact"/>
        <w:rPr>
          <w:sz w:val="20"/>
          <w:szCs w:val="20"/>
          <w:color w:val="auto"/>
        </w:rPr>
      </w:pPr>
    </w:p>
    <w:p>
      <w:pPr>
        <w:ind w:left="40"/>
        <w:spacing w:after="0"/>
        <w:tabs>
          <w:tab w:leader="none" w:pos="558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16, 2023</w:t>
      </w:r>
    </w:p>
    <w:p>
      <w:pPr>
        <w:spacing w:after="0" w:line="200" w:lineRule="exact"/>
        <w:rPr>
          <w:sz w:val="20"/>
          <w:szCs w:val="20"/>
          <w:color w:val="auto"/>
        </w:rPr>
      </w:pPr>
    </w:p>
    <w:p>
      <w:pPr>
        <w:spacing w:after="0" w:line="307" w:lineRule="exact"/>
        <w:rPr>
          <w:sz w:val="20"/>
          <w:szCs w:val="20"/>
          <w:color w:val="auto"/>
        </w:rPr>
      </w:pPr>
    </w:p>
    <w:p>
      <w:pPr>
        <w:ind w:left="40"/>
        <w:spacing w:after="0"/>
        <w:tabs>
          <w:tab w:leader="none" w:pos="558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16, 2023</w:t>
      </w:r>
    </w:p>
    <w:p>
      <w:pPr>
        <w:spacing w:after="0" w:line="200" w:lineRule="exact"/>
        <w:rPr>
          <w:sz w:val="20"/>
          <w:szCs w:val="20"/>
          <w:color w:val="auto"/>
        </w:rPr>
      </w:pPr>
    </w:p>
    <w:p>
      <w:pPr>
        <w:spacing w:after="0" w:line="307" w:lineRule="exact"/>
        <w:rPr>
          <w:sz w:val="20"/>
          <w:szCs w:val="20"/>
          <w:color w:val="auto"/>
        </w:rPr>
      </w:pPr>
    </w:p>
    <w:p>
      <w:pPr>
        <w:ind w:left="40"/>
        <w:spacing w:after="0"/>
        <w:tabs>
          <w:tab w:leader="none" w:pos="558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16, 2023</w:t>
      </w:r>
    </w:p>
    <w:p>
      <w:pPr>
        <w:spacing w:after="0" w:line="388" w:lineRule="exact"/>
        <w:rPr>
          <w:sz w:val="20"/>
          <w:szCs w:val="20"/>
          <w:color w:val="auto"/>
        </w:rPr>
      </w:pPr>
    </w:p>
    <w:p>
      <w:pPr>
        <w:sectPr>
          <w:pgSz w:w="11900" w:h="16838" w:orient="portrait"/>
          <w:cols w:equalWidth="0" w:num="2">
            <w:col w:w="3140" w:space="720"/>
            <w:col w:w="7380"/>
          </w:cols>
          <w:pgMar w:left="320" w:top="333" w:right="339" w:bottom="1440" w:gutter="0" w:footer="0" w:header="0"/>
          <w:type w:val="continuous"/>
        </w:sect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04" w:name="page105"/>
    <w:bookmarkEnd w:id="104"/>
    <w:p>
      <w:pPr>
        <w:ind w:left="10400"/>
        <w:spacing w:after="0"/>
        <w:rPr>
          <w:sz w:val="20"/>
          <w:szCs w:val="20"/>
          <w:color w:val="auto"/>
        </w:rPr>
      </w:pPr>
      <w:r>
        <w:rPr>
          <w:rFonts w:ascii="Times New Roman" w:cs="Times New Roman" w:eastAsia="Times New Roman" w:hAnsi="Times New Roman"/>
          <w:sz w:val="17"/>
          <w:szCs w:val="17"/>
          <w:b w:val="1"/>
          <w:bCs w:val="1"/>
          <w:color w:val="auto"/>
        </w:rPr>
        <w:t>Exhibit 4.3</w:t>
      </w:r>
    </w:p>
    <w:p>
      <w:pPr>
        <w:spacing w:after="0" w:line="237"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 TO SECTION 12 OF THE SECURITIES EXCHANGE ACT OF 1934, AS AMENDED</w:t>
      </w:r>
    </w:p>
    <w:p>
      <w:pPr>
        <w:spacing w:after="0" w:line="26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of the capital stock of Sight Sciences, Inc. (the “Company”, “we”, “us”, and “our”) and certain provisions of our restated certificate of incorporation (the “Charter”) and restated bylaws (the “Bylaws”) is not intended to be a complete summary of the rights and preferences of such securities and is qualified in its entirety by reference to the full text of the Amended Charter and Bylaws, copies of which have been filed with the Securities and Exchange Commission (“SEC”). You are encouraged to read the applicable provisions of Delaware law, the Charter and the Bylaws in their entirety for a complete description of the rights and preferences of our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Under our Charter and Bylaws, our authorized capital stock consists of 200,000,000 shares of common stock, par value $0.001 per share, and 10,000,000 shares of preferred stock, par value $0.001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Charter and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Charter. See below under “—Anti-Takeover Effects of Delaware Law and Our Certificate of Incorporation and Bylaws—Amendment of Charter Provisions.”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86" w:lineRule="exact"/>
        <w:rPr>
          <w:sz w:val="20"/>
          <w:szCs w:val="20"/>
          <w:color w:val="auto"/>
        </w:rPr>
      </w:pPr>
    </w:p>
    <w:p>
      <w:pPr>
        <w:jc w:val="both"/>
        <w:ind w:right="100"/>
        <w:spacing w:after="0" w:line="277" w:lineRule="auto"/>
        <w:rPr>
          <w:sz w:val="20"/>
          <w:szCs w:val="20"/>
          <w:color w:val="auto"/>
        </w:rPr>
      </w:pPr>
      <w:r>
        <w:rPr>
          <w:rFonts w:ascii="Times New Roman" w:cs="Times New Roman" w:eastAsia="Times New Roman" w:hAnsi="Times New Roman"/>
          <w:sz w:val="17"/>
          <w:szCs w:val="17"/>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sinking fund provisions applicable to our common stock. Our outstanding shares of common stock are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Under the terms of our Charter,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 We have no present plans to issue any shares of preferred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Certificate of Incorporation and Bylaws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|US-DOCS\130708854.2||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5" w:name="page106"/>
    <w:bookmarkEnd w:id="105"/>
    <w:p>
      <w:pPr>
        <w:spacing w:after="0" w:line="261" w:lineRule="auto"/>
        <w:rPr>
          <w:sz w:val="20"/>
          <w:szCs w:val="20"/>
          <w:color w:val="auto"/>
        </w:rPr>
      </w:pPr>
      <w:r>
        <w:rPr>
          <w:rFonts w:ascii="Times New Roman" w:cs="Times New Roman" w:eastAsia="Times New Roman" w:hAnsi="Times New Roman"/>
          <w:sz w:val="18"/>
          <w:szCs w:val="18"/>
          <w:color w:val="auto"/>
        </w:rPr>
        <w:t>Some provisions of Delaware law, our Charter and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Meetings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Bylaws provide that a special meeting of stockholders may be called only by our chairman of the board, chief executive officer or president (in the absence of a chief executive officer), or by a resolution adopted by a majority of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121"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Our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Elimination of Stockholder Action by Written Consent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Charter eliminates the right of stockholders to act by written consent without a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board of directors is divided into three classes. The directors in each class will serve for a three-year term, one class being elected each year by our stockholders.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Charter provides that no member of our board of directors may be removed from office by our stockholders except for cause and, in addition to any other vote required by law, upon the approval of the holders of at least two-thirds in voting power of the outstanding shares of stock entitled to vote in the election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Not Entitled to Cumulative Voting</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Charter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4" w:right="459" w:bottom="1440" w:gutter="0" w:footer="0" w:header="0"/>
        </w:sectPr>
      </w:pPr>
    </w:p>
    <w:bookmarkStart w:id="106" w:name="page107"/>
    <w:bookmarkEnd w:id="106"/>
    <w:p>
      <w:pPr>
        <w:ind w:right="80"/>
        <w:spacing w:after="0" w:line="273" w:lineRule="auto"/>
        <w:rPr>
          <w:sz w:val="20"/>
          <w:szCs w:val="20"/>
          <w:color w:val="auto"/>
        </w:rPr>
      </w:pPr>
      <w:r>
        <w:rPr>
          <w:rFonts w:ascii="Times New Roman" w:cs="Times New Roman" w:eastAsia="Times New Roman" w:hAnsi="Times New Roman"/>
          <w:sz w:val="17"/>
          <w:szCs w:val="17"/>
          <w:color w:val="auto"/>
        </w:rPr>
        <w:t>We are subject to Section 203 of the General Corporation Law of the State of Delaware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Charter provides that, unless we consent in writing to the selection of an alternative form, the 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DGCL or our Charter or Bylaws; (4) any action to interpret, apply, enforce or determine the validity of our Charter or Bylaws; or (5) any action asserting a claim governed by the internal affairs doctrine; provided that the exclusive forum provision will not apply to suits brought to enforce any liability or duty created by the Securities Act of 1933, as amended (the "Securities Act") or the Securities Exchange Act of 1934, as amended (the "Exchange Act"), or to any claim for which there is exclusive or concurrent federal and state jurisdiction. For instance, the provision would not apply to actions arising under federal securities laws, including suits brought to enforce any liability or duty created by the Securities Act, Exchange Act, or the rules and regulations thereunder. Our Charter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Our Charter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Charter is inapplicable or unenforceable if it is challenged in a proceeding or otherwise.</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Provisions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amendment of any of the above provisions, except for the provision 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6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provisions of Delaware law, our Charter and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American Stock Transfer &amp; Trust Company,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has been approved for listing on The Nasdaq Global Select Market under the symbol “SGHT.”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Employment Agreement</w:t>
      </w:r>
    </w:p>
    <w:p>
      <w:pPr>
        <w:spacing w:after="0" w:line="220" w:lineRule="exact"/>
        <w:rPr>
          <w:sz w:val="20"/>
          <w:szCs w:val="20"/>
          <w:color w:val="auto"/>
        </w:rPr>
      </w:pPr>
    </w:p>
    <w:p>
      <w:pPr>
        <w:ind w:right="380" w:firstLine="749"/>
        <w:spacing w:after="0" w:line="246" w:lineRule="auto"/>
        <w:rPr>
          <w:sz w:val="20"/>
          <w:szCs w:val="20"/>
          <w:color w:val="auto"/>
        </w:rPr>
      </w:pPr>
      <w:r>
        <w:rPr>
          <w:rFonts w:ascii="Times New Roman" w:cs="Times New Roman" w:eastAsia="Times New Roman" w:hAnsi="Times New Roman"/>
          <w:sz w:val="20"/>
          <w:szCs w:val="20"/>
          <w:color w:val="auto"/>
        </w:rPr>
        <w:t>This Employment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July 7, 2021, is made by and between Sight Sciences, Inc., a Delaware corporation (together with any successor thereto,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Jeremy Hayden (“</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 (collectively referred to herein as the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 or individually referred to as a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and will become effective, if at all, upon the date of the Company’s initial public offering of stock (“</w:t>
      </w:r>
      <w:r>
        <w:rPr>
          <w:rFonts w:ascii="Times New Roman" w:cs="Times New Roman" w:eastAsia="Times New Roman" w:hAnsi="Times New Roman"/>
          <w:sz w:val="20"/>
          <w:szCs w:val="20"/>
          <w:u w:val="single" w:color="auto"/>
          <w:color w:val="auto"/>
        </w:rPr>
        <w:t>IPO</w:t>
      </w:r>
      <w:r>
        <w:rPr>
          <w:rFonts w:ascii="Times New Roman" w:cs="Times New Roman" w:eastAsia="Times New Roman" w:hAnsi="Times New Roman"/>
          <w:sz w:val="20"/>
          <w:szCs w:val="20"/>
          <w:color w:val="auto"/>
        </w:rPr>
        <w:t>”) pursuant to an effective registration statement filed under the Securities Act of 1933, as amended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ind w:left="760" w:right="260" w:hanging="752"/>
        <w:spacing w:after="0" w:line="269" w:lineRule="auto"/>
        <w:tabs>
          <w:tab w:leader="none" w:pos="407"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the desire of the Company to assure itself of the services of Executive as of the Effective Date and thereafter by entering into this Agreement.</w:t>
      </w:r>
    </w:p>
    <w:p>
      <w:pPr>
        <w:spacing w:after="0" w:line="159"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and the Company mutually desire that Executive provide services to the Company on the terms herein provided.</w:t>
      </w:r>
    </w:p>
    <w:p>
      <w:pPr>
        <w:spacing w:after="0" w:line="211" w:lineRule="exact"/>
        <w:rPr>
          <w:rFonts w:ascii="Times New Roman" w:cs="Times New Roman" w:eastAsia="Times New Roman" w:hAnsi="Times New Roman"/>
          <w:sz w:val="20"/>
          <w:szCs w:val="20"/>
          <w:color w:val="auto"/>
        </w:rPr>
      </w:pPr>
    </w:p>
    <w:p>
      <w:pPr>
        <w:ind w:left="49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AGREEMENT</w:t>
      </w:r>
    </w:p>
    <w:p>
      <w:pPr>
        <w:spacing w:after="0" w:line="220" w:lineRule="exact"/>
        <w:rPr>
          <w:sz w:val="20"/>
          <w:szCs w:val="20"/>
          <w:color w:val="auto"/>
        </w:rPr>
      </w:pPr>
    </w:p>
    <w:p>
      <w:pPr>
        <w:ind w:right="120" w:firstLine="749"/>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foregoing and of the respective covenants and agreements set forth below, the Parties hereto agree as follows: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w:t>
      </w:r>
      <w:r>
        <w:rPr>
          <w:rFonts w:ascii="Times New Roman" w:cs="Times New Roman" w:eastAsia="Times New Roman" w:hAnsi="Times New Roman"/>
          <w:sz w:val="19"/>
          <w:szCs w:val="19"/>
          <w:b w:val="1"/>
          <w:bCs w:val="1"/>
          <w:u w:val="single" w:color="auto"/>
          <w:color w:val="auto"/>
        </w:rPr>
        <w:t>Employment</w:t>
      </w:r>
      <w:r>
        <w:rPr>
          <w:rFonts w:ascii="Times New Roman" w:cs="Times New Roman" w:eastAsia="Times New Roman" w:hAnsi="Times New Roman"/>
          <w:sz w:val="19"/>
          <w:szCs w:val="19"/>
          <w:b w:val="1"/>
          <w:bCs w:val="1"/>
          <w:color w:val="auto"/>
        </w:rPr>
        <w:t>.</w:t>
      </w:r>
    </w:p>
    <w:p>
      <w:pPr>
        <w:spacing w:after="0" w:line="215" w:lineRule="exact"/>
        <w:rPr>
          <w:sz w:val="20"/>
          <w:szCs w:val="20"/>
          <w:color w:val="auto"/>
        </w:rPr>
      </w:pPr>
    </w:p>
    <w:p>
      <w:pPr>
        <w:jc w:val="both"/>
        <w:ind w:right="40" w:firstLine="757"/>
        <w:spacing w:after="0" w:line="249" w:lineRule="auto"/>
        <w:tabs>
          <w:tab w:leader="none" w:pos="149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xml:space="preserve">. Effective on the Effective Date, the Company shall continue to employ Executive, and Executive shall remain in the employ of the Company, for the period and in the positions set forth in this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and subject to the other terms and conditions herein provided; provided, however, that this Agreement is expressly conditioned upon the IPO closing before August 31, 2021 and will be null and void if this condition is not satisfied.</w:t>
      </w:r>
    </w:p>
    <w:p>
      <w:pPr>
        <w:spacing w:after="0" w:line="179" w:lineRule="exact"/>
        <w:rPr>
          <w:rFonts w:ascii="Times New Roman" w:cs="Times New Roman" w:eastAsia="Times New Roman" w:hAnsi="Times New Roman"/>
          <w:sz w:val="20"/>
          <w:szCs w:val="20"/>
          <w:color w:val="auto"/>
        </w:rPr>
      </w:pPr>
    </w:p>
    <w:p>
      <w:pPr>
        <w:ind w:right="40" w:firstLine="757"/>
        <w:spacing w:after="0" w:line="243" w:lineRule="auto"/>
        <w:tabs>
          <w:tab w:leader="none" w:pos="149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At-Will Employment</w:t>
      </w:r>
      <w:r>
        <w:rPr>
          <w:rFonts w:ascii="Times New Roman" w:cs="Times New Roman" w:eastAsia="Times New Roman" w:hAnsi="Times New Roman"/>
          <w:sz w:val="20"/>
          <w:szCs w:val="20"/>
          <w:color w:val="auto"/>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Times New Roman" w:cs="Times New Roman" w:eastAsia="Times New Roman" w:hAnsi="Times New Roman"/>
          <w:sz w:val="20"/>
          <w:szCs w:val="20"/>
          <w:u w:val="single" w:color="auto"/>
          <w:color w:val="auto"/>
        </w:rPr>
        <w:t>Section 3(b)</w:t>
      </w:r>
      <w:r>
        <w:rPr>
          <w:rFonts w:ascii="Times New Roman" w:cs="Times New Roman" w:eastAsia="Times New Roman" w:hAnsi="Times New Roman"/>
          <w:sz w:val="20"/>
          <w:szCs w:val="20"/>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xml:space="preserve">”) shall commence on the Effective Date and end on the date this Agreement is terminated under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ind w:right="100" w:firstLine="757"/>
        <w:spacing w:after="0" w:line="249" w:lineRule="auto"/>
        <w:tabs>
          <w:tab w:leader="none" w:pos="149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Positions and Duties</w:t>
      </w:r>
      <w:r>
        <w:rPr>
          <w:rFonts w:ascii="Times New Roman" w:cs="Times New Roman" w:eastAsia="Times New Roman" w:hAnsi="Times New Roman"/>
          <w:sz w:val="20"/>
          <w:szCs w:val="20"/>
          <w:color w:val="auto"/>
        </w:rPr>
        <w:t>. During the Term, Executive shall serve as General Counsel of the Company, with such responsibilities, duties and authority normally associated with such position and as may from time to time be assigned to Executive by the Chief Executive Officer of the Company. Executive shall devote substantially all of Executive’s working time and efforts to the business and affairs of the Company (which shall include service to its affiliates, if applicable) and shall not engage in outside</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w:t>
      </w: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1" = "1" " DOCPROPERTY "SWDocID" 4874-8374-2551v1/107507-0001" "" 4874-8374-2551v1/107507-0001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8" w:name="page109"/>
    <w:bookmarkEnd w:id="108"/>
    <w:p>
      <w:pPr>
        <w:ind w:right="140"/>
        <w:spacing w:after="0" w:line="244" w:lineRule="auto"/>
        <w:rPr>
          <w:sz w:val="20"/>
          <w:szCs w:val="20"/>
          <w:color w:val="auto"/>
        </w:rPr>
      </w:pPr>
      <w:r>
        <w:rPr>
          <w:rFonts w:ascii="Times New Roman" w:cs="Times New Roman" w:eastAsia="Times New Roman" w:hAnsi="Times New Roman"/>
          <w:sz w:val="20"/>
          <w:szCs w:val="20"/>
          <w:color w:val="auto"/>
        </w:rPr>
        <w:t>business activities (including serving on outside boards or committees) without the consent of the Board of Directors of the Company or an authorized committee of the Board (in either case,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provided that Executive shall be permitted to (i) manage Executive’s personal, financial and legal affairs, (ii) participate in trade associations, and (iii) serve on the board of directors of not-for-profit or tax-exempt charitable organizations, in each case, subject to compliance with this Agreement and provided that such activities do not materially interfere with Executive’s performance of Executive’s duties and responsibilities hereunder. Executive agrees to observe and comply with the rules and policies of the Company as adopted by the Company from time to time, in each case, as amended from time to time, and as delivered or made available to Executive (each, a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w:t>
      </w:r>
      <w:r>
        <w:rPr>
          <w:rFonts w:ascii="Times New Roman" w:cs="Times New Roman" w:eastAsia="Times New Roman" w:hAnsi="Times New Roman"/>
          <w:sz w:val="19"/>
          <w:szCs w:val="19"/>
          <w:b w:val="1"/>
          <w:bCs w:val="1"/>
          <w:u w:val="single" w:color="auto"/>
          <w:color w:val="auto"/>
        </w:rPr>
        <w:t>Compensation and Related Matters</w:t>
      </w:r>
      <w:r>
        <w:rPr>
          <w:rFonts w:ascii="Times New Roman" w:cs="Times New Roman" w:eastAsia="Times New Roman" w:hAnsi="Times New Roman"/>
          <w:sz w:val="19"/>
          <w:szCs w:val="19"/>
          <w:b w:val="1"/>
          <w:bCs w:val="1"/>
          <w:color w:val="auto"/>
        </w:rPr>
        <w:t>.</w:t>
      </w:r>
    </w:p>
    <w:p>
      <w:pPr>
        <w:spacing w:after="0" w:line="215" w:lineRule="exact"/>
        <w:rPr>
          <w:sz w:val="20"/>
          <w:szCs w:val="20"/>
          <w:color w:val="auto"/>
        </w:rPr>
      </w:pPr>
    </w:p>
    <w:p>
      <w:pPr>
        <w:ind w:right="100" w:firstLine="757"/>
        <w:spacing w:after="0" w:line="249" w:lineRule="auto"/>
        <w:tabs>
          <w:tab w:leader="none" w:pos="149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Base Salary</w:t>
      </w:r>
      <w:r>
        <w:rPr>
          <w:rFonts w:ascii="Times New Roman" w:cs="Times New Roman" w:eastAsia="Times New Roman" w:hAnsi="Times New Roman"/>
          <w:sz w:val="20"/>
          <w:szCs w:val="20"/>
          <w:color w:val="auto"/>
        </w:rPr>
        <w:t>. During the Term, Executive shall receive a base salary at a rate of $350,000 per annum, which shall be paid in accordance with the customary payroll practices of the Company and shall be pro-rated for partial years of employment. Such annual base salary shall be reviewed (and may be adjusted) from time to time by the Board (such annual base salary, as it may be adjusted from time to time, the “</w:t>
      </w:r>
      <w:r>
        <w:rPr>
          <w:rFonts w:ascii="Times New Roman" w:cs="Times New Roman" w:eastAsia="Times New Roman" w:hAnsi="Times New Roman"/>
          <w:sz w:val="20"/>
          <w:szCs w:val="20"/>
          <w:u w:val="single" w:color="auto"/>
          <w:color w:val="auto"/>
        </w:rPr>
        <w:t>Annual Base Salary</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right="100" w:firstLine="757"/>
        <w:spacing w:after="0" w:line="245" w:lineRule="auto"/>
        <w:tabs>
          <w:tab w:leader="none" w:pos="149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Cash Bonus Opportunity</w:t>
      </w:r>
      <w:r>
        <w:rPr>
          <w:rFonts w:ascii="Times New Roman" w:cs="Times New Roman" w:eastAsia="Times New Roman" w:hAnsi="Times New Roman"/>
          <w:sz w:val="20"/>
          <w:szCs w:val="20"/>
          <w:color w:val="auto"/>
        </w:rPr>
        <w:t>. During the Term, Executive will be eligible to participate in an annual incentive program established by the Board. Executive’s annual incentive compensation under such incentive program (the “</w:t>
      </w:r>
      <w:r>
        <w:rPr>
          <w:rFonts w:ascii="Times New Roman" w:cs="Times New Roman" w:eastAsia="Times New Roman" w:hAnsi="Times New Roman"/>
          <w:sz w:val="20"/>
          <w:szCs w:val="20"/>
          <w:u w:val="single" w:color="auto"/>
          <w:color w:val="auto"/>
        </w:rPr>
        <w:t>Annual Bonus</w:t>
      </w:r>
      <w:r>
        <w:rPr>
          <w:rFonts w:ascii="Times New Roman" w:cs="Times New Roman" w:eastAsia="Times New Roman" w:hAnsi="Times New Roman"/>
          <w:sz w:val="20"/>
          <w:szCs w:val="20"/>
          <w:color w:val="auto"/>
        </w:rPr>
        <w:t>”) shall be targeted at 45% of Executive’s Annual Base Salary (such target, as may be adjusted by the Board from time to time, the “</w:t>
      </w:r>
      <w:r>
        <w:rPr>
          <w:rFonts w:ascii="Times New Roman" w:cs="Times New Roman" w:eastAsia="Times New Roman" w:hAnsi="Times New Roman"/>
          <w:sz w:val="20"/>
          <w:szCs w:val="20"/>
          <w:u w:val="single" w:color="auto"/>
          <w:color w:val="auto"/>
        </w:rPr>
        <w:t>Target Annual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Bonus</w:t>
      </w:r>
      <w:r>
        <w:rPr>
          <w:rFonts w:ascii="Times New Roman" w:cs="Times New Roman" w:eastAsia="Times New Roman" w:hAnsi="Times New Roman"/>
          <w:sz w:val="20"/>
          <w:szCs w:val="20"/>
          <w:color w:val="auto"/>
        </w:rPr>
        <w:t xml:space="preserve">”). The Annual Bonus payable under the incentive program shall be based on the achievement of performance goals to be determined by the Board. The payment of any Annual Bonus pursuant to the incentive program shall be subject to Executive’s continued employment with the Company through the date of payment, except as otherwise provided in </w:t>
      </w:r>
      <w:r>
        <w:rPr>
          <w:rFonts w:ascii="Times New Roman" w:cs="Times New Roman" w:eastAsia="Times New Roman" w:hAnsi="Times New Roman"/>
          <w:sz w:val="20"/>
          <w:szCs w:val="20"/>
          <w:u w:val="single" w:color="auto"/>
          <w:color w:val="auto"/>
        </w:rPr>
        <w:t>Section 4(b)</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firstLine="757"/>
        <w:spacing w:after="0" w:line="249" w:lineRule="auto"/>
        <w:tabs>
          <w:tab w:leader="none" w:pos="149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rPr>
        <w:t xml:space="preserve">. During the Term, Executive shall be eligible to participate in employee benefit plans, programs and arrangements of the Company, subject to the terms and eligibility requirements thereof and as such plans, programs and arrangements may be amended or in effect from time to time. In no event shall Executive be eligible to participate in any severance plan or program of the Company, except as set forth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of this Agreement.</w:t>
      </w:r>
    </w:p>
    <w:p>
      <w:pPr>
        <w:spacing w:after="0" w:line="179" w:lineRule="exact"/>
        <w:rPr>
          <w:rFonts w:ascii="Times New Roman" w:cs="Times New Roman" w:eastAsia="Times New Roman" w:hAnsi="Times New Roman"/>
          <w:sz w:val="20"/>
          <w:szCs w:val="20"/>
          <w:color w:val="auto"/>
        </w:rPr>
      </w:pPr>
    </w:p>
    <w:p>
      <w:pPr>
        <w:ind w:right="80" w:firstLine="757"/>
        <w:spacing w:after="0" w:line="269" w:lineRule="auto"/>
        <w:tabs>
          <w:tab w:leader="none" w:pos="149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Vacation</w:t>
      </w:r>
      <w:r>
        <w:rPr>
          <w:rFonts w:ascii="Times New Roman" w:cs="Times New Roman" w:eastAsia="Times New Roman" w:hAnsi="Times New Roman"/>
          <w:sz w:val="20"/>
          <w:szCs w:val="20"/>
          <w:color w:val="auto"/>
        </w:rPr>
        <w:t>. During the Term, Executive shall be entitled to paid personal leave in accordance with the Company’s Policies. Any vacation shall be taken at the reasonable and mutual convenience of the Company and Executive.</w:t>
      </w:r>
    </w:p>
    <w:p>
      <w:pPr>
        <w:spacing w:after="0" w:line="159" w:lineRule="exact"/>
        <w:rPr>
          <w:rFonts w:ascii="Times New Roman" w:cs="Times New Roman" w:eastAsia="Times New Roman" w:hAnsi="Times New Roman"/>
          <w:sz w:val="20"/>
          <w:szCs w:val="20"/>
          <w:color w:val="auto"/>
        </w:rPr>
      </w:pPr>
    </w:p>
    <w:p>
      <w:pPr>
        <w:ind w:right="60" w:firstLine="757"/>
        <w:spacing w:after="0" w:line="254" w:lineRule="auto"/>
        <w:tabs>
          <w:tab w:leader="none" w:pos="149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Expenses</w:t>
      </w:r>
      <w:r>
        <w:rPr>
          <w:rFonts w:ascii="Times New Roman" w:cs="Times New Roman" w:eastAsia="Times New Roman" w:hAnsi="Times New Roman"/>
          <w:sz w:val="20"/>
          <w:szCs w:val="20"/>
          <w:color w:val="auto"/>
        </w:rPr>
        <w:t>. During the Term, the Company shall reimburse Executive for all reasonable travel and other business expenses incurred by Executive in the performance of Executive’s duties to the Company in accordance with the Company’s expense reimbursement Policy.</w:t>
      </w:r>
    </w:p>
    <w:p>
      <w:pPr>
        <w:spacing w:after="0" w:line="174" w:lineRule="exact"/>
        <w:rPr>
          <w:rFonts w:ascii="Times New Roman" w:cs="Times New Roman" w:eastAsia="Times New Roman" w:hAnsi="Times New Roman"/>
          <w:sz w:val="20"/>
          <w:szCs w:val="20"/>
          <w:color w:val="auto"/>
        </w:rPr>
      </w:pPr>
    </w:p>
    <w:p>
      <w:pPr>
        <w:ind w:right="20" w:firstLine="757"/>
        <w:spacing w:after="0" w:line="245" w:lineRule="auto"/>
        <w:tabs>
          <w:tab w:leader="none" w:pos="149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Key Person Insurance</w:t>
      </w:r>
      <w:r>
        <w:rPr>
          <w:rFonts w:ascii="Times New Roman" w:cs="Times New Roman" w:eastAsia="Times New Roman" w:hAnsi="Times New Roman"/>
          <w:sz w:val="20"/>
          <w:szCs w:val="20"/>
          <w:color w:val="auto"/>
        </w:rPr>
        <w:t>. At any time during the Term, the Company shall have the right (but not the obligation) to insure the life of Executive for the Company’s sole benefit. The Company shall have the 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1" = "1" " DOCPROPERTY "SWDocID" 4874-8374-2551v1/107507-0001" "" 4874-8374-2551v1/107507-0001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9" w:name="page110"/>
    <w:bookmarkEnd w:id="109"/>
    <w:p>
      <w:pPr>
        <w:ind w:right="200"/>
        <w:spacing w:after="0" w:line="268" w:lineRule="auto"/>
        <w:rPr>
          <w:sz w:val="20"/>
          <w:szCs w:val="20"/>
          <w:color w:val="auto"/>
        </w:rPr>
      </w:pPr>
      <w:r>
        <w:rPr>
          <w:rFonts w:ascii="Times New Roman" w:cs="Times New Roman" w:eastAsia="Times New Roman" w:hAnsi="Times New Roman"/>
          <w:sz w:val="20"/>
          <w:szCs w:val="20"/>
          <w:color w:val="auto"/>
        </w:rPr>
        <w:t>authorization of Executive. Executive shall incur no financial obligation by executing any required document, and shall have no interest in any such policy.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w:t>
      </w:r>
      <w:r>
        <w:rPr>
          <w:rFonts w:ascii="Times New Roman" w:cs="Times New Roman" w:eastAsia="Times New Roman" w:hAnsi="Times New Roman"/>
          <w:sz w:val="19"/>
          <w:szCs w:val="19"/>
          <w:b w:val="1"/>
          <w:bCs w:val="1"/>
          <w:u w:val="single" w:color="auto"/>
          <w:color w:val="auto"/>
        </w:rPr>
        <w:t>Termination</w:t>
      </w:r>
      <w:r>
        <w:rPr>
          <w:rFonts w:ascii="Times New Roman" w:cs="Times New Roman" w:eastAsia="Times New Roman" w:hAnsi="Times New Roman"/>
          <w:sz w:val="19"/>
          <w:szCs w:val="19"/>
          <w:b w:val="1"/>
          <w:bCs w:val="1"/>
          <w:color w:val="auto"/>
        </w:rPr>
        <w:t>.</w:t>
      </w:r>
    </w:p>
    <w:p>
      <w:pPr>
        <w:spacing w:after="0" w:line="215" w:lineRule="exact"/>
        <w:rPr>
          <w:sz w:val="20"/>
          <w:szCs w:val="20"/>
          <w:color w:val="auto"/>
        </w:rPr>
      </w:pPr>
    </w:p>
    <w:p>
      <w:pPr>
        <w:ind w:right="480" w:firstLine="749"/>
        <w:spacing w:after="0" w:line="269" w:lineRule="auto"/>
        <w:rPr>
          <w:sz w:val="20"/>
          <w:szCs w:val="20"/>
          <w:color w:val="auto"/>
        </w:rPr>
      </w:pPr>
      <w:r>
        <w:rPr>
          <w:rFonts w:ascii="Times New Roman" w:cs="Times New Roman" w:eastAsia="Times New Roman" w:hAnsi="Times New Roman"/>
          <w:sz w:val="20"/>
          <w:szCs w:val="20"/>
          <w:color w:val="auto"/>
        </w:rPr>
        <w:t>Executive’s employment hereunder and the Term may be terminated by the Company or Executive, as applicable, without any breach of this Agreement under the following circumstances and the Term will end on the Date of Termination:</w:t>
      </w:r>
    </w:p>
    <w:p>
      <w:pPr>
        <w:spacing w:after="0" w:line="159" w:lineRule="exact"/>
        <w:rPr>
          <w:sz w:val="20"/>
          <w:szCs w:val="20"/>
          <w:color w:val="auto"/>
        </w:rPr>
      </w:pPr>
    </w:p>
    <w:p>
      <w:pPr>
        <w:ind w:left="1500" w:hanging="743"/>
        <w:spacing w:after="0"/>
        <w:tabs>
          <w:tab w:leader="none" w:pos="15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Circumstances</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Death</w:t>
      </w:r>
      <w:r>
        <w:rPr>
          <w:rFonts w:ascii="Times New Roman" w:cs="Times New Roman" w:eastAsia="Times New Roman" w:hAnsi="Times New Roman"/>
          <w:sz w:val="20"/>
          <w:szCs w:val="20"/>
          <w:color w:val="auto"/>
        </w:rPr>
        <w:t>. Executive’s employment hereunder shall terminate upon Executive’s death.</w:t>
      </w:r>
    </w:p>
    <w:p>
      <w:pPr>
        <w:spacing w:after="0" w:line="215"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Disability</w:t>
      </w:r>
      <w:r>
        <w:rPr>
          <w:rFonts w:ascii="Times New Roman" w:cs="Times New Roman" w:eastAsia="Times New Roman" w:hAnsi="Times New Roman"/>
          <w:sz w:val="20"/>
          <w:szCs w:val="20"/>
          <w:color w:val="auto"/>
        </w:rPr>
        <w:t>. If Executive has incurred a Disability, as defined below, the Company may terminate Executive’s</w:t>
      </w:r>
    </w:p>
    <w:p>
      <w:pPr>
        <w:spacing w:after="0" w:line="25"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employment.</w:t>
      </w:r>
    </w:p>
    <w:p>
      <w:pPr>
        <w:spacing w:after="0" w:line="189"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for Cause</w:t>
      </w:r>
      <w:r>
        <w:rPr>
          <w:rFonts w:ascii="Times New Roman" w:cs="Times New Roman" w:eastAsia="Times New Roman" w:hAnsi="Times New Roman"/>
          <w:sz w:val="20"/>
          <w:szCs w:val="20"/>
          <w:color w:val="auto"/>
        </w:rPr>
        <w:t>. The Company may terminate Executive’s employment for Cause, as defined below.</w:t>
      </w:r>
    </w:p>
    <w:p>
      <w:pPr>
        <w:spacing w:after="0" w:line="215"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without Cause</w:t>
      </w:r>
      <w:r>
        <w:rPr>
          <w:rFonts w:ascii="Times New Roman" w:cs="Times New Roman" w:eastAsia="Times New Roman" w:hAnsi="Times New Roman"/>
          <w:sz w:val="20"/>
          <w:szCs w:val="20"/>
          <w:color w:val="auto"/>
        </w:rPr>
        <w:t>. The Company may terminate Executive’s employment without Cause.</w:t>
      </w:r>
    </w:p>
    <w:p>
      <w:pPr>
        <w:spacing w:after="0" w:line="215" w:lineRule="exact"/>
        <w:rPr>
          <w:rFonts w:ascii="Times New Roman" w:cs="Times New Roman" w:eastAsia="Times New Roman" w:hAnsi="Times New Roman"/>
          <w:sz w:val="20"/>
          <w:szCs w:val="20"/>
          <w:color w:val="auto"/>
        </w:rPr>
      </w:pPr>
    </w:p>
    <w:p>
      <w:pPr>
        <w:ind w:left="760" w:right="420" w:firstLine="745"/>
        <w:spacing w:after="0" w:line="273" w:lineRule="auto"/>
        <w:tabs>
          <w:tab w:leader="none" w:pos="2257"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Resignation from the Company with Good Reason. </w:t>
      </w:r>
      <w:r>
        <w:rPr>
          <w:rFonts w:ascii="Times New Roman" w:cs="Times New Roman" w:eastAsia="Times New Roman" w:hAnsi="Times New Roman"/>
          <w:sz w:val="20"/>
          <w:szCs w:val="20"/>
          <w:color w:val="auto"/>
        </w:rPr>
        <w:t>Executive may resign Executive’s employment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with Good Reason, as defined below.</w:t>
      </w:r>
    </w:p>
    <w:p>
      <w:pPr>
        <w:spacing w:after="0" w:line="151" w:lineRule="exact"/>
        <w:rPr>
          <w:rFonts w:ascii="Times New Roman" w:cs="Times New Roman" w:eastAsia="Times New Roman" w:hAnsi="Times New Roman"/>
          <w:sz w:val="20"/>
          <w:szCs w:val="20"/>
          <w:color w:val="auto"/>
        </w:rPr>
      </w:pPr>
    </w:p>
    <w:p>
      <w:pPr>
        <w:ind w:left="760" w:right="180" w:firstLine="745"/>
        <w:spacing w:after="0" w:line="273" w:lineRule="auto"/>
        <w:tabs>
          <w:tab w:leader="none" w:pos="2257"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Resignation from the Company without Good Reason</w:t>
      </w:r>
      <w:r>
        <w:rPr>
          <w:rFonts w:ascii="Times New Roman" w:cs="Times New Roman" w:eastAsia="Times New Roman" w:hAnsi="Times New Roman"/>
          <w:sz w:val="20"/>
          <w:szCs w:val="20"/>
          <w:color w:val="auto"/>
        </w:rPr>
        <w:t>. Executive may resign Executive’s employment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for any reason other than Good Reason or for no reason.</w:t>
      </w:r>
    </w:p>
    <w:p>
      <w:pPr>
        <w:spacing w:after="0" w:line="155" w:lineRule="exact"/>
        <w:rPr>
          <w:rFonts w:ascii="Times New Roman" w:cs="Times New Roman" w:eastAsia="Times New Roman" w:hAnsi="Times New Roman"/>
          <w:sz w:val="20"/>
          <w:szCs w:val="20"/>
          <w:color w:val="auto"/>
        </w:rPr>
      </w:pPr>
    </w:p>
    <w:p>
      <w:pPr>
        <w:ind w:firstLine="757"/>
        <w:spacing w:after="0" w:line="242" w:lineRule="auto"/>
        <w:tabs>
          <w:tab w:leader="none" w:pos="149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Termination</w:t>
      </w:r>
      <w:r>
        <w:rPr>
          <w:rFonts w:ascii="Times New Roman" w:cs="Times New Roman" w:eastAsia="Times New Roman" w:hAnsi="Times New Roman"/>
          <w:sz w:val="20"/>
          <w:szCs w:val="20"/>
          <w:color w:val="auto"/>
        </w:rPr>
        <w:t xml:space="preserve">. Any termination of Executive’s employment by the Company or by Executive under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(other than termination pursuant to </w:t>
      </w:r>
      <w:r>
        <w:rPr>
          <w:rFonts w:ascii="Times New Roman" w:cs="Times New Roman" w:eastAsia="Times New Roman" w:hAnsi="Times New Roman"/>
          <w:sz w:val="20"/>
          <w:szCs w:val="20"/>
          <w:u w:val="single" w:color="auto"/>
          <w:color w:val="auto"/>
        </w:rPr>
        <w:t>Section 3(a)(i))</w:t>
      </w:r>
      <w:r>
        <w:rPr>
          <w:rFonts w:ascii="Times New Roman" w:cs="Times New Roman" w:eastAsia="Times New Roman" w:hAnsi="Times New Roman"/>
          <w:sz w:val="20"/>
          <w:szCs w:val="20"/>
          <w:color w:val="auto"/>
        </w:rPr>
        <w:t xml:space="preserve">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if submitted by Executive, shall be at least thirty (30) days following the date of such notice (a “</w:t>
      </w:r>
      <w:r>
        <w:rPr>
          <w:rFonts w:ascii="Times New Roman" w:cs="Times New Roman" w:eastAsia="Times New Roman" w:hAnsi="Times New Roman"/>
          <w:sz w:val="20"/>
          <w:szCs w:val="20"/>
          <w:u w:val="single" w:color="auto"/>
          <w:color w:val="auto"/>
        </w:rPr>
        <w:t>Notice of Termination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in the event that Executive delivers a Notice of Termination to the Company, the Company may, in its sole discretion,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change the Date of Termination to any date that occurs following the date of the Company’s receipt of such Notice of Termination and is prior to the date specified in such Notice of Termination, but the termination will still be considered a resignation by Executive. A Notice of Termination submitted by the Company may provide for a Date of Termination on the date Executive receives the Notice of Termination, or any date thereafter elected by the Company. The failure by either Party to set forth in the Notice of Termination any fact or circumstance which contributes to a showing of Cause or Good Reason shall not waive any right of the Party hereunder or preclude the Party from asserting such fact or circumstance in enforcing the Party’s rights hereunder.</w:t>
      </w:r>
    </w:p>
    <w:p>
      <w:pPr>
        <w:spacing w:after="0" w:line="187" w:lineRule="exact"/>
        <w:rPr>
          <w:rFonts w:ascii="Times New Roman" w:cs="Times New Roman" w:eastAsia="Times New Roman" w:hAnsi="Times New Roman"/>
          <w:sz w:val="20"/>
          <w:szCs w:val="20"/>
          <w:color w:val="auto"/>
        </w:rPr>
      </w:pPr>
    </w:p>
    <w:p>
      <w:pPr>
        <w:ind w:right="120" w:firstLine="757"/>
        <w:spacing w:after="0" w:line="254" w:lineRule="auto"/>
        <w:tabs>
          <w:tab w:leader="none" w:pos="149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 Obligations upon Termination</w:t>
      </w:r>
      <w:r>
        <w:rPr>
          <w:rFonts w:ascii="Times New Roman" w:cs="Times New Roman" w:eastAsia="Times New Roman" w:hAnsi="Times New Roman"/>
          <w:sz w:val="20"/>
          <w:szCs w:val="20"/>
          <w:color w:val="auto"/>
        </w:rPr>
        <w:t xml:space="preserve">. Upon termination of Executive’s employment pursuant to any of the circumstances listed in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Executive (or Executive’s estate) shall be entitled to receive the sum of: (i) the portion of Executive’s Annual Base Salary earned through the Date</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w:t>
      </w: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1" = "1" " DOCPROPERTY "SWDocID" 4874-8374-2551v1/107507-0001" "" 4874-8374-2551v1/107507-0001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0" w:name="page111"/>
    <w:bookmarkEnd w:id="110"/>
    <w:p>
      <w:pPr>
        <w:ind w:right="80"/>
        <w:spacing w:after="0" w:line="243" w:lineRule="auto"/>
        <w:rPr>
          <w:sz w:val="20"/>
          <w:szCs w:val="20"/>
          <w:color w:val="auto"/>
        </w:rPr>
      </w:pPr>
      <w:r>
        <w:rPr>
          <w:rFonts w:ascii="Times New Roman" w:cs="Times New Roman" w:eastAsia="Times New Roman" w:hAnsi="Times New Roman"/>
          <w:sz w:val="20"/>
          <w:szCs w:val="20"/>
          <w:color w:val="auto"/>
        </w:rPr>
        <w:t xml:space="preserve">of Termination, but not yet paid to Executive; (ii) any expense reimbursements owed to Executive pursuant to </w:t>
      </w:r>
      <w:r>
        <w:rPr>
          <w:rFonts w:ascii="Times New Roman" w:cs="Times New Roman" w:eastAsia="Times New Roman" w:hAnsi="Times New Roman"/>
          <w:sz w:val="20"/>
          <w:szCs w:val="20"/>
          <w:u w:val="single" w:color="auto"/>
          <w:color w:val="auto"/>
        </w:rPr>
        <w:t>Section 2(e)</w:t>
      </w:r>
      <w:r>
        <w:rPr>
          <w:rFonts w:ascii="Times New Roman" w:cs="Times New Roman" w:eastAsia="Times New Roman" w:hAnsi="Times New Roman"/>
          <w:sz w:val="20"/>
          <w:szCs w:val="20"/>
          <w:color w:val="auto"/>
        </w:rPr>
        <w:t>; and (iii)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Times New Roman" w:cs="Times New Roman" w:eastAsia="Times New Roman" w:hAnsi="Times New Roman"/>
          <w:sz w:val="20"/>
          <w:szCs w:val="20"/>
          <w:u w:val="single" w:color="auto"/>
          <w:color w:val="auto"/>
        </w:rPr>
        <w:t>Company Arrangements</w:t>
      </w:r>
      <w:r>
        <w:rPr>
          <w:rFonts w:ascii="Times New Roman" w:cs="Times New Roman" w:eastAsia="Times New Roman" w:hAnsi="Times New Roman"/>
          <w:sz w:val="20"/>
          <w:szCs w:val="20"/>
          <w:color w:val="auto"/>
        </w:rPr>
        <w:t>”). Except as otherwise expressly required by law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xml:space="preserve">, COBRA) or as specifically provided herein, all of Executive’s rights to salary, severance, benefits, bonuses and other compensatory amounts hereunder (if any) shall cease upon the termination of Executive’s employment hereunder. In the event that Executive’s employment is terminated by the Company for any reason, Executive’s sole and exclusive remedy shall be to receive the payments and benefits described in this </w:t>
      </w:r>
      <w:r>
        <w:rPr>
          <w:rFonts w:ascii="Times New Roman" w:cs="Times New Roman" w:eastAsia="Times New Roman" w:hAnsi="Times New Roman"/>
          <w:sz w:val="20"/>
          <w:szCs w:val="20"/>
          <w:u w:val="single" w:color="auto"/>
          <w:color w:val="auto"/>
        </w:rPr>
        <w:t>Section 3(c)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w:t>
      </w:r>
      <w:r>
        <w:rPr>
          <w:rFonts w:ascii="Times New Roman" w:cs="Times New Roman" w:eastAsia="Times New Roman" w:hAnsi="Times New Roman"/>
          <w:sz w:val="20"/>
          <w:szCs w:val="20"/>
          <w:color w:val="auto"/>
        </w:rPr>
        <w:t>, as applicable.</w:t>
      </w:r>
    </w:p>
    <w:p>
      <w:pPr>
        <w:spacing w:after="0" w:line="188" w:lineRule="exact"/>
        <w:rPr>
          <w:sz w:val="20"/>
          <w:szCs w:val="20"/>
          <w:color w:val="auto"/>
        </w:rPr>
      </w:pPr>
    </w:p>
    <w:p>
      <w:pPr>
        <w:ind w:right="240" w:firstLine="757"/>
        <w:spacing w:after="0" w:line="269" w:lineRule="auto"/>
        <w:tabs>
          <w:tab w:leader="none" w:pos="149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Deemed Resignation</w:t>
      </w:r>
      <w:r>
        <w:rPr>
          <w:rFonts w:ascii="Times New Roman" w:cs="Times New Roman" w:eastAsia="Times New Roman" w:hAnsi="Times New Roman"/>
          <w:sz w:val="20"/>
          <w:szCs w:val="20"/>
          <w:color w:val="auto"/>
        </w:rPr>
        <w:t>. Upon termination of Executive’s employment for any reason, Executive shall be deemed to have resigned from all offices and directorships, if any, then held with the Company or any of its subsidiaries.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w:t>
      </w:r>
      <w:r>
        <w:rPr>
          <w:rFonts w:ascii="Times New Roman" w:cs="Times New Roman" w:eastAsia="Times New Roman" w:hAnsi="Times New Roman"/>
          <w:sz w:val="19"/>
          <w:szCs w:val="19"/>
          <w:b w:val="1"/>
          <w:bCs w:val="1"/>
          <w:u w:val="single" w:color="auto"/>
          <w:color w:val="auto"/>
        </w:rPr>
        <w:t>Severance Payments</w:t>
      </w:r>
      <w:r>
        <w:rPr>
          <w:rFonts w:ascii="Times New Roman" w:cs="Times New Roman" w:eastAsia="Times New Roman" w:hAnsi="Times New Roman"/>
          <w:sz w:val="19"/>
          <w:szCs w:val="19"/>
          <w:b w:val="1"/>
          <w:bCs w:val="1"/>
          <w:color w:val="auto"/>
        </w:rPr>
        <w:t>.</w:t>
      </w:r>
    </w:p>
    <w:p>
      <w:pPr>
        <w:spacing w:after="0" w:line="215" w:lineRule="exact"/>
        <w:rPr>
          <w:sz w:val="20"/>
          <w:szCs w:val="20"/>
          <w:color w:val="auto"/>
        </w:rPr>
      </w:pPr>
    </w:p>
    <w:p>
      <w:pPr>
        <w:jc w:val="both"/>
        <w:ind w:right="140" w:firstLine="757"/>
        <w:spacing w:after="0" w:line="249" w:lineRule="auto"/>
        <w:tabs>
          <w:tab w:leader="none" w:pos="149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for Cause, or Termination Upon Death, Disability or Resignation from the Company Without Good Reason</w:t>
      </w:r>
      <w:r>
        <w:rPr>
          <w:rFonts w:ascii="Times New Roman" w:cs="Times New Roman" w:eastAsia="Times New Roman" w:hAnsi="Times New Roman"/>
          <w:sz w:val="20"/>
          <w:szCs w:val="20"/>
          <w:color w:val="auto"/>
        </w:rPr>
        <w:t xml:space="preserve">. If Executive’s employment shall terminate as a result of Executive’s death pursuant to </w:t>
      </w:r>
      <w:r>
        <w:rPr>
          <w:rFonts w:ascii="Times New Roman" w:cs="Times New Roman" w:eastAsia="Times New Roman" w:hAnsi="Times New Roman"/>
          <w:sz w:val="20"/>
          <w:szCs w:val="20"/>
          <w:u w:val="single" w:color="auto"/>
          <w:color w:val="auto"/>
        </w:rPr>
        <w:t>Section 3(a)(i)</w:t>
      </w:r>
      <w:r>
        <w:rPr>
          <w:rFonts w:ascii="Times New Roman" w:cs="Times New Roman" w:eastAsia="Times New Roman" w:hAnsi="Times New Roman"/>
          <w:sz w:val="20"/>
          <w:szCs w:val="20"/>
          <w:color w:val="auto"/>
        </w:rPr>
        <w:t xml:space="preserve"> or Disability pursuant to </w:t>
      </w:r>
      <w:r>
        <w:rPr>
          <w:rFonts w:ascii="Times New Roman" w:cs="Times New Roman" w:eastAsia="Times New Roman" w:hAnsi="Times New Roman"/>
          <w:sz w:val="20"/>
          <w:szCs w:val="20"/>
          <w:u w:val="single" w:color="auto"/>
          <w:color w:val="auto"/>
        </w:rPr>
        <w:t>Section 3(a)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pursuant to </w:t>
      </w:r>
      <w:r>
        <w:rPr>
          <w:rFonts w:ascii="Times New Roman" w:cs="Times New Roman" w:eastAsia="Times New Roman" w:hAnsi="Times New Roman"/>
          <w:sz w:val="20"/>
          <w:szCs w:val="20"/>
          <w:u w:val="single" w:color="auto"/>
          <w:color w:val="auto"/>
        </w:rPr>
        <w:t>Section 3(a)(iii)</w:t>
      </w:r>
      <w:r>
        <w:rPr>
          <w:rFonts w:ascii="Times New Roman" w:cs="Times New Roman" w:eastAsia="Times New Roman" w:hAnsi="Times New Roman"/>
          <w:sz w:val="20"/>
          <w:szCs w:val="20"/>
          <w:color w:val="auto"/>
        </w:rPr>
        <w:t xml:space="preserve"> for Cause, or pursuant to </w:t>
      </w:r>
      <w:r>
        <w:rPr>
          <w:rFonts w:ascii="Times New Roman" w:cs="Times New Roman" w:eastAsia="Times New Roman" w:hAnsi="Times New Roman"/>
          <w:sz w:val="20"/>
          <w:szCs w:val="20"/>
          <w:u w:val="single" w:color="auto"/>
          <w:color w:val="auto"/>
        </w:rPr>
        <w:t>Section 3(a)(vi)</w:t>
      </w:r>
      <w:r>
        <w:rPr>
          <w:rFonts w:ascii="Times New Roman" w:cs="Times New Roman" w:eastAsia="Times New Roman" w:hAnsi="Times New Roman"/>
          <w:sz w:val="20"/>
          <w:szCs w:val="20"/>
          <w:color w:val="auto"/>
        </w:rPr>
        <w:t xml:space="preserve"> for Executive’s resignation from the Company without Good Reason, then Executive shall not be entitled to any severance payments or benefits, except as provided in </w:t>
      </w:r>
      <w:r>
        <w:rPr>
          <w:rFonts w:ascii="Times New Roman" w:cs="Times New Roman" w:eastAsia="Times New Roman" w:hAnsi="Times New Roman"/>
          <w:sz w:val="20"/>
          <w:szCs w:val="20"/>
          <w:u w:val="single" w:color="auto"/>
          <w:color w:val="auto"/>
        </w:rPr>
        <w:t>Section 3(c)</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right="100" w:firstLine="757"/>
        <w:spacing w:after="0" w:line="245" w:lineRule="auto"/>
        <w:tabs>
          <w:tab w:leader="none" w:pos="149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without Cause or Resignation from the Company with Good Reason</w:t>
      </w:r>
      <w:r>
        <w:rPr>
          <w:rFonts w:ascii="Times New Roman" w:cs="Times New Roman" w:eastAsia="Times New Roman" w:hAnsi="Times New Roman"/>
          <w:sz w:val="20"/>
          <w:szCs w:val="20"/>
          <w:color w:val="auto"/>
        </w:rPr>
        <w:t xml:space="preserve">. If Executive’s employment terminates without Cause pursuant to </w:t>
      </w:r>
      <w:r>
        <w:rPr>
          <w:rFonts w:ascii="Times New Roman" w:cs="Times New Roman" w:eastAsia="Times New Roman" w:hAnsi="Times New Roman"/>
          <w:sz w:val="20"/>
          <w:szCs w:val="20"/>
          <w:u w:val="single" w:color="auto"/>
          <w:color w:val="auto"/>
        </w:rPr>
        <w:t>Section 3(a)(iv)</w:t>
      </w:r>
      <w:r>
        <w:rPr>
          <w:rFonts w:ascii="Times New Roman" w:cs="Times New Roman" w:eastAsia="Times New Roman" w:hAnsi="Times New Roman"/>
          <w:sz w:val="20"/>
          <w:szCs w:val="20"/>
          <w:color w:val="auto"/>
        </w:rPr>
        <w:t xml:space="preserve">, or pursuant to </w:t>
      </w:r>
      <w:r>
        <w:rPr>
          <w:rFonts w:ascii="Times New Roman" w:cs="Times New Roman" w:eastAsia="Times New Roman" w:hAnsi="Times New Roman"/>
          <w:sz w:val="20"/>
          <w:szCs w:val="20"/>
          <w:u w:val="single" w:color="auto"/>
          <w:color w:val="auto"/>
        </w:rPr>
        <w:t>Section 3(a)(v)</w:t>
      </w:r>
      <w:r>
        <w:rPr>
          <w:rFonts w:ascii="Times New Roman" w:cs="Times New Roman" w:eastAsia="Times New Roman" w:hAnsi="Times New Roman"/>
          <w:sz w:val="20"/>
          <w:szCs w:val="20"/>
          <w:color w:val="auto"/>
        </w:rPr>
        <w:t xml:space="preserve"> due to Executive’s resignation with Good Reason, then except as otherwise provided under </w:t>
      </w:r>
      <w:r>
        <w:rPr>
          <w:rFonts w:ascii="Times New Roman" w:cs="Times New Roman" w:eastAsia="Times New Roman" w:hAnsi="Times New Roman"/>
          <w:sz w:val="20"/>
          <w:szCs w:val="20"/>
          <w:u w:val="single" w:color="auto"/>
          <w:color w:val="auto"/>
        </w:rPr>
        <w:t>Section 4(c)</w:t>
      </w:r>
      <w:r>
        <w:rPr>
          <w:rFonts w:ascii="Times New Roman" w:cs="Times New Roman" w:eastAsia="Times New Roman" w:hAnsi="Times New Roman"/>
          <w:sz w:val="20"/>
          <w:szCs w:val="20"/>
          <w:color w:val="auto"/>
        </w:rPr>
        <w:t xml:space="preserve"> and subject to Executive signing on or before the 21st day following Executive’s Separation from Service (as defined below), and not revoking, a release of claims substantially in the form attached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this Agreement (the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and Executive’s continued compliance with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Executive shall receive, in addition to payments and benefits set forth in </w:t>
      </w:r>
      <w:r>
        <w:rPr>
          <w:rFonts w:ascii="Times New Roman" w:cs="Times New Roman" w:eastAsia="Times New Roman" w:hAnsi="Times New Roman"/>
          <w:sz w:val="20"/>
          <w:szCs w:val="20"/>
          <w:u w:val="single" w:color="auto"/>
          <w:color w:val="auto"/>
        </w:rPr>
        <w:t>Section 3(c)</w:t>
      </w:r>
      <w:r>
        <w:rPr>
          <w:rFonts w:ascii="Times New Roman" w:cs="Times New Roman" w:eastAsia="Times New Roman" w:hAnsi="Times New Roman"/>
          <w:sz w:val="20"/>
          <w:szCs w:val="20"/>
          <w:color w:val="auto"/>
        </w:rPr>
        <w:t>, the following:</w:t>
      </w:r>
    </w:p>
    <w:p>
      <w:pPr>
        <w:spacing w:after="0" w:line="184" w:lineRule="exact"/>
        <w:rPr>
          <w:rFonts w:ascii="Times New Roman" w:cs="Times New Roman" w:eastAsia="Times New Roman" w:hAnsi="Times New Roman"/>
          <w:sz w:val="20"/>
          <w:szCs w:val="20"/>
          <w:color w:val="auto"/>
        </w:rPr>
      </w:pPr>
    </w:p>
    <w:p>
      <w:pPr>
        <w:ind w:left="760" w:right="160" w:firstLine="745"/>
        <w:spacing w:after="0" w:line="254" w:lineRule="auto"/>
        <w:tabs>
          <w:tab w:leader="none" w:pos="2257"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in cash equal to 1.0 times the Annual Base Salary, payable in the form of salary continuation in regular installments over the 12 month period following the date of Executive’s Separation from Service (the “</w:t>
      </w:r>
      <w:r>
        <w:rPr>
          <w:rFonts w:ascii="Times New Roman" w:cs="Times New Roman" w:eastAsia="Times New Roman" w:hAnsi="Times New Roman"/>
          <w:sz w:val="20"/>
          <w:szCs w:val="20"/>
          <w:u w:val="single" w:color="auto"/>
          <w:color w:val="auto"/>
        </w:rPr>
        <w:t>Severance Period</w:t>
      </w:r>
      <w:r>
        <w:rPr>
          <w:rFonts w:ascii="Times New Roman" w:cs="Times New Roman" w:eastAsia="Times New Roman" w:hAnsi="Times New Roman"/>
          <w:sz w:val="20"/>
          <w:szCs w:val="20"/>
          <w:color w:val="auto"/>
        </w:rPr>
        <w:t>”) in accordance with the Company’s normal payroll practices;</w:t>
      </w:r>
    </w:p>
    <w:p>
      <w:pPr>
        <w:spacing w:after="0" w:line="174" w:lineRule="exact"/>
        <w:rPr>
          <w:rFonts w:ascii="Times New Roman" w:cs="Times New Roman" w:eastAsia="Times New Roman" w:hAnsi="Times New Roman"/>
          <w:sz w:val="20"/>
          <w:szCs w:val="20"/>
          <w:color w:val="auto"/>
        </w:rPr>
      </w:pPr>
    </w:p>
    <w:p>
      <w:pPr>
        <w:ind w:left="760" w:firstLine="745"/>
        <w:spacing w:after="0" w:line="246" w:lineRule="auto"/>
        <w:tabs>
          <w:tab w:leader="none" w:pos="2257"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unpaid as of the Date of Termination, an amount in cash equal to any Annual Bonus earned by Executive for the Company’s fiscal year prior to the fiscal year in which the Date of Termination occurs, as determined by the Board in its discretion based upon actual performance achieved, which Annual Bonus, if any, shall be paid to Executive in the fiscal year in which the Date of Termination occurs when bonuses for such prior fiscal year are paid in the ordinary course to actively employed senior executives of the Company; and</w:t>
      </w:r>
    </w:p>
    <w:p>
      <w:pPr>
        <w:spacing w:after="0" w:line="184" w:lineRule="exact"/>
        <w:rPr>
          <w:rFonts w:ascii="Times New Roman" w:cs="Times New Roman" w:eastAsia="Times New Roman" w:hAnsi="Times New Roman"/>
          <w:sz w:val="20"/>
          <w:szCs w:val="20"/>
          <w:color w:val="auto"/>
        </w:rPr>
      </w:pPr>
    </w:p>
    <w:p>
      <w:pPr>
        <w:ind w:left="760" w:right="160" w:firstLine="745"/>
        <w:spacing w:after="0" w:line="249" w:lineRule="auto"/>
        <w:tabs>
          <w:tab w:leader="none" w:pos="2257"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Executive timely elects to receive continued medical, dental or vision coverage under one or more of the Company’s group medical, dental or vision plans pursuant to the Consolidated Omnibus Budget Reconciliation Act of 1985, as amended (“</w:t>
      </w:r>
      <w:r>
        <w:rPr>
          <w:rFonts w:ascii="Times New Roman" w:cs="Times New Roman" w:eastAsia="Times New Roman" w:hAnsi="Times New Roman"/>
          <w:sz w:val="20"/>
          <w:szCs w:val="20"/>
          <w:u w:val="single" w:color="auto"/>
          <w:color w:val="auto"/>
        </w:rPr>
        <w:t>COBRA</w:t>
      </w:r>
      <w:r>
        <w:rPr>
          <w:rFonts w:ascii="Times New Roman" w:cs="Times New Roman" w:eastAsia="Times New Roman" w:hAnsi="Times New Roman"/>
          <w:sz w:val="20"/>
          <w:szCs w:val="20"/>
          <w:color w:val="auto"/>
        </w:rPr>
        <w:t>”), then the Company shall directly pay, or reimburse Executive for, the COBRA premiums for Executive and Executive’s</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1" = "1" " DOCPROPERTY "SWDocID" 4874-8374-2551v1/107507-0001" "" 4874-8374-2551v1/107507-0001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1" w:name="page112"/>
    <w:bookmarkEnd w:id="111"/>
    <w:p>
      <w:pPr>
        <w:ind w:left="720" w:right="40"/>
        <w:spacing w:after="0" w:line="255" w:lineRule="auto"/>
        <w:rPr>
          <w:sz w:val="20"/>
          <w:szCs w:val="20"/>
          <w:color w:val="auto"/>
        </w:rPr>
      </w:pPr>
      <w:r>
        <w:rPr>
          <w:rFonts w:ascii="Times New Roman" w:cs="Times New Roman" w:eastAsia="Times New Roman" w:hAnsi="Times New Roman"/>
          <w:sz w:val="19"/>
          <w:szCs w:val="19"/>
          <w:color w:val="auto"/>
        </w:rPr>
        <w:t>covered dependents under such plans, less the amount Executive would have had to pay to receive such coverage as an active employee based on the cost sharing levels in effect on the Date of Termination, during the period commencing on Executive’s Separation from Service and ending upon the earliest of (A) the last day of the Severance Period, (B) the date that Executive and/or Executive’s covered dependents become no longer eligible for COBRA and (C) the date Executive becomes eligible to receive medical, dental or vision coverage, as applicable, from a subsequent employer (and Executive agrees to promptly notify the Company of such eligibility) (the “</w:t>
      </w:r>
      <w:r>
        <w:rPr>
          <w:rFonts w:ascii="Times New Roman" w:cs="Times New Roman" w:eastAsia="Times New Roman" w:hAnsi="Times New Roman"/>
          <w:sz w:val="19"/>
          <w:szCs w:val="19"/>
          <w:u w:val="single" w:color="auto"/>
          <w:color w:val="auto"/>
        </w:rPr>
        <w:t>COBRA Continuation Period</w:t>
      </w:r>
      <w:r>
        <w:rPr>
          <w:rFonts w:ascii="Times New Roman" w:cs="Times New Roman" w:eastAsia="Times New Roman" w:hAnsi="Times New Roman"/>
          <w:sz w:val="19"/>
          <w:szCs w:val="19"/>
          <w:color w:val="auto"/>
        </w:rPr>
        <w:t>”). Notwithstanding the foregoing, if the Company determines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less the amount Executive would have had to pay to receive group health coverage as an active employee for Executive and his or her covered dependents based on the cost sharing levels in effect on the Date of Termination, which payments shall be made for the remainder of the COBRA Continuation Period.</w:t>
      </w:r>
    </w:p>
    <w:p>
      <w:pPr>
        <w:spacing w:after="0" w:line="181" w:lineRule="exact"/>
        <w:rPr>
          <w:sz w:val="20"/>
          <w:szCs w:val="20"/>
          <w:color w:val="auto"/>
        </w:rPr>
      </w:pPr>
    </w:p>
    <w:p>
      <w:pPr>
        <w:ind w:left="-40" w:firstLine="757"/>
        <w:spacing w:after="0" w:line="246" w:lineRule="auto"/>
        <w:tabs>
          <w:tab w:leader="none" w:pos="145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xml:space="preserve">. In lieu of the payments and benefits set forth in </w:t>
      </w:r>
      <w:r>
        <w:rPr>
          <w:rFonts w:ascii="Times New Roman" w:cs="Times New Roman" w:eastAsia="Times New Roman" w:hAnsi="Times New Roman"/>
          <w:sz w:val="20"/>
          <w:szCs w:val="20"/>
          <w:u w:val="single" w:color="auto"/>
          <w:color w:val="auto"/>
        </w:rPr>
        <w:t>Section 4(b)</w:t>
      </w:r>
      <w:r>
        <w:rPr>
          <w:rFonts w:ascii="Times New Roman" w:cs="Times New Roman" w:eastAsia="Times New Roman" w:hAnsi="Times New Roman"/>
          <w:sz w:val="20"/>
          <w:szCs w:val="20"/>
          <w:color w:val="auto"/>
        </w:rPr>
        <w:t xml:space="preserve">, in the event Executive’s employment terminates without Cause pursuant to </w:t>
      </w:r>
      <w:r>
        <w:rPr>
          <w:rFonts w:ascii="Times New Roman" w:cs="Times New Roman" w:eastAsia="Times New Roman" w:hAnsi="Times New Roman"/>
          <w:sz w:val="20"/>
          <w:szCs w:val="20"/>
          <w:u w:val="single" w:color="auto"/>
          <w:color w:val="auto"/>
        </w:rPr>
        <w:t>Section 3(a)(iv)</w:t>
      </w:r>
      <w:r>
        <w:rPr>
          <w:rFonts w:ascii="Times New Roman" w:cs="Times New Roman" w:eastAsia="Times New Roman" w:hAnsi="Times New Roman"/>
          <w:sz w:val="20"/>
          <w:szCs w:val="20"/>
          <w:color w:val="auto"/>
        </w:rPr>
        <w:t xml:space="preserve">, or pursuant to </w:t>
      </w:r>
      <w:r>
        <w:rPr>
          <w:rFonts w:ascii="Times New Roman" w:cs="Times New Roman" w:eastAsia="Times New Roman" w:hAnsi="Times New Roman"/>
          <w:sz w:val="20"/>
          <w:szCs w:val="20"/>
          <w:u w:val="single" w:color="auto"/>
          <w:color w:val="auto"/>
        </w:rPr>
        <w:t>Section 3(a)(v)</w:t>
      </w:r>
      <w:r>
        <w:rPr>
          <w:rFonts w:ascii="Times New Roman" w:cs="Times New Roman" w:eastAsia="Times New Roman" w:hAnsi="Times New Roman"/>
          <w:sz w:val="20"/>
          <w:szCs w:val="20"/>
          <w:color w:val="auto"/>
        </w:rPr>
        <w:t xml:space="preserve"> due to Executive’s resignation with Good Reason, in either case, on or within twelve (12) months following the date of a Change in Control, subject to Executive signing on or before the 21st day following Executive’s Separation from Service, and not revoking, the Release and Executive’s continued compliance with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Executive shall receive, in addition to the payments and benefits set forth in </w:t>
      </w:r>
      <w:r>
        <w:rPr>
          <w:rFonts w:ascii="Times New Roman" w:cs="Times New Roman" w:eastAsia="Times New Roman" w:hAnsi="Times New Roman"/>
          <w:sz w:val="20"/>
          <w:szCs w:val="20"/>
          <w:u w:val="single" w:color="auto"/>
          <w:color w:val="auto"/>
        </w:rPr>
        <w:t>Section 3(c)</w:t>
      </w:r>
      <w:r>
        <w:rPr>
          <w:rFonts w:ascii="Times New Roman" w:cs="Times New Roman" w:eastAsia="Times New Roman" w:hAnsi="Times New Roman"/>
          <w:sz w:val="20"/>
          <w:szCs w:val="20"/>
          <w:color w:val="auto"/>
        </w:rPr>
        <w:t>, the following:</w:t>
      </w:r>
    </w:p>
    <w:p>
      <w:pPr>
        <w:spacing w:after="0" w:line="184" w:lineRule="exact"/>
        <w:rPr>
          <w:rFonts w:ascii="Times New Roman" w:cs="Times New Roman" w:eastAsia="Times New Roman" w:hAnsi="Times New Roman"/>
          <w:sz w:val="20"/>
          <w:szCs w:val="20"/>
          <w:color w:val="auto"/>
        </w:rPr>
      </w:pPr>
    </w:p>
    <w:p>
      <w:pPr>
        <w:ind w:left="720" w:right="120" w:firstLine="745"/>
        <w:spacing w:after="0" w:line="254" w:lineRule="auto"/>
        <w:tabs>
          <w:tab w:leader="none" w:pos="2217"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in cash equal to 1.5 times the Annual Base Salary, payable in equal installments over the 18 month period following the date of Executive’s Separation from Service (the “</w:t>
      </w:r>
      <w:r>
        <w:rPr>
          <w:rFonts w:ascii="Times New Roman" w:cs="Times New Roman" w:eastAsia="Times New Roman" w:hAnsi="Times New Roman"/>
          <w:sz w:val="20"/>
          <w:szCs w:val="20"/>
          <w:u w:val="single" w:color="auto"/>
          <w:color w:val="auto"/>
        </w:rPr>
        <w:t>CIC Severance Period</w:t>
      </w:r>
      <w:r>
        <w:rPr>
          <w:rFonts w:ascii="Times New Roman" w:cs="Times New Roman" w:eastAsia="Times New Roman" w:hAnsi="Times New Roman"/>
          <w:sz w:val="20"/>
          <w:szCs w:val="20"/>
          <w:color w:val="auto"/>
        </w:rPr>
        <w:t>”) in accordance with the Company’s normal payroll practices;</w:t>
      </w:r>
    </w:p>
    <w:p>
      <w:pPr>
        <w:spacing w:after="0" w:line="174" w:lineRule="exact"/>
        <w:rPr>
          <w:rFonts w:ascii="Times New Roman" w:cs="Times New Roman" w:eastAsia="Times New Roman" w:hAnsi="Times New Roman"/>
          <w:sz w:val="20"/>
          <w:szCs w:val="20"/>
          <w:color w:val="auto"/>
        </w:rPr>
      </w:pPr>
    </w:p>
    <w:p>
      <w:pPr>
        <w:ind w:left="2220" w:hanging="755"/>
        <w:spacing w:after="0"/>
        <w:tabs>
          <w:tab w:leader="none" w:pos="222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payment set forth in </w:t>
      </w:r>
      <w:r>
        <w:rPr>
          <w:rFonts w:ascii="Times New Roman" w:cs="Times New Roman" w:eastAsia="Times New Roman" w:hAnsi="Times New Roman"/>
          <w:sz w:val="20"/>
          <w:szCs w:val="20"/>
          <w:u w:val="single" w:color="auto"/>
          <w:color w:val="auto"/>
        </w:rPr>
        <w:t>Section 4(b)(ii)</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720" w:right="320" w:firstLine="745"/>
        <w:spacing w:after="0" w:line="269" w:lineRule="auto"/>
        <w:tabs>
          <w:tab w:leader="none" w:pos="2217"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benefits set forth in </w:t>
      </w:r>
      <w:r>
        <w:rPr>
          <w:rFonts w:ascii="Times New Roman" w:cs="Times New Roman" w:eastAsia="Times New Roman" w:hAnsi="Times New Roman"/>
          <w:sz w:val="20"/>
          <w:szCs w:val="20"/>
          <w:u w:val="single" w:color="auto"/>
          <w:color w:val="auto"/>
        </w:rPr>
        <w:t>Section 4(b)(iii)</w:t>
      </w:r>
      <w:r>
        <w:rPr>
          <w:rFonts w:ascii="Times New Roman" w:cs="Times New Roman" w:eastAsia="Times New Roman" w:hAnsi="Times New Roman"/>
          <w:sz w:val="20"/>
          <w:szCs w:val="20"/>
          <w:color w:val="auto"/>
        </w:rPr>
        <w:t>, provided that for this purpose, the “Severance Period” will mean the CIC Severance Period;</w:t>
      </w:r>
    </w:p>
    <w:p>
      <w:pPr>
        <w:spacing w:after="0" w:line="159" w:lineRule="exact"/>
        <w:rPr>
          <w:rFonts w:ascii="Times New Roman" w:cs="Times New Roman" w:eastAsia="Times New Roman" w:hAnsi="Times New Roman"/>
          <w:sz w:val="20"/>
          <w:szCs w:val="20"/>
          <w:color w:val="auto"/>
        </w:rPr>
      </w:pPr>
    </w:p>
    <w:p>
      <w:pPr>
        <w:ind w:left="720" w:right="300" w:firstLine="745"/>
        <w:spacing w:after="0" w:line="269" w:lineRule="auto"/>
        <w:tabs>
          <w:tab w:leader="none" w:pos="2217"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in cash equal to 1.5 times the Target Annual Bonus, payable in a lump sum on the Company’s first ordinary payroll date that occurs after the Date of Termination; and</w:t>
      </w:r>
    </w:p>
    <w:p>
      <w:pPr>
        <w:spacing w:after="0" w:line="159" w:lineRule="exact"/>
        <w:rPr>
          <w:rFonts w:ascii="Times New Roman" w:cs="Times New Roman" w:eastAsia="Times New Roman" w:hAnsi="Times New Roman"/>
          <w:sz w:val="20"/>
          <w:szCs w:val="20"/>
          <w:color w:val="auto"/>
        </w:rPr>
      </w:pPr>
    </w:p>
    <w:p>
      <w:pPr>
        <w:ind w:left="720" w:right="40" w:firstLine="745"/>
        <w:spacing w:after="0" w:line="254" w:lineRule="auto"/>
        <w:tabs>
          <w:tab w:leader="none" w:pos="2217"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unvested equity or equity-based awards held by Executive under any Company equity compensation plans that vest solely based on continued employment or service shall immediately become 100% vested, with any other equity or equity-based awards being governed by the terms of the applicable award agreement.</w:t>
      </w:r>
    </w:p>
    <w:p>
      <w:pPr>
        <w:spacing w:after="0" w:line="174" w:lineRule="exact"/>
        <w:rPr>
          <w:rFonts w:ascii="Times New Roman" w:cs="Times New Roman" w:eastAsia="Times New Roman" w:hAnsi="Times New Roman"/>
          <w:sz w:val="20"/>
          <w:szCs w:val="20"/>
          <w:color w:val="auto"/>
        </w:rPr>
      </w:pPr>
    </w:p>
    <w:p>
      <w:pPr>
        <w:ind w:left="-40" w:right="60" w:firstLine="757"/>
        <w:spacing w:after="0" w:line="269" w:lineRule="auto"/>
        <w:tabs>
          <w:tab w:leader="none" w:pos="145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Notwithstanding anything to the contrary in this Agreement, the provisions of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5 through </w:t>
      </w:r>
      <w:r>
        <w:rPr>
          <w:rFonts w:ascii="Times New Roman" w:cs="Times New Roman" w:eastAsia="Times New Roman" w:hAnsi="Times New Roman"/>
          <w:sz w:val="20"/>
          <w:szCs w:val="20"/>
          <w:u w:val="single" w:color="auto"/>
          <w:color w:val="auto"/>
        </w:rPr>
        <w:t>9</w:t>
      </w:r>
      <w:r>
        <w:rPr>
          <w:rFonts w:ascii="Times New Roman" w:cs="Times New Roman" w:eastAsia="Times New Roman" w:hAnsi="Times New Roman"/>
          <w:sz w:val="20"/>
          <w:szCs w:val="20"/>
          <w:color w:val="auto"/>
        </w:rPr>
        <w:t xml:space="preserve"> will survive the termination of Executive’s employment and the termination of the Term.</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 DOCVARIABLE "SWDocIDLocation" 1" = "1" " DOCPROPERTY "SWDocID" 4874-8374-2551v1/107507-0001" "" 4874-8374-2551v1/107507-0001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144780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8" w:right="359" w:bottom="1440" w:gutter="0" w:footer="0" w:header="0"/>
        </w:sectPr>
      </w:pPr>
    </w:p>
    <w:bookmarkStart w:id="112" w:name="page113"/>
    <w:bookmarkEnd w:id="112"/>
    <w:p>
      <w:pPr>
        <w:ind w:right="80"/>
        <w:spacing w:after="0" w:line="257" w:lineRule="auto"/>
        <w:rPr>
          <w:sz w:val="20"/>
          <w:szCs w:val="20"/>
          <w:color w:val="auto"/>
        </w:rPr>
      </w:pPr>
      <w:r>
        <w:rPr>
          <w:rFonts w:ascii="Times New Roman" w:cs="Times New Roman" w:eastAsia="Times New Roman" w:hAnsi="Times New Roman"/>
          <w:sz w:val="22"/>
          <w:szCs w:val="22"/>
          <w:b w:val="1"/>
          <w:bCs w:val="1"/>
          <w:color w:val="auto"/>
        </w:rPr>
        <w:t>5.</w:t>
      </w:r>
      <w:r>
        <w:rPr>
          <w:rFonts w:ascii="Times New Roman" w:cs="Times New Roman" w:eastAsia="Times New Roman" w:hAnsi="Times New Roman"/>
          <w:sz w:val="19"/>
          <w:szCs w:val="19"/>
          <w:b w:val="1"/>
          <w:bCs w:val="1"/>
          <w:u w:val="single" w:color="auto"/>
          <w:color w:val="auto"/>
        </w:rPr>
        <w:t>Restrictive Covenants</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Executive acknowledges that Executive is subject to the terms and provisions of an Employee Proprietary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Information and Inventions Assignment Agreement, dated March 16, 2020 and certain other restrictive covenants, including, without limitation, those restrictive covenants contained in that certain Stock Option Agreement, dated July 29, 2020 (collectively, the “</w:t>
      </w:r>
      <w:r>
        <w:rPr>
          <w:rFonts w:ascii="Times New Roman" w:cs="Times New Roman" w:eastAsia="Times New Roman" w:hAnsi="Times New Roman"/>
          <w:sz w:val="19"/>
          <w:szCs w:val="19"/>
          <w:u w:val="single" w:color="auto"/>
          <w:color w:val="auto"/>
        </w:rPr>
        <w:t>Restrictive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Covenant Agreements</w:t>
      </w:r>
      <w:r>
        <w:rPr>
          <w:rFonts w:ascii="Times New Roman" w:cs="Times New Roman" w:eastAsia="Times New Roman" w:hAnsi="Times New Roman"/>
          <w:sz w:val="19"/>
          <w:szCs w:val="19"/>
          <w:color w:val="auto"/>
        </w:rPr>
        <w:t>”). Executive agrees to abide by the terms of the Restrictive Covenant Agreements, which are hereby incorporated by reference into this Agreement. Executive acknowledges that the provisions of the Restrictive Covenant Agreements will survive the termination of Executive’s employment and the termination of the Term for the periods set forth in the Restrictive Covenant Agreements.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w:t>
      </w:r>
      <w:r>
        <w:rPr>
          <w:rFonts w:ascii="Times New Roman" w:cs="Times New Roman" w:eastAsia="Times New Roman" w:hAnsi="Times New Roman"/>
          <w:sz w:val="19"/>
          <w:szCs w:val="19"/>
          <w:b w:val="1"/>
          <w:bCs w:val="1"/>
          <w:u w:val="single" w:color="auto"/>
          <w:color w:val="auto"/>
        </w:rPr>
        <w:t>Assignment and Successors</w:t>
      </w:r>
      <w:r>
        <w:rPr>
          <w:rFonts w:ascii="Times New Roman" w:cs="Times New Roman" w:eastAsia="Times New Roman" w:hAnsi="Times New Roman"/>
          <w:sz w:val="19"/>
          <w:szCs w:val="19"/>
          <w:b w:val="1"/>
          <w:bCs w:val="1"/>
          <w:color w:val="auto"/>
        </w:rPr>
        <w:t>.</w:t>
      </w:r>
    </w:p>
    <w:p>
      <w:pPr>
        <w:spacing w:after="0" w:line="215"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0"/>
          <w:szCs w:val="20"/>
          <w:color w:val="auto"/>
        </w:rPr>
        <w:t>The Company may assign its rights and obligations under this Agreement to any of its affiliates or to any successor to all or substantially all of the business or the assets of the Company (by merger or otherwise), and may assign or encumber this Agreement and its rights hereunder as security for indebtedness of the Company and its affiliates. This Agreement shall be binding upon and inure to the benefit of the Company, Executive and their respective successors, assigns, personal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w:t>
      </w:r>
      <w:r>
        <w:rPr>
          <w:rFonts w:ascii="Times New Roman" w:cs="Times New Roman" w:eastAsia="Times New Roman" w:hAnsi="Times New Roman"/>
          <w:sz w:val="19"/>
          <w:szCs w:val="19"/>
          <w:b w:val="1"/>
          <w:bCs w:val="1"/>
          <w:u w:val="single" w:color="auto"/>
          <w:color w:val="auto"/>
        </w:rPr>
        <w:t>Certain Definitions</w:t>
      </w:r>
      <w:r>
        <w:rPr>
          <w:rFonts w:ascii="Times New Roman" w:cs="Times New Roman" w:eastAsia="Times New Roman" w:hAnsi="Times New Roman"/>
          <w:sz w:val="19"/>
          <w:szCs w:val="19"/>
          <w:b w:val="1"/>
          <w:bCs w:val="1"/>
          <w:color w:val="auto"/>
        </w:rPr>
        <w:t>.</w:t>
      </w:r>
    </w:p>
    <w:p>
      <w:pPr>
        <w:spacing w:after="0" w:line="215" w:lineRule="exact"/>
        <w:rPr>
          <w:sz w:val="20"/>
          <w:szCs w:val="20"/>
          <w:color w:val="auto"/>
        </w:rPr>
      </w:pPr>
    </w:p>
    <w:p>
      <w:pPr>
        <w:ind w:left="1500" w:hanging="743"/>
        <w:spacing w:after="0"/>
        <w:tabs>
          <w:tab w:leader="none" w:pos="15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The Company shall have “Cause” to terminate Executive’s employment hereunder upon:</w:t>
      </w:r>
    </w:p>
    <w:p>
      <w:pPr>
        <w:spacing w:after="0" w:line="215" w:lineRule="exact"/>
        <w:rPr>
          <w:rFonts w:ascii="Times New Roman" w:cs="Times New Roman" w:eastAsia="Times New Roman" w:hAnsi="Times New Roman"/>
          <w:sz w:val="20"/>
          <w:szCs w:val="20"/>
          <w:color w:val="auto"/>
        </w:rPr>
      </w:pPr>
    </w:p>
    <w:p>
      <w:pPr>
        <w:ind w:left="760" w:right="160" w:firstLine="745"/>
        <w:spacing w:after="0" w:line="254" w:lineRule="auto"/>
        <w:tabs>
          <w:tab w:leader="none" w:pos="2257"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Board’s reasonable, good faith determination that Executive has refused to (A) substantially perform the duties associated with Executive’s position with the Company or (B) carry out the reasonable and lawful instructions of the Board concerning duties or actions consistent with the Executive’s position with the Company;</w:t>
      </w:r>
    </w:p>
    <w:p>
      <w:pPr>
        <w:spacing w:after="0" w:line="174" w:lineRule="exact"/>
        <w:rPr>
          <w:rFonts w:ascii="Times New Roman" w:cs="Times New Roman" w:eastAsia="Times New Roman" w:hAnsi="Times New Roman"/>
          <w:sz w:val="20"/>
          <w:szCs w:val="20"/>
          <w:color w:val="auto"/>
        </w:rPr>
      </w:pPr>
    </w:p>
    <w:p>
      <w:pPr>
        <w:ind w:left="760" w:right="120" w:firstLine="745"/>
        <w:spacing w:after="0" w:line="269" w:lineRule="auto"/>
        <w:tabs>
          <w:tab w:leader="none" w:pos="2257"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material breach of a Policy, this Agreement or any other material agreement between the Executive and the Company (including, without limitation, the Restrictive Covenant Agreements);</w:t>
      </w:r>
    </w:p>
    <w:p>
      <w:pPr>
        <w:spacing w:after="0" w:line="155" w:lineRule="exact"/>
        <w:rPr>
          <w:rFonts w:ascii="Times New Roman" w:cs="Times New Roman" w:eastAsia="Times New Roman" w:hAnsi="Times New Roman"/>
          <w:sz w:val="20"/>
          <w:szCs w:val="20"/>
          <w:color w:val="auto"/>
        </w:rPr>
      </w:pPr>
    </w:p>
    <w:p>
      <w:pPr>
        <w:ind w:left="760" w:right="60" w:firstLine="745"/>
        <w:spacing w:after="0" w:line="273" w:lineRule="auto"/>
        <w:tabs>
          <w:tab w:leader="none" w:pos="2257"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Executive’s conviction, plea of no contest, plea of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or imposition of unadjudicated probation for any felony or crime involving moral turpitude;</w:t>
      </w:r>
    </w:p>
    <w:p>
      <w:pPr>
        <w:spacing w:after="0" w:line="155" w:lineRule="exact"/>
        <w:rPr>
          <w:rFonts w:ascii="Times New Roman" w:cs="Times New Roman" w:eastAsia="Times New Roman" w:hAnsi="Times New Roman"/>
          <w:sz w:val="20"/>
          <w:szCs w:val="20"/>
          <w:color w:val="auto"/>
        </w:rPr>
      </w:pPr>
    </w:p>
    <w:p>
      <w:pPr>
        <w:ind w:left="760" w:right="120" w:firstLine="745"/>
        <w:spacing w:after="0" w:line="295" w:lineRule="auto"/>
        <w:tabs>
          <w:tab w:leader="none" w:pos="2257"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Executive’s unlawful use (including being under the influence) or possession of illegal drugs on the Company’s (or any of its affiliate’s) premises or while performing Executive’s duties and responsibilities under this Agreement; or</w:t>
      </w:r>
    </w:p>
    <w:p>
      <w:pPr>
        <w:spacing w:after="0" w:line="137" w:lineRule="exact"/>
        <w:rPr>
          <w:rFonts w:ascii="Times New Roman" w:cs="Times New Roman" w:eastAsia="Times New Roman" w:hAnsi="Times New Roman"/>
          <w:sz w:val="19"/>
          <w:szCs w:val="19"/>
          <w:color w:val="auto"/>
        </w:rPr>
      </w:pPr>
    </w:p>
    <w:p>
      <w:pPr>
        <w:ind w:left="760" w:right="400" w:firstLine="745"/>
        <w:spacing w:after="0" w:line="269" w:lineRule="auto"/>
        <w:tabs>
          <w:tab w:leader="none" w:pos="2257"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commission of any act of fraud or material dishonesty, embezzlement, misappropriation, willful misconduct, or breach of fiduciary duty against the Company or any of its affiliates;</w:t>
      </w:r>
    </w:p>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1" = "1" " DOCPROPERTY "SWDocID" 4874-8374-2551v1/107507-0001" "" 4874-8374-2551v1/107507-0001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13" w:name="page114"/>
    <w:bookmarkEnd w:id="113"/>
    <w:p>
      <w:pPr>
        <w:spacing w:after="0" w:line="244" w:lineRule="auto"/>
        <w:rPr>
          <w:sz w:val="20"/>
          <w:szCs w:val="20"/>
          <w:color w:val="auto"/>
        </w:rPr>
      </w:pPr>
      <w:r>
        <w:rPr>
          <w:rFonts w:ascii="Times New Roman" w:cs="Times New Roman" w:eastAsia="Times New Roman" w:hAnsi="Times New Roman"/>
          <w:sz w:val="20"/>
          <w:szCs w:val="20"/>
          <w:color w:val="auto"/>
        </w:rPr>
        <w:t>provided, however, that Executive’s termination will not be considered for Cause unless and until (a) the Company has provided Executive, within 60 days of the Company’s knowledge of the occurrence of the facts and circumstances underlying the Cause event, written notice stating with reasonable specificity the applicable facts and circumstances underlying such finding of Cause and (b) in the case of alleged Cause under clause (i) or (ii) of the foregoing definition (except with respect to a breach of the Restrictive Covenant Agreements) and to the extent the applicable condition or event is reasonably capable of being cured, Executive shall have failed to cure such condition or event within 30 days after the receipt of such notice, provided that Executive need not have been provided an opportunity to cure more than once in any twelve month period.</w:t>
      </w:r>
    </w:p>
    <w:p>
      <w:pPr>
        <w:spacing w:after="0" w:line="185" w:lineRule="exact"/>
        <w:rPr>
          <w:sz w:val="20"/>
          <w:szCs w:val="20"/>
          <w:color w:val="auto"/>
        </w:rPr>
      </w:pPr>
    </w:p>
    <w:p>
      <w:pPr>
        <w:ind w:left="1500" w:hanging="743"/>
        <w:spacing w:after="0"/>
        <w:tabs>
          <w:tab w:leader="none" w:pos="150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“Change in Control” shall have the meaning set forth in the Sight Sciences, Inc. 2021 Incentive Award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w:t>
      </w:r>
    </w:p>
    <w:p>
      <w:pPr>
        <w:spacing w:after="0" w:line="194" w:lineRule="exact"/>
        <w:rPr>
          <w:sz w:val="20"/>
          <w:szCs w:val="20"/>
          <w:color w:val="auto"/>
        </w:rPr>
      </w:pPr>
    </w:p>
    <w:p>
      <w:pPr>
        <w:ind w:left="1500" w:hanging="743"/>
        <w:spacing w:after="0"/>
        <w:tabs>
          <w:tab w:leader="none" w:pos="150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“Code” shall mean the Internal Revenue Code of 1986, as amended, and the regulations and guidance promulgated</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thereunder.</w:t>
      </w:r>
    </w:p>
    <w:p>
      <w:pPr>
        <w:spacing w:after="0" w:line="193" w:lineRule="exact"/>
        <w:rPr>
          <w:rFonts w:ascii="Times New Roman" w:cs="Times New Roman" w:eastAsia="Times New Roman" w:hAnsi="Times New Roman"/>
          <w:sz w:val="19"/>
          <w:szCs w:val="19"/>
          <w:color w:val="auto"/>
        </w:rPr>
      </w:pPr>
    </w:p>
    <w:p>
      <w:pPr>
        <w:jc w:val="both"/>
        <w:ind w:firstLine="757"/>
        <w:spacing w:after="0" w:line="254" w:lineRule="auto"/>
        <w:tabs>
          <w:tab w:leader="none" w:pos="149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Date of Termination</w:t>
      </w:r>
      <w:r>
        <w:rPr>
          <w:rFonts w:ascii="Times New Roman" w:cs="Times New Roman" w:eastAsia="Times New Roman" w:hAnsi="Times New Roman"/>
          <w:sz w:val="20"/>
          <w:szCs w:val="20"/>
          <w:color w:val="auto"/>
        </w:rPr>
        <w:t xml:space="preserve">. “Date of Termination” shall mean (i) if Executive’s employment is terminated by Executive’s death, the date of Executive’s death; or (ii) if Executive’s employment is terminated pursuant to </w:t>
      </w:r>
      <w:r>
        <w:rPr>
          <w:rFonts w:ascii="Times New Roman" w:cs="Times New Roman" w:eastAsia="Times New Roman" w:hAnsi="Times New Roman"/>
          <w:sz w:val="20"/>
          <w:szCs w:val="20"/>
          <w:u w:val="single" w:color="auto"/>
          <w:color w:val="auto"/>
        </w:rPr>
        <w:t>Section 3(a)(ii)</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either the date indicated in the Notice of Termination or the date specified by the Company pursuant to </w:t>
      </w:r>
      <w:r>
        <w:rPr>
          <w:rFonts w:ascii="Times New Roman" w:cs="Times New Roman" w:eastAsia="Times New Roman" w:hAnsi="Times New Roman"/>
          <w:sz w:val="20"/>
          <w:szCs w:val="20"/>
          <w:u w:val="single" w:color="auto"/>
          <w:color w:val="auto"/>
        </w:rPr>
        <w:t>Section 3(b)</w:t>
      </w:r>
      <w:r>
        <w:rPr>
          <w:rFonts w:ascii="Times New Roman" w:cs="Times New Roman" w:eastAsia="Times New Roman" w:hAnsi="Times New Roman"/>
          <w:sz w:val="20"/>
          <w:szCs w:val="20"/>
          <w:color w:val="auto"/>
        </w:rPr>
        <w:t>, whichever is earlier.</w:t>
      </w:r>
    </w:p>
    <w:p>
      <w:pPr>
        <w:spacing w:after="0" w:line="174" w:lineRule="exact"/>
        <w:rPr>
          <w:rFonts w:ascii="Times New Roman" w:cs="Times New Roman" w:eastAsia="Times New Roman" w:hAnsi="Times New Roman"/>
          <w:sz w:val="20"/>
          <w:szCs w:val="20"/>
          <w:color w:val="auto"/>
        </w:rPr>
      </w:pPr>
    </w:p>
    <w:p>
      <w:pPr>
        <w:ind w:firstLine="757"/>
        <w:spacing w:after="0" w:line="242" w:lineRule="auto"/>
        <w:tabs>
          <w:tab w:leader="none" w:pos="149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three months during any six-month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refusal by Executive to submit to a medical examination for the purpose of determining Disability shall be deemed to constitute conclusive evidence of Executive’s Disability.</w:t>
      </w:r>
    </w:p>
    <w:p>
      <w:pPr>
        <w:spacing w:after="0" w:line="189" w:lineRule="exact"/>
        <w:rPr>
          <w:rFonts w:ascii="Times New Roman" w:cs="Times New Roman" w:eastAsia="Times New Roman" w:hAnsi="Times New Roman"/>
          <w:sz w:val="20"/>
          <w:szCs w:val="20"/>
          <w:color w:val="auto"/>
        </w:rPr>
      </w:pPr>
    </w:p>
    <w:p>
      <w:pPr>
        <w:ind w:right="20" w:firstLine="757"/>
        <w:spacing w:after="0" w:line="243" w:lineRule="auto"/>
        <w:tabs>
          <w:tab w:leader="none" w:pos="149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“Good Reason” means the occurrence of any of the following events, unless Executive consents in writing to the applicable event: (i) a reduction in Executive’s Annual Base Salary or Target Annual Bonus (excluding any reduction in Annual Base Salary that is proportionate to a reduction of base salaries affecting substantially all other executive officers of the Company), (ii) a material decrease in Executive’s authority or areas of responsibility as are commensurate with Executive’s title or position with the Company (other than in connection with a Change in Control transaction where the Executive continues to have substantially the same authority and duties with respect to the Company’s business, substantially as such business exists prior to the date of consummation of such corporate transaction, but does not hold such position with respect to the successor or surviving entity (or its ultimate parent), (iii) the relocation of Executive’s primary office to a location more than thirty-five (35) miles from the Executive’s primary office as of the date of this Agreement, (iv) the failure</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7</w:t>
      </w: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1" = "1" " DOCPROPERTY "SWDocID" 4874-8374-2551v1/107507-0001" "" 4874-8374-2551v1/107507-0001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4" w:name="page115"/>
    <w:bookmarkEnd w:id="114"/>
    <w:p>
      <w:pPr>
        <w:ind w:right="60"/>
        <w:spacing w:after="0" w:line="243" w:lineRule="auto"/>
        <w:rPr>
          <w:sz w:val="20"/>
          <w:szCs w:val="20"/>
          <w:color w:val="auto"/>
        </w:rPr>
      </w:pPr>
      <w:r>
        <w:rPr>
          <w:rFonts w:ascii="Times New Roman" w:cs="Times New Roman" w:eastAsia="Times New Roman" w:hAnsi="Times New Roman"/>
          <w:sz w:val="20"/>
          <w:szCs w:val="20"/>
          <w:color w:val="auto"/>
        </w:rPr>
        <w:t>of any successor of all or substantially all of the Company’s assets to assume this Agreement, to the extent such assumption does not occur automatically by operation of law, or (v) the Company’s breach of a material provision of this Agreement or any other material agreement between the Company and the Executive. Notwithstanding the foregoing, Executive’s resignation of employment will not be for Good Reason unless and until: (a) Executive has provided the Company, within sixty (60) days of Executive’s knowledge of the occurrence of the facts and circumstances underlying the Good Reason event, written notice stating with reasonable specificity the applicable facts and circumstances underlying such finding of Good Reason; (b) to the extent reasonably capable of cure, the Company has had an opportunity to cure the same for thirty (30) days after the receipt of such notice; (c) the Company shall have failed to so cure within such period; and (d) Executive resigns within 60 days following the end of such cure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w:t>
      </w:r>
      <w:r>
        <w:rPr>
          <w:rFonts w:ascii="Times New Roman" w:cs="Times New Roman" w:eastAsia="Times New Roman" w:hAnsi="Times New Roman"/>
          <w:sz w:val="19"/>
          <w:szCs w:val="19"/>
          <w:b w:val="1"/>
          <w:bCs w:val="1"/>
          <w:u w:val="single" w:color="auto"/>
          <w:color w:val="auto"/>
        </w:rPr>
        <w:t>Parachute Payments</w:t>
      </w:r>
      <w:r>
        <w:rPr>
          <w:rFonts w:ascii="Times New Roman" w:cs="Times New Roman" w:eastAsia="Times New Roman" w:hAnsi="Times New Roman"/>
          <w:sz w:val="19"/>
          <w:szCs w:val="19"/>
          <w:b w:val="1"/>
          <w:bCs w:val="1"/>
          <w:color w:val="auto"/>
        </w:rPr>
        <w:t>.</w:t>
      </w:r>
    </w:p>
    <w:p>
      <w:pPr>
        <w:spacing w:after="0" w:line="215" w:lineRule="exact"/>
        <w:rPr>
          <w:sz w:val="20"/>
          <w:szCs w:val="20"/>
          <w:color w:val="auto"/>
        </w:rPr>
      </w:pPr>
    </w:p>
    <w:p>
      <w:pPr>
        <w:ind w:right="20" w:firstLine="757"/>
        <w:spacing w:after="0" w:line="242" w:lineRule="auto"/>
        <w:tabs>
          <w:tab w:leader="none" w:pos="149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hereof, being hereinafter referred to as the “</w:t>
      </w:r>
      <w:r>
        <w:rPr>
          <w:rFonts w:ascii="Times New Roman" w:cs="Times New Roman" w:eastAsia="Times New Roman" w:hAnsi="Times New Roman"/>
          <w:sz w:val="20"/>
          <w:szCs w:val="20"/>
          <w:u w:val="single" w:color="auto"/>
          <w:color w:val="auto"/>
        </w:rPr>
        <w:t>Total Payments</w:t>
      </w:r>
      <w:r>
        <w:rPr>
          <w:rFonts w:ascii="Times New Roman" w:cs="Times New Roman" w:eastAsia="Times New Roman" w:hAnsi="Times New Roman"/>
          <w:sz w:val="20"/>
          <w:szCs w:val="20"/>
          <w:color w:val="auto"/>
        </w:rPr>
        <w:t>”), would be subject (in whole or in part) to the excise tax imposed by Section 4999 of the Code (the “</w:t>
      </w: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 xml:space="preserve">”), then the Total Payments shall be reduced (in the order provided in </w:t>
      </w:r>
      <w:r>
        <w:rPr>
          <w:rFonts w:ascii="Times New Roman" w:cs="Times New Roman" w:eastAsia="Times New Roman" w:hAnsi="Times New Roman"/>
          <w:sz w:val="20"/>
          <w:szCs w:val="20"/>
          <w:u w:val="single" w:color="auto"/>
          <w:color w:val="auto"/>
        </w:rPr>
        <w:t>Section 8(b)</w:t>
      </w:r>
      <w:r>
        <w:rPr>
          <w:rFonts w:ascii="Times New Roman" w:cs="Times New Roman" w:eastAsia="Times New Roman" w:hAnsi="Times New Roman"/>
          <w:sz w:val="20"/>
          <w:szCs w:val="20"/>
          <w:color w:val="auto"/>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187" w:lineRule="exact"/>
        <w:rPr>
          <w:rFonts w:ascii="Times New Roman" w:cs="Times New Roman" w:eastAsia="Times New Roman" w:hAnsi="Times New Roman"/>
          <w:sz w:val="20"/>
          <w:szCs w:val="20"/>
          <w:color w:val="auto"/>
        </w:rPr>
      </w:pPr>
    </w:p>
    <w:p>
      <w:pPr>
        <w:ind w:right="80" w:firstLine="757"/>
        <w:spacing w:after="0" w:line="245" w:lineRule="auto"/>
        <w:tabs>
          <w:tab w:leader="none" w:pos="149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Payments shall be reduced in the following order: (i) reduction on a pro rata basis of any cash severance payments that are exempt from Section 409A of the Code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(ii) reduction on a pro rata basis of any non-cash severance payments or benefits that are exempt from Section 409A, (iii) reduction on a pro rata basis of any other payments or benefits that are exempt from Section 409A, and (iv) reduction of any payments or benefits otherwise payable to Executive on a pro 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spacing w:after="0" w:line="184" w:lineRule="exact"/>
        <w:rPr>
          <w:rFonts w:ascii="Times New Roman" w:cs="Times New Roman" w:eastAsia="Times New Roman" w:hAnsi="Times New Roman"/>
          <w:sz w:val="20"/>
          <w:szCs w:val="20"/>
          <w:color w:val="auto"/>
        </w:rPr>
      </w:pPr>
    </w:p>
    <w:p>
      <w:pPr>
        <w:ind w:firstLine="757"/>
        <w:spacing w:after="0" w:line="260" w:lineRule="auto"/>
        <w:tabs>
          <w:tab w:leader="none" w:pos="1498"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determinations regarding the application of this </w:t>
      </w:r>
      <w:r>
        <w:rPr>
          <w:rFonts w:ascii="Times New Roman" w:cs="Times New Roman" w:eastAsia="Times New Roman" w:hAnsi="Times New Roman"/>
          <w:sz w:val="19"/>
          <w:szCs w:val="19"/>
          <w:u w:val="single" w:color="auto"/>
          <w:color w:val="auto"/>
        </w:rPr>
        <w:t>Section 8</w:t>
      </w:r>
      <w:r>
        <w:rPr>
          <w:rFonts w:ascii="Times New Roman" w:cs="Times New Roman" w:eastAsia="Times New Roman" w:hAnsi="Times New Roman"/>
          <w:sz w:val="19"/>
          <w:szCs w:val="19"/>
          <w:color w:val="auto"/>
        </w:rPr>
        <w:t xml:space="preserve"> shall be made by an accounting firm or consulting group with experience in performing calculations regarding the applicability of Section 280G of the Code and the Excise Tax selected by the Company (the “</w:t>
      </w:r>
      <w:r>
        <w:rPr>
          <w:rFonts w:ascii="Times New Roman" w:cs="Times New Roman" w:eastAsia="Times New Roman" w:hAnsi="Times New Roman"/>
          <w:sz w:val="19"/>
          <w:szCs w:val="19"/>
          <w:u w:val="single" w:color="auto"/>
          <w:color w:val="auto"/>
        </w:rPr>
        <w:t>Independent Advisors</w:t>
      </w:r>
      <w:r>
        <w:rPr>
          <w:rFonts w:ascii="Times New Roman" w:cs="Times New Roman" w:eastAsia="Times New Roman" w:hAnsi="Times New Roman"/>
          <w:sz w:val="19"/>
          <w:szCs w:val="19"/>
          <w:color w:val="auto"/>
        </w:rPr>
        <w:t>”). For purposes of determinations, no portion of the Total Payments shall be taken into account which, in the opinion of the Independent Advisors, (i) does not constitute a “parachute payment” within the meaning of Section 280G(b)(2) of the Code (including by reason of Section 280G(b)(4)(A) of the Code) or (ii) constitutes reasonable compensation for services actually rendered, within the meaning of Section 280G(b)(4)(B) of the Code, in excess of the “base amount” (as defined in Section 280G(b)(3) of the</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8</w:t>
      </w: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1" = "1" " DOCPROPERTY "SWDocID" 4874-8374-2551v1/107507-0001" "" 4874-8374-2551v1/107507-0001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5" w:name="page116"/>
    <w:bookmarkEnd w:id="115"/>
    <w:p>
      <w:pPr>
        <w:ind w:right="360"/>
        <w:spacing w:after="0" w:line="268" w:lineRule="auto"/>
        <w:rPr>
          <w:sz w:val="20"/>
          <w:szCs w:val="20"/>
          <w:color w:val="auto"/>
        </w:rPr>
      </w:pPr>
      <w:r>
        <w:rPr>
          <w:rFonts w:ascii="Times New Roman" w:cs="Times New Roman" w:eastAsia="Times New Roman" w:hAnsi="Times New Roman"/>
          <w:sz w:val="20"/>
          <w:szCs w:val="20"/>
          <w:color w:val="auto"/>
        </w:rPr>
        <w:t>Code) allocable to such reasonable compensation. The costs of obtaining such determination and all related fees and expenses (including related fees and expenses incurred in any later audit) shall be borne by the Company.</w:t>
      </w:r>
    </w:p>
    <w:p>
      <w:pPr>
        <w:spacing w:after="0" w:line="161" w:lineRule="exact"/>
        <w:rPr>
          <w:sz w:val="20"/>
          <w:szCs w:val="20"/>
          <w:color w:val="auto"/>
        </w:rPr>
      </w:pPr>
    </w:p>
    <w:p>
      <w:pPr>
        <w:ind w:right="180" w:firstLine="757"/>
        <w:spacing w:after="0" w:line="269" w:lineRule="auto"/>
        <w:tabs>
          <w:tab w:leader="none" w:pos="149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it is later determined that a greater reduction in the Total Payments should have been made to implement the objective and intent of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the excess amount shall be returned promptly by Executive to the Company.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w:t>
      </w:r>
      <w:r>
        <w:rPr>
          <w:rFonts w:ascii="Times New Roman" w:cs="Times New Roman" w:eastAsia="Times New Roman" w:hAnsi="Times New Roman"/>
          <w:sz w:val="19"/>
          <w:szCs w:val="19"/>
          <w:b w:val="1"/>
          <w:bCs w:val="1"/>
          <w:u w:val="single" w:color="auto"/>
          <w:color w:val="auto"/>
        </w:rPr>
        <w:t>Miscellaneous Provisions</w:t>
      </w:r>
      <w:r>
        <w:rPr>
          <w:rFonts w:ascii="Times New Roman" w:cs="Times New Roman" w:eastAsia="Times New Roman" w:hAnsi="Times New Roman"/>
          <w:sz w:val="19"/>
          <w:szCs w:val="19"/>
          <w:b w:val="1"/>
          <w:bCs w:val="1"/>
          <w:color w:val="auto"/>
        </w:rPr>
        <w:t>.</w:t>
      </w:r>
    </w:p>
    <w:p>
      <w:pPr>
        <w:spacing w:after="0" w:line="215" w:lineRule="exact"/>
        <w:rPr>
          <w:sz w:val="20"/>
          <w:szCs w:val="20"/>
          <w:color w:val="auto"/>
        </w:rPr>
      </w:pPr>
    </w:p>
    <w:p>
      <w:pPr>
        <w:ind w:right="120" w:firstLine="757"/>
        <w:spacing w:after="0" w:line="249" w:lineRule="auto"/>
        <w:tabs>
          <w:tab w:leader="none" w:pos="149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construed, interpreted and enforced in accordance with its express terms, and otherwise in accordance with the substantive laws of the State of California without reference to the principles of conflicts of law of the State of California or any other jurisdiction that would result in the application of the laws of a jurisdiction other than the State of California, and where applicable, the laws of the United States.</w:t>
      </w:r>
    </w:p>
    <w:p>
      <w:pPr>
        <w:spacing w:after="0" w:line="179" w:lineRule="exact"/>
        <w:rPr>
          <w:rFonts w:ascii="Times New Roman" w:cs="Times New Roman" w:eastAsia="Times New Roman" w:hAnsi="Times New Roman"/>
          <w:sz w:val="20"/>
          <w:szCs w:val="20"/>
          <w:color w:val="auto"/>
        </w:rPr>
      </w:pPr>
    </w:p>
    <w:p>
      <w:pPr>
        <w:ind w:right="200" w:firstLine="757"/>
        <w:spacing w:after="0" w:line="269" w:lineRule="auto"/>
        <w:tabs>
          <w:tab w:leader="none" w:pos="149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Validity</w:t>
      </w:r>
      <w:r>
        <w:rPr>
          <w:rFonts w:ascii="Times New Roman" w:cs="Times New Roman" w:eastAsia="Times New Roman" w:hAnsi="Times New Roman"/>
          <w:sz w:val="20"/>
          <w:szCs w:val="20"/>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59" w:lineRule="exact"/>
        <w:rPr>
          <w:rFonts w:ascii="Times New Roman" w:cs="Times New Roman" w:eastAsia="Times New Roman" w:hAnsi="Times New Roman"/>
          <w:sz w:val="20"/>
          <w:szCs w:val="20"/>
          <w:color w:val="auto"/>
        </w:rPr>
      </w:pPr>
    </w:p>
    <w:p>
      <w:pPr>
        <w:ind w:right="400" w:firstLine="757"/>
        <w:spacing w:after="0" w:line="254" w:lineRule="auto"/>
        <w:tabs>
          <w:tab w:leader="none" w:pos="149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174"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 to the Chief Financial Officer of the Company at the Company’s headquarters,</w:t>
      </w:r>
    </w:p>
    <w:p>
      <w:pPr>
        <w:spacing w:after="0" w:line="215"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Executive, to the last address that the Company has in its personnel records for Executive, or</w:t>
      </w:r>
    </w:p>
    <w:p>
      <w:pPr>
        <w:spacing w:after="0" w:line="215"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other address as any Party shall have specified by notice in writing to the other Party.</w:t>
      </w:r>
    </w:p>
    <w:p>
      <w:pPr>
        <w:spacing w:after="0" w:line="215" w:lineRule="exact"/>
        <w:rPr>
          <w:rFonts w:ascii="Times New Roman" w:cs="Times New Roman" w:eastAsia="Times New Roman" w:hAnsi="Times New Roman"/>
          <w:sz w:val="20"/>
          <w:szCs w:val="20"/>
          <w:color w:val="auto"/>
        </w:rPr>
      </w:pPr>
    </w:p>
    <w:p>
      <w:pPr>
        <w:ind w:firstLine="757"/>
        <w:spacing w:after="0" w:line="254" w:lineRule="auto"/>
        <w:tabs>
          <w:tab w:leader="none" w:pos="149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74" w:lineRule="exact"/>
        <w:rPr>
          <w:rFonts w:ascii="Times New Roman" w:cs="Times New Roman" w:eastAsia="Times New Roman" w:hAnsi="Times New Roman"/>
          <w:sz w:val="20"/>
          <w:szCs w:val="20"/>
          <w:color w:val="auto"/>
        </w:rPr>
      </w:pPr>
    </w:p>
    <w:p>
      <w:pPr>
        <w:ind w:right="180" w:firstLine="757"/>
        <w:spacing w:after="0" w:line="245" w:lineRule="auto"/>
        <w:tabs>
          <w:tab w:leader="none" w:pos="149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xml:space="preserve">. The terms of this Agreement, and the Restrictive Covenant Agreements incorporated herein by reference as set forth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are intended by the Parties to be the final expression of their agreement with respect to the subject matter hereof and supersede all prior understandings and agreements, whether written or oral, including any prior employment offer letter or employment agreement between Executive and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84" w:lineRule="exact"/>
        <w:rPr>
          <w:rFonts w:ascii="Times New Roman" w:cs="Times New Roman" w:eastAsia="Times New Roman" w:hAnsi="Times New Roman"/>
          <w:sz w:val="20"/>
          <w:szCs w:val="20"/>
          <w:color w:val="auto"/>
        </w:rPr>
      </w:pPr>
    </w:p>
    <w:p>
      <w:pPr>
        <w:ind w:right="20" w:firstLine="757"/>
        <w:spacing w:after="0" w:line="269" w:lineRule="auto"/>
        <w:tabs>
          <w:tab w:leader="none" w:pos="149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Waivers</w:t>
      </w:r>
      <w:r>
        <w:rPr>
          <w:rFonts w:ascii="Times New Roman" w:cs="Times New Roman" w:eastAsia="Times New Roman" w:hAnsi="Times New Roman"/>
          <w:sz w:val="20"/>
          <w:szCs w:val="20"/>
          <w:color w:val="auto"/>
        </w:rPr>
        <w:t>. This Agreement may not be modified, amended, or terminated except by an instrument in writing, signed by Executive and a duly authorized officer of Company. By an</w:t>
      </w:r>
    </w:p>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9</w:t>
      </w: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1" = "1" " DOCPROPERTY "SWDocID" 4874-8374-2551v1/107507-0001" "" 4874-8374-2551v1/107507-0001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ind w:right="40"/>
        <w:spacing w:after="0" w:line="246" w:lineRule="auto"/>
        <w:rPr>
          <w:sz w:val="20"/>
          <w:szCs w:val="20"/>
          <w:color w:val="auto"/>
        </w:rPr>
      </w:pPr>
      <w:r>
        <w:rPr>
          <w:rFonts w:ascii="Times New Roman" w:cs="Times New Roman" w:eastAsia="Times New Roman" w:hAnsi="Times New Roman"/>
          <w:sz w:val="20"/>
          <w:szCs w:val="20"/>
          <w:color w:val="auto"/>
        </w:rPr>
        <w:t xml:space="preserve">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waiver shall not operate as a waiver of, or estoppel with respect to, any other or subsequent failure. No failure to exercise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no delay in exercising any right, remedy, or power hereunder will preclude any other or further exercise of any other right, remedy, or power provided herein or by law or in equity.</w:t>
      </w:r>
    </w:p>
    <w:p>
      <w:pPr>
        <w:spacing w:after="0" w:line="184" w:lineRule="exact"/>
        <w:rPr>
          <w:sz w:val="20"/>
          <w:szCs w:val="20"/>
          <w:color w:val="auto"/>
        </w:rPr>
      </w:pPr>
    </w:p>
    <w:p>
      <w:pPr>
        <w:ind w:firstLine="757"/>
        <w:spacing w:after="0" w:line="242" w:lineRule="auto"/>
        <w:tabs>
          <w:tab w:leader="none" w:pos="149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Construction</w:t>
      </w:r>
      <w:r>
        <w:rPr>
          <w:rFonts w:ascii="Times New Roman" w:cs="Times New Roman" w:eastAsia="Times New Roman" w:hAnsi="Times New Roman"/>
          <w:sz w:val="20"/>
          <w:szCs w:val="20"/>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92" w:lineRule="exact"/>
        <w:rPr>
          <w:rFonts w:ascii="Times New Roman" w:cs="Times New Roman" w:eastAsia="Times New Roman" w:hAnsi="Times New Roman"/>
          <w:sz w:val="20"/>
          <w:szCs w:val="20"/>
          <w:color w:val="auto"/>
        </w:rPr>
      </w:pPr>
    </w:p>
    <w:p>
      <w:pPr>
        <w:ind w:right="20" w:firstLine="757"/>
        <w:spacing w:after="0" w:line="241" w:lineRule="auto"/>
        <w:tabs>
          <w:tab w:leader="none" w:pos="149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Any controversy, claim or dispute arising out of or relating to this Agreement, shall be settled solely and exclusively by a binding arbitration process administered by JAMS/Endispute in San Jose, California. Such arbitration shall be conducted in accordance with the then-existing JAMS/Endispute Rules of Practice and Procedure, with the following exceptions if in conflict: (i) one arbitrator who is a retired judge shall be chosen by JAMS/Endispute; (ii) all fees and costs unique to arbitration, including all fees charged by the arbitrator, shall be paid by the Company; and (iii) arbitration may proceed in the absence of any Party if written notice (pursuant to the JAMS/Endispute rules and regulations) of the proceedings has been given to such Party. Each Party shall bear its own attorney’s fees and expenses; provided that the arbitrator may award the prevailing Party its attorney’s fees and costs to the extent permitted by applicable law. The Parties agree to abide by all decisions and awards rendered in such proceedings. Such decisions and awards rendered by the arbitrator shall be final and conclusive. All such controversies, claims or disputes shall be settled in this manner in lieu of any action at law or equity; provided, however, that nothing in this subsection shall be construed as precluding the bringing of an action for injunctive relief or specific performance as provided in this Agreement or the Restrictive Covenant Agreements. This dispute resolution process and any arbitration hereunder shall be confidential and neither any Party nor the neutral arbitrator shall disclose the existence, contents or results of such process without the prior written consent of all Parties, except where necessary or compelled in a court to enforce this arbitration provision or an award from such arbitration or otherwise in a legal proceeding. If JAMS/Endispute no longer exists or is otherwise unavailable, the Parties agree that the American Arbitration Association (“</w:t>
      </w:r>
      <w:r>
        <w:rPr>
          <w:rFonts w:ascii="Times New Roman" w:cs="Times New Roman" w:eastAsia="Times New Roman" w:hAnsi="Times New Roman"/>
          <w:sz w:val="20"/>
          <w:szCs w:val="20"/>
          <w:u w:val="single" w:color="auto"/>
          <w:color w:val="auto"/>
        </w:rPr>
        <w:t>AAA</w:t>
      </w:r>
      <w:r>
        <w:rPr>
          <w:rFonts w:ascii="Times New Roman" w:cs="Times New Roman" w:eastAsia="Times New Roman" w:hAnsi="Times New Roman"/>
          <w:sz w:val="20"/>
          <w:szCs w:val="20"/>
          <w:color w:val="auto"/>
        </w:rPr>
        <w:t>”) shall administer the arbitration in accordance with its then-existing rules as modified by this subsection. In such event, all references herein to JAMS/Endispute shall mean AAA. Notwithstanding the foregoing, Executive and the Company each have the right to resolve any issue or dispute over intellectual property rights by court action instead of arbitration.</w:t>
      </w:r>
    </w:p>
    <w:p>
      <w:pPr>
        <w:spacing w:after="0" w:line="190" w:lineRule="exact"/>
        <w:rPr>
          <w:rFonts w:ascii="Times New Roman" w:cs="Times New Roman" w:eastAsia="Times New Roman" w:hAnsi="Times New Roman"/>
          <w:sz w:val="20"/>
          <w:szCs w:val="20"/>
          <w:color w:val="auto"/>
        </w:rPr>
      </w:pPr>
    </w:p>
    <w:p>
      <w:pPr>
        <w:jc w:val="both"/>
        <w:ind w:right="360" w:firstLine="757"/>
        <w:spacing w:after="0" w:line="254" w:lineRule="auto"/>
        <w:tabs>
          <w:tab w:leader="none" w:pos="149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Enforcement</w:t>
      </w:r>
      <w:r>
        <w:rPr>
          <w:rFonts w:ascii="Times New Roman" w:cs="Times New Roman" w:eastAsia="Times New Roman" w:hAnsi="Times New Roman"/>
          <w:sz w:val="20"/>
          <w:szCs w:val="20"/>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10</w:t>
      </w: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1" = "1" " DOCPROPERTY "SWDocID" 4874-8374-2551v1/107507-0001" "" 4874-8374-2551v1/107507-0001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7" w:name="page118"/>
    <w:bookmarkEnd w:id="117"/>
    <w:p>
      <w:pPr>
        <w:ind w:right="20"/>
        <w:spacing w:after="0" w:line="249" w:lineRule="auto"/>
        <w:rPr>
          <w:sz w:val="20"/>
          <w:szCs w:val="20"/>
          <w:color w:val="auto"/>
        </w:rPr>
      </w:pPr>
      <w:r>
        <w:rPr>
          <w:rFonts w:ascii="Times New Roman" w:cs="Times New Roman" w:eastAsia="Times New Roman" w:hAnsi="Times New Roman"/>
          <w:sz w:val="20"/>
          <w:szCs w:val="20"/>
          <w:color w:val="auto"/>
        </w:rPr>
        <w:t>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79" w:lineRule="exact"/>
        <w:rPr>
          <w:sz w:val="20"/>
          <w:szCs w:val="20"/>
          <w:color w:val="auto"/>
        </w:rPr>
      </w:pPr>
    </w:p>
    <w:p>
      <w:pPr>
        <w:jc w:val="both"/>
        <w:ind w:right="260" w:firstLine="757"/>
        <w:spacing w:after="0" w:line="254" w:lineRule="auto"/>
        <w:tabs>
          <w:tab w:leader="none" w:pos="149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The Company shall be entitled to withhold from any amounts payable under this Agreement any federal, state, local or foreign withholding or other taxes or charges which the Company is required to withhold. The Company shall be entitled to rely on the advice of counsel if any questions as to the amount or requirement of withholding shall arise.</w:t>
      </w:r>
    </w:p>
    <w:p>
      <w:pPr>
        <w:spacing w:after="0" w:line="174"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ind w:left="760" w:right="360" w:firstLine="745"/>
        <w:spacing w:after="0" w:line="256" w:lineRule="auto"/>
        <w:tabs>
          <w:tab w:leader="none" w:pos="2257"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General. </w:t>
      </w:r>
      <w:r>
        <w:rPr>
          <w:rFonts w:ascii="Times New Roman" w:cs="Times New Roman" w:eastAsia="Times New Roman" w:hAnsi="Times New Roman"/>
          <w:sz w:val="20"/>
          <w:szCs w:val="20"/>
          <w:color w:val="auto"/>
        </w:rPr>
        <w:t>The intent of the Parties is that the payments and benefits under this Agreement comply with or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exempt from Section 409A and, accordingly, to the maximum extent permitted, this Agreement shall be interpreted to be in compliance therewith.</w:t>
      </w:r>
    </w:p>
    <w:p>
      <w:pPr>
        <w:spacing w:after="0" w:line="168" w:lineRule="exact"/>
        <w:rPr>
          <w:rFonts w:ascii="Times New Roman" w:cs="Times New Roman" w:eastAsia="Times New Roman" w:hAnsi="Times New Roman"/>
          <w:sz w:val="20"/>
          <w:szCs w:val="20"/>
          <w:color w:val="auto"/>
        </w:rPr>
      </w:pPr>
    </w:p>
    <w:p>
      <w:pPr>
        <w:ind w:left="760" w:firstLine="745"/>
        <w:spacing w:after="0" w:line="244" w:lineRule="auto"/>
        <w:tabs>
          <w:tab w:leader="none" w:pos="2257"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Separation from Service. </w:t>
      </w:r>
      <w:r>
        <w:rPr>
          <w:rFonts w:ascii="Times New Roman" w:cs="Times New Roman" w:eastAsia="Times New Roman" w:hAnsi="Times New Roman"/>
          <w:sz w:val="20"/>
          <w:szCs w:val="20"/>
          <w:color w:val="auto"/>
        </w:rPr>
        <w:t>Notwithstanding anything in this Agreement to the contrary, any compensation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benefits payable under this Agreement that is designated under this Agreement as payable upon Executive’s termination of employment shall be payable only upon Executive’s “separation from service” with the Company within the meaning of Section 409A (a “</w:t>
      </w:r>
      <w:r>
        <w:rPr>
          <w:rFonts w:ascii="Times New Roman" w:cs="Times New Roman" w:eastAsia="Times New Roman" w:hAnsi="Times New Roman"/>
          <w:sz w:val="20"/>
          <w:szCs w:val="20"/>
          <w:u w:val="single" w:color="auto"/>
          <w:color w:val="auto"/>
        </w:rPr>
        <w:t>Separation from Service</w:t>
      </w:r>
      <w:r>
        <w:rPr>
          <w:rFonts w:ascii="Times New Roman" w:cs="Times New Roman" w:eastAsia="Times New Roman" w:hAnsi="Times New Roman"/>
          <w:sz w:val="20"/>
          <w:szCs w:val="20"/>
          <w:color w:val="auto"/>
        </w:rPr>
        <w:t xml:space="preserve">”) and, except as provided below, any such compensation or benefits described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shall not be paid, or, in the case of installments, shall not commence payment, until the thirtieth (30th) day following Executive’s Separation from Service (the “</w:t>
      </w:r>
      <w:r>
        <w:rPr>
          <w:rFonts w:ascii="Times New Roman" w:cs="Times New Roman" w:eastAsia="Times New Roman" w:hAnsi="Times New Roman"/>
          <w:sz w:val="20"/>
          <w:szCs w:val="20"/>
          <w:u w:val="single" w:color="auto"/>
          <w:color w:val="auto"/>
        </w:rPr>
        <w:t>First Payment Date</w:t>
      </w:r>
      <w:r>
        <w:rPr>
          <w:rFonts w:ascii="Times New Roman" w:cs="Times New Roman" w:eastAsia="Times New Roman" w:hAnsi="Times New Roman"/>
          <w:sz w:val="20"/>
          <w:szCs w:val="20"/>
          <w:color w:val="auto"/>
        </w:rPr>
        <w:t>”). Any installment payments that would have been made to Executive during the thirty (30) day period immediately following Executive’s Separation from Service but for the preceding sentence shall be paid to Executive on the First Payment Date and the remaining payments shall be made as provided in this Agreement.</w:t>
      </w:r>
    </w:p>
    <w:p>
      <w:pPr>
        <w:spacing w:after="0" w:line="181" w:lineRule="exact"/>
        <w:rPr>
          <w:rFonts w:ascii="Times New Roman" w:cs="Times New Roman" w:eastAsia="Times New Roman" w:hAnsi="Times New Roman"/>
          <w:sz w:val="20"/>
          <w:szCs w:val="20"/>
          <w:color w:val="auto"/>
        </w:rPr>
      </w:pPr>
    </w:p>
    <w:p>
      <w:pPr>
        <w:ind w:left="760" w:right="40" w:firstLine="745"/>
        <w:spacing w:after="0" w:line="243" w:lineRule="auto"/>
        <w:tabs>
          <w:tab w:leader="none" w:pos="2257"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Specified Employee. </w:t>
      </w:r>
      <w:r>
        <w:rPr>
          <w:rFonts w:ascii="Times New Roman" w:cs="Times New Roman" w:eastAsia="Times New Roman" w:hAnsi="Times New Roman"/>
          <w:sz w:val="20"/>
          <w:szCs w:val="20"/>
          <w:color w:val="auto"/>
        </w:rPr>
        <w:t>Notwithstanding anything in this Agreement to the contrary, if Executive is deemed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85" w:lineRule="exact"/>
        <w:rPr>
          <w:rFonts w:ascii="Times New Roman" w:cs="Times New Roman" w:eastAsia="Times New Roman" w:hAnsi="Times New Roman"/>
          <w:sz w:val="20"/>
          <w:szCs w:val="20"/>
          <w:color w:val="auto"/>
        </w:rPr>
      </w:pPr>
    </w:p>
    <w:p>
      <w:pPr>
        <w:ind w:left="760" w:right="200" w:firstLine="745"/>
        <w:spacing w:after="0" w:line="247" w:lineRule="auto"/>
        <w:tabs>
          <w:tab w:leader="none" w:pos="2257"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Expense Reimbursements. </w:t>
      </w:r>
      <w:r>
        <w:rPr>
          <w:rFonts w:ascii="Times New Roman" w:cs="Times New Roman" w:eastAsia="Times New Roman" w:hAnsi="Times New Roman"/>
          <w:sz w:val="20"/>
          <w:szCs w:val="20"/>
          <w:color w:val="auto"/>
        </w:rPr>
        <w:t>To the extent that any reimbursements under this Agreement are subject to Section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409A, (A) any such reimbursements payable to Executive shall be paid to Executive no later than December 31 of the year following the year in which the expense was incurred, (B) Executive shall submit Executive’s reimbursement request promptly following the date the expense is incurred, (C) the amount of expenses reimbursed in one year shall not affect the amount eligible for reimbursement in any subsequent year, other than medical expenses</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11</w:t>
      </w: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1" = "1" " DOCPROPERTY "SWDocID" 4874-8374-2551v1/107507-0001" "" 4874-8374-2551v1/107507-0001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8" w:name="page119"/>
    <w:bookmarkEnd w:id="118"/>
    <w:p>
      <w:pPr>
        <w:ind w:left="760" w:right="200"/>
        <w:spacing w:after="0" w:line="268" w:lineRule="auto"/>
        <w:rPr>
          <w:sz w:val="20"/>
          <w:szCs w:val="20"/>
          <w:color w:val="auto"/>
        </w:rPr>
      </w:pPr>
      <w:r>
        <w:rPr>
          <w:rFonts w:ascii="Times New Roman" w:cs="Times New Roman" w:eastAsia="Times New Roman" w:hAnsi="Times New Roman"/>
          <w:sz w:val="20"/>
          <w:szCs w:val="20"/>
          <w:color w:val="auto"/>
        </w:rPr>
        <w:t>referred to in Section 105(b) of the Code, and (D) Executive’s right to reimbursement under this Agreement will not be subject to liquidation or exchange for another benefit.</w:t>
      </w:r>
    </w:p>
    <w:p>
      <w:pPr>
        <w:spacing w:after="0" w:line="157" w:lineRule="exact"/>
        <w:rPr>
          <w:sz w:val="20"/>
          <w:szCs w:val="20"/>
          <w:color w:val="auto"/>
        </w:rPr>
      </w:pPr>
    </w:p>
    <w:p>
      <w:pPr>
        <w:ind w:left="760" w:firstLine="745"/>
        <w:spacing w:after="0" w:line="264" w:lineRule="auto"/>
        <w:tabs>
          <w:tab w:leader="none" w:pos="2257"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Installments. </w:t>
      </w:r>
      <w:r>
        <w:rPr>
          <w:rFonts w:ascii="Times New Roman" w:cs="Times New Roman" w:eastAsia="Times New Roman" w:hAnsi="Times New Roman"/>
          <w:sz w:val="19"/>
          <w:szCs w:val="19"/>
          <w:color w:val="auto"/>
        </w:rPr>
        <w:t>Executive’s right to receive any installment payments under this Agreement, including without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limitation any continuation 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w:t>
      </w:r>
      <w:r>
        <w:rPr>
          <w:rFonts w:ascii="Times New Roman" w:cs="Times New Roman" w:eastAsia="Times New Roman" w:hAnsi="Times New Roman"/>
          <w:sz w:val="19"/>
          <w:szCs w:val="19"/>
          <w:b w:val="1"/>
          <w:bCs w:val="1"/>
          <w:u w:val="single" w:color="auto"/>
          <w:color w:val="auto"/>
        </w:rPr>
        <w:t>Executive Acknowledgement</w:t>
      </w:r>
      <w:r>
        <w:rPr>
          <w:rFonts w:ascii="Times New Roman" w:cs="Times New Roman" w:eastAsia="Times New Roman" w:hAnsi="Times New Roman"/>
          <w:sz w:val="19"/>
          <w:szCs w:val="19"/>
          <w:b w:val="1"/>
          <w:bCs w:val="1"/>
          <w:color w:val="auto"/>
        </w:rPr>
        <w:t>.</w:t>
      </w:r>
    </w:p>
    <w:p>
      <w:pPr>
        <w:spacing w:after="0" w:line="215" w:lineRule="exact"/>
        <w:rPr>
          <w:sz w:val="20"/>
          <w:szCs w:val="20"/>
          <w:color w:val="auto"/>
        </w:rPr>
      </w:pPr>
    </w:p>
    <w:p>
      <w:pPr>
        <w:jc w:val="both"/>
        <w:ind w:right="100" w:firstLine="749"/>
        <w:spacing w:after="0" w:line="254" w:lineRule="auto"/>
        <w:rPr>
          <w:sz w:val="20"/>
          <w:szCs w:val="20"/>
          <w:color w:val="auto"/>
        </w:rPr>
      </w:pPr>
      <w:r>
        <w:rPr>
          <w:rFonts w:ascii="Times New Roman" w:cs="Times New Roman" w:eastAsia="Times New Roman" w:hAnsi="Times New Roman"/>
          <w:sz w:val="20"/>
          <w:szCs w:val="20"/>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1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12</w:t>
      </w: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1" = "1" " DOCPROPERTY "SWDocID" 4874-8374-2551v1/107507-0001" "" 4874-8374-2551v1/107507-0001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9" w:name="page120"/>
    <w:bookmarkEnd w:id="119"/>
    <w:p>
      <w:pPr>
        <w:ind w:left="720"/>
        <w:spacing w:after="0"/>
        <w:rPr>
          <w:sz w:val="20"/>
          <w:szCs w:val="20"/>
          <w:color w:val="auto"/>
        </w:rPr>
      </w:pPr>
      <w:r>
        <w:rPr>
          <w:rFonts w:ascii="Times New Roman" w:cs="Times New Roman" w:eastAsia="Times New Roman" w:hAnsi="Times New Roman"/>
          <w:sz w:val="20"/>
          <w:szCs w:val="20"/>
          <w:color w:val="auto"/>
        </w:rPr>
        <w:t>IN WITNESS WHEREOF, the Parties have executed this Agreement on the date and year first above written.</w:t>
      </w:r>
    </w:p>
    <w:p>
      <w:pPr>
        <w:spacing w:after="0" w:line="21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0"/>
          <w:szCs w:val="20"/>
          <w:b w:val="1"/>
          <w:bCs w:val="1"/>
          <w:color w:val="auto"/>
        </w:rPr>
        <w:t>SIGHT SCIENCES, INC.</w:t>
      </w:r>
    </w:p>
    <w:p>
      <w:pPr>
        <w:spacing w:after="0" w:line="21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By:_</w:t>
      </w:r>
      <w:r>
        <w:rPr>
          <w:rFonts w:ascii="Times New Roman" w:cs="Times New Roman" w:eastAsia="Times New Roman" w:hAnsi="Times New Roman"/>
          <w:sz w:val="20"/>
          <w:szCs w:val="20"/>
          <w:i w:val="1"/>
          <w:iCs w:val="1"/>
          <w:u w:val="single" w:color="auto"/>
          <w:color w:val="auto"/>
        </w:rPr>
        <w:t>/s/ Paul Badawi</w:t>
      </w:r>
      <w:r>
        <w:rPr>
          <w:rFonts w:ascii="Times New Roman" w:cs="Times New Roman" w:eastAsia="Times New Roman" w:hAnsi="Times New Roman"/>
          <w:sz w:val="20"/>
          <w:szCs w:val="20"/>
          <w:color w:val="auto"/>
        </w:rPr>
        <w:t>_____________</w:t>
      </w:r>
    </w:p>
    <w:p>
      <w:pPr>
        <w:spacing w:after="0" w:line="2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Name: Paul Badawi</w:t>
      </w:r>
    </w:p>
    <w:p>
      <w:pPr>
        <w:ind w:left="4080"/>
        <w:spacing w:after="0"/>
        <w:tabs>
          <w:tab w:leader="none" w:pos="46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President and Chief Executive Officer</w:t>
      </w:r>
    </w:p>
    <w:p>
      <w:pPr>
        <w:spacing w:after="0" w:line="200" w:lineRule="exact"/>
        <w:rPr>
          <w:sz w:val="20"/>
          <w:szCs w:val="20"/>
          <w:color w:val="auto"/>
        </w:rPr>
      </w:pPr>
    </w:p>
    <w:p>
      <w:pPr>
        <w:spacing w:after="0" w:line="23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00" w:lineRule="exact"/>
        <w:rPr>
          <w:sz w:val="20"/>
          <w:szCs w:val="20"/>
          <w:color w:val="auto"/>
        </w:rPr>
      </w:pPr>
    </w:p>
    <w:p>
      <w:pPr>
        <w:spacing w:after="0" w:line="24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_</w:t>
      </w:r>
      <w:r>
        <w:rPr>
          <w:rFonts w:ascii="Times New Roman" w:cs="Times New Roman" w:eastAsia="Times New Roman" w:hAnsi="Times New Roman"/>
          <w:sz w:val="20"/>
          <w:szCs w:val="20"/>
          <w:i w:val="1"/>
          <w:iCs w:val="1"/>
          <w:u w:val="single" w:color="auto"/>
          <w:color w:val="auto"/>
        </w:rPr>
        <w:t>/s/ Jeremy Hayden</w:t>
      </w:r>
      <w:r>
        <w:rPr>
          <w:rFonts w:ascii="Times New Roman" w:cs="Times New Roman" w:eastAsia="Times New Roman" w:hAnsi="Times New Roman"/>
          <w:sz w:val="20"/>
          <w:szCs w:val="20"/>
          <w:color w:val="auto"/>
        </w:rPr>
        <w:t>______________</w:t>
      </w:r>
    </w:p>
    <w:p>
      <w:pPr>
        <w:spacing w:after="0" w:line="2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Jeremy Hayden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i w:val="1"/>
          <w:iCs w:val="1"/>
          <w:color w:val="auto"/>
        </w:rPr>
        <w:t>[Signature Page to Employment Agreement]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 DOCVARIABLE "SWDocIDLocation" 1" = "1" " DOCPROPERTY "SWDocID" 4874-8374-2551v1/107507-0001" "" 4874-8374-2551v1/107507-0001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144780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60" w:top="576" w:right="1299" w:bottom="1440" w:gutter="0" w:footer="0" w:header="0"/>
        </w:sectPr>
      </w:pPr>
    </w:p>
    <w:bookmarkStart w:id="120" w:name="page121"/>
    <w:bookmarkEnd w:id="120"/>
    <w:p>
      <w:pPr>
        <w:ind w:left="10120"/>
        <w:spacing w:after="0"/>
        <w:rPr>
          <w:sz w:val="20"/>
          <w:szCs w:val="20"/>
          <w:color w:val="auto"/>
        </w:rPr>
      </w:pPr>
      <w:r>
        <w:rPr>
          <w:rFonts w:ascii="Times New Roman" w:cs="Times New Roman" w:eastAsia="Times New Roman" w:hAnsi="Times New Roman"/>
          <w:sz w:val="19"/>
          <w:szCs w:val="19"/>
          <w:b w:val="1"/>
          <w:bCs w:val="1"/>
          <w:color w:val="auto"/>
        </w:rPr>
        <w:t>Exhibit 10.15</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u w:val="single" w:color="auto"/>
          <w:color w:val="auto"/>
        </w:rPr>
        <w:t>THIRD AMENDMENT TO AMENDED AND RESTATED CREDIT AND SECURITY AGREEMENT (TERM LOAN)</w:t>
      </w:r>
    </w:p>
    <w:p>
      <w:pPr>
        <w:spacing w:after="0" w:line="274" w:lineRule="exact"/>
        <w:rPr>
          <w:sz w:val="20"/>
          <w:szCs w:val="20"/>
          <w:color w:val="auto"/>
        </w:rPr>
      </w:pPr>
    </w:p>
    <w:p>
      <w:pPr>
        <w:jc w:val="both"/>
        <w:ind w:firstLine="396"/>
        <w:spacing w:after="0" w:line="246" w:lineRule="auto"/>
        <w:rPr>
          <w:sz w:val="20"/>
          <w:szCs w:val="20"/>
          <w:color w:val="auto"/>
        </w:rPr>
      </w:pPr>
      <w:r>
        <w:rPr>
          <w:rFonts w:ascii="Times New Roman" w:cs="Times New Roman" w:eastAsia="Times New Roman" w:hAnsi="Times New Roman"/>
          <w:sz w:val="20"/>
          <w:szCs w:val="20"/>
          <w:color w:val="auto"/>
        </w:rPr>
        <w:t>This THIRD AMENDMENT TO AMENDED AND RESTATED CREDIT AND SECURITY AGREEMENT (TERM LOAN)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made as of this 28th day of December, 2022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xml:space="preserve">”), by and among </w:t>
      </w:r>
      <w:r>
        <w:rPr>
          <w:rFonts w:ascii="Times New Roman" w:cs="Times New Roman" w:eastAsia="Times New Roman" w:hAnsi="Times New Roman"/>
          <w:sz w:val="20"/>
          <w:szCs w:val="20"/>
          <w:b w:val="1"/>
          <w:bCs w:val="1"/>
          <w:color w:val="auto"/>
        </w:rPr>
        <w:t>SIGHT SCIENCES, INC.</w:t>
      </w:r>
      <w:r>
        <w:rPr>
          <w:rFonts w:ascii="Times New Roman" w:cs="Times New Roman" w:eastAsia="Times New Roman" w:hAnsi="Times New Roman"/>
          <w:sz w:val="20"/>
          <w:szCs w:val="20"/>
          <w:color w:val="auto"/>
        </w:rPr>
        <w:t>, a Delaware corporation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MIDCAP FINANCIAL TRUST</w:t>
      </w:r>
      <w:r>
        <w:rPr>
          <w:rFonts w:ascii="Times New Roman" w:cs="Times New Roman" w:eastAsia="Times New Roman" w:hAnsi="Times New Roman"/>
          <w:sz w:val="20"/>
          <w:szCs w:val="20"/>
          <w:color w:val="auto"/>
        </w:rPr>
        <w:t>, as Agent for Lenders (in such capacity and together with its permitted successors and assigns, the “</w:t>
      </w:r>
      <w:r>
        <w:rPr>
          <w:rFonts w:ascii="Times New Roman" w:cs="Times New Roman" w:eastAsia="Times New Roman" w:hAnsi="Times New Roman"/>
          <w:sz w:val="20"/>
          <w:szCs w:val="20"/>
          <w:b w:val="1"/>
          <w:bCs w:val="1"/>
          <w:color w:val="auto"/>
        </w:rPr>
        <w:t>Agent</w:t>
      </w:r>
      <w:r>
        <w:rPr>
          <w:rFonts w:ascii="Times New Roman" w:cs="Times New Roman" w:eastAsia="Times New Roman" w:hAnsi="Times New Roman"/>
          <w:sz w:val="20"/>
          <w:szCs w:val="20"/>
          <w:color w:val="auto"/>
        </w:rPr>
        <w:t>”) and the other financial institutions or other entities from time to time parties to the Credit Agreement referenced below, each as a Lender.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firstLine="757"/>
        <w:spacing w:after="0" w:line="243" w:lineRule="auto"/>
        <w:tabs>
          <w:tab w:leader="none" w:pos="161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Lenders and Borrower have entered into that certain Amended and Restated Credit and Security Agreement (Term Loan), dated as of November 23, 2020 (as amended by that certain First Amendment to Amended and Restated Credit and Security Agreement (Term Loan), dated as of October 5, 2021 and that certain Second Amendment to Amended and Restated Credit and Security Agreement (Term Loan), dated as of November 15, 2021, and as further amended, restated, amended and restated, supplemented and/or otherwise modified prior to the date hereof, the “</w:t>
      </w:r>
      <w:r>
        <w:rPr>
          <w:rFonts w:ascii="Times New Roman" w:cs="Times New Roman" w:eastAsia="Times New Roman" w:hAnsi="Times New Roman"/>
          <w:sz w:val="20"/>
          <w:szCs w:val="20"/>
          <w:b w:val="1"/>
          <w:bCs w:val="1"/>
          <w:color w:val="auto"/>
        </w:rPr>
        <w:t>Existing Credit Agreement</w:t>
      </w:r>
      <w:r>
        <w:rPr>
          <w:rFonts w:ascii="Times New Roman" w:cs="Times New Roman" w:eastAsia="Times New Roman" w:hAnsi="Times New Roman"/>
          <w:sz w:val="20"/>
          <w:szCs w:val="20"/>
          <w:color w:val="auto"/>
        </w:rPr>
        <w:t>” and as the same is amended hereby and as it may be further amended, restated, amended and restated, supplemented and/or otherwise modified from time to time, the “</w:t>
      </w:r>
      <w:r>
        <w:rPr>
          <w:rFonts w:ascii="Times New Roman" w:cs="Times New Roman" w:eastAsia="Times New Roman" w:hAnsi="Times New Roman"/>
          <w:sz w:val="20"/>
          <w:szCs w:val="20"/>
          <w:b w:val="1"/>
          <w:bCs w:val="1"/>
          <w:color w:val="auto"/>
        </w:rPr>
        <w:t>Credit Agreement</w:t>
      </w:r>
      <w:r>
        <w:rPr>
          <w:rFonts w:ascii="Times New Roman" w:cs="Times New Roman" w:eastAsia="Times New Roman" w:hAnsi="Times New Roman"/>
          <w:sz w:val="20"/>
          <w:szCs w:val="20"/>
          <w:color w:val="auto"/>
        </w:rPr>
        <w:t>”), pursuant to which the Lenders have agreed to make certain advances of money and to extend certain financial accommodations to Borrower in the amounts and manner set forth in the Credit Agreement.</w:t>
      </w:r>
    </w:p>
    <w:p>
      <w:pPr>
        <w:spacing w:after="0" w:line="200" w:lineRule="exact"/>
        <w:rPr>
          <w:rFonts w:ascii="Times New Roman" w:cs="Times New Roman" w:eastAsia="Times New Roman" w:hAnsi="Times New Roman"/>
          <w:sz w:val="20"/>
          <w:szCs w:val="20"/>
          <w:color w:val="auto"/>
        </w:rPr>
      </w:pPr>
    </w:p>
    <w:p>
      <w:pPr>
        <w:spacing w:after="0" w:line="218" w:lineRule="exact"/>
        <w:rPr>
          <w:rFonts w:ascii="Times New Roman" w:cs="Times New Roman" w:eastAsia="Times New Roman" w:hAnsi="Times New Roman"/>
          <w:sz w:val="20"/>
          <w:szCs w:val="20"/>
          <w:color w:val="auto"/>
        </w:rPr>
      </w:pPr>
    </w:p>
    <w:p>
      <w:pPr>
        <w:ind w:firstLine="757"/>
        <w:spacing w:after="0" w:line="269" w:lineRule="auto"/>
        <w:tabs>
          <w:tab w:leader="none" w:pos="161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has requested, and Agent and the Lenders have agreed, to amend certain provisions of the Existing Credit Agreement, in each case, in accordance with the terms and subject to the conditions set forth herein.</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foregoing, the terms and conditions set forth in this Agreement, and other good and valuable consideration, the receipt and sufficiency of which are hereby acknowledged, Agent, Lenders, and Borrower hereby agree as follows:</w:t>
      </w:r>
    </w:p>
    <w:p>
      <w:pPr>
        <w:spacing w:after="0" w:line="170" w:lineRule="exact"/>
        <w:rPr>
          <w:sz w:val="20"/>
          <w:szCs w:val="20"/>
          <w:color w:val="auto"/>
        </w:rPr>
      </w:pPr>
    </w:p>
    <w:p>
      <w:pPr>
        <w:jc w:val="both"/>
        <w:ind w:firstLine="757"/>
        <w:spacing w:after="0" w:line="247" w:lineRule="auto"/>
        <w:tabs>
          <w:tab w:leader="none" w:pos="1498" w:val="left"/>
        </w:tabs>
        <w:numPr>
          <w:ilvl w:val="0"/>
          <w:numId w:val="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Recitals; Construction</w:t>
      </w:r>
      <w:r>
        <w:rPr>
          <w:rFonts w:ascii="Times New Roman" w:cs="Times New Roman" w:eastAsia="Times New Roman" w:hAnsi="Times New Roman"/>
          <w:sz w:val="20"/>
          <w:szCs w:val="20"/>
          <w:color w:val="auto"/>
        </w:rPr>
        <w:t>. This Agreement shall constitute a Financing Document and the Recitals and each reference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Credit Agreement, unless otherwise expressly noted, will be deemed to reference the Credit Agreement as modified hereby. The Recitals set forth above shall be construed as part of this Agreement as if set forth fully in the body of this Agreement. Capitalized terms used but not otherwise defined herein shall have the meanings ascribed to them in the Credit Agreement (including those capitalized terms used in the Recitals hereto).</w:t>
      </w:r>
    </w:p>
    <w:p>
      <w:pPr>
        <w:spacing w:after="0" w:line="180" w:lineRule="exact"/>
        <w:rPr>
          <w:rFonts w:ascii="Times New Roman" w:cs="Times New Roman" w:eastAsia="Times New Roman" w:hAnsi="Times New Roman"/>
          <w:sz w:val="20"/>
          <w:szCs w:val="20"/>
          <w:color w:val="010000"/>
        </w:rPr>
      </w:pPr>
    </w:p>
    <w:p>
      <w:pPr>
        <w:jc w:val="both"/>
        <w:ind w:firstLine="757"/>
        <w:spacing w:after="0" w:line="250" w:lineRule="auto"/>
        <w:tabs>
          <w:tab w:leader="none" w:pos="1498" w:val="left"/>
        </w:tabs>
        <w:numPr>
          <w:ilvl w:val="0"/>
          <w:numId w:val="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Amendments to Credit Agreement</w:t>
      </w:r>
      <w:r>
        <w:rPr>
          <w:rFonts w:ascii="Times New Roman" w:cs="Times New Roman" w:eastAsia="Times New Roman" w:hAnsi="Times New Roman"/>
          <w:sz w:val="20"/>
          <w:szCs w:val="20"/>
          <w:color w:val="auto"/>
        </w:rPr>
        <w:t>. Subject to the terms and conditions in this Agreement, including, without limitation,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conditions to effectiveness set forth in Section 3 below, effective as of the Effective Date, the Existing Credit Agreement is hereby amended as follows, which amendments to the Existing Credit Agreement are effective as of the first day after the end of the Interest Period during which this Agreement becomes effective in accordance with Section 3 below:</w:t>
      </w:r>
    </w:p>
    <w:p>
      <w:pPr>
        <w:spacing w:after="0" w:line="179" w:lineRule="exact"/>
        <w:rPr>
          <w:rFonts w:ascii="Times New Roman" w:cs="Times New Roman" w:eastAsia="Times New Roman" w:hAnsi="Times New Roman"/>
          <w:sz w:val="20"/>
          <w:szCs w:val="20"/>
          <w:color w:val="010000"/>
        </w:rPr>
      </w:pPr>
    </w:p>
    <w:p>
      <w:pPr>
        <w:ind w:left="3000" w:hanging="1495"/>
        <w:spacing w:after="0"/>
        <w:tabs>
          <w:tab w:leader="none" w:pos="3000" w:val="left"/>
        </w:tabs>
        <w:numPr>
          <w:ilvl w:val="1"/>
          <w:numId w:val="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definition of “Business Day” appearing in Article 1 of the Existing Credit Agreement is hereby</w:t>
      </w:r>
    </w:p>
    <w:p>
      <w:pPr>
        <w:spacing w:after="0" w:line="21"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amended and restated as follows: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21" w:name="page122"/>
    <w:bookmarkEnd w:id="121"/>
    <w:p>
      <w:pPr>
        <w:jc w:val="both"/>
        <w:ind w:left="150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xml:space="preserve">” means any day except a Saturday, Sunday or other day on which either the New York Stock Exchange is closed, or on which commercial banks in California, Washington, DC and New York City are authorized by law to close;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when used in the context of a SOFR Loan, the term “Business Day” shall also exclude any day that is not also a SOFR Business Day.</w:t>
      </w:r>
    </w:p>
    <w:p>
      <w:pPr>
        <w:spacing w:after="0" w:line="179" w:lineRule="exact"/>
        <w:rPr>
          <w:sz w:val="20"/>
          <w:szCs w:val="20"/>
          <w:color w:val="auto"/>
        </w:rPr>
      </w:pPr>
    </w:p>
    <w:p>
      <w:pPr>
        <w:ind w:firstLine="1505"/>
        <w:spacing w:after="0" w:line="269" w:lineRule="auto"/>
        <w:tabs>
          <w:tab w:leader="none" w:pos="2995" w:val="left"/>
        </w:tabs>
        <w:numPr>
          <w:ilvl w:val="0"/>
          <w:numId w:val="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Article 1 of the Existing Credit Agreement is hereby amended by adding the following definitions in the appropriate alphabetical order therein:</w:t>
      </w:r>
    </w:p>
    <w:p>
      <w:pPr>
        <w:spacing w:after="0" w:line="155" w:lineRule="exact"/>
        <w:rPr>
          <w:sz w:val="20"/>
          <w:szCs w:val="20"/>
          <w:color w:val="auto"/>
        </w:rPr>
      </w:pPr>
    </w:p>
    <w:p>
      <w:pPr>
        <w:jc w:val="both"/>
        <w:ind w:left="150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Available Tenor</w:t>
      </w:r>
      <w:r>
        <w:rPr>
          <w:rFonts w:ascii="Times New Roman" w:cs="Times New Roman" w:eastAsia="Times New Roman" w:hAnsi="Times New Roman"/>
          <w:sz w:val="20"/>
          <w:szCs w:val="20"/>
          <w:color w:val="auto"/>
        </w:rPr>
        <w:t>” means, as of any date of determination with respect to the then-current Benchmark,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or similar term pursuant to Section 2.2(o).</w:t>
      </w:r>
    </w:p>
    <w:p>
      <w:pPr>
        <w:spacing w:after="0" w:line="179" w:lineRule="exact"/>
        <w:rPr>
          <w:sz w:val="20"/>
          <w:szCs w:val="20"/>
          <w:color w:val="auto"/>
        </w:rPr>
      </w:pPr>
    </w:p>
    <w:p>
      <w:pPr>
        <w:jc w:val="both"/>
        <w:ind w:left="150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w:t>
      </w:r>
      <w:r>
        <w:rPr>
          <w:rFonts w:ascii="Times New Roman" w:cs="Times New Roman" w:eastAsia="Times New Roman" w:hAnsi="Times New Roman"/>
          <w:sz w:val="20"/>
          <w:szCs w:val="20"/>
          <w:color w:val="auto"/>
        </w:rPr>
        <w:t>” means, initially, Term SOFR; provided that if a Benchmark Transition Event and its related Benchmark Replacement Date have occurred with respect to Term SOFR or the then-current Benchmark, then “Benchmark” means the applicable Benchmark Replacement to the extent that such Benchmark Replacement has replaced such prior benchmark rate pursuant to Section 2.2(o).</w:t>
      </w:r>
    </w:p>
    <w:p>
      <w:pPr>
        <w:spacing w:after="0" w:line="176" w:lineRule="exact"/>
        <w:rPr>
          <w:sz w:val="20"/>
          <w:szCs w:val="20"/>
          <w:color w:val="auto"/>
        </w:rPr>
      </w:pPr>
    </w:p>
    <w:p>
      <w:pPr>
        <w:jc w:val="both"/>
        <w:ind w:left="1500"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w:t>
      </w:r>
      <w:r>
        <w:rPr>
          <w:rFonts w:ascii="Times New Roman" w:cs="Times New Roman" w:eastAsia="Times New Roman" w:hAnsi="Times New Roman"/>
          <w:sz w:val="20"/>
          <w:szCs w:val="20"/>
          <w:color w:val="auto"/>
        </w:rPr>
        <w:t>” means, with respect to any Benchmark Transition Event, the sum of: (a) the alternate benchmark rate that has been selected by Agent and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and (b) the related Benchmark Replacement Adjustment; provided that, if such Benchmark Replacement as so determined would be less than the Floor, such Benchmark Replacement will be deemed to be the Floor for the purposes of this Agreement and the other Financing Documents.</w:t>
      </w:r>
    </w:p>
    <w:p>
      <w:pPr>
        <w:spacing w:after="0" w:line="182" w:lineRule="exact"/>
        <w:rPr>
          <w:sz w:val="20"/>
          <w:szCs w:val="20"/>
          <w:color w:val="auto"/>
        </w:rPr>
      </w:pPr>
    </w:p>
    <w:p>
      <w:pPr>
        <w:jc w:val="both"/>
        <w:ind w:left="150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 Adjustment</w:t>
      </w:r>
      <w:r>
        <w:rPr>
          <w:rFonts w:ascii="Times New Roman" w:cs="Times New Roman" w:eastAsia="Times New Roman" w:hAnsi="Times New Roman"/>
          <w:sz w:val="20"/>
          <w:szCs w:val="20"/>
          <w:color w:val="auto"/>
        </w:rPr>
        <w:t>” 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Agent and Borrower giving due consideration to any selection or recommendation by the Relevant Governmental Body, or any evolving or then-prevailing market convention at such time, for determining a spread adjustment, or method for calculating or determining such spread adjustment, for such type of replacement for U.S. dollar-denominated syndicated credit facilities.</w:t>
      </w:r>
    </w:p>
    <w:p>
      <w:pPr>
        <w:spacing w:after="0" w:line="179" w:lineRule="exact"/>
        <w:rPr>
          <w:sz w:val="20"/>
          <w:szCs w:val="20"/>
          <w:color w:val="auto"/>
        </w:rPr>
      </w:pPr>
    </w:p>
    <w:p>
      <w:pPr>
        <w:jc w:val="both"/>
        <w:ind w:left="1500"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 Date</w:t>
      </w:r>
      <w:r>
        <w:rPr>
          <w:rFonts w:ascii="Times New Roman" w:cs="Times New Roman" w:eastAsia="Times New Roman" w:hAnsi="Times New Roman"/>
          <w:sz w:val="20"/>
          <w:szCs w:val="20"/>
          <w:color w:val="auto"/>
        </w:rPr>
        <w:t>” means the earlier to occur of the following events with respect to the then-current Benchmark: (a)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2" w:name="page123"/>
    <w:bookmarkEnd w:id="122"/>
    <w:p>
      <w:pPr>
        <w:jc w:val="both"/>
        <w:ind w:left="1500"/>
        <w:spacing w:after="0" w:line="243" w:lineRule="auto"/>
        <w:rPr>
          <w:sz w:val="20"/>
          <w:szCs w:val="20"/>
          <w:color w:val="auto"/>
        </w:rPr>
      </w:pPr>
      <w:r>
        <w:rPr>
          <w:rFonts w:ascii="Times New Roman" w:cs="Times New Roman" w:eastAsia="Times New Roman" w:hAnsi="Times New Roman"/>
          <w:sz w:val="20"/>
          <w:szCs w:val="20"/>
          <w:color w:val="auto"/>
        </w:rPr>
        <w:t>Benchmark (or such component thereof); or (b)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even if any Available Tenor of such Benchmark (or such component thereof) continues to be provided on such date. 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81" w:lineRule="exact"/>
        <w:rPr>
          <w:sz w:val="20"/>
          <w:szCs w:val="20"/>
          <w:color w:val="auto"/>
        </w:rPr>
      </w:pPr>
    </w:p>
    <w:p>
      <w:pPr>
        <w:jc w:val="both"/>
        <w:ind w:left="1500"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Transition Event</w:t>
      </w:r>
      <w:r>
        <w:rPr>
          <w:rFonts w:ascii="Times New Roman" w:cs="Times New Roman" w:eastAsia="Times New Roman" w:hAnsi="Times New Roman"/>
          <w:sz w:val="20"/>
          <w:szCs w:val="20"/>
          <w:color w:val="auto"/>
        </w:rPr>
        <w:t>” means the occurrence of one or more of the following events with respect to the then-current Benchmark: (a)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(b) a public statement or publication of information by the regulatory supervisor for the administrator of such Benchmark (or the published component used in the calculation thereof), the Federal Reserve Board, the Federal Reserve Bank of New York, an insolvency official or resolution authority with jurisdiction over the administrator for such Benchmark (or such component), or a court or an entity with similar insolvency or resolution authority,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(c)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9" w:lineRule="exact"/>
        <w:rPr>
          <w:sz w:val="20"/>
          <w:szCs w:val="20"/>
          <w:color w:val="auto"/>
        </w:rPr>
      </w:pPr>
    </w:p>
    <w:p>
      <w:pPr>
        <w:jc w:val="both"/>
        <w:ind w:left="1500"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Transition Start Date</w:t>
      </w:r>
      <w:r>
        <w:rPr>
          <w:rFonts w:ascii="Times New Roman" w:cs="Times New Roman" w:eastAsia="Times New Roman" w:hAnsi="Times New Roman"/>
          <w:sz w:val="20"/>
          <w:szCs w:val="20"/>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80" w:lineRule="exact"/>
        <w:rPr>
          <w:sz w:val="20"/>
          <w:szCs w:val="20"/>
          <w:color w:val="auto"/>
        </w:rPr>
      </w:pPr>
    </w:p>
    <w:p>
      <w:pPr>
        <w:jc w:val="both"/>
        <w:ind w:left="150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Unavailability Period</w:t>
      </w:r>
      <w:r>
        <w:rPr>
          <w:rFonts w:ascii="Times New Roman" w:cs="Times New Roman" w:eastAsia="Times New Roman" w:hAnsi="Times New Roman"/>
          <w:sz w:val="20"/>
          <w:szCs w:val="20"/>
          <w:color w:val="auto"/>
        </w:rPr>
        <w:t>” means the period (if any) (a) beginning at the time that a Benchmark Replacement Date pursuant to clauses (a) or (b) of that definition has occurred if, at such time, no Benchmark Replacement has replaced the then-current Benchmark for all purposes hereunder and under any Financing Document in accordance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jc w:val="both"/>
        <w:ind w:left="1500"/>
        <w:spacing w:after="0" w:line="268" w:lineRule="auto"/>
        <w:rPr>
          <w:sz w:val="20"/>
          <w:szCs w:val="20"/>
          <w:color w:val="auto"/>
        </w:rPr>
      </w:pPr>
      <w:r>
        <w:rPr>
          <w:rFonts w:ascii="Times New Roman" w:cs="Times New Roman" w:eastAsia="Times New Roman" w:hAnsi="Times New Roman"/>
          <w:sz w:val="20"/>
          <w:szCs w:val="20"/>
          <w:color w:val="auto"/>
        </w:rPr>
        <w:t>with Section 2.2(o) and (b) ending at the time that a Benchmark Replacement has replaced the then-current Benchmark for all purposes hereunder and under any Financing Document in accordance with Section 2.2(o).</w:t>
      </w:r>
    </w:p>
    <w:p>
      <w:pPr>
        <w:spacing w:after="0" w:line="157" w:lineRule="exact"/>
        <w:rPr>
          <w:sz w:val="20"/>
          <w:szCs w:val="20"/>
          <w:color w:val="auto"/>
        </w:rPr>
      </w:pPr>
    </w:p>
    <w:p>
      <w:pPr>
        <w:jc w:val="both"/>
        <w:ind w:left="1500"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Conforming Changes</w:t>
      </w:r>
      <w:r>
        <w:rPr>
          <w:rFonts w:ascii="Times New Roman" w:cs="Times New Roman" w:eastAsia="Times New Roman" w:hAnsi="Times New Roman"/>
          <w:sz w:val="20"/>
          <w:szCs w:val="20"/>
          <w:color w:val="auto"/>
        </w:rPr>
        <w:t>” means, with respect to Term SOFR or any Benchmark Replacement, any technical, administrative or operational changes (including (a) changes to the definition of “Business Day”, “Reference Time” or other definitions, (b) the addition of concepts such as “interest period”, (c) changes to timing and/or frequency of determining rates, making interest payments, giving borrowing requests, prepayment, conversion or continuation notices, or length of lookback periods, (d) the applicability of Section 2.8 (</w:t>
      </w:r>
      <w:r>
        <w:rPr>
          <w:rFonts w:ascii="Times New Roman" w:cs="Times New Roman" w:eastAsia="Times New Roman" w:hAnsi="Times New Roman"/>
          <w:sz w:val="20"/>
          <w:szCs w:val="20"/>
          <w:i w:val="1"/>
          <w:iCs w:val="1"/>
          <w:color w:val="auto"/>
        </w:rPr>
        <w:t>Taxes; Capital Adequacy; Increased Costs; Inability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Determine Rates; Illegality</w:t>
      </w:r>
      <w:r>
        <w:rPr>
          <w:rFonts w:ascii="Times New Roman" w:cs="Times New Roman" w:eastAsia="Times New Roman" w:hAnsi="Times New Roman"/>
          <w:sz w:val="20"/>
          <w:szCs w:val="20"/>
          <w:color w:val="auto"/>
        </w:rPr>
        <w:t>) and (e) other technical, administrative or operational matters) that Agent decides may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appropriate to reflect the adoption and implementation of Term SOFR or such Benchmark Replacement and to permit the administration thereof by Agent in a manner substantially consistent with market practice (or, if Agent decides that adoption of any portion of such market practice is not administratively feasible or determines that no such market practice exists, in such other manner as Agent decides is reasonably necessary in connection with the administration of this Agreement and the other Financing Documents).</w:t>
      </w:r>
    </w:p>
    <w:p>
      <w:pPr>
        <w:spacing w:after="0" w:line="19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Floor</w:t>
      </w:r>
      <w:r>
        <w:rPr>
          <w:rFonts w:ascii="Times New Roman" w:cs="Times New Roman" w:eastAsia="Times New Roman" w:hAnsi="Times New Roman"/>
          <w:sz w:val="20"/>
          <w:szCs w:val="20"/>
          <w:color w:val="auto"/>
        </w:rPr>
        <w:t>” means the rate per annum of interest equal to one and three quarters percent (1.75%).</w:t>
      </w:r>
    </w:p>
    <w:p>
      <w:pPr>
        <w:spacing w:after="0" w:line="216" w:lineRule="exact"/>
        <w:rPr>
          <w:sz w:val="20"/>
          <w:szCs w:val="20"/>
          <w:color w:val="auto"/>
        </w:rPr>
      </w:pPr>
    </w:p>
    <w:p>
      <w:pPr>
        <w:jc w:val="both"/>
        <w:ind w:left="1500" w:firstLine="749"/>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Reference Time</w:t>
      </w:r>
      <w:r>
        <w:rPr>
          <w:rFonts w:ascii="Times New Roman" w:cs="Times New Roman" w:eastAsia="Times New Roman" w:hAnsi="Times New Roman"/>
          <w:sz w:val="19"/>
          <w:szCs w:val="19"/>
          <w:color w:val="auto"/>
        </w:rPr>
        <w:t>” means approximately a time substantially consistent with market practice two (2) SOFR Business Days prior to the first day of each calendar month. If by 5:00 pm (New York City time) on any interest lookback day, Term SOFR in respect of such interest lookback day has not been published on the SOFR Administrator’s Website, then Term SOFR for such interest lookback day will be Term SOFR as published in respect of the first preceding SOFR Business Day for which Term SOFR was published on the SOFR Administrator’s Website; provided that such first preceding SOFR Business Day is not more than three (3) SOFR Business Days prior to such interest lookback day.</w:t>
      </w:r>
    </w:p>
    <w:p>
      <w:pPr>
        <w:spacing w:after="0" w:line="167" w:lineRule="exact"/>
        <w:rPr>
          <w:sz w:val="20"/>
          <w:szCs w:val="20"/>
          <w:color w:val="auto"/>
        </w:rPr>
      </w:pPr>
    </w:p>
    <w:p>
      <w:pPr>
        <w:jc w:val="both"/>
        <w:ind w:left="150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Governmental Body</w:t>
      </w:r>
      <w:r>
        <w:rPr>
          <w:rFonts w:ascii="Times New Roman" w:cs="Times New Roman" w:eastAsia="Times New Roman" w:hAnsi="Times New Roman"/>
          <w:sz w:val="20"/>
          <w:szCs w:val="20"/>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69" w:lineRule="exact"/>
        <w:rPr>
          <w:sz w:val="20"/>
          <w:szCs w:val="20"/>
          <w:color w:val="auto"/>
        </w:rPr>
      </w:pPr>
    </w:p>
    <w:p>
      <w:pPr>
        <w:jc w:val="both"/>
        <w:ind w:left="150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w:t>
      </w:r>
      <w:r>
        <w:rPr>
          <w:rFonts w:ascii="Times New Roman" w:cs="Times New Roman" w:eastAsia="Times New Roman" w:hAnsi="Times New Roman"/>
          <w:sz w:val="20"/>
          <w:szCs w:val="20"/>
          <w:color w:val="auto"/>
        </w:rPr>
        <w:t>” means, with respect to any SOFR Business Day, a rate per annum equal to the secured overnight financing rate for such SOFR Business Day.</w:t>
      </w:r>
    </w:p>
    <w:p>
      <w:pPr>
        <w:spacing w:after="0" w:line="152" w:lineRule="exact"/>
        <w:rPr>
          <w:sz w:val="20"/>
          <w:szCs w:val="20"/>
          <w:color w:val="auto"/>
        </w:rPr>
      </w:pPr>
    </w:p>
    <w:p>
      <w:pPr>
        <w:jc w:val="both"/>
        <w:ind w:left="1500"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Administrator</w:t>
      </w:r>
      <w:r>
        <w:rPr>
          <w:rFonts w:ascii="Times New Roman" w:cs="Times New Roman" w:eastAsia="Times New Roman" w:hAnsi="Times New Roman"/>
          <w:sz w:val="20"/>
          <w:szCs w:val="20"/>
          <w:color w:val="auto"/>
        </w:rPr>
        <w:t>” means CME Group Benchmark Administration Limited (CBA) (or a successor administrator of Term SOFR selected by Agent in its reasonable discretion).</w:t>
      </w:r>
    </w:p>
    <w:p>
      <w:pPr>
        <w:spacing w:after="0" w:line="152" w:lineRule="exact"/>
        <w:rPr>
          <w:sz w:val="20"/>
          <w:szCs w:val="20"/>
          <w:color w:val="auto"/>
        </w:rPr>
      </w:pPr>
    </w:p>
    <w:p>
      <w:pPr>
        <w:jc w:val="both"/>
        <w:ind w:left="150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Administrator’s Website</w:t>
      </w:r>
      <w:r>
        <w:rPr>
          <w:rFonts w:ascii="Times New Roman" w:cs="Times New Roman" w:eastAsia="Times New Roman" w:hAnsi="Times New Roman"/>
          <w:sz w:val="20"/>
          <w:szCs w:val="20"/>
          <w:color w:val="auto"/>
        </w:rPr>
        <w:t>” means the website of the SOFR Administrator, currently at https://www.cmegroup.com/market-data/cme-group-benchmark-administration/term-sofr.html, or any successor source for Term SOFR identified by the SOFR Administrator from time to time.</w:t>
      </w:r>
    </w:p>
    <w:p>
      <w:pPr>
        <w:spacing w:after="0" w:line="169" w:lineRule="exact"/>
        <w:rPr>
          <w:sz w:val="20"/>
          <w:szCs w:val="20"/>
          <w:color w:val="auto"/>
        </w:rPr>
      </w:pPr>
    </w:p>
    <w:p>
      <w:pPr>
        <w:jc w:val="both"/>
        <w:ind w:left="150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Business Day</w:t>
      </w:r>
      <w:r>
        <w:rPr>
          <w:rFonts w:ascii="Times New Roman" w:cs="Times New Roman" w:eastAsia="Times New Roman" w:hAnsi="Times New Roman"/>
          <w:sz w:val="20"/>
          <w:szCs w:val="20"/>
          <w:color w:val="auto"/>
        </w:rPr>
        <w:t>” means any day other than a Saturday or Sunday or a day on which the Securities Industry and Financial Markets Association recommends that the fixed income departments of its members be closed for the entire day for purposes of trading in United States government securities.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jc w:val="both"/>
        <w:ind w:left="1500"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Implementation Date</w:t>
      </w:r>
      <w:r>
        <w:rPr>
          <w:rFonts w:ascii="Times New Roman" w:cs="Times New Roman" w:eastAsia="Times New Roman" w:hAnsi="Times New Roman"/>
          <w:sz w:val="20"/>
          <w:szCs w:val="20"/>
          <w:color w:val="auto"/>
        </w:rPr>
        <w:t>” means the first day after the end of the Interest Period during which the Third Amendment shall become effective in accordance with its terms.</w:t>
      </w:r>
    </w:p>
    <w:p>
      <w:pPr>
        <w:spacing w:after="0" w:line="153" w:lineRule="exact"/>
        <w:rPr>
          <w:sz w:val="20"/>
          <w:szCs w:val="20"/>
          <w:color w:val="auto"/>
        </w:rPr>
      </w:pPr>
    </w:p>
    <w:p>
      <w:pPr>
        <w:jc w:val="both"/>
        <w:ind w:left="1500" w:right="2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Interest Rate</w:t>
      </w:r>
      <w:r>
        <w:rPr>
          <w:rFonts w:ascii="Times New Roman" w:cs="Times New Roman" w:eastAsia="Times New Roman" w:hAnsi="Times New Roman"/>
          <w:sz w:val="20"/>
          <w:szCs w:val="20"/>
          <w:color w:val="auto"/>
        </w:rPr>
        <w:t>” means, with respect to each day during which interest accrues on a Loan, the rate per annum (expressed as a percentage) equal to (a) Term SOFR for the applicable Interest Period for such day; or (b) if the then-current Benchmark has been replaced with a Benchmark Replacement pursuant to Section 2.2(o), such Benchmark Replacement for such day. Notwithstanding the foregoing, the SOFR Interest Rate shall not at any time be less the Floor.</w:t>
      </w:r>
    </w:p>
    <w:p>
      <w:pPr>
        <w:spacing w:after="0" w:line="17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Loan</w:t>
      </w:r>
      <w:r>
        <w:rPr>
          <w:rFonts w:ascii="Times New Roman" w:cs="Times New Roman" w:eastAsia="Times New Roman" w:hAnsi="Times New Roman"/>
          <w:sz w:val="20"/>
          <w:szCs w:val="20"/>
          <w:color w:val="auto"/>
        </w:rPr>
        <w:t>” means a Loan that bears interest at a rate based on Term SOFR.</w:t>
      </w:r>
    </w:p>
    <w:p>
      <w:pPr>
        <w:spacing w:after="0" w:line="216" w:lineRule="exact"/>
        <w:rPr>
          <w:sz w:val="20"/>
          <w:szCs w:val="20"/>
          <w:color w:val="auto"/>
        </w:rPr>
      </w:pPr>
    </w:p>
    <w:p>
      <w:pPr>
        <w:jc w:val="both"/>
        <w:ind w:left="150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w:t>
      </w:r>
      <w:r>
        <w:rPr>
          <w:rFonts w:ascii="Times New Roman" w:cs="Times New Roman" w:eastAsia="Times New Roman" w:hAnsi="Times New Roman"/>
          <w:sz w:val="20"/>
          <w:szCs w:val="20"/>
          <w:color w:val="auto"/>
        </w:rPr>
        <w:t>” means the greater of (a) the forward-looking term rate for a period comparable to such Interest Period based on SOFR that is published by the SOFR Administrator and is displayed on the SOFR Administrator’s Website at approximately the Reference Time for such Interest Period plus 0.11448% and (b) the Floor. Unless otherwise specified in any amendment to this Agreement entered into in accordance with Section 2.2(o), in the event that a Benchmark Replacement with respect to Term SOFR is implemented, then all references herein to Term SOFR shall be deemed references to such Benchmark Replacement.</w:t>
      </w:r>
    </w:p>
    <w:p>
      <w:pPr>
        <w:spacing w:after="0" w:line="179" w:lineRule="exact"/>
        <w:rPr>
          <w:sz w:val="20"/>
          <w:szCs w:val="20"/>
          <w:color w:val="auto"/>
        </w:rPr>
      </w:pPr>
    </w:p>
    <w:p>
      <w:pPr>
        <w:jc w:val="both"/>
        <w:ind w:left="150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Third Amendment</w:t>
      </w:r>
      <w:r>
        <w:rPr>
          <w:rFonts w:ascii="Times New Roman" w:cs="Times New Roman" w:eastAsia="Times New Roman" w:hAnsi="Times New Roman"/>
          <w:sz w:val="20"/>
          <w:szCs w:val="20"/>
          <w:color w:val="auto"/>
        </w:rPr>
        <w:t>” means that certain Third Amendment to Amended and Restated Credit and Security Agreement (Term Loan), dated as of December 28, 2022, by and among Borrowers, Agent and the Lenders party thereto.</w:t>
      </w:r>
    </w:p>
    <w:p>
      <w:pPr>
        <w:spacing w:after="0" w:line="152" w:lineRule="exact"/>
        <w:rPr>
          <w:sz w:val="20"/>
          <w:szCs w:val="20"/>
          <w:color w:val="auto"/>
        </w:rPr>
      </w:pPr>
    </w:p>
    <w:p>
      <w:pPr>
        <w:jc w:val="both"/>
        <w:ind w:left="150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56" w:lineRule="exact"/>
        <w:rPr>
          <w:sz w:val="20"/>
          <w:szCs w:val="20"/>
          <w:color w:val="auto"/>
        </w:rPr>
      </w:pPr>
    </w:p>
    <w:p>
      <w:pPr>
        <w:ind w:firstLine="1505"/>
        <w:spacing w:after="0" w:line="269" w:lineRule="auto"/>
        <w:tabs>
          <w:tab w:leader="none" w:pos="2995" w:val="left"/>
        </w:tabs>
        <w:numPr>
          <w:ilvl w:val="0"/>
          <w:numId w:val="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Article 1 of the Existing Credit Agreement is hereby amended by deleting the definitions of “Base LIBOR Rate” and “LIBOR Rate” therein in their entirety.</w:t>
      </w:r>
    </w:p>
    <w:p>
      <w:pPr>
        <w:spacing w:after="0" w:line="159" w:lineRule="exact"/>
        <w:rPr>
          <w:rFonts w:ascii="Times New Roman" w:cs="Times New Roman" w:eastAsia="Times New Roman" w:hAnsi="Times New Roman"/>
          <w:sz w:val="20"/>
          <w:szCs w:val="20"/>
          <w:color w:val="010000"/>
        </w:rPr>
      </w:pPr>
    </w:p>
    <w:p>
      <w:pPr>
        <w:ind w:left="3000" w:hanging="1495"/>
        <w:spacing w:after="0"/>
        <w:tabs>
          <w:tab w:leader="none" w:pos="3000" w:val="left"/>
        </w:tabs>
        <w:numPr>
          <w:ilvl w:val="0"/>
          <w:numId w:val="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Existing Credit Agreement is hereby amended by deleting Section 2.1(a)(iv) in its entirety.</w:t>
      </w:r>
    </w:p>
    <w:p>
      <w:pPr>
        <w:spacing w:after="0" w:line="215" w:lineRule="exact"/>
        <w:rPr>
          <w:rFonts w:ascii="Times New Roman" w:cs="Times New Roman" w:eastAsia="Times New Roman" w:hAnsi="Times New Roman"/>
          <w:sz w:val="20"/>
          <w:szCs w:val="20"/>
          <w:color w:val="010000"/>
        </w:rPr>
      </w:pPr>
    </w:p>
    <w:p>
      <w:pPr>
        <w:ind w:firstLine="1505"/>
        <w:spacing w:after="0" w:line="269" w:lineRule="auto"/>
        <w:tabs>
          <w:tab w:leader="none" w:pos="2995" w:val="left"/>
        </w:tabs>
        <w:numPr>
          <w:ilvl w:val="0"/>
          <w:numId w:val="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Section 2.2(a) of the Existing Credit Agreement is hereby amended by deleting such subsection in its entirety and replacing it with the following:</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firstLine="754"/>
        <w:spacing w:after="0" w:line="244" w:lineRule="auto"/>
        <w:tabs>
          <w:tab w:leader="none" w:pos="264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following the SOFR Implementation Date, except as expressly set forth in this Agreement, Loans and the other Obligations shall bear interest at the sum of the SOFR Interest Rate plus the Applicable Margin. Interest on the Loans shall be paid in arrears on the first (1st) day of each month and on the maturity of such Loans, whether by acceleration or otherwise. Interest on all other Obligations shall be payable upon demand. For purposes of calculating interest, all funds transferred to the Payment Account for application to any Revolving Loans shall be subject to a five (5) Business Day clearance period and all interest accruing on such funds during such clearance period shall accrue for the benefit of Agent, and not for the benefit of the Lenders.</w:t>
      </w:r>
    </w:p>
    <w:p>
      <w:pPr>
        <w:spacing w:after="0" w:line="185" w:lineRule="exact"/>
        <w:rPr>
          <w:rFonts w:ascii="Times New Roman" w:cs="Times New Roman" w:eastAsia="Times New Roman" w:hAnsi="Times New Roman"/>
          <w:sz w:val="20"/>
          <w:szCs w:val="20"/>
          <w:color w:val="auto"/>
        </w:rPr>
      </w:pPr>
    </w:p>
    <w:p>
      <w:pPr>
        <w:ind w:left="1500" w:right="20" w:firstLine="754"/>
        <w:spacing w:after="0" w:line="269" w:lineRule="auto"/>
        <w:tabs>
          <w:tab w:leader="none" w:pos="264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one or more of the following events occurs with respect to Term SOFR: (a) a public statement or publication of information by or on behalf of the SOFR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5" w:name="page126"/>
    <w:bookmarkEnd w:id="125"/>
    <w:p>
      <w:pPr>
        <w:jc w:val="both"/>
        <w:ind w:left="1500"/>
        <w:spacing w:after="0" w:line="242" w:lineRule="auto"/>
        <w:rPr>
          <w:sz w:val="20"/>
          <w:szCs w:val="20"/>
          <w:color w:val="auto"/>
        </w:rPr>
      </w:pPr>
      <w:r>
        <w:rPr>
          <w:rFonts w:ascii="Times New Roman" w:cs="Times New Roman" w:eastAsia="Times New Roman" w:hAnsi="Times New Roman"/>
          <w:sz w:val="20"/>
          <w:szCs w:val="20"/>
          <w:color w:val="auto"/>
        </w:rPr>
        <w:t>Administrator announcing that the SOFR Administrator has ceased or will cease to provide Term SOFR for a 1-month period, permanently or indefinitely, provided that, at the time of such statement or publication, there is no successor administrator that will continue to provide Term SOFR for a 1-month period; (b) a public statement or publication of information by the regulatory supervisor for the SOFR Administrator, the Federal Reserve Board, the Federal Reserve Bank of New York, an insolvency official or resolution authority with jurisdiction over the SOFR Administrator, or a court or an entity with similar insolvency or resolution authority, which states that the SOFR Administrator has ceased or will cease to provide Term SOFR for a 1-month period permanently or indefinitely, provided that, at the time of such statement or publication, there is no successor administrator that will continue to provide Term SOFR for a 1-month period; or (c) a public statement or publication of information by the regulatory supervisor for the SOFR Administrator announcing that Term SOFR for a 1-month period is no longer, or as of a specified future date will no longer be, representative and Agent has provided Borrower Representative with notice of the same, any outstanding affected SOFR Loans will be deemed to have been converted to Base Rate Loan at the end of the applicable Interest Period.</w:t>
      </w:r>
    </w:p>
    <w:p>
      <w:pPr>
        <w:spacing w:after="0" w:line="186" w:lineRule="exact"/>
        <w:rPr>
          <w:sz w:val="20"/>
          <w:szCs w:val="20"/>
          <w:color w:val="auto"/>
        </w:rPr>
      </w:pPr>
    </w:p>
    <w:p>
      <w:pPr>
        <w:jc w:val="both"/>
        <w:ind w:left="1500" w:firstLine="754"/>
        <w:spacing w:after="0" w:line="246" w:lineRule="auto"/>
        <w:tabs>
          <w:tab w:leader="none" w:pos="2644"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Term SOFR, Agent will have the right to make Conforming Changes from time to time and, notwithstanding anything to the contrary herein or in any other Financing Document, any amendments implementing such Conforming Changes will become effective without any further action or consent of any other party to this Agreement or any other Financing Document. Agent will promptly notify Borrower Representative and the Lenders of the effectiveness of any Conforming Changes.”</w:t>
      </w:r>
    </w:p>
    <w:p>
      <w:pPr>
        <w:spacing w:after="0" w:line="198" w:lineRule="exact"/>
        <w:rPr>
          <w:rFonts w:ascii="Times New Roman" w:cs="Times New Roman" w:eastAsia="Times New Roman" w:hAnsi="Times New Roman"/>
          <w:sz w:val="20"/>
          <w:szCs w:val="20"/>
          <w:color w:val="auto"/>
        </w:rPr>
      </w:pPr>
    </w:p>
    <w:p>
      <w:pPr>
        <w:ind w:firstLine="1505"/>
        <w:spacing w:after="0" w:line="269" w:lineRule="auto"/>
        <w:tabs>
          <w:tab w:leader="none" w:pos="2995" w:val="left"/>
        </w:tabs>
        <w:numPr>
          <w:ilvl w:val="0"/>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new subsection (o) is hereby added to Section 2.2 of the Existing Credit Agreement in the appropriate alphabetical order therein to read as follows:</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20"/>
          <w:szCs w:val="20"/>
          <w:u w:val="single" w:color="auto"/>
          <w:color w:val="auto"/>
        </w:rPr>
        <w:t>Benchmark Replacement Setting; Conforming Changes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right="100" w:firstLine="5"/>
        <w:spacing w:after="0" w:line="242" w:lineRule="auto"/>
        <w:tabs>
          <w:tab w:leader="none" w:pos="189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a Benchmark Transition Event, Agent and Borrowers may amend this Agreement to replace the then-current Benchmark with a Benchmark Replacement. Any such amendment will become effective at 5:00 p.m. (New York City time) on the fifth (5th) Business Day after Agent has posted such proposed amendment to all Lenders and Borrower so long as Agent has not received, by such time, written notice of objection thereto from Lenders comprising the Required Lenders. No such replacement will occur prior to the applicable Benchmark Transition Start Date. In connection with the implementation of a Benchmark Replacement, Agent will have the right to make Conforming Changes from time to time and, notwithstanding anything to the contrary herein or in any other Financing Document, any amendments implementing such Conforming Changes will become effective without any further action or consent of any other party to this Agreement or any other Financing Document. Agent will promptly notify Borrower Representative and the Lenders of the implementation of any Benchmark Replacement and the effectiveness of any Conforming Changes.</w:t>
      </w:r>
    </w:p>
    <w:p>
      <w:pPr>
        <w:spacing w:after="0" w:line="189" w:lineRule="exact"/>
        <w:rPr>
          <w:rFonts w:ascii="Times New Roman" w:cs="Times New Roman" w:eastAsia="Times New Roman" w:hAnsi="Times New Roman"/>
          <w:sz w:val="20"/>
          <w:szCs w:val="20"/>
          <w:color w:val="auto"/>
        </w:rPr>
      </w:pPr>
    </w:p>
    <w:p>
      <w:pPr>
        <w:jc w:val="both"/>
        <w:ind w:left="1500" w:right="100" w:firstLine="5"/>
        <w:spacing w:after="0" w:line="246" w:lineRule="auto"/>
        <w:tabs>
          <w:tab w:leader="none" w:pos="189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determination, decision or election that may be made by Agent or, if applicable, any Lender (or group of Lenders) pursuant to this Section will be conclusive and binding absent manifest error and may be made in its or their sole discretion and without consent from any other party to this Agreement or any other Financing Document, except, in each case, as expressly required pursuant to this Section. Notwithstanding anything to the contrary herein or in any other Financing Document, at any time, (a) if the then-current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jc w:val="both"/>
        <w:ind w:left="1500" w:right="100"/>
        <w:spacing w:after="0" w:line="242" w:lineRule="auto"/>
        <w:rPr>
          <w:sz w:val="20"/>
          <w:szCs w:val="20"/>
          <w:color w:val="auto"/>
        </w:rPr>
      </w:pPr>
      <w:r>
        <w:rPr>
          <w:rFonts w:ascii="Times New Roman" w:cs="Times New Roman" w:eastAsia="Times New Roman" w:hAnsi="Times New Roman"/>
          <w:sz w:val="20"/>
          <w:szCs w:val="20"/>
          <w:color w:val="auto"/>
        </w:rPr>
        <w:t>Benchmark is a term rate (including Term SOFR) and either (i) any tenor for such Benchmark is not displayed on a screen or other information service that publishes such rate from time to time as selected by Agent in its reasonable discretion or (ii) the regulatory supervisor for the administrator of such Benchmark has provided a public statement or publication of information announcing that any tenor for such Benchmark is or will be no longer representative, then Agent may modify the definition of “Interest Period” (or any similar or analogous definition) for any Benchmark settings at or after such time to remove such unavailable or non-representative tenor, and (b) if a tenor that was removed pursuant to clause (a) above either (i) is subsequently displayed on a screen or information service for a Benchmark or (ii) is not, or is no longer, subject to an announcement that it is or will no longer be representative for a Benchmark, then Agent may modify the definition of “Interest Period” (or any similar or analogous definition) for all Benchmark settings at or after such time to reinstate such previously removed tenor. Agent will promptly notify Borrower Representative of the removal or reinstatement of any tenor of a Benchmark pursuant to this Section.</w:t>
      </w:r>
    </w:p>
    <w:p>
      <w:pPr>
        <w:spacing w:after="0" w:line="189" w:lineRule="exact"/>
        <w:rPr>
          <w:sz w:val="20"/>
          <w:szCs w:val="20"/>
          <w:color w:val="auto"/>
        </w:rPr>
      </w:pPr>
    </w:p>
    <w:p>
      <w:pPr>
        <w:jc w:val="both"/>
        <w:ind w:left="1500" w:right="100" w:firstLine="5"/>
        <w:spacing w:after="0" w:line="254" w:lineRule="auto"/>
        <w:tabs>
          <w:tab w:leader="none" w:pos="189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Borrower Representative’s receipt of notice of the commencement of a Benchmark Unavailability Period, any outstanding affected Loans will be deemed to have been converted into Base Rate Loans at the end of the applicable Interest Period.”</w:t>
      </w:r>
    </w:p>
    <w:p>
      <w:pPr>
        <w:spacing w:after="0" w:line="188" w:lineRule="exact"/>
        <w:rPr>
          <w:sz w:val="20"/>
          <w:szCs w:val="20"/>
          <w:color w:val="auto"/>
        </w:rPr>
      </w:pPr>
    </w:p>
    <w:p>
      <w:pPr>
        <w:ind w:left="3000" w:hanging="1495"/>
        <w:spacing w:after="0"/>
        <w:tabs>
          <w:tab w:leader="none" w:pos="3000" w:val="left"/>
        </w:tabs>
        <w:numPr>
          <w:ilvl w:val="0"/>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Section 2.8 of the Existing Credit Agreement is hereby amended by:</w:t>
      </w:r>
    </w:p>
    <w:p>
      <w:pPr>
        <w:spacing w:after="0" w:line="216" w:lineRule="exact"/>
        <w:rPr>
          <w:sz w:val="20"/>
          <w:szCs w:val="20"/>
          <w:color w:val="auto"/>
        </w:rPr>
      </w:pPr>
    </w:p>
    <w:p>
      <w:pPr>
        <w:ind w:left="2260"/>
        <w:spacing w:after="0"/>
        <w:tabs>
          <w:tab w:leader="none" w:pos="3740" w:val="left"/>
        </w:tabs>
        <w:rPr>
          <w:sz w:val="20"/>
          <w:szCs w:val="20"/>
          <w:color w:val="auto"/>
        </w:rPr>
      </w:pPr>
      <w:r>
        <w:rPr>
          <w:rFonts w:ascii="Times New Roman" w:cs="Times New Roman" w:eastAsia="Times New Roman" w:hAnsi="Times New Roman"/>
          <w:sz w:val="20"/>
          <w:szCs w:val="20"/>
          <w:color w:val="010000"/>
        </w:rPr>
        <w:t>(i)</w:t>
      </w:r>
      <w:r>
        <w:rPr>
          <w:sz w:val="20"/>
          <w:szCs w:val="20"/>
          <w:color w:val="auto"/>
        </w:rPr>
        <w:tab/>
      </w:r>
      <w:r>
        <w:rPr>
          <w:rFonts w:ascii="Times New Roman" w:cs="Times New Roman" w:eastAsia="Times New Roman" w:hAnsi="Times New Roman"/>
          <w:sz w:val="20"/>
          <w:szCs w:val="20"/>
          <w:color w:val="auto"/>
        </w:rPr>
        <w:t>deleting the name of such Section in its entirety and restating it as follows:</w:t>
      </w:r>
    </w:p>
    <w:p>
      <w:pPr>
        <w:spacing w:after="0" w:line="21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2.8</w:t>
      </w:r>
      <w:r>
        <w:rPr>
          <w:sz w:val="20"/>
          <w:szCs w:val="20"/>
          <w:color w:val="auto"/>
        </w:rPr>
        <w:tab/>
      </w:r>
      <w:r>
        <w:rPr>
          <w:rFonts w:ascii="Times New Roman" w:cs="Times New Roman" w:eastAsia="Times New Roman" w:hAnsi="Times New Roman"/>
          <w:sz w:val="19"/>
          <w:szCs w:val="19"/>
          <w:u w:val="single" w:color="auto"/>
          <w:color w:val="auto"/>
        </w:rPr>
        <w:t>Taxes; Capital Adequacy; Increased Costs; Inability to Determine Rates; Illegality</w:t>
      </w:r>
      <w:r>
        <w:rPr>
          <w:rFonts w:ascii="Times New Roman" w:cs="Times New Roman" w:eastAsia="Times New Roman" w:hAnsi="Times New Roman"/>
          <w:sz w:val="19"/>
          <w:szCs w:val="19"/>
          <w:color w:val="auto"/>
        </w:rPr>
        <w:t>.”</w:t>
      </w:r>
    </w:p>
    <w:p>
      <w:pPr>
        <w:spacing w:after="0" w:line="22" w:lineRule="exact"/>
        <w:rPr>
          <w:sz w:val="20"/>
          <w:szCs w:val="20"/>
          <w:color w:val="auto"/>
        </w:rPr>
      </w:pPr>
    </w:p>
    <w:p>
      <w:pPr>
        <w:ind w:left="3760" w:hanging="1506"/>
        <w:spacing w:after="0"/>
        <w:tabs>
          <w:tab w:leader="none" w:pos="3760" w:val="left"/>
        </w:tabs>
        <w:numPr>
          <w:ilvl w:val="0"/>
          <w:numId w:val="7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deleting subsection (g) thereof in its entirety</w:t>
      </w:r>
    </w:p>
    <w:p>
      <w:pPr>
        <w:spacing w:after="0" w:line="193" w:lineRule="exact"/>
        <w:rPr>
          <w:rFonts w:ascii="Times New Roman" w:cs="Times New Roman" w:eastAsia="Times New Roman" w:hAnsi="Times New Roman"/>
          <w:sz w:val="20"/>
          <w:szCs w:val="20"/>
          <w:color w:val="010000"/>
        </w:rPr>
      </w:pPr>
    </w:p>
    <w:p>
      <w:pPr>
        <w:ind w:left="3760" w:hanging="1506"/>
        <w:spacing w:after="0"/>
        <w:tabs>
          <w:tab w:leader="none" w:pos="3760" w:val="left"/>
        </w:tabs>
        <w:numPr>
          <w:ilvl w:val="0"/>
          <w:numId w:val="7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renumbering the existing clause (h) as new clause (g) therein; and</w:t>
      </w:r>
    </w:p>
    <w:p>
      <w:pPr>
        <w:spacing w:after="0" w:line="215" w:lineRule="exact"/>
        <w:rPr>
          <w:rFonts w:ascii="Times New Roman" w:cs="Times New Roman" w:eastAsia="Times New Roman" w:hAnsi="Times New Roman"/>
          <w:sz w:val="20"/>
          <w:szCs w:val="20"/>
          <w:color w:val="010000"/>
        </w:rPr>
      </w:pPr>
    </w:p>
    <w:p>
      <w:pPr>
        <w:ind w:left="3760" w:hanging="1506"/>
        <w:spacing w:after="0"/>
        <w:tabs>
          <w:tab w:leader="none" w:pos="3760" w:val="left"/>
        </w:tabs>
        <w:numPr>
          <w:ilvl w:val="0"/>
          <w:numId w:val="7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adding the following new clause (h) in the appropriate alphabetical order therein:</w:t>
      </w:r>
    </w:p>
    <w:p>
      <w:pPr>
        <w:spacing w:after="0" w:line="216" w:lineRule="exact"/>
        <w:rPr>
          <w:sz w:val="20"/>
          <w:szCs w:val="20"/>
          <w:color w:val="auto"/>
        </w:rPr>
      </w:pPr>
    </w:p>
    <w:p>
      <w:pPr>
        <w:jc w:val="both"/>
        <w:ind w:left="1500"/>
        <w:spacing w:after="0" w:line="244" w:lineRule="auto"/>
        <w:rPr>
          <w:sz w:val="20"/>
          <w:szCs w:val="20"/>
          <w:color w:val="auto"/>
        </w:rPr>
      </w:pPr>
      <w:r>
        <w:rPr>
          <w:rFonts w:ascii="Times New Roman" w:cs="Times New Roman" w:eastAsia="Times New Roman" w:hAnsi="Times New Roman"/>
          <w:sz w:val="20"/>
          <w:szCs w:val="20"/>
          <w:color w:val="auto"/>
        </w:rPr>
        <w:t>“(h) If any Lender shall reasonably determine that the adoption or taking effect of, or any change in, any applicable Law shall (i) impose, modify or deem applicable any reserve, special deposit, compulsory loan, insurance charge or similar requirement against assets of, deposits with or for the account of, or credit extended or participated in by, any Lender, (ii) subject any Lender to any tax of any kind whatsoever with respect to this Agreement, or any SOFR Loan made by it, or change the basis of taxation of payments to such Lender in respect thereof (except for Taxes covered by Section 2.8); or</w:t>
      </w:r>
    </w:p>
    <w:p>
      <w:pPr>
        <w:jc w:val="both"/>
        <w:ind w:left="1500" w:firstLine="5"/>
        <w:spacing w:after="0"/>
        <w:tabs>
          <w:tab w:leader="none" w:pos="18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any other condition, cost or expense affecting this Agreement or SOFR Loans made by such Lender, and the result of any of the foregoing shall be to increase the cost to such Lender of making or maintaining any Loan the interest on which is determined by reference to Term SOFR (or of maintaining its obligation to make any such Loan), or to reduce the amount of any sum received or receivable by such Lender (whether of principal, interest or any other amount) then, upon request of such Lender, the Borrowers will pay to such Lender such additional amount or amounts as will compensate such Lender for such additional costs incurred or reduction suffered.”</w:t>
      </w:r>
    </w:p>
    <w:p>
      <w:pPr>
        <w:spacing w:after="0" w:line="204" w:lineRule="exact"/>
        <w:rPr>
          <w:rFonts w:ascii="Times New Roman" w:cs="Times New Roman" w:eastAsia="Times New Roman" w:hAnsi="Times New Roman"/>
          <w:sz w:val="20"/>
          <w:szCs w:val="20"/>
          <w:color w:val="auto"/>
        </w:rPr>
      </w:pPr>
    </w:p>
    <w:p>
      <w:pPr>
        <w:ind w:left="760" w:firstLine="1494"/>
        <w:spacing w:after="0" w:line="269" w:lineRule="auto"/>
        <w:tabs>
          <w:tab w:leader="none" w:pos="3755" w:val="left"/>
        </w:tabs>
        <w:numPr>
          <w:ilvl w:val="1"/>
          <w:numId w:val="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subsection (i) thereof, deleting the reference to “Section 2.1(a)(iv) of Section 2.8(h)” in its entirety and replacing it with “the clauses in this Section 2.8”; and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ind w:left="3760" w:hanging="1506"/>
        <w:spacing w:after="0"/>
        <w:tabs>
          <w:tab w:leader="none" w:pos="3760" w:val="left"/>
        </w:tabs>
        <w:numPr>
          <w:ilvl w:val="0"/>
          <w:numId w:val="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adding the following new clauses (j), (k) and (l) in the appropriate alphabetical order therein:</w:t>
      </w:r>
    </w:p>
    <w:p>
      <w:pPr>
        <w:spacing w:after="0" w:line="215" w:lineRule="exact"/>
        <w:rPr>
          <w:sz w:val="20"/>
          <w:szCs w:val="20"/>
          <w:color w:val="auto"/>
        </w:rPr>
      </w:pPr>
    </w:p>
    <w:p>
      <w:pPr>
        <w:jc w:val="both"/>
        <w:ind w:left="1500"/>
        <w:spacing w:after="0" w:line="244" w:lineRule="auto"/>
        <w:rPr>
          <w:sz w:val="20"/>
          <w:szCs w:val="20"/>
          <w:color w:val="auto"/>
        </w:rPr>
      </w:pPr>
      <w:r>
        <w:rPr>
          <w:rFonts w:ascii="Times New Roman" w:cs="Times New Roman" w:eastAsia="Times New Roman" w:hAnsi="Times New Roman"/>
          <w:sz w:val="20"/>
          <w:szCs w:val="20"/>
          <w:color w:val="auto"/>
        </w:rPr>
        <w:t>“(j) Subject to Section 2.2(o), if Agent determines (which determination shall be conclusive and binding absent manifest error) that Term SOFR cannot be determined pursuant to the definition thereof on or prior to the first day of any Interest Period, Agent will promptly so notify the Borrowers and each Lender. Upon notice thereof by Agent to Borrowers, any obligation of the Lenders to make SOFR Loans shall be suspended until Agent revokes such notice. Upon receipt of such notice, any outstanding affected SOFR Loans will be deemed to have been converted into Base Rate Loans at the end of the applicable Interest Period. Upon any such conversion, Borrower shall also pay any additional amounts required pursuant to this Agreement.</w:t>
      </w:r>
    </w:p>
    <w:p>
      <w:pPr>
        <w:spacing w:after="0" w:line="186" w:lineRule="exact"/>
        <w:rPr>
          <w:sz w:val="20"/>
          <w:szCs w:val="20"/>
          <w:color w:val="auto"/>
        </w:rPr>
      </w:pPr>
    </w:p>
    <w:p>
      <w:pPr>
        <w:jc w:val="both"/>
        <w:ind w:left="1500" w:firstLine="5"/>
        <w:spacing w:after="0" w:line="244" w:lineRule="auto"/>
        <w:tabs>
          <w:tab w:leader="none" w:pos="1896"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determines that any Law has made it unlawful, or that any Governmental Authority has asserted that it is unlawful, for any Lender or its applicable lending office to make, maintain or fund SOFR Loans, or to determine or charge interest rates based upon Term SOFR, then, upon notice thereof by such Lender to Borrowers (through Agent), any obligation of such Lender to make SOFR Loans shall be suspended, in each case until such Lender notifies Agent and Borrower that the circumstances giving rise to such determination no longer exist. Upon receipt of such notice, all SOFR Loans shall become Base Rate Loans. Upon any such conversion, Borrower shall also pay any additional amounts required pursuant to this Agreement.</w:t>
      </w:r>
    </w:p>
    <w:p>
      <w:pPr>
        <w:spacing w:after="0" w:line="185" w:lineRule="exact"/>
        <w:rPr>
          <w:rFonts w:ascii="Times New Roman" w:cs="Times New Roman" w:eastAsia="Times New Roman" w:hAnsi="Times New Roman"/>
          <w:sz w:val="20"/>
          <w:szCs w:val="20"/>
          <w:color w:val="auto"/>
        </w:rPr>
      </w:pPr>
    </w:p>
    <w:p>
      <w:pPr>
        <w:jc w:val="both"/>
        <w:ind w:left="1500" w:right="20" w:firstLine="5"/>
        <w:spacing w:after="0" w:line="254" w:lineRule="auto"/>
        <w:tabs>
          <w:tab w:leader="none" w:pos="1896"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party’s obligations under this Section 2.8 shall survive the resignation or replacement of Agent or any assignment of rights by, or the replacement of, a Lender, and the repayment, satisfaction or discharge of all Obligations hereunder.”</w:t>
      </w:r>
    </w:p>
    <w:p>
      <w:pPr>
        <w:spacing w:after="0" w:line="170" w:lineRule="exact"/>
        <w:rPr>
          <w:rFonts w:ascii="Times New Roman" w:cs="Times New Roman" w:eastAsia="Times New Roman" w:hAnsi="Times New Roman"/>
          <w:sz w:val="20"/>
          <w:szCs w:val="20"/>
          <w:color w:val="auto"/>
        </w:rPr>
      </w:pPr>
    </w:p>
    <w:p>
      <w:pPr>
        <w:ind w:right="20" w:firstLine="757"/>
        <w:spacing w:after="0" w:line="273" w:lineRule="auto"/>
        <w:tabs>
          <w:tab w:leader="none" w:pos="1498" w:val="left"/>
        </w:tabs>
        <w:numPr>
          <w:ilvl w:val="0"/>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Conditions to Effectiveness</w:t>
      </w:r>
      <w:r>
        <w:rPr>
          <w:rFonts w:ascii="Times New Roman" w:cs="Times New Roman" w:eastAsia="Times New Roman" w:hAnsi="Times New Roman"/>
          <w:sz w:val="20"/>
          <w:szCs w:val="20"/>
          <w:color w:val="auto"/>
        </w:rPr>
        <w:t>. This Agreement shall become effective as of the date on which each of the following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have been satisfied, as determined by Agent in its sole discretion, or waived by Agent in its discretion:</w:t>
      </w:r>
    </w:p>
    <w:p>
      <w:pPr>
        <w:spacing w:after="0" w:line="155" w:lineRule="exact"/>
        <w:rPr>
          <w:rFonts w:ascii="Times New Roman" w:cs="Times New Roman" w:eastAsia="Times New Roman" w:hAnsi="Times New Roman"/>
          <w:sz w:val="20"/>
          <w:szCs w:val="20"/>
          <w:color w:val="010000"/>
        </w:rPr>
      </w:pPr>
    </w:p>
    <w:p>
      <w:pPr>
        <w:ind w:firstLine="1505"/>
        <w:spacing w:after="0" w:line="269" w:lineRule="auto"/>
        <w:tabs>
          <w:tab w:leader="none" w:pos="2995" w:val="left"/>
        </w:tabs>
        <w:numPr>
          <w:ilvl w:val="1"/>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Agent shall have received (including by way electronic transmission) a duly authorized, executed and delivered counterpart of the signature page to this Agreement from each Borrower, Agent and each Lender; and</w:t>
      </w:r>
    </w:p>
    <w:p>
      <w:pPr>
        <w:spacing w:after="0" w:line="159" w:lineRule="exact"/>
        <w:rPr>
          <w:rFonts w:ascii="Times New Roman" w:cs="Times New Roman" w:eastAsia="Times New Roman" w:hAnsi="Times New Roman"/>
          <w:sz w:val="20"/>
          <w:szCs w:val="20"/>
          <w:color w:val="010000"/>
        </w:rPr>
      </w:pPr>
    </w:p>
    <w:p>
      <w:pPr>
        <w:ind w:firstLine="1505"/>
        <w:spacing w:after="0" w:line="269" w:lineRule="auto"/>
        <w:tabs>
          <w:tab w:leader="none" w:pos="2995" w:val="left"/>
        </w:tabs>
        <w:numPr>
          <w:ilvl w:val="1"/>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Agent shall have received a duly executed copy of the Fourth Amendment to Amended and Restated Credit and Security Agreement (Revolving Loan), dated as of the date hereof, in respect of the Affiliated Credit Agreement</w:t>
      </w:r>
    </w:p>
    <w:p>
      <w:pPr>
        <w:spacing w:after="0" w:line="155" w:lineRule="exact"/>
        <w:rPr>
          <w:rFonts w:ascii="Times New Roman" w:cs="Times New Roman" w:eastAsia="Times New Roman" w:hAnsi="Times New Roman"/>
          <w:sz w:val="20"/>
          <w:szCs w:val="20"/>
          <w:color w:val="010000"/>
        </w:rPr>
      </w:pPr>
    </w:p>
    <w:p>
      <w:pPr>
        <w:jc w:val="both"/>
        <w:ind w:firstLine="757"/>
        <w:spacing w:after="0" w:line="246" w:lineRule="auto"/>
        <w:tabs>
          <w:tab w:leader="none" w:pos="1498" w:val="left"/>
        </w:tabs>
        <w:numPr>
          <w:ilvl w:val="0"/>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No Waiver or Novation</w:t>
      </w:r>
      <w:r>
        <w:rPr>
          <w:rFonts w:ascii="Times New Roman" w:cs="Times New Roman" w:eastAsia="Times New Roman" w:hAnsi="Times New Roman"/>
          <w:sz w:val="20"/>
          <w:szCs w:val="20"/>
          <w:color w:val="auto"/>
        </w:rPr>
        <w:t>. The execution, delivery and effectiveness of this Agreement shall not operate as a waiver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spacing w:after="0" w:line="178" w:lineRule="exact"/>
        <w:rPr>
          <w:rFonts w:ascii="Times New Roman" w:cs="Times New Roman" w:eastAsia="Times New Roman" w:hAnsi="Times New Roman"/>
          <w:sz w:val="20"/>
          <w:szCs w:val="20"/>
          <w:color w:val="010000"/>
        </w:rPr>
      </w:pPr>
    </w:p>
    <w:p>
      <w:pPr>
        <w:ind w:left="1500" w:hanging="743"/>
        <w:spacing w:after="0"/>
        <w:tabs>
          <w:tab w:leader="none" w:pos="1500" w:val="left"/>
        </w:tabs>
        <w:numPr>
          <w:ilvl w:val="0"/>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010000"/>
        </w:rPr>
      </w:pPr>
    </w:p>
    <w:p>
      <w:pPr>
        <w:ind w:firstLine="1505"/>
        <w:spacing w:after="0" w:line="269" w:lineRule="auto"/>
        <w:tabs>
          <w:tab w:leader="none" w:pos="2995" w:val="left"/>
        </w:tabs>
        <w:numPr>
          <w:ilvl w:val="1"/>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Reference to the Effect on the Credit Agreement</w:t>
      </w:r>
      <w:r>
        <w:rPr>
          <w:rFonts w:ascii="Times New Roman" w:cs="Times New Roman" w:eastAsia="Times New Roman" w:hAnsi="Times New Roman"/>
          <w:sz w:val="20"/>
          <w:szCs w:val="20"/>
          <w:color w:val="auto"/>
        </w:rPr>
        <w:t>. Upon the effectiveness of this Agreement, each reference in the Credit Agreement to “this Agreement,” “hereunder,” “hereof,” “herein,”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jc w:val="both"/>
        <w:spacing w:after="0" w:line="253" w:lineRule="auto"/>
        <w:rPr>
          <w:sz w:val="20"/>
          <w:szCs w:val="20"/>
          <w:color w:val="auto"/>
        </w:rPr>
      </w:pPr>
      <w:r>
        <w:rPr>
          <w:rFonts w:ascii="Times New Roman" w:cs="Times New Roman" w:eastAsia="Times New Roman" w:hAnsi="Times New Roman"/>
          <w:sz w:val="20"/>
          <w:szCs w:val="20"/>
          <w:color w:val="auto"/>
        </w:rPr>
        <w:t>or words of similar import shall mean and be a reference to the Credit Agreement, as modified by this Agreement. Except as specifically set forth above, the Credit Agreement, and all other Financing Documents (and all covenants, terms, conditions and agreements therein), shall remain in full force and effect, and are hereby ratified and confirmed in all respects by each Credit Party.</w:t>
      </w:r>
    </w:p>
    <w:p>
      <w:pPr>
        <w:spacing w:after="0" w:line="176" w:lineRule="exact"/>
        <w:rPr>
          <w:sz w:val="20"/>
          <w:szCs w:val="20"/>
          <w:color w:val="auto"/>
        </w:rPr>
      </w:pPr>
    </w:p>
    <w:p>
      <w:pPr>
        <w:jc w:val="both"/>
        <w:ind w:firstLine="1505"/>
        <w:spacing w:after="0" w:line="246" w:lineRule="auto"/>
        <w:tabs>
          <w:tab w:leader="none" w:pos="2995" w:val="left"/>
        </w:tabs>
        <w:numPr>
          <w:ilvl w:val="0"/>
          <w:numId w:val="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THIS AGREEMENT AND ALL DISPUTES AND OTHER MATTERS RELATING HERETO OR ARISING THEREFROM (WHETHER SOUNDING IN CONTRACT LAW, TORT LAW OR OTHERWISE), SHALL BE GOVERNED BY, AND SHALL BE CONSTRUED AND ENFORCED IN ACCORDANCE WITH, THE LAWS OF THE STATE OF NEW YORK, WITHOUT REGARD TO ITS CONFLICT OF LAWS PRINCIPLES (OTHER THAN SECTION 5-1401 OF THE GENERAL OBLIGATIONS LAW).</w:t>
      </w:r>
    </w:p>
    <w:p>
      <w:pPr>
        <w:spacing w:after="0" w:line="184" w:lineRule="exact"/>
        <w:rPr>
          <w:rFonts w:ascii="Times New Roman" w:cs="Times New Roman" w:eastAsia="Times New Roman" w:hAnsi="Times New Roman"/>
          <w:sz w:val="20"/>
          <w:szCs w:val="20"/>
          <w:color w:val="010000"/>
        </w:rPr>
      </w:pPr>
    </w:p>
    <w:p>
      <w:pPr>
        <w:jc w:val="both"/>
        <w:ind w:firstLine="1505"/>
        <w:spacing w:after="0" w:line="257" w:lineRule="auto"/>
        <w:tabs>
          <w:tab w:leader="none" w:pos="2995" w:val="left"/>
        </w:tabs>
        <w:numPr>
          <w:ilvl w:val="0"/>
          <w:numId w:val="7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WAIVER OF JURY TRIAL</w:t>
      </w:r>
      <w:r>
        <w:rPr>
          <w:rFonts w:ascii="Times New Roman" w:cs="Times New Roman" w:eastAsia="Times New Roman" w:hAnsi="Times New Roman"/>
          <w:sz w:val="19"/>
          <w:szCs w:val="19"/>
          <w:color w:val="auto"/>
        </w:rPr>
        <w:t>. EACH BORROWER, AGENT AND THE LENDERS PARTY HERETO HEREBY IRREVOCABLY WAIVES ANY AND ALL RIGHT TO TRIAL BY JURY IN ANY LEGAL ACTION OR PROCEEDING ARISING OUT OF OR RELATING TO THIS AGREEMENT OR THE TRANSACTIONS CONTEMPLATED HEREBY AND AGREES THAT ANY SUCH ACTION OR PROCEEDING SHALL BE TRIED BEFORE A COURT AND NOT BEFORE A JURY. EACH BORROWER, AGENT AND EACH LENDER ACKNOWLEDGES THAT THIS WAIVER IS A MATERIAL INDUCEMENT TO ENTER INTO THIS AGREEMENT, THAT EACH HAS RELIED ON THE WAIVER IN ENTERING INTO THIS AGREEMENT, AND THAT EACH WILL CONTINUE TO RELY ON THIS WAIVER IN THEIR RELATED FUTURE DEALINGS. EACH BORROWER, AGENT AND EACH LENDER WARRANTS AND REPRESENTS THAT IT HAS HAD THE OPPORTUNITY OF REVIEWING THIS JURY WAIVER WITH LEGAL COUNSEL, AND THAT IT KNOWINGLY AND VOLUNTARILY WAIVES ITS JURY TRIAL RIGHTS.</w:t>
      </w:r>
    </w:p>
    <w:p>
      <w:pPr>
        <w:spacing w:after="0" w:line="175" w:lineRule="exact"/>
        <w:rPr>
          <w:rFonts w:ascii="Times New Roman" w:cs="Times New Roman" w:eastAsia="Times New Roman" w:hAnsi="Times New Roman"/>
          <w:sz w:val="19"/>
          <w:szCs w:val="19"/>
          <w:color w:val="010000"/>
        </w:rPr>
      </w:pPr>
    </w:p>
    <w:p>
      <w:pPr>
        <w:jc w:val="both"/>
        <w:ind w:firstLine="1505"/>
        <w:spacing w:after="0" w:line="254" w:lineRule="auto"/>
        <w:tabs>
          <w:tab w:leader="none" w:pos="2995" w:val="left"/>
        </w:tabs>
        <w:numPr>
          <w:ilvl w:val="0"/>
          <w:numId w:val="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Incorporation of Credit Agreement Provisions</w:t>
      </w:r>
      <w:r>
        <w:rPr>
          <w:rFonts w:ascii="Times New Roman" w:cs="Times New Roman" w:eastAsia="Times New Roman" w:hAnsi="Times New Roman"/>
          <w:sz w:val="20"/>
          <w:szCs w:val="20"/>
          <w:color w:val="auto"/>
        </w:rPr>
        <w:t>. The provisions contained in Section 11.6 (Indemnification), Section 12.8(b) (Submission to Jurisdiction) and Section 12.9(b) (Waiver of Jury Trial) of the Credit Agreement are incorporated herein by reference to the same extent as if reproduced herein in their entirety.</w:t>
      </w:r>
    </w:p>
    <w:p>
      <w:pPr>
        <w:spacing w:after="0" w:line="174" w:lineRule="exact"/>
        <w:rPr>
          <w:rFonts w:ascii="Times New Roman" w:cs="Times New Roman" w:eastAsia="Times New Roman" w:hAnsi="Times New Roman"/>
          <w:sz w:val="20"/>
          <w:szCs w:val="20"/>
          <w:color w:val="010000"/>
        </w:rPr>
      </w:pPr>
    </w:p>
    <w:p>
      <w:pPr>
        <w:ind w:firstLine="1505"/>
        <w:spacing w:after="0" w:line="269" w:lineRule="auto"/>
        <w:tabs>
          <w:tab w:leader="none" w:pos="2995" w:val="left"/>
        </w:tabs>
        <w:numPr>
          <w:ilvl w:val="0"/>
          <w:numId w:val="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headings in this Agreement are included for convenience of reference only and shall not constitute a part of this Agreement for any other purpose.</w:t>
      </w:r>
    </w:p>
    <w:p>
      <w:pPr>
        <w:spacing w:after="0" w:line="159" w:lineRule="exact"/>
        <w:rPr>
          <w:rFonts w:ascii="Times New Roman" w:cs="Times New Roman" w:eastAsia="Times New Roman" w:hAnsi="Times New Roman"/>
          <w:sz w:val="20"/>
          <w:szCs w:val="20"/>
          <w:color w:val="010000"/>
        </w:rPr>
      </w:pPr>
    </w:p>
    <w:p>
      <w:pPr>
        <w:jc w:val="both"/>
        <w:ind w:firstLine="1505"/>
        <w:spacing w:after="0" w:line="242" w:lineRule="auto"/>
        <w:tabs>
          <w:tab w:leader="none" w:pos="2995" w:val="left"/>
        </w:tabs>
        <w:numPr>
          <w:ilvl w:val="0"/>
          <w:numId w:val="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signed in any number of counterparts, each of which shall be deemed an original and all of which when taken together shall constitute one and the same instrument. Delivery of an executed counterpart of this Agreement by facsimile or by electronic mail delivery of an electronic version (e.g., .pdf or .tif file) of an executed signature page shall be effective as delivery of an original executed counterpart hereof and shall bind the parties hereto. 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w:t>
      </w:r>
      <w:r>
        <w:rPr>
          <w:rFonts w:ascii="Times New Roman" w:cs="Times New Roman" w:eastAsia="Times New Roman" w:hAnsi="Times New Roman"/>
          <w:sz w:val="20"/>
          <w:szCs w:val="20"/>
          <w:b w:val="1"/>
          <w:bCs w:val="1"/>
          <w:color w:val="auto"/>
        </w:rPr>
        <w:t>Electronic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Signature</w:t>
      </w:r>
      <w:r>
        <w:rPr>
          <w:rFonts w:ascii="Times New Roman" w:cs="Times New Roman" w:eastAsia="Times New Roman" w:hAnsi="Times New Roman"/>
          <w:sz w:val="20"/>
          <w:szCs w:val="20"/>
          <w:color w:val="auto"/>
        </w:rPr>
        <w:t>” means an electronic sound, symbol, or process attached to, or associated with, a contract or other record and adopted by a Person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intent to sign, authenticate or accept such contract or other record.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ind w:firstLine="1505"/>
        <w:spacing w:after="0" w:line="268" w:lineRule="auto"/>
        <w:tabs>
          <w:tab w:leader="none" w:pos="2995" w:val="left"/>
        </w:tabs>
        <w:numPr>
          <w:ilvl w:val="0"/>
          <w:numId w:val="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constitutes the entire agreement and understanding among the parties hereto and supersedes any and all prior agreements and understandings, oral or written, relating to the subject matter hereof.</w:t>
      </w:r>
    </w:p>
    <w:p>
      <w:pPr>
        <w:spacing w:after="0" w:line="160" w:lineRule="exact"/>
        <w:rPr>
          <w:rFonts w:ascii="Times New Roman" w:cs="Times New Roman" w:eastAsia="Times New Roman" w:hAnsi="Times New Roman"/>
          <w:sz w:val="20"/>
          <w:szCs w:val="20"/>
          <w:color w:val="010000"/>
        </w:rPr>
      </w:pPr>
    </w:p>
    <w:p>
      <w:pPr>
        <w:jc w:val="both"/>
        <w:ind w:firstLine="1505"/>
        <w:spacing w:after="0" w:line="254" w:lineRule="auto"/>
        <w:tabs>
          <w:tab w:leader="none" w:pos="2995" w:val="left"/>
        </w:tabs>
        <w:numPr>
          <w:ilvl w:val="0"/>
          <w:numId w:val="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spacing w:after="0" w:line="174" w:lineRule="exact"/>
        <w:rPr>
          <w:sz w:val="20"/>
          <w:szCs w:val="20"/>
          <w:color w:val="auto"/>
        </w:rPr>
      </w:pPr>
    </w:p>
    <w:p>
      <w:pPr>
        <w:ind w:firstLine="1497"/>
        <w:spacing w:after="0" w:line="269" w:lineRule="auto"/>
        <w:rPr>
          <w:sz w:val="20"/>
          <w:szCs w:val="20"/>
          <w:color w:val="auto"/>
        </w:rPr>
      </w:pPr>
      <w:r>
        <w:rPr>
          <w:rFonts w:ascii="Times New Roman" w:cs="Times New Roman" w:eastAsia="Times New Roman" w:hAnsi="Times New Roman"/>
          <w:sz w:val="20"/>
          <w:szCs w:val="20"/>
          <w:color w:val="010000"/>
        </w:rPr>
        <w:t xml:space="preserve">(i) </w:t>
      </w:r>
      <w:r>
        <w:rPr>
          <w:rFonts w:ascii="Times New Roman" w:cs="Times New Roman" w:eastAsia="Times New Roman" w:hAnsi="Times New Roman"/>
          <w:sz w:val="20"/>
          <w:szCs w:val="20"/>
          <w:u w:val="single" w:color="auto"/>
          <w:color w:val="000000"/>
        </w:rPr>
        <w:t>Successors/Assigns</w:t>
      </w:r>
      <w:r>
        <w:rPr>
          <w:rFonts w:ascii="Times New Roman" w:cs="Times New Roman" w:eastAsia="Times New Roman" w:hAnsi="Times New Roman"/>
          <w:sz w:val="20"/>
          <w:szCs w:val="20"/>
          <w:color w:val="000000"/>
        </w:rPr>
        <w:t>. This Agreement shall bind, and the rights hereunder shall inure to, the respective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successors and assigns of the parties hereto, subject to the provisions of the Credit Agreement and the other Financing Documents.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[SIGNATURES APPEAR ON FOLLOWING PAGES]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intending to be legally bound, the undersigned have executed this Agreement as of the day and year first hereinabove set forth.</w:t>
      </w: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4700" w:val="left"/>
        </w:tabs>
        <w:rPr>
          <w:sz w:val="20"/>
          <w:szCs w:val="20"/>
          <w:color w:val="auto"/>
        </w:rPr>
      </w:pPr>
      <w:r>
        <w:rPr>
          <w:rFonts w:ascii="Times New Roman" w:cs="Times New Roman" w:eastAsia="Times New Roman" w:hAnsi="Times New Roman"/>
          <w:sz w:val="20"/>
          <w:szCs w:val="20"/>
          <w:b w:val="1"/>
          <w:bCs w:val="1"/>
          <w:color w:val="auto"/>
        </w:rPr>
        <w:t>AGENT:</w:t>
      </w:r>
      <w:r>
        <w:rPr>
          <w:sz w:val="20"/>
          <w:szCs w:val="20"/>
          <w:color w:val="auto"/>
        </w:rPr>
        <w:tab/>
      </w:r>
      <w:r>
        <w:rPr>
          <w:rFonts w:ascii="Times New Roman" w:cs="Times New Roman" w:eastAsia="Times New Roman" w:hAnsi="Times New Roman"/>
          <w:sz w:val="20"/>
          <w:szCs w:val="20"/>
          <w:b w:val="1"/>
          <w:bCs w:val="1"/>
          <w:color w:val="auto"/>
        </w:rPr>
        <w:t>MIDCAP FINANCIAL TRUST</w:t>
      </w:r>
    </w:p>
    <w:p>
      <w:pPr>
        <w:spacing w:after="0" w:line="23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By: Apollo Capital Management, L.P.,</w:t>
      </w:r>
    </w:p>
    <w:p>
      <w:pPr>
        <w:spacing w:after="0" w:line="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its investment manager</w:t>
      </w:r>
    </w:p>
    <w:p>
      <w:pPr>
        <w:spacing w:after="0" w:line="20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By: Apollo Capital Management GP, LLC,</w:t>
      </w:r>
    </w:p>
    <w:p>
      <w:pPr>
        <w:spacing w:after="0" w:line="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2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By: _</w:t>
      </w:r>
      <w:r>
        <w:rPr>
          <w:rFonts w:ascii="Times New Roman" w:cs="Times New Roman" w:eastAsia="Times New Roman" w:hAnsi="Times New Roman"/>
          <w:sz w:val="20"/>
          <w:szCs w:val="20"/>
          <w:u w:val="single" w:color="auto"/>
          <w:color w:val="auto"/>
        </w:rPr>
        <w:t>/s/Maurice Amsellem</w:t>
      </w:r>
      <w:r>
        <w:rPr>
          <w:rFonts w:ascii="Times New Roman" w:cs="Times New Roman" w:eastAsia="Times New Roman" w:hAnsi="Times New Roman"/>
          <w:sz w:val="20"/>
          <w:szCs w:val="20"/>
          <w:color w:val="auto"/>
        </w:rPr>
        <w:t xml:space="preserve"> _______________</w:t>
      </w:r>
    </w:p>
    <w:p>
      <w:pPr>
        <w:spacing w:after="0" w:line="2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Name: Maurice Amsellem</w:t>
      </w:r>
    </w:p>
    <w:p>
      <w:pPr>
        <w:ind w:left="476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tabs>
          <w:tab w:leader="none" w:pos="4380" w:val="left"/>
        </w:tabs>
        <w:rPr>
          <w:sz w:val="20"/>
          <w:szCs w:val="20"/>
          <w:color w:val="auto"/>
        </w:rPr>
      </w:pPr>
      <w:r>
        <w:rPr>
          <w:rFonts w:ascii="Times New Roman" w:cs="Times New Roman" w:eastAsia="Times New Roman" w:hAnsi="Times New Roman"/>
          <w:sz w:val="20"/>
          <w:szCs w:val="20"/>
          <w:b w:val="1"/>
          <w:bCs w:val="1"/>
          <w:color w:val="auto"/>
        </w:rPr>
        <w:t>LENDER:</w:t>
      </w:r>
      <w:r>
        <w:rPr>
          <w:sz w:val="20"/>
          <w:szCs w:val="20"/>
          <w:color w:val="auto"/>
        </w:rPr>
        <w:tab/>
      </w:r>
      <w:r>
        <w:rPr>
          <w:rFonts w:ascii="Times New Roman" w:cs="Times New Roman" w:eastAsia="Times New Roman" w:hAnsi="Times New Roman"/>
          <w:sz w:val="20"/>
          <w:szCs w:val="20"/>
          <w:b w:val="1"/>
          <w:bCs w:val="1"/>
          <w:color w:val="auto"/>
        </w:rPr>
        <w:t>MIDCAP FUNDING XIII TRUST</w:t>
      </w: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By: Apollo Capital Management, L.P.,</w:t>
      </w:r>
    </w:p>
    <w:p>
      <w:pPr>
        <w:spacing w:after="0" w:line="2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color w:val="auto"/>
        </w:rPr>
        <w:t>its investment manager</w:t>
      </w:r>
    </w:p>
    <w:p>
      <w:pPr>
        <w:spacing w:after="0" w:line="2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By: Apollo Capital Management GP, LLC,</w:t>
      </w:r>
    </w:p>
    <w:p>
      <w:pPr>
        <w:spacing w:after="0" w:line="2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23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color w:val="auto"/>
        </w:rPr>
        <w:t>By: _</w:t>
      </w:r>
      <w:r>
        <w:rPr>
          <w:rFonts w:ascii="Times New Roman" w:cs="Times New Roman" w:eastAsia="Times New Roman" w:hAnsi="Times New Roman"/>
          <w:sz w:val="20"/>
          <w:szCs w:val="20"/>
          <w:u w:val="single" w:color="auto"/>
          <w:color w:val="auto"/>
        </w:rPr>
        <w:t>/s/Maurice Amsellem</w:t>
      </w:r>
      <w:r>
        <w:rPr>
          <w:rFonts w:ascii="Times New Roman" w:cs="Times New Roman" w:eastAsia="Times New Roman" w:hAnsi="Times New Roman"/>
          <w:sz w:val="20"/>
          <w:szCs w:val="20"/>
          <w:color w:val="auto"/>
        </w:rPr>
        <w:t>_______________</w:t>
      </w:r>
    </w:p>
    <w:p>
      <w:pPr>
        <w:spacing w:after="0" w:line="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Name: Maurice Amsellem</w:t>
      </w:r>
    </w:p>
    <w:p>
      <w:pPr>
        <w:ind w:left="446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3116580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31" w:name="page132"/>
    <w:bookmarkEnd w:id="131"/>
    <w:p>
      <w:pPr>
        <w:spacing w:after="0"/>
        <w:tabs>
          <w:tab w:leader="none" w:pos="4480" w:val="left"/>
        </w:tabs>
        <w:rPr>
          <w:sz w:val="20"/>
          <w:szCs w:val="20"/>
          <w:color w:val="auto"/>
        </w:rPr>
      </w:pPr>
      <w:r>
        <w:rPr>
          <w:rFonts w:ascii="Times New Roman" w:cs="Times New Roman" w:eastAsia="Times New Roman" w:hAnsi="Times New Roman"/>
          <w:sz w:val="20"/>
          <w:szCs w:val="20"/>
          <w:b w:val="1"/>
          <w:bCs w:val="1"/>
          <w:color w:val="auto"/>
        </w:rPr>
        <w:t>LENDER:</w:t>
      </w:r>
      <w:r>
        <w:rPr>
          <w:sz w:val="20"/>
          <w:szCs w:val="20"/>
          <w:color w:val="auto"/>
        </w:rPr>
        <w:tab/>
      </w:r>
      <w:r>
        <w:rPr>
          <w:rFonts w:ascii="Times New Roman" w:cs="Times New Roman" w:eastAsia="Times New Roman" w:hAnsi="Times New Roman"/>
          <w:sz w:val="20"/>
          <w:szCs w:val="20"/>
          <w:b w:val="1"/>
          <w:bCs w:val="1"/>
          <w:color w:val="auto"/>
        </w:rPr>
        <w:t>ELM 2020-3 TRUST</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By: MidCap Financial Services Capital Management, LLC, as Servicer</w:t>
      </w:r>
    </w:p>
    <w:p>
      <w:pPr>
        <w:spacing w:after="0" w:line="200" w:lineRule="exact"/>
        <w:rPr>
          <w:sz w:val="20"/>
          <w:szCs w:val="20"/>
          <w:color w:val="auto"/>
        </w:rPr>
      </w:pPr>
    </w:p>
    <w:p>
      <w:pPr>
        <w:spacing w:after="0" w:line="23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By: _</w:t>
      </w:r>
      <w:r>
        <w:rPr>
          <w:rFonts w:ascii="Times New Roman" w:cs="Times New Roman" w:eastAsia="Times New Roman" w:hAnsi="Times New Roman"/>
          <w:sz w:val="20"/>
          <w:szCs w:val="20"/>
          <w:u w:val="single" w:color="auto"/>
          <w:color w:val="auto"/>
        </w:rPr>
        <w:t>/s/John O’Dea</w:t>
      </w:r>
      <w:r>
        <w:rPr>
          <w:rFonts w:ascii="Times New Roman" w:cs="Times New Roman" w:eastAsia="Times New Roman" w:hAnsi="Times New Roman"/>
          <w:sz w:val="20"/>
          <w:szCs w:val="20"/>
          <w:color w:val="auto"/>
        </w:rPr>
        <w:t>_________________</w:t>
      </w:r>
    </w:p>
    <w:p>
      <w:pPr>
        <w:spacing w:after="0" w:line="2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John O’Dea</w:t>
      </w:r>
    </w:p>
    <w:p>
      <w:pPr>
        <w:ind w:left="454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60" w:lineRule="exact"/>
        <w:rPr>
          <w:sz w:val="20"/>
          <w:szCs w:val="20"/>
          <w:color w:val="auto"/>
        </w:rPr>
      </w:pPr>
    </w:p>
    <w:p>
      <w:pPr>
        <w:ind w:left="80"/>
        <w:spacing w:after="0"/>
        <w:tabs>
          <w:tab w:leader="none" w:pos="4320" w:val="left"/>
        </w:tabs>
        <w:rPr>
          <w:sz w:val="20"/>
          <w:szCs w:val="20"/>
          <w:color w:val="auto"/>
        </w:rPr>
      </w:pPr>
      <w:r>
        <w:rPr>
          <w:rFonts w:ascii="Times New Roman" w:cs="Times New Roman" w:eastAsia="Times New Roman" w:hAnsi="Times New Roman"/>
          <w:sz w:val="20"/>
          <w:szCs w:val="20"/>
          <w:b w:val="1"/>
          <w:bCs w:val="1"/>
          <w:color w:val="auto"/>
        </w:rPr>
        <w:t>LENDER:</w:t>
      </w:r>
      <w:r>
        <w:rPr>
          <w:sz w:val="20"/>
          <w:szCs w:val="20"/>
          <w:color w:val="auto"/>
        </w:rPr>
        <w:tab/>
      </w:r>
      <w:r>
        <w:rPr>
          <w:rFonts w:ascii="Times New Roman" w:cs="Times New Roman" w:eastAsia="Times New Roman" w:hAnsi="Times New Roman"/>
          <w:sz w:val="20"/>
          <w:szCs w:val="20"/>
          <w:b w:val="1"/>
          <w:bCs w:val="1"/>
          <w:color w:val="auto"/>
        </w:rPr>
        <w:t>ELM 2020-4 TRUST</w:t>
      </w:r>
    </w:p>
    <w:p>
      <w:pPr>
        <w:spacing w:after="0" w:line="22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By: MidCap Financial Services Capital Management, LLC, as Servicer</w:t>
      </w:r>
    </w:p>
    <w:p>
      <w:pPr>
        <w:spacing w:after="0" w:line="200" w:lineRule="exact"/>
        <w:rPr>
          <w:sz w:val="20"/>
          <w:szCs w:val="20"/>
          <w:color w:val="auto"/>
        </w:rPr>
      </w:pPr>
    </w:p>
    <w:p>
      <w:pPr>
        <w:spacing w:after="0" w:line="23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By: _</w:t>
      </w:r>
      <w:r>
        <w:rPr>
          <w:rFonts w:ascii="Times New Roman" w:cs="Times New Roman" w:eastAsia="Times New Roman" w:hAnsi="Times New Roman"/>
          <w:sz w:val="20"/>
          <w:szCs w:val="20"/>
          <w:u w:val="single" w:color="auto"/>
          <w:color w:val="auto"/>
        </w:rPr>
        <w:t>/s/John O’Dea</w:t>
      </w:r>
      <w:r>
        <w:rPr>
          <w:rFonts w:ascii="Times New Roman" w:cs="Times New Roman" w:eastAsia="Times New Roman" w:hAnsi="Times New Roman"/>
          <w:sz w:val="20"/>
          <w:szCs w:val="20"/>
          <w:color w:val="auto"/>
        </w:rPr>
        <w:t>_____________________</w:t>
      </w:r>
    </w:p>
    <w:p>
      <w:pPr>
        <w:spacing w:after="0" w:line="2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Name: John O’Dea</w:t>
      </w:r>
    </w:p>
    <w:p>
      <w:pPr>
        <w:ind w:left="454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340" w:top="369" w:right="1419" w:bottom="1440" w:gutter="0" w:footer="0" w:header="0"/>
        </w:sectPr>
      </w:pPr>
    </w:p>
    <w:bookmarkStart w:id="132" w:name="page133"/>
    <w:bookmarkEnd w:id="132"/>
    <w:p>
      <w:pPr>
        <w:spacing w:after="0"/>
        <w:tabs>
          <w:tab w:leader="none" w:pos="3160" w:val="left"/>
        </w:tabs>
        <w:rPr>
          <w:sz w:val="20"/>
          <w:szCs w:val="20"/>
          <w:color w:val="auto"/>
        </w:rPr>
      </w:pPr>
      <w:r>
        <w:rPr>
          <w:rFonts w:ascii="Times New Roman" w:cs="Times New Roman" w:eastAsia="Times New Roman" w:hAnsi="Times New Roman"/>
          <w:sz w:val="20"/>
          <w:szCs w:val="20"/>
          <w:b w:val="1"/>
          <w:bCs w:val="1"/>
          <w:color w:val="auto"/>
        </w:rPr>
        <w:t>BORROWER:</w:t>
      </w:r>
      <w:r>
        <w:rPr>
          <w:sz w:val="20"/>
          <w:szCs w:val="20"/>
          <w:color w:val="auto"/>
        </w:rPr>
        <w:tab/>
      </w:r>
      <w:r>
        <w:rPr>
          <w:rFonts w:ascii="Times New Roman" w:cs="Times New Roman" w:eastAsia="Times New Roman" w:hAnsi="Times New Roman"/>
          <w:sz w:val="20"/>
          <w:szCs w:val="20"/>
          <w:b w:val="1"/>
          <w:bCs w:val="1"/>
          <w:color w:val="auto"/>
        </w:rPr>
        <w:t>SIGHT SCIENCES, INC.</w:t>
      </w:r>
    </w:p>
    <w:p>
      <w:pPr>
        <w:spacing w:after="0" w:line="200" w:lineRule="exact"/>
        <w:rPr>
          <w:sz w:val="20"/>
          <w:szCs w:val="20"/>
          <w:color w:val="auto"/>
        </w:rPr>
      </w:pPr>
    </w:p>
    <w:p>
      <w:pPr>
        <w:spacing w:after="0" w:line="2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By: _</w:t>
      </w:r>
      <w:r>
        <w:rPr>
          <w:rFonts w:ascii="Times New Roman" w:cs="Times New Roman" w:eastAsia="Times New Roman" w:hAnsi="Times New Roman"/>
          <w:sz w:val="19"/>
          <w:szCs w:val="19"/>
          <w:u w:val="single" w:color="auto"/>
          <w:color w:val="auto"/>
        </w:rPr>
        <w:t>/s/Jesse Selnick</w:t>
      </w:r>
      <w:r>
        <w:rPr>
          <w:rFonts w:ascii="Times New Roman" w:cs="Times New Roman" w:eastAsia="Times New Roman" w:hAnsi="Times New Roman"/>
          <w:sz w:val="19"/>
          <w:szCs w:val="19"/>
          <w:color w:val="auto"/>
        </w:rPr>
        <w:t xml:space="preserve"> __________________</w:t>
      </w:r>
    </w:p>
    <w:p>
      <w:pPr>
        <w:spacing w:after="0" w:line="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_</w:t>
      </w:r>
      <w:r>
        <w:rPr>
          <w:rFonts w:ascii="Times New Roman" w:cs="Times New Roman" w:eastAsia="Times New Roman" w:hAnsi="Times New Roman"/>
          <w:sz w:val="19"/>
          <w:szCs w:val="19"/>
          <w:u w:val="single" w:color="auto"/>
          <w:color w:val="auto"/>
        </w:rPr>
        <w:t>Jesse Selnick</w:t>
      </w:r>
      <w:r>
        <w:rPr>
          <w:rFonts w:ascii="Times New Roman" w:cs="Times New Roman" w:eastAsia="Times New Roman" w:hAnsi="Times New Roman"/>
          <w:sz w:val="19"/>
          <w:szCs w:val="19"/>
          <w:color w:val="auto"/>
        </w:rPr>
        <w:t>__________________</w:t>
      </w:r>
    </w:p>
    <w:p>
      <w:pPr>
        <w:spacing w:after="0" w:line="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Title: _</w:t>
      </w:r>
      <w:r>
        <w:rPr>
          <w:rFonts w:ascii="Times New Roman" w:cs="Times New Roman" w:eastAsia="Times New Roman" w:hAnsi="Times New Roman"/>
          <w:sz w:val="19"/>
          <w:szCs w:val="19"/>
          <w:u w:val="single" w:color="auto"/>
          <w:color w:val="auto"/>
        </w:rPr>
        <w:t>Chief Financial Officer</w:t>
      </w:r>
      <w:r>
        <w:rPr>
          <w:rFonts w:ascii="Times New Roman" w:cs="Times New Roman" w:eastAsia="Times New Roman" w:hAnsi="Times New Roman"/>
          <w:sz w:val="19"/>
          <w:szCs w:val="19"/>
          <w:color w:val="auto"/>
        </w:rPr>
        <w:t>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56" w:right="1440" w:bottom="1440" w:gutter="0" w:footer="0" w:header="0"/>
        </w:sectPr>
      </w:pPr>
    </w:p>
    <w:bookmarkStart w:id="133" w:name="page134"/>
    <w:bookmarkEnd w:id="133"/>
    <w:p>
      <w:pPr>
        <w:ind w:left="10120"/>
        <w:spacing w:after="0"/>
        <w:rPr>
          <w:sz w:val="20"/>
          <w:szCs w:val="20"/>
          <w:color w:val="auto"/>
        </w:rPr>
      </w:pPr>
      <w:r>
        <w:rPr>
          <w:rFonts w:ascii="Times New Roman" w:cs="Times New Roman" w:eastAsia="Times New Roman" w:hAnsi="Times New Roman"/>
          <w:sz w:val="19"/>
          <w:szCs w:val="19"/>
          <w:b w:val="1"/>
          <w:bCs w:val="1"/>
          <w:color w:val="auto"/>
        </w:rPr>
        <w:t>Exhibit 10.20</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9"/>
          <w:szCs w:val="19"/>
          <w:b w:val="1"/>
          <w:bCs w:val="1"/>
          <w:u w:val="single" w:color="auto"/>
          <w:color w:val="auto"/>
        </w:rPr>
        <w:t>FOURTH AMENDMENT TO AMENDED AND RESTATED CREDIT AND SECURITY AGREEMENT (REVOLVING LOAN)</w:t>
      </w:r>
    </w:p>
    <w:p>
      <w:pPr>
        <w:spacing w:after="0" w:line="285" w:lineRule="exact"/>
        <w:rPr>
          <w:sz w:val="20"/>
          <w:szCs w:val="20"/>
          <w:color w:val="auto"/>
        </w:rPr>
      </w:pPr>
    </w:p>
    <w:p>
      <w:pPr>
        <w:jc w:val="both"/>
        <w:ind w:firstLine="396"/>
        <w:spacing w:after="0" w:line="246" w:lineRule="auto"/>
        <w:rPr>
          <w:sz w:val="20"/>
          <w:szCs w:val="20"/>
          <w:color w:val="auto"/>
        </w:rPr>
      </w:pPr>
      <w:r>
        <w:rPr>
          <w:rFonts w:ascii="Times New Roman" w:cs="Times New Roman" w:eastAsia="Times New Roman" w:hAnsi="Times New Roman"/>
          <w:sz w:val="20"/>
          <w:szCs w:val="20"/>
          <w:color w:val="auto"/>
        </w:rPr>
        <w:t>This FOURTH AMENDMENT TO AMENDED AND RESTATED CREDIT AND SECURITY AGREEMENT (REVOLVING LOAN)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xml:space="preserve">”) is made as of this </w:t>
      </w:r>
      <w:r>
        <w:rPr>
          <w:rFonts w:ascii="Times New Roman" w:cs="Times New Roman" w:eastAsia="Times New Roman" w:hAnsi="Times New Roman"/>
          <w:sz w:val="20"/>
          <w:szCs w:val="20"/>
          <w:u w:val="single" w:color="auto"/>
          <w:color w:val="auto"/>
        </w:rPr>
        <w:t>28th</w:t>
      </w:r>
      <w:r>
        <w:rPr>
          <w:rFonts w:ascii="Times New Roman" w:cs="Times New Roman" w:eastAsia="Times New Roman" w:hAnsi="Times New Roman"/>
          <w:sz w:val="20"/>
          <w:szCs w:val="20"/>
          <w:color w:val="auto"/>
        </w:rPr>
        <w:t xml:space="preserve"> day of December, 2022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xml:space="preserve">”), by and among </w:t>
      </w:r>
      <w:r>
        <w:rPr>
          <w:rFonts w:ascii="Times New Roman" w:cs="Times New Roman" w:eastAsia="Times New Roman" w:hAnsi="Times New Roman"/>
          <w:sz w:val="20"/>
          <w:szCs w:val="20"/>
          <w:b w:val="1"/>
          <w:bCs w:val="1"/>
          <w:color w:val="auto"/>
        </w:rPr>
        <w:t>SIGHT SCIENCES, INC.</w:t>
      </w:r>
      <w:r>
        <w:rPr>
          <w:rFonts w:ascii="Times New Roman" w:cs="Times New Roman" w:eastAsia="Times New Roman" w:hAnsi="Times New Roman"/>
          <w:sz w:val="20"/>
          <w:szCs w:val="20"/>
          <w:color w:val="auto"/>
        </w:rPr>
        <w:t>, a Delaware corporation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MIDCAP FUNDING IV TRUST</w:t>
      </w:r>
      <w:r>
        <w:rPr>
          <w:rFonts w:ascii="Times New Roman" w:cs="Times New Roman" w:eastAsia="Times New Roman" w:hAnsi="Times New Roman"/>
          <w:sz w:val="20"/>
          <w:szCs w:val="20"/>
          <w:color w:val="auto"/>
        </w:rPr>
        <w:t>, as Agent for Lenders (in such capacity and together with its permitted successors and assigns, the “</w:t>
      </w:r>
      <w:r>
        <w:rPr>
          <w:rFonts w:ascii="Times New Roman" w:cs="Times New Roman" w:eastAsia="Times New Roman" w:hAnsi="Times New Roman"/>
          <w:sz w:val="20"/>
          <w:szCs w:val="20"/>
          <w:b w:val="1"/>
          <w:bCs w:val="1"/>
          <w:color w:val="auto"/>
        </w:rPr>
        <w:t>Agent</w:t>
      </w:r>
      <w:r>
        <w:rPr>
          <w:rFonts w:ascii="Times New Roman" w:cs="Times New Roman" w:eastAsia="Times New Roman" w:hAnsi="Times New Roman"/>
          <w:sz w:val="20"/>
          <w:szCs w:val="20"/>
          <w:color w:val="auto"/>
        </w:rPr>
        <w:t>”) and the other financial institutions or other entities from time to time parties to the Credit Agreement referenced below, each as a Lender.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firstLine="757"/>
        <w:spacing w:after="0" w:line="243" w:lineRule="auto"/>
        <w:tabs>
          <w:tab w:leader="none" w:pos="1613"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Lenders and Borrower have entered into that certain Amended and Restated Credit and Security Agreement (Revolving Loan), dated as of November 23, 2020 (as amended by that certain First Amendment to Amended and Restated Credit and Security Agreement (Revolving Loan), dated as of October 5, 2021, that certain Second Amendment to Amended and Restated Credit and Security Agreement (Revolving Loan), dated as of November 15, 2021 and that certain Third Amendment to Amended and Restated Credit and Security Agreement (Revolving Loan), dated as of May 10, 2022, and as further amended, restated, amended and restated, supplemented and/or otherwise modified prior to the date hereof, the “</w:t>
      </w:r>
      <w:r>
        <w:rPr>
          <w:rFonts w:ascii="Times New Roman" w:cs="Times New Roman" w:eastAsia="Times New Roman" w:hAnsi="Times New Roman"/>
          <w:sz w:val="20"/>
          <w:szCs w:val="20"/>
          <w:b w:val="1"/>
          <w:bCs w:val="1"/>
          <w:color w:val="auto"/>
        </w:rPr>
        <w:t>Existing Credit Agreement</w:t>
      </w:r>
      <w:r>
        <w:rPr>
          <w:rFonts w:ascii="Times New Roman" w:cs="Times New Roman" w:eastAsia="Times New Roman" w:hAnsi="Times New Roman"/>
          <w:sz w:val="20"/>
          <w:szCs w:val="20"/>
          <w:color w:val="auto"/>
        </w:rPr>
        <w:t>” and as the same is amended hereby and as it may be further amended, restated, amended and restated, supplemented and/or otherwise modified from time to time, the “</w:t>
      </w:r>
      <w:r>
        <w:rPr>
          <w:rFonts w:ascii="Times New Roman" w:cs="Times New Roman" w:eastAsia="Times New Roman" w:hAnsi="Times New Roman"/>
          <w:sz w:val="20"/>
          <w:szCs w:val="20"/>
          <w:b w:val="1"/>
          <w:bCs w:val="1"/>
          <w:color w:val="auto"/>
        </w:rPr>
        <w:t>Credit Agreement</w:t>
      </w:r>
      <w:r>
        <w:rPr>
          <w:rFonts w:ascii="Times New Roman" w:cs="Times New Roman" w:eastAsia="Times New Roman" w:hAnsi="Times New Roman"/>
          <w:sz w:val="20"/>
          <w:szCs w:val="20"/>
          <w:color w:val="auto"/>
        </w:rPr>
        <w:t>”), pursuant to which the Lenders have agreed to make certain advances of money and to extend certain financial accommodations to Borrower in the amounts and manner set forth in the Credit Agreement.</w:t>
      </w:r>
    </w:p>
    <w:p>
      <w:pPr>
        <w:spacing w:after="0" w:line="200" w:lineRule="exact"/>
        <w:rPr>
          <w:rFonts w:ascii="Times New Roman" w:cs="Times New Roman" w:eastAsia="Times New Roman" w:hAnsi="Times New Roman"/>
          <w:sz w:val="20"/>
          <w:szCs w:val="20"/>
          <w:color w:val="auto"/>
        </w:rPr>
      </w:pPr>
    </w:p>
    <w:p>
      <w:pPr>
        <w:spacing w:after="0" w:line="215" w:lineRule="exact"/>
        <w:rPr>
          <w:rFonts w:ascii="Times New Roman" w:cs="Times New Roman" w:eastAsia="Times New Roman" w:hAnsi="Times New Roman"/>
          <w:sz w:val="20"/>
          <w:szCs w:val="20"/>
          <w:color w:val="auto"/>
        </w:rPr>
      </w:pPr>
    </w:p>
    <w:p>
      <w:pPr>
        <w:ind w:firstLine="757"/>
        <w:spacing w:after="0" w:line="269" w:lineRule="auto"/>
        <w:tabs>
          <w:tab w:leader="none" w:pos="1613"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has requested, and Agent and the Lenders have agreed, to amend certain provisions of the Existing Credit Agreement, in each case, in accordance with the terms and subject to the conditions set forth herein.</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foregoing, the terms and conditions set forth in this Agreement, and other good and valuable consideration, the receipt and sufficiency of which are hereby acknowledged, Agent, Lenders, and Borrower hereby agree as follows:</w:t>
      </w:r>
    </w:p>
    <w:p>
      <w:pPr>
        <w:spacing w:after="0" w:line="170" w:lineRule="exact"/>
        <w:rPr>
          <w:sz w:val="20"/>
          <w:szCs w:val="20"/>
          <w:color w:val="auto"/>
        </w:rPr>
      </w:pPr>
    </w:p>
    <w:p>
      <w:pPr>
        <w:jc w:val="both"/>
        <w:ind w:firstLine="757"/>
        <w:spacing w:after="0" w:line="247" w:lineRule="auto"/>
        <w:tabs>
          <w:tab w:leader="none" w:pos="1498" w:val="left"/>
        </w:tabs>
        <w:numPr>
          <w:ilvl w:val="0"/>
          <w:numId w:val="8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Recitals; Construction</w:t>
      </w:r>
      <w:r>
        <w:rPr>
          <w:rFonts w:ascii="Times New Roman" w:cs="Times New Roman" w:eastAsia="Times New Roman" w:hAnsi="Times New Roman"/>
          <w:sz w:val="20"/>
          <w:szCs w:val="20"/>
          <w:color w:val="auto"/>
        </w:rPr>
        <w:t>. This Agreement shall constitute a Financing Document and the Recitals and each reference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Credit Agreement, unless otherwise expressly noted, will be deemed to reference the Credit Agreement as modified hereby. The Recitals set forth above shall be construed as part of this Agreement as if set forth fully in the body of this Agreement. Capitalized terms used but not otherwise defined herein shall have the meanings ascribed to them in the Credit Agreement (including those capitalized terms used in the Recitals hereto).</w:t>
      </w:r>
    </w:p>
    <w:p>
      <w:pPr>
        <w:spacing w:after="0" w:line="180" w:lineRule="exact"/>
        <w:rPr>
          <w:rFonts w:ascii="Times New Roman" w:cs="Times New Roman" w:eastAsia="Times New Roman" w:hAnsi="Times New Roman"/>
          <w:sz w:val="20"/>
          <w:szCs w:val="20"/>
          <w:color w:val="010000"/>
        </w:rPr>
      </w:pPr>
    </w:p>
    <w:p>
      <w:pPr>
        <w:jc w:val="both"/>
        <w:ind w:firstLine="757"/>
        <w:spacing w:after="0" w:line="250" w:lineRule="auto"/>
        <w:tabs>
          <w:tab w:leader="none" w:pos="1498" w:val="left"/>
        </w:tabs>
        <w:numPr>
          <w:ilvl w:val="0"/>
          <w:numId w:val="8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Amendments to Credit Agreement</w:t>
      </w:r>
      <w:r>
        <w:rPr>
          <w:rFonts w:ascii="Times New Roman" w:cs="Times New Roman" w:eastAsia="Times New Roman" w:hAnsi="Times New Roman"/>
          <w:sz w:val="20"/>
          <w:szCs w:val="20"/>
          <w:color w:val="auto"/>
        </w:rPr>
        <w:t>. Subject to the terms and conditions in this Agreement, including, without limitation,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conditions to effectiveness set forth in Section 3 below, effective as of the Effective Date, the Existing Credit Agreement is hereby amended as follows, which amendments to the Existing Credit Agreement are effective as of the first day after the end of the Interest Period during which this Agreement becomes effective in accordance with Section 3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4" w:name="page135"/>
    <w:bookmarkEnd w:id="134"/>
    <w:p>
      <w:pPr>
        <w:ind w:left="3000" w:hanging="1495"/>
        <w:spacing w:after="0"/>
        <w:tabs>
          <w:tab w:leader="none" w:pos="3000" w:val="left"/>
        </w:tabs>
        <w:numPr>
          <w:ilvl w:val="0"/>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definition of “Business Day” appearing in Article 1 of the Existing Credit Agreement is hereby</w:t>
      </w:r>
    </w:p>
    <w:p>
      <w:pPr>
        <w:spacing w:after="0" w:line="20"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amended and restated as follows:</w:t>
      </w:r>
    </w:p>
    <w:p>
      <w:pPr>
        <w:spacing w:after="0" w:line="190" w:lineRule="exact"/>
        <w:rPr>
          <w:sz w:val="20"/>
          <w:szCs w:val="20"/>
          <w:color w:val="auto"/>
        </w:rPr>
      </w:pPr>
    </w:p>
    <w:p>
      <w:pPr>
        <w:jc w:val="both"/>
        <w:ind w:left="150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xml:space="preserve">” means any day except a Saturday, Sunday or other day on which either the New York Stock Exchange is closed, or on which commercial banks in California, Washington, DC and New York City are authorized by law to close;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when used in the context of a SOFR Loan, the term “Business Day” shall also exclude any day that is not also a SOFR Business Day.</w:t>
      </w:r>
    </w:p>
    <w:p>
      <w:pPr>
        <w:spacing w:after="0" w:line="180" w:lineRule="exact"/>
        <w:rPr>
          <w:sz w:val="20"/>
          <w:szCs w:val="20"/>
          <w:color w:val="auto"/>
        </w:rPr>
      </w:pPr>
    </w:p>
    <w:p>
      <w:pPr>
        <w:ind w:firstLine="1505"/>
        <w:spacing w:after="0" w:line="269" w:lineRule="auto"/>
        <w:tabs>
          <w:tab w:leader="none" w:pos="2995" w:val="left"/>
        </w:tabs>
        <w:numPr>
          <w:ilvl w:val="0"/>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Article 1 of the Existing Credit Agreement is hereby amended by adding the following definitions in the appropriate alphabetical order therein:</w:t>
      </w:r>
    </w:p>
    <w:p>
      <w:pPr>
        <w:spacing w:after="0" w:line="155" w:lineRule="exact"/>
        <w:rPr>
          <w:sz w:val="20"/>
          <w:szCs w:val="20"/>
          <w:color w:val="auto"/>
        </w:rPr>
      </w:pPr>
    </w:p>
    <w:p>
      <w:pPr>
        <w:jc w:val="both"/>
        <w:ind w:left="150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Available Tenor</w:t>
      </w:r>
      <w:r>
        <w:rPr>
          <w:rFonts w:ascii="Times New Roman" w:cs="Times New Roman" w:eastAsia="Times New Roman" w:hAnsi="Times New Roman"/>
          <w:sz w:val="20"/>
          <w:szCs w:val="20"/>
          <w:color w:val="auto"/>
        </w:rPr>
        <w:t>” means, as of any date of determination with respect to the then-current Benchmark,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or similar term pursuant to Section 2.2(o).</w:t>
      </w:r>
    </w:p>
    <w:p>
      <w:pPr>
        <w:spacing w:after="0" w:line="179" w:lineRule="exact"/>
        <w:rPr>
          <w:sz w:val="20"/>
          <w:szCs w:val="20"/>
          <w:color w:val="auto"/>
        </w:rPr>
      </w:pPr>
    </w:p>
    <w:p>
      <w:pPr>
        <w:jc w:val="both"/>
        <w:ind w:left="150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w:t>
      </w:r>
      <w:r>
        <w:rPr>
          <w:rFonts w:ascii="Times New Roman" w:cs="Times New Roman" w:eastAsia="Times New Roman" w:hAnsi="Times New Roman"/>
          <w:sz w:val="20"/>
          <w:szCs w:val="20"/>
          <w:color w:val="auto"/>
        </w:rPr>
        <w:t>” means, initially, Term SOFR; provided that if a Benchmark Transition Event and its related Benchmark Replacement Date have occurred with respect to Term SOFR or the then-current Benchmark, then “Benchmark” means the applicable Benchmark Replacement to the extent that such Benchmark Replacement has replaced such prior benchmark rate pursuant to Section 2.2(o).</w:t>
      </w:r>
    </w:p>
    <w:p>
      <w:pPr>
        <w:spacing w:after="0" w:line="176" w:lineRule="exact"/>
        <w:rPr>
          <w:sz w:val="20"/>
          <w:szCs w:val="20"/>
          <w:color w:val="auto"/>
        </w:rPr>
      </w:pPr>
    </w:p>
    <w:p>
      <w:pPr>
        <w:jc w:val="both"/>
        <w:ind w:left="1500"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w:t>
      </w:r>
      <w:r>
        <w:rPr>
          <w:rFonts w:ascii="Times New Roman" w:cs="Times New Roman" w:eastAsia="Times New Roman" w:hAnsi="Times New Roman"/>
          <w:sz w:val="20"/>
          <w:szCs w:val="20"/>
          <w:color w:val="auto"/>
        </w:rPr>
        <w:t>” means, with respect to any Benchmark Transition Event, the sum of: (a) the alternate benchmark rate that has been selected by Agent and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and (b) the related Benchmark Replacement Adjustment; provided that, if such Benchmark Replacement as so determined would be less than the Floor, such Benchmark Replacement will be deemed to be the Floor for the purposes of this Agreement and the other Financing Documents.</w:t>
      </w:r>
    </w:p>
    <w:p>
      <w:pPr>
        <w:spacing w:after="0" w:line="182" w:lineRule="exact"/>
        <w:rPr>
          <w:sz w:val="20"/>
          <w:szCs w:val="20"/>
          <w:color w:val="auto"/>
        </w:rPr>
      </w:pPr>
    </w:p>
    <w:p>
      <w:pPr>
        <w:jc w:val="both"/>
        <w:ind w:left="150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 Adjustment</w:t>
      </w:r>
      <w:r>
        <w:rPr>
          <w:rFonts w:ascii="Times New Roman" w:cs="Times New Roman" w:eastAsia="Times New Roman" w:hAnsi="Times New Roman"/>
          <w:sz w:val="20"/>
          <w:szCs w:val="20"/>
          <w:color w:val="auto"/>
        </w:rPr>
        <w:t>” 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Agent and Borrower giving due consideration to any selection or recommendation by the Relevant Governmental Body, or any evolving or then-prevailing market convention at such time, for determining a spread adjustment, or method for calculating or determining such spread adjustment, for such type of replacement for U.S. dollar-denominated syndicated credit facilities.</w:t>
      </w:r>
    </w:p>
    <w:p>
      <w:pPr>
        <w:spacing w:after="0" w:line="179" w:lineRule="exact"/>
        <w:rPr>
          <w:sz w:val="20"/>
          <w:szCs w:val="20"/>
          <w:color w:val="auto"/>
        </w:rPr>
      </w:pPr>
    </w:p>
    <w:p>
      <w:pPr>
        <w:jc w:val="both"/>
        <w:ind w:left="150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 Date</w:t>
      </w:r>
      <w:r>
        <w:rPr>
          <w:rFonts w:ascii="Times New Roman" w:cs="Times New Roman" w:eastAsia="Times New Roman" w:hAnsi="Times New Roman"/>
          <w:sz w:val="20"/>
          <w:szCs w:val="20"/>
          <w:color w:val="auto"/>
        </w:rPr>
        <w:t>” means the earlier to occur of the following events with respect to the then-current Benchmark: (a) in the case of clause (a) or (b) of the definition of “Benchmark Transition Event”, the later of (i) the date of the public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jc w:val="both"/>
        <w:ind w:left="1500"/>
        <w:spacing w:after="0" w:line="242" w:lineRule="auto"/>
        <w:rPr>
          <w:sz w:val="20"/>
          <w:szCs w:val="20"/>
          <w:color w:val="auto"/>
        </w:rPr>
      </w:pPr>
      <w:r>
        <w:rPr>
          <w:rFonts w:ascii="Times New Roman" w:cs="Times New Roman" w:eastAsia="Times New Roman" w:hAnsi="Times New Roman"/>
          <w:sz w:val="20"/>
          <w:szCs w:val="20"/>
          <w:color w:val="auto"/>
        </w:rPr>
        <w:t>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 (b)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even if any Available Tenor of such Benchmark (or such component thereof) continues to be provided on such date. 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85" w:lineRule="exact"/>
        <w:rPr>
          <w:sz w:val="20"/>
          <w:szCs w:val="20"/>
          <w:color w:val="auto"/>
        </w:rPr>
      </w:pPr>
    </w:p>
    <w:p>
      <w:pPr>
        <w:jc w:val="both"/>
        <w:ind w:left="1500"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Transition Event</w:t>
      </w:r>
      <w:r>
        <w:rPr>
          <w:rFonts w:ascii="Times New Roman" w:cs="Times New Roman" w:eastAsia="Times New Roman" w:hAnsi="Times New Roman"/>
          <w:sz w:val="20"/>
          <w:szCs w:val="20"/>
          <w:color w:val="auto"/>
        </w:rPr>
        <w:t>” means the occurrence of one or more of the following events with respect to the then-current Benchmark: (a)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(b) a public statement or publication of information by the regulatory supervisor for the administrator of such Benchmark (or the published component used in the calculation thereof), the Federal Reserve Board, the Federal Reserve Bank of New York, an insolvency official or resolution authority with jurisdiction over the administrator for such Benchmark (or such component), or a court or an entity with similar insolvency or resolution authority,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(c)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9" w:lineRule="exact"/>
        <w:rPr>
          <w:sz w:val="20"/>
          <w:szCs w:val="20"/>
          <w:color w:val="auto"/>
        </w:rPr>
      </w:pPr>
    </w:p>
    <w:p>
      <w:pPr>
        <w:jc w:val="both"/>
        <w:ind w:left="1500"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Transition Start Date</w:t>
      </w:r>
      <w:r>
        <w:rPr>
          <w:rFonts w:ascii="Times New Roman" w:cs="Times New Roman" w:eastAsia="Times New Roman" w:hAnsi="Times New Roman"/>
          <w:sz w:val="20"/>
          <w:szCs w:val="20"/>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jc w:val="both"/>
        <w:ind w:left="1500"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Unavailability Period</w:t>
      </w:r>
      <w:r>
        <w:rPr>
          <w:rFonts w:ascii="Times New Roman" w:cs="Times New Roman" w:eastAsia="Times New Roman" w:hAnsi="Times New Roman"/>
          <w:sz w:val="20"/>
          <w:szCs w:val="20"/>
          <w:color w:val="auto"/>
        </w:rPr>
        <w:t>” means the period (if any) (a) beginning at the time that a Benchmark Replacement Date pursuant to clauses (a) or (b) of that definition has occurred if, at such time, no Benchmark Replacement has replaced the then-current Benchmark for all purposes hereunder and under any Financing Document in accordance with Section 2.2(o) and (b) ending at the time that a Benchmark Replacement has replaced the then-current Benchmark for all purposes hereunder and under any Financing Document in accordance with Section 2.2(o).</w:t>
      </w:r>
    </w:p>
    <w:p>
      <w:pPr>
        <w:spacing w:after="0" w:line="179" w:lineRule="exact"/>
        <w:rPr>
          <w:sz w:val="20"/>
          <w:szCs w:val="20"/>
          <w:color w:val="auto"/>
        </w:rPr>
      </w:pPr>
    </w:p>
    <w:p>
      <w:pPr>
        <w:jc w:val="both"/>
        <w:ind w:left="1500"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Conforming Changes</w:t>
      </w:r>
      <w:r>
        <w:rPr>
          <w:rFonts w:ascii="Times New Roman" w:cs="Times New Roman" w:eastAsia="Times New Roman" w:hAnsi="Times New Roman"/>
          <w:sz w:val="20"/>
          <w:szCs w:val="20"/>
          <w:color w:val="auto"/>
        </w:rPr>
        <w:t>” means, with respect to Term SOFR or any Benchmark Replacement, any technical, administrative or operational changes (including (a) changes to the definition of “Business Day”, “Reference Time” or other definitions, (b) the addition of concepts such as “interest period”, (c) changes to timing and/or frequency of determining rates, making interest payments, giving borrowing requests, prepayment, conversion or continuation notices, or length of lookback periods, (d) the applicability of Section 2.8 (</w:t>
      </w:r>
      <w:r>
        <w:rPr>
          <w:rFonts w:ascii="Times New Roman" w:cs="Times New Roman" w:eastAsia="Times New Roman" w:hAnsi="Times New Roman"/>
          <w:sz w:val="20"/>
          <w:szCs w:val="20"/>
          <w:i w:val="1"/>
          <w:iCs w:val="1"/>
          <w:color w:val="auto"/>
        </w:rPr>
        <w:t>Taxes; Capital Adequacy; Increased Costs; Inability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Determine Rates; Illegality</w:t>
      </w:r>
      <w:r>
        <w:rPr>
          <w:rFonts w:ascii="Times New Roman" w:cs="Times New Roman" w:eastAsia="Times New Roman" w:hAnsi="Times New Roman"/>
          <w:sz w:val="20"/>
          <w:szCs w:val="20"/>
          <w:color w:val="auto"/>
        </w:rPr>
        <w:t>) and (e) other technical, administrative or operational matters) that Agent decides may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appropriate to reflect the adoption and implementation of Term SOFR or such Benchmark Replacement and to permit the administration thereof by Agent in a manner substantially consistent with market practice (or, if Agent decides that adoption of any portion of such market practice is not administratively feasible or determines that no such market practice exists, in such other manner as Agent decides is reasonably necessary in connection with the administration of this Agreement and the other Financing Documents).</w:t>
      </w:r>
    </w:p>
    <w:p>
      <w:pPr>
        <w:spacing w:after="0" w:line="19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Floor</w:t>
      </w:r>
      <w:r>
        <w:rPr>
          <w:rFonts w:ascii="Times New Roman" w:cs="Times New Roman" w:eastAsia="Times New Roman" w:hAnsi="Times New Roman"/>
          <w:sz w:val="20"/>
          <w:szCs w:val="20"/>
          <w:color w:val="auto"/>
        </w:rPr>
        <w:t>” means the rate per annum of interest equal to one and three quarters percent (1.75%).</w:t>
      </w:r>
    </w:p>
    <w:p>
      <w:pPr>
        <w:spacing w:after="0" w:line="216" w:lineRule="exact"/>
        <w:rPr>
          <w:sz w:val="20"/>
          <w:szCs w:val="20"/>
          <w:color w:val="auto"/>
        </w:rPr>
      </w:pPr>
    </w:p>
    <w:p>
      <w:pPr>
        <w:jc w:val="both"/>
        <w:ind w:left="150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Fourth Amendment</w:t>
      </w:r>
      <w:r>
        <w:rPr>
          <w:rFonts w:ascii="Times New Roman" w:cs="Times New Roman" w:eastAsia="Times New Roman" w:hAnsi="Times New Roman"/>
          <w:sz w:val="20"/>
          <w:szCs w:val="20"/>
          <w:color w:val="auto"/>
        </w:rPr>
        <w:t>” means that certain Fourth Amendment to Amended and Restated Credit and Security Agreement (Revolving Loan), dated as of December 28, 2022, by and among Borrowers, Agent and the Lenders party thereto.</w:t>
      </w:r>
    </w:p>
    <w:p>
      <w:pPr>
        <w:spacing w:after="0" w:line="169" w:lineRule="exact"/>
        <w:rPr>
          <w:sz w:val="20"/>
          <w:szCs w:val="20"/>
          <w:color w:val="auto"/>
        </w:rPr>
      </w:pPr>
    </w:p>
    <w:p>
      <w:pPr>
        <w:jc w:val="both"/>
        <w:ind w:left="1500" w:firstLine="749"/>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Reference Time</w:t>
      </w:r>
      <w:r>
        <w:rPr>
          <w:rFonts w:ascii="Times New Roman" w:cs="Times New Roman" w:eastAsia="Times New Roman" w:hAnsi="Times New Roman"/>
          <w:sz w:val="19"/>
          <w:szCs w:val="19"/>
          <w:color w:val="auto"/>
        </w:rPr>
        <w:t>” means approximately a time substantially consistent with market practice two (2) SOFR Business Days prior to the first day of each calendar month. If by 5:00 pm (New York City time) on any interest lookback day, Term SOFR in respect of such interest lookback day has not been published on the SOFR Administrator’s Website, then Term SOFR for such interest lookback day will be Term SOFR as published in respect of the first preceding SOFR Business Day for which Term SOFR was published on the SOFR Administrator’s Website; provided that such first preceding SOFR Business Day is not more than three (3) SOFR Business Days prior to such interest lookback day.</w:t>
      </w:r>
    </w:p>
    <w:p>
      <w:pPr>
        <w:spacing w:after="0" w:line="167" w:lineRule="exact"/>
        <w:rPr>
          <w:sz w:val="20"/>
          <w:szCs w:val="20"/>
          <w:color w:val="auto"/>
        </w:rPr>
      </w:pPr>
    </w:p>
    <w:p>
      <w:pPr>
        <w:jc w:val="both"/>
        <w:ind w:left="150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Governmental Body</w:t>
      </w:r>
      <w:r>
        <w:rPr>
          <w:rFonts w:ascii="Times New Roman" w:cs="Times New Roman" w:eastAsia="Times New Roman" w:hAnsi="Times New Roman"/>
          <w:sz w:val="20"/>
          <w:szCs w:val="20"/>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69" w:lineRule="exact"/>
        <w:rPr>
          <w:sz w:val="20"/>
          <w:szCs w:val="20"/>
          <w:color w:val="auto"/>
        </w:rPr>
      </w:pPr>
    </w:p>
    <w:p>
      <w:pPr>
        <w:jc w:val="both"/>
        <w:ind w:left="150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w:t>
      </w:r>
      <w:r>
        <w:rPr>
          <w:rFonts w:ascii="Times New Roman" w:cs="Times New Roman" w:eastAsia="Times New Roman" w:hAnsi="Times New Roman"/>
          <w:sz w:val="20"/>
          <w:szCs w:val="20"/>
          <w:color w:val="auto"/>
        </w:rPr>
        <w:t>” means, with respect to any SOFR Business Day, a rate per annum equal to the secured overnight financing rate for such SOFR Business Day.</w:t>
      </w:r>
    </w:p>
    <w:p>
      <w:pPr>
        <w:spacing w:after="0" w:line="152" w:lineRule="exact"/>
        <w:rPr>
          <w:sz w:val="20"/>
          <w:szCs w:val="20"/>
          <w:color w:val="auto"/>
        </w:rPr>
      </w:pPr>
    </w:p>
    <w:p>
      <w:pPr>
        <w:jc w:val="both"/>
        <w:ind w:left="1500"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Administrator</w:t>
      </w:r>
      <w:r>
        <w:rPr>
          <w:rFonts w:ascii="Times New Roman" w:cs="Times New Roman" w:eastAsia="Times New Roman" w:hAnsi="Times New Roman"/>
          <w:sz w:val="20"/>
          <w:szCs w:val="20"/>
          <w:color w:val="auto"/>
        </w:rPr>
        <w:t>” means CME Group Benchmark Administration Limited (CBA) (or a successor administrator of Term SOFR selected by Agent in its reasonable discretion).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7" w:name="page138"/>
    <w:bookmarkEnd w:id="137"/>
    <w:p>
      <w:pPr>
        <w:jc w:val="both"/>
        <w:ind w:left="1500"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Administrator’s Website</w:t>
      </w:r>
      <w:r>
        <w:rPr>
          <w:rFonts w:ascii="Times New Roman" w:cs="Times New Roman" w:eastAsia="Times New Roman" w:hAnsi="Times New Roman"/>
          <w:sz w:val="20"/>
          <w:szCs w:val="20"/>
          <w:color w:val="auto"/>
        </w:rPr>
        <w:t>” means the website of the SOFR Administrator, currently at https://www.cmegroup.com/market-data/cme-group-benchmark-administration/term-sofr.html, or any successor source for Term SOFR identified by the SOFR Administrator from time to time.</w:t>
      </w:r>
    </w:p>
    <w:p>
      <w:pPr>
        <w:spacing w:after="0" w:line="171" w:lineRule="exact"/>
        <w:rPr>
          <w:sz w:val="20"/>
          <w:szCs w:val="20"/>
          <w:color w:val="auto"/>
        </w:rPr>
      </w:pPr>
    </w:p>
    <w:p>
      <w:pPr>
        <w:jc w:val="both"/>
        <w:ind w:left="150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Business Day</w:t>
      </w:r>
      <w:r>
        <w:rPr>
          <w:rFonts w:ascii="Times New Roman" w:cs="Times New Roman" w:eastAsia="Times New Roman" w:hAnsi="Times New Roman"/>
          <w:sz w:val="20"/>
          <w:szCs w:val="20"/>
          <w:color w:val="auto"/>
        </w:rPr>
        <w:t>” means any day other than a Saturday or Sunday or a day on which the Securities Industry and Financial Markets Association recommends that the fixed income departments of its members be closed for the entire day for purposes of trading in United States government securities.</w:t>
      </w:r>
    </w:p>
    <w:p>
      <w:pPr>
        <w:spacing w:after="0" w:line="169" w:lineRule="exact"/>
        <w:rPr>
          <w:sz w:val="20"/>
          <w:szCs w:val="20"/>
          <w:color w:val="auto"/>
        </w:rPr>
      </w:pPr>
    </w:p>
    <w:p>
      <w:pPr>
        <w:jc w:val="both"/>
        <w:ind w:left="150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Implementation Date</w:t>
      </w:r>
      <w:r>
        <w:rPr>
          <w:rFonts w:ascii="Times New Roman" w:cs="Times New Roman" w:eastAsia="Times New Roman" w:hAnsi="Times New Roman"/>
          <w:sz w:val="20"/>
          <w:szCs w:val="20"/>
          <w:color w:val="auto"/>
        </w:rPr>
        <w:t>” means the first day after the end of the Interest Period during which the Fourth Amendment shall become effective in accordance with its terms.</w:t>
      </w:r>
    </w:p>
    <w:p>
      <w:pPr>
        <w:spacing w:after="0" w:line="152" w:lineRule="exact"/>
        <w:rPr>
          <w:sz w:val="20"/>
          <w:szCs w:val="20"/>
          <w:color w:val="auto"/>
        </w:rPr>
      </w:pPr>
    </w:p>
    <w:p>
      <w:pPr>
        <w:jc w:val="both"/>
        <w:ind w:left="1500" w:right="2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Interest Rate</w:t>
      </w:r>
      <w:r>
        <w:rPr>
          <w:rFonts w:ascii="Times New Roman" w:cs="Times New Roman" w:eastAsia="Times New Roman" w:hAnsi="Times New Roman"/>
          <w:sz w:val="20"/>
          <w:szCs w:val="20"/>
          <w:color w:val="auto"/>
        </w:rPr>
        <w:t>” means, with respect to each day during which interest accrues on a Loan, the rate per annum (expressed as a percentage) equal to (a) Term SOFR for the applicable Interest Period for such day; or (b) if the then-current Benchmark has been replaced with a Benchmark Replacement pursuant to Section 2.2(o), such Benchmark Replacement for such day. Notwithstanding the foregoing, the SOFR Interest Rate shall not at any time be less the Floor.</w:t>
      </w:r>
    </w:p>
    <w:p>
      <w:pPr>
        <w:spacing w:after="0" w:line="17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Loan</w:t>
      </w:r>
      <w:r>
        <w:rPr>
          <w:rFonts w:ascii="Times New Roman" w:cs="Times New Roman" w:eastAsia="Times New Roman" w:hAnsi="Times New Roman"/>
          <w:sz w:val="20"/>
          <w:szCs w:val="20"/>
          <w:color w:val="auto"/>
        </w:rPr>
        <w:t>” means a Loan that bears interest at a rate based on Term SOFR.</w:t>
      </w:r>
    </w:p>
    <w:p>
      <w:pPr>
        <w:spacing w:after="0" w:line="216" w:lineRule="exact"/>
        <w:rPr>
          <w:sz w:val="20"/>
          <w:szCs w:val="20"/>
          <w:color w:val="auto"/>
        </w:rPr>
      </w:pPr>
    </w:p>
    <w:p>
      <w:pPr>
        <w:jc w:val="both"/>
        <w:ind w:left="150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w:t>
      </w:r>
      <w:r>
        <w:rPr>
          <w:rFonts w:ascii="Times New Roman" w:cs="Times New Roman" w:eastAsia="Times New Roman" w:hAnsi="Times New Roman"/>
          <w:sz w:val="20"/>
          <w:szCs w:val="20"/>
          <w:color w:val="auto"/>
        </w:rPr>
        <w:t>” means the greater of (a) the forward-looking term rate for a period comparable to such Interest Period based on SOFR that is published by the SOFR Administrator and is displayed on the SOFR Administrator’s Website at approximately the Reference Time for such Interest Period plus 0.11448% and (b) the Floor. Unless otherwise specified in any amendment to this Agreement entered into in accordance with Section 2.2(o), in the event that a Benchmark Replacement with respect to Term SOFR is implemented, then all references herein to Term SOFR shall be deemed references to such Benchmark Replacement.</w:t>
      </w:r>
    </w:p>
    <w:p>
      <w:pPr>
        <w:spacing w:after="0" w:line="179" w:lineRule="exact"/>
        <w:rPr>
          <w:sz w:val="20"/>
          <w:szCs w:val="20"/>
          <w:color w:val="auto"/>
        </w:rPr>
      </w:pPr>
    </w:p>
    <w:p>
      <w:pPr>
        <w:jc w:val="both"/>
        <w:ind w:left="150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56" w:lineRule="exact"/>
        <w:rPr>
          <w:sz w:val="20"/>
          <w:szCs w:val="20"/>
          <w:color w:val="auto"/>
        </w:rPr>
      </w:pPr>
    </w:p>
    <w:p>
      <w:pPr>
        <w:ind w:firstLine="1505"/>
        <w:spacing w:after="0" w:line="269" w:lineRule="auto"/>
        <w:tabs>
          <w:tab w:leader="none" w:pos="2995"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Article 1 of the Existing Credit Agreement is hereby amended by deleting the definitions of “Base LIBOR Rate” and “LIBOR Rate” therein in their entirety.</w:t>
      </w:r>
    </w:p>
    <w:p>
      <w:pPr>
        <w:spacing w:after="0" w:line="159" w:lineRule="exact"/>
        <w:rPr>
          <w:rFonts w:ascii="Times New Roman" w:cs="Times New Roman" w:eastAsia="Times New Roman" w:hAnsi="Times New Roman"/>
          <w:sz w:val="20"/>
          <w:szCs w:val="20"/>
          <w:color w:val="010000"/>
        </w:rPr>
      </w:pPr>
    </w:p>
    <w:p>
      <w:pPr>
        <w:ind w:firstLine="1505"/>
        <w:spacing w:after="0" w:line="269" w:lineRule="auto"/>
        <w:tabs>
          <w:tab w:leader="none" w:pos="2995"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Existing Credit Agreement is hereby amended by deleting Section 2.1(b)(iv) in its entirety and renumbering the existing clause (v) as new clause (iv) therein.</w:t>
      </w:r>
    </w:p>
    <w:p>
      <w:pPr>
        <w:spacing w:after="0" w:line="159" w:lineRule="exact"/>
        <w:rPr>
          <w:rFonts w:ascii="Times New Roman" w:cs="Times New Roman" w:eastAsia="Times New Roman" w:hAnsi="Times New Roman"/>
          <w:sz w:val="20"/>
          <w:szCs w:val="20"/>
          <w:color w:val="010000"/>
        </w:rPr>
      </w:pPr>
    </w:p>
    <w:p>
      <w:pPr>
        <w:ind w:firstLine="1505"/>
        <w:spacing w:after="0" w:line="269" w:lineRule="auto"/>
        <w:tabs>
          <w:tab w:leader="none" w:pos="2995"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Section 2.2(a) of the Existing Credit Agreement is hereby amended by deleting such subsection in its entirety and replacing it with the following:</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firstLine="754"/>
        <w:spacing w:after="0" w:line="246" w:lineRule="auto"/>
        <w:tabs>
          <w:tab w:leader="none" w:pos="264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following the SOFR Implementation Date, except as expressly set forth in this Agreement, Loans and the other Obligations shall bear interest at the sum of the SOFR Interest Rate plus the Applicable Margin. Interest on the Loans shall be paid in arrears on the first (1st) day of each month and on the maturity of such Loans, whether by acceleration or otherwise. Interest on all other Obligations shall be payable upon demand. For purposes of calculating interest, all funds transferred to the Payment Account for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8" w:name="page139"/>
    <w:bookmarkEnd w:id="138"/>
    <w:p>
      <w:pPr>
        <w:ind w:left="1500"/>
        <w:spacing w:after="0" w:line="268" w:lineRule="auto"/>
        <w:rPr>
          <w:sz w:val="20"/>
          <w:szCs w:val="20"/>
          <w:color w:val="auto"/>
        </w:rPr>
      </w:pPr>
      <w:r>
        <w:rPr>
          <w:rFonts w:ascii="Times New Roman" w:cs="Times New Roman" w:eastAsia="Times New Roman" w:hAnsi="Times New Roman"/>
          <w:sz w:val="20"/>
          <w:szCs w:val="20"/>
          <w:color w:val="auto"/>
        </w:rPr>
        <w:t>application to any Revolving Loans shall be subject to a five (5) Business Day clearance period and all interest accruing on such funds during such clearance period shall accrue for the benefit of Agent, and not for the benefit of the Lenders.</w:t>
      </w:r>
    </w:p>
    <w:p>
      <w:pPr>
        <w:spacing w:after="0" w:line="160" w:lineRule="exact"/>
        <w:rPr>
          <w:sz w:val="20"/>
          <w:szCs w:val="20"/>
          <w:color w:val="auto"/>
        </w:rPr>
      </w:pPr>
    </w:p>
    <w:p>
      <w:pPr>
        <w:jc w:val="both"/>
        <w:ind w:left="1500" w:firstLine="754"/>
        <w:spacing w:after="0" w:line="241" w:lineRule="auto"/>
        <w:tabs>
          <w:tab w:leader="none" w:pos="264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one or more of the following events occurs with respect to Term SOFR: (a) a public statement or publication of information by or on behalf of the SOFR Administrator announcing that the SOFR Administrator has ceased or will cease to provide Term SOFR for a 1-month period, permanently or indefinitely, provided that, at the time of such statement or publication, there is no successor administrator that will continue to provide Term SOFR for a 1-month period; (b) a public statement or publication of information by the regulatory supervisor for the SOFR Administrator, the Federal Reserve Board, the Federal Reserve Bank of New York, an insolvency official or resolution authority with jurisdiction over the SOFR Administrator, or a court or an entity with similar insolvency or resolution authority, which states that the SOFR Administrator has ceased or will cease to provide Term SOFR for a 1-month period permanently or indefinitely, provided that, at the time of such statement or publication, there is no successor administrator that will continue to provide Term SOFR for a 1-month period; or (c) a public statement or publication of information by the regulatory supervisor for the SOFR Administrator announcing that Term SOFR for a 1-month period is no longer, or as of a specified future date will no longer be, representative and Agent has provided Borrower Representative with notice of the same, any outstanding affected SOFR Loans will be deemed to have been converted to Base Rate Loan at the end of the applicable Interest Period.</w:t>
      </w:r>
    </w:p>
    <w:p>
      <w:pPr>
        <w:spacing w:after="0" w:line="195" w:lineRule="exact"/>
        <w:rPr>
          <w:rFonts w:ascii="Times New Roman" w:cs="Times New Roman" w:eastAsia="Times New Roman" w:hAnsi="Times New Roman"/>
          <w:sz w:val="20"/>
          <w:szCs w:val="20"/>
          <w:color w:val="auto"/>
        </w:rPr>
      </w:pPr>
    </w:p>
    <w:p>
      <w:pPr>
        <w:jc w:val="both"/>
        <w:ind w:left="1500" w:firstLine="754"/>
        <w:spacing w:after="0" w:line="246" w:lineRule="auto"/>
        <w:tabs>
          <w:tab w:leader="none" w:pos="264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Term SOFR, Agent will have the right to make Conforming Changes from time to time and, notwithstanding anything to the contrary herein or in any other Financing Document, any amendments implementing such Conforming Changes will become effective without any further action or consent of any other party to this Agreement or any other Financing Document. Agent will promptly notify Borrower Representative and the Lenders of the effectiveness of any Conforming Changes.”</w:t>
      </w:r>
    </w:p>
    <w:p>
      <w:pPr>
        <w:spacing w:after="0" w:line="198" w:lineRule="exact"/>
        <w:rPr>
          <w:sz w:val="20"/>
          <w:szCs w:val="20"/>
          <w:color w:val="auto"/>
        </w:rPr>
      </w:pPr>
    </w:p>
    <w:p>
      <w:pPr>
        <w:ind w:firstLine="1505"/>
        <w:spacing w:after="0" w:line="269" w:lineRule="auto"/>
        <w:tabs>
          <w:tab w:leader="none" w:pos="2995" w:val="left"/>
        </w:tabs>
        <w:numPr>
          <w:ilvl w:val="0"/>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new subsection (o) is hereby added to Section 2.2 of the Existing Credit Agreement in the appropriate alphabetical order therein to read as follows:</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20"/>
          <w:szCs w:val="20"/>
          <w:u w:val="single" w:color="auto"/>
          <w:color w:val="auto"/>
        </w:rPr>
        <w:t>Benchmark Replacement Setting; Conforming Changes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right="100" w:firstLine="5"/>
        <w:spacing w:after="0" w:line="242" w:lineRule="auto"/>
        <w:tabs>
          <w:tab w:leader="none" w:pos="1896"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a Benchmark Transition Event, Agent and Borrowers may amend this Agreement to replace the then-current Benchmark with a Benchmark Replacement. Any such amendment will become effective at 5:00 p.m. (New York City time) on the fifth (5th) Business Day after Agent has posted such proposed amendment to all Lenders and Borrower so long as Agent has not received, by such time, written notice of objection thereto from Lenders comprising the Required Lenders. No such replacement will occur prior to the applicable Benchmark Transition Start Date. In connection with the implementation of a Benchmark Replacement, Agent will have the right to make Conforming Changes from time to time and, notwithstanding anything to the contrary herein or in any other Financing Document, any amendments implementing such Conforming Changes will become effective without any further action or consent of any other party to this Agreement or any other Financing Document. Agent will promptly notify Borrower Representative and the Lenders of the implementation of any Benchmark Replacement and the effectiveness of any Conforming Changes.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9" w:name="page140"/>
    <w:bookmarkEnd w:id="139"/>
    <w:p>
      <w:pPr>
        <w:jc w:val="both"/>
        <w:ind w:left="1500" w:right="100" w:firstLine="5"/>
        <w:spacing w:after="0" w:line="241" w:lineRule="auto"/>
        <w:tabs>
          <w:tab w:leader="none" w:pos="1896"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determination, decision or election that may be made by Agent or, if applicable, any Lender (or group of Lenders) pursuant to this Section will be conclusive and binding absent manifest error and may be made in its or their sole discretion and without consent from any other party to this Agreement or any other Financing Document, except, in each case, as expressly required pursuant to this Section. Notwithstanding anything to the contrary herein or in any other Financing Document, at any time, (a) if the then-current Benchmark is a term rate (including Term SOFR) and either (i) any tenor for such Benchmark is not displayed on a screen or other information service that publishes such rate from time to time as selected by Agent in its reasonable discretion or (ii) the regulatory supervisor for the administrator of such Benchmark has provided a public statement or publication of information announcing that any tenor for such Benchmark is or will be no longer representative, then Agent may modify the definition of “Interest Period” (or any similar or analogous definition) for any Benchmark settings at or after such time to remove such unavailable or non-representative tenor, and (b) if a tenor that was removed pursuant to clause (a) above either (i) is subsequently displayed on a screen or information service for a Benchmark or (ii) is not, or is no longer, subject to an announcement that it is or will no longer be representative for a Benchmark, then Agent may modify the definition of “Interest Period” (or any similar or analogous definition) for all Benchmark settings at or after such time to reinstate such previously removed tenor. Agent will promptly notify Borrower Representative of the removal or reinstatement of any tenor of a Benchmark pursuant to this Section.</w:t>
      </w:r>
    </w:p>
    <w:p>
      <w:pPr>
        <w:spacing w:after="0" w:line="192" w:lineRule="exact"/>
        <w:rPr>
          <w:rFonts w:ascii="Times New Roman" w:cs="Times New Roman" w:eastAsia="Times New Roman" w:hAnsi="Times New Roman"/>
          <w:sz w:val="20"/>
          <w:szCs w:val="20"/>
          <w:color w:val="auto"/>
        </w:rPr>
      </w:pPr>
    </w:p>
    <w:p>
      <w:pPr>
        <w:jc w:val="both"/>
        <w:ind w:left="1500" w:right="100" w:firstLine="5"/>
        <w:spacing w:after="0" w:line="254" w:lineRule="auto"/>
        <w:tabs>
          <w:tab w:leader="none" w:pos="1896"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Borrower Representative’s receipt of notice of the commencement of a Benchmark Unavailability Period, any outstanding affected Loans will be deemed to have been converted into Base Rate Loans at the end of the applicable Interest Period.”</w:t>
      </w:r>
    </w:p>
    <w:p>
      <w:pPr>
        <w:spacing w:after="0" w:line="188" w:lineRule="exact"/>
        <w:rPr>
          <w:sz w:val="20"/>
          <w:szCs w:val="20"/>
          <w:color w:val="auto"/>
        </w:rPr>
      </w:pPr>
    </w:p>
    <w:p>
      <w:pPr>
        <w:ind w:left="3000" w:hanging="1495"/>
        <w:spacing w:after="0"/>
        <w:tabs>
          <w:tab w:leader="none" w:pos="3000" w:val="left"/>
        </w:tabs>
        <w:numPr>
          <w:ilvl w:val="0"/>
          <w:numId w:val="9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Section 2.8 of the Existing Credit Agreement is hereby amended by:</w:t>
      </w:r>
    </w:p>
    <w:p>
      <w:pPr>
        <w:spacing w:after="0" w:line="216" w:lineRule="exact"/>
        <w:rPr>
          <w:sz w:val="20"/>
          <w:szCs w:val="20"/>
          <w:color w:val="auto"/>
        </w:rPr>
      </w:pPr>
    </w:p>
    <w:p>
      <w:pPr>
        <w:ind w:left="2260"/>
        <w:spacing w:after="0"/>
        <w:tabs>
          <w:tab w:leader="none" w:pos="3740" w:val="left"/>
        </w:tabs>
        <w:rPr>
          <w:sz w:val="20"/>
          <w:szCs w:val="20"/>
          <w:color w:val="auto"/>
        </w:rPr>
      </w:pPr>
      <w:r>
        <w:rPr>
          <w:rFonts w:ascii="Times New Roman" w:cs="Times New Roman" w:eastAsia="Times New Roman" w:hAnsi="Times New Roman"/>
          <w:sz w:val="20"/>
          <w:szCs w:val="20"/>
          <w:color w:val="010000"/>
        </w:rPr>
        <w:t>(i)</w:t>
      </w:r>
      <w:r>
        <w:rPr>
          <w:sz w:val="20"/>
          <w:szCs w:val="20"/>
          <w:color w:val="auto"/>
        </w:rPr>
        <w:tab/>
      </w:r>
      <w:r>
        <w:rPr>
          <w:rFonts w:ascii="Times New Roman" w:cs="Times New Roman" w:eastAsia="Times New Roman" w:hAnsi="Times New Roman"/>
          <w:sz w:val="20"/>
          <w:szCs w:val="20"/>
          <w:color w:val="auto"/>
        </w:rPr>
        <w:t>deleting the name of such Section in its entirety and restating it as follows:</w:t>
      </w:r>
    </w:p>
    <w:p>
      <w:pPr>
        <w:spacing w:after="0" w:line="21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2.8</w:t>
      </w:r>
      <w:r>
        <w:rPr>
          <w:sz w:val="20"/>
          <w:szCs w:val="20"/>
          <w:color w:val="auto"/>
        </w:rPr>
        <w:tab/>
      </w:r>
      <w:r>
        <w:rPr>
          <w:rFonts w:ascii="Times New Roman" w:cs="Times New Roman" w:eastAsia="Times New Roman" w:hAnsi="Times New Roman"/>
          <w:sz w:val="19"/>
          <w:szCs w:val="19"/>
          <w:u w:val="single" w:color="auto"/>
          <w:color w:val="auto"/>
        </w:rPr>
        <w:t>Taxes; Capital Adequacy; Increased Costs; Inability to Determine Rates; Illegality</w:t>
      </w:r>
      <w:r>
        <w:rPr>
          <w:rFonts w:ascii="Times New Roman" w:cs="Times New Roman" w:eastAsia="Times New Roman" w:hAnsi="Times New Roman"/>
          <w:sz w:val="19"/>
          <w:szCs w:val="19"/>
          <w:color w:val="auto"/>
        </w:rPr>
        <w:t>.”</w:t>
      </w:r>
    </w:p>
    <w:p>
      <w:pPr>
        <w:spacing w:after="0" w:line="22" w:lineRule="exact"/>
        <w:rPr>
          <w:sz w:val="20"/>
          <w:szCs w:val="20"/>
          <w:color w:val="auto"/>
        </w:rPr>
      </w:pPr>
    </w:p>
    <w:p>
      <w:pPr>
        <w:ind w:left="3760" w:hanging="1506"/>
        <w:spacing w:after="0"/>
        <w:tabs>
          <w:tab w:leader="none" w:pos="3760"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deleting subsection (g) thereof in its entirety</w:t>
      </w:r>
    </w:p>
    <w:p>
      <w:pPr>
        <w:spacing w:after="0" w:line="193" w:lineRule="exact"/>
        <w:rPr>
          <w:rFonts w:ascii="Times New Roman" w:cs="Times New Roman" w:eastAsia="Times New Roman" w:hAnsi="Times New Roman"/>
          <w:sz w:val="20"/>
          <w:szCs w:val="20"/>
          <w:color w:val="010000"/>
        </w:rPr>
      </w:pPr>
    </w:p>
    <w:p>
      <w:pPr>
        <w:ind w:left="3760" w:hanging="1506"/>
        <w:spacing w:after="0"/>
        <w:tabs>
          <w:tab w:leader="none" w:pos="3760"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renumbering the existing clause (h) as new clause (g) therein; and</w:t>
      </w:r>
    </w:p>
    <w:p>
      <w:pPr>
        <w:spacing w:after="0" w:line="215" w:lineRule="exact"/>
        <w:rPr>
          <w:rFonts w:ascii="Times New Roman" w:cs="Times New Roman" w:eastAsia="Times New Roman" w:hAnsi="Times New Roman"/>
          <w:sz w:val="20"/>
          <w:szCs w:val="20"/>
          <w:color w:val="010000"/>
        </w:rPr>
      </w:pPr>
    </w:p>
    <w:p>
      <w:pPr>
        <w:ind w:left="3760" w:hanging="1506"/>
        <w:spacing w:after="0"/>
        <w:tabs>
          <w:tab w:leader="none" w:pos="3760"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adding the following new clause (h) in the appropriate alphabetical order therein:</w:t>
      </w:r>
    </w:p>
    <w:p>
      <w:pPr>
        <w:spacing w:after="0" w:line="216" w:lineRule="exact"/>
        <w:rPr>
          <w:sz w:val="20"/>
          <w:szCs w:val="20"/>
          <w:color w:val="auto"/>
        </w:rPr>
      </w:pPr>
    </w:p>
    <w:p>
      <w:pPr>
        <w:jc w:val="both"/>
        <w:ind w:left="1500"/>
        <w:spacing w:after="0" w:line="244" w:lineRule="auto"/>
        <w:rPr>
          <w:sz w:val="20"/>
          <w:szCs w:val="20"/>
          <w:color w:val="auto"/>
        </w:rPr>
      </w:pPr>
      <w:r>
        <w:rPr>
          <w:rFonts w:ascii="Times New Roman" w:cs="Times New Roman" w:eastAsia="Times New Roman" w:hAnsi="Times New Roman"/>
          <w:sz w:val="20"/>
          <w:szCs w:val="20"/>
          <w:color w:val="auto"/>
        </w:rPr>
        <w:t>“(h) If any Lender shall reasonably determine that the adoption or taking effect of, or any change in, any applicable Law shall (i) impose, modify or deem applicable any reserve, special deposit, compulsory loan, insurance charge or similar requirement against assets of, deposits with or for the account of, or credit extended or participated in by, any Lender, (ii) subject any Lender to any tax of any kind whatsoever with respect to this Agreement, or any SOFR Loan made by it, or change the basis of taxation of payments to such Lender in respect thereof (except for Taxes covered by Section 2.8); or</w:t>
      </w:r>
    </w:p>
    <w:p>
      <w:pPr>
        <w:jc w:val="both"/>
        <w:ind w:left="1500" w:firstLine="5"/>
        <w:spacing w:after="0" w:line="239" w:lineRule="auto"/>
        <w:tabs>
          <w:tab w:leader="none" w:pos="186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any other condition, cost or expense affecting this Agreement or SOFR Loans made by such Lender, and the result of any of the foregoing shall be to increase the cost to such Lender of making or maintaining any Loan the interest on which is determined by reference to Term SOFR (or of maintaining its obligation to make any such Loan), or to reduce the amount of any sum received or receivable by such Lender (whether of principal, interest or any other amount) then, upon request of such Lender, the Borrowers will pay to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0" w:name="page141"/>
    <w:bookmarkEnd w:id="140"/>
    <w:p>
      <w:pPr>
        <w:ind w:left="1500"/>
        <w:spacing w:after="0" w:line="268" w:lineRule="auto"/>
        <w:rPr>
          <w:sz w:val="20"/>
          <w:szCs w:val="20"/>
          <w:color w:val="auto"/>
        </w:rPr>
      </w:pPr>
      <w:r>
        <w:rPr>
          <w:rFonts w:ascii="Times New Roman" w:cs="Times New Roman" w:eastAsia="Times New Roman" w:hAnsi="Times New Roman"/>
          <w:sz w:val="20"/>
          <w:szCs w:val="20"/>
          <w:color w:val="auto"/>
        </w:rPr>
        <w:t>Lender such additional amount or amounts as will compensate such Lender for such additional costs incurred or reduction suffered.”</w:t>
      </w:r>
    </w:p>
    <w:p>
      <w:pPr>
        <w:spacing w:after="0" w:line="174" w:lineRule="exact"/>
        <w:rPr>
          <w:sz w:val="20"/>
          <w:szCs w:val="20"/>
          <w:color w:val="auto"/>
        </w:rPr>
      </w:pPr>
    </w:p>
    <w:p>
      <w:pPr>
        <w:ind w:left="760" w:firstLine="1494"/>
        <w:spacing w:after="0" w:line="269" w:lineRule="auto"/>
        <w:tabs>
          <w:tab w:leader="none" w:pos="3755" w:val="left"/>
        </w:tabs>
        <w:numPr>
          <w:ilvl w:val="0"/>
          <w:numId w:val="9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subsection (i) thereof, deleting the reference to “Section 2.1(b)(iv) of Section 2.8(h)” in its entirety and replacing it with “the clauses in this Section 2.8”; and</w:t>
      </w:r>
    </w:p>
    <w:p>
      <w:pPr>
        <w:spacing w:after="0" w:line="159" w:lineRule="exact"/>
        <w:rPr>
          <w:rFonts w:ascii="Times New Roman" w:cs="Times New Roman" w:eastAsia="Times New Roman" w:hAnsi="Times New Roman"/>
          <w:sz w:val="20"/>
          <w:szCs w:val="20"/>
          <w:color w:val="010000"/>
        </w:rPr>
      </w:pPr>
    </w:p>
    <w:p>
      <w:pPr>
        <w:ind w:left="3760" w:hanging="1506"/>
        <w:spacing w:after="0"/>
        <w:tabs>
          <w:tab w:leader="none" w:pos="3760" w:val="left"/>
        </w:tabs>
        <w:numPr>
          <w:ilvl w:val="0"/>
          <w:numId w:val="9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adding the following new clauses (j), (k) and (l) in the appropriate alphabetical order therein:</w:t>
      </w:r>
    </w:p>
    <w:p>
      <w:pPr>
        <w:spacing w:after="0" w:line="216" w:lineRule="exact"/>
        <w:rPr>
          <w:sz w:val="20"/>
          <w:szCs w:val="20"/>
          <w:color w:val="auto"/>
        </w:rPr>
      </w:pPr>
    </w:p>
    <w:p>
      <w:pPr>
        <w:jc w:val="both"/>
        <w:ind w:left="1500"/>
        <w:spacing w:after="0" w:line="244" w:lineRule="auto"/>
        <w:rPr>
          <w:sz w:val="20"/>
          <w:szCs w:val="20"/>
          <w:color w:val="auto"/>
        </w:rPr>
      </w:pPr>
      <w:r>
        <w:rPr>
          <w:rFonts w:ascii="Times New Roman" w:cs="Times New Roman" w:eastAsia="Times New Roman" w:hAnsi="Times New Roman"/>
          <w:sz w:val="20"/>
          <w:szCs w:val="20"/>
          <w:color w:val="auto"/>
        </w:rPr>
        <w:t>“(j) Subject to Section 2.2(o), if Agent determines (which determination shall be conclusive and binding absent manifest error) that Term SOFR cannot be determined pursuant to the definition thereof on or prior to the first day of any Interest Period, Agent will promptly so notify the Borrowers and each Lender. Upon notice thereof by Agent to Borrowers, any obligation of the Lenders to make SOFR Loans shall be suspended until Agent revokes such notice. Upon receipt of such notice, any outstanding affected SOFR Loans will be deemed to have been converted into Base Rate Loans at the end of the applicable Interest Period. Upon any such conversion, Borrower shall also pay any additional amounts required pursuant to this Agreement.</w:t>
      </w:r>
    </w:p>
    <w:p>
      <w:pPr>
        <w:spacing w:after="0" w:line="186" w:lineRule="exact"/>
        <w:rPr>
          <w:sz w:val="20"/>
          <w:szCs w:val="20"/>
          <w:color w:val="auto"/>
        </w:rPr>
      </w:pPr>
    </w:p>
    <w:p>
      <w:pPr>
        <w:jc w:val="both"/>
        <w:ind w:left="1500" w:firstLine="5"/>
        <w:spacing w:after="0" w:line="244" w:lineRule="auto"/>
        <w:tabs>
          <w:tab w:leader="none" w:pos="1896"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determines that any Law has made it unlawful, or that any Governmental Authority has asserted that it is unlawful, for any Lender or its applicable lending office to make, maintain or fund SOFR Loans, or to determine or charge interest rates based upon Term SOFR, then, upon notice thereof by such Lender to Borrowers (through Agent), any obligation of such Lender to make SOFR Loans shall be suspended, in each case until such Lender notifies Agent and Borrower that the circumstances giving rise to such determination no longer exist. Upon receipt of such notice, all SOFR Loans shall become Base Rate Loans. Upon any such conversion, Borrower shall also pay any additional amounts required pursuant to this Agreement.</w:t>
      </w:r>
    </w:p>
    <w:p>
      <w:pPr>
        <w:spacing w:after="0" w:line="185" w:lineRule="exact"/>
        <w:rPr>
          <w:rFonts w:ascii="Times New Roman" w:cs="Times New Roman" w:eastAsia="Times New Roman" w:hAnsi="Times New Roman"/>
          <w:sz w:val="20"/>
          <w:szCs w:val="20"/>
          <w:color w:val="auto"/>
        </w:rPr>
      </w:pPr>
    </w:p>
    <w:p>
      <w:pPr>
        <w:jc w:val="both"/>
        <w:ind w:left="1500" w:right="20" w:firstLine="5"/>
        <w:spacing w:after="0" w:line="254" w:lineRule="auto"/>
        <w:tabs>
          <w:tab w:leader="none" w:pos="1896"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party’s obligations under this Section 2.8 shall survive the resignation or replacement of Agent or any assignment of rights by, or the replacement of, a Lender, and the repayment, satisfaction or discharge of all Obligations hereunder.”</w:t>
      </w:r>
    </w:p>
    <w:p>
      <w:pPr>
        <w:spacing w:after="0" w:line="170" w:lineRule="exact"/>
        <w:rPr>
          <w:rFonts w:ascii="Times New Roman" w:cs="Times New Roman" w:eastAsia="Times New Roman" w:hAnsi="Times New Roman"/>
          <w:sz w:val="20"/>
          <w:szCs w:val="20"/>
          <w:color w:val="auto"/>
        </w:rPr>
      </w:pPr>
    </w:p>
    <w:p>
      <w:pPr>
        <w:ind w:right="20" w:firstLine="757"/>
        <w:spacing w:after="0" w:line="273" w:lineRule="auto"/>
        <w:tabs>
          <w:tab w:leader="none" w:pos="1498" w:val="left"/>
        </w:tabs>
        <w:numPr>
          <w:ilvl w:val="0"/>
          <w:numId w:val="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Conditions to Effectiveness</w:t>
      </w:r>
      <w:r>
        <w:rPr>
          <w:rFonts w:ascii="Times New Roman" w:cs="Times New Roman" w:eastAsia="Times New Roman" w:hAnsi="Times New Roman"/>
          <w:sz w:val="20"/>
          <w:szCs w:val="20"/>
          <w:color w:val="auto"/>
        </w:rPr>
        <w:t>. This Agreement shall become effective as of the date on which each of the following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have been satisfied, as determined by Agent in its sole discretion, or waived by Agent in its discretion:</w:t>
      </w:r>
    </w:p>
    <w:p>
      <w:pPr>
        <w:spacing w:after="0" w:line="155" w:lineRule="exact"/>
        <w:rPr>
          <w:rFonts w:ascii="Times New Roman" w:cs="Times New Roman" w:eastAsia="Times New Roman" w:hAnsi="Times New Roman"/>
          <w:sz w:val="20"/>
          <w:szCs w:val="20"/>
          <w:color w:val="010000"/>
        </w:rPr>
      </w:pPr>
    </w:p>
    <w:p>
      <w:pPr>
        <w:ind w:firstLine="1505"/>
        <w:spacing w:after="0" w:line="269" w:lineRule="auto"/>
        <w:tabs>
          <w:tab w:leader="none" w:pos="2995" w:val="left"/>
        </w:tabs>
        <w:numPr>
          <w:ilvl w:val="1"/>
          <w:numId w:val="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Agent shall have received (including by way electronic transmission) a duly authorized, executed and delivered counterpart of the signature page to this Agreement from each Borrower, Agent and each Lender; and</w:t>
      </w:r>
    </w:p>
    <w:p>
      <w:pPr>
        <w:spacing w:after="0" w:line="159" w:lineRule="exact"/>
        <w:rPr>
          <w:rFonts w:ascii="Times New Roman" w:cs="Times New Roman" w:eastAsia="Times New Roman" w:hAnsi="Times New Roman"/>
          <w:sz w:val="20"/>
          <w:szCs w:val="20"/>
          <w:color w:val="010000"/>
        </w:rPr>
      </w:pPr>
    </w:p>
    <w:p>
      <w:pPr>
        <w:ind w:firstLine="1505"/>
        <w:spacing w:after="0" w:line="269" w:lineRule="auto"/>
        <w:tabs>
          <w:tab w:leader="none" w:pos="2995" w:val="left"/>
        </w:tabs>
        <w:numPr>
          <w:ilvl w:val="1"/>
          <w:numId w:val="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Agent shall have received a duly executed copy of the Third Amendment to Amended and Restated Credit and Security Agreement (Term Loan), dated as of the date hereof, in respect of the Affiliated Credit Agreement.</w:t>
      </w:r>
    </w:p>
    <w:p>
      <w:pPr>
        <w:spacing w:after="0" w:line="155" w:lineRule="exact"/>
        <w:rPr>
          <w:rFonts w:ascii="Times New Roman" w:cs="Times New Roman" w:eastAsia="Times New Roman" w:hAnsi="Times New Roman"/>
          <w:sz w:val="20"/>
          <w:szCs w:val="20"/>
          <w:color w:val="010000"/>
        </w:rPr>
      </w:pPr>
    </w:p>
    <w:p>
      <w:pPr>
        <w:jc w:val="both"/>
        <w:ind w:firstLine="757"/>
        <w:spacing w:after="0" w:line="247" w:lineRule="auto"/>
        <w:tabs>
          <w:tab w:leader="none" w:pos="1498" w:val="left"/>
        </w:tabs>
        <w:numPr>
          <w:ilvl w:val="0"/>
          <w:numId w:val="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No Waiver or Novation</w:t>
      </w:r>
      <w:r>
        <w:rPr>
          <w:rFonts w:ascii="Times New Roman" w:cs="Times New Roman" w:eastAsia="Times New Roman" w:hAnsi="Times New Roman"/>
          <w:sz w:val="20"/>
          <w:szCs w:val="20"/>
          <w:color w:val="auto"/>
        </w:rPr>
        <w:t>. The execution, delivery and effectiveness of this Agreement shall not operate as a waiver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other Financing Documents or any of Agent’s rights and remedies in respect of such Defaults or Events of Default. This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1" w:name="page142"/>
    <w:bookmarkEnd w:id="141"/>
    <w:p>
      <w:pPr>
        <w:spacing w:after="0" w:line="268" w:lineRule="auto"/>
        <w:rPr>
          <w:sz w:val="20"/>
          <w:szCs w:val="20"/>
          <w:color w:val="auto"/>
        </w:rPr>
      </w:pPr>
      <w:r>
        <w:rPr>
          <w:rFonts w:ascii="Times New Roman" w:cs="Times New Roman" w:eastAsia="Times New Roman" w:hAnsi="Times New Roman"/>
          <w:sz w:val="20"/>
          <w:szCs w:val="20"/>
          <w:color w:val="auto"/>
        </w:rPr>
        <w:t>Agreement (together with any other document executed in connection herewith) is not intended to be, nor shall it be construed as, a novation of the Credit Agreement.</w:t>
      </w:r>
    </w:p>
    <w:p>
      <w:pPr>
        <w:spacing w:after="0" w:line="156" w:lineRule="exact"/>
        <w:rPr>
          <w:sz w:val="20"/>
          <w:szCs w:val="20"/>
          <w:color w:val="auto"/>
        </w:rPr>
      </w:pPr>
    </w:p>
    <w:p>
      <w:pPr>
        <w:ind w:left="1500" w:hanging="743"/>
        <w:spacing w:after="0"/>
        <w:tabs>
          <w:tab w:leader="none" w:pos="1500" w:val="left"/>
        </w:tabs>
        <w:numPr>
          <w:ilvl w:val="0"/>
          <w:numId w:val="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010000"/>
        </w:rPr>
      </w:pPr>
    </w:p>
    <w:p>
      <w:pPr>
        <w:jc w:val="both"/>
        <w:ind w:firstLine="1505"/>
        <w:spacing w:after="0" w:line="246" w:lineRule="auto"/>
        <w:tabs>
          <w:tab w:leader="none" w:pos="2995" w:val="left"/>
        </w:tabs>
        <w:numPr>
          <w:ilvl w:val="1"/>
          <w:numId w:val="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Reference to the Effect on the Credit Agreement</w:t>
      </w:r>
      <w:r>
        <w:rPr>
          <w:rFonts w:ascii="Times New Roman" w:cs="Times New Roman" w:eastAsia="Times New Roman" w:hAnsi="Times New Roman"/>
          <w:sz w:val="20"/>
          <w:szCs w:val="20"/>
          <w:color w:val="auto"/>
        </w:rPr>
        <w:t>. Upon the effectiveness of this Agreement, each reference in the Credit Agreement to “this Agreement,” “hereunder,” “hereof,” “herein,” or words of similar import shall mean and be a reference to the Credit Agreement, as modified by this Agreement. Except as specifically set forth above, the Credit Agreement, and all other Financing Documents (and all covenants, terms, conditions and agreements therein), shall remain in full force and effect, and are hereby ratified and confirmed in all respects by each Credit Party.</w:t>
      </w:r>
    </w:p>
    <w:p>
      <w:pPr>
        <w:spacing w:after="0" w:line="184" w:lineRule="exact"/>
        <w:rPr>
          <w:rFonts w:ascii="Times New Roman" w:cs="Times New Roman" w:eastAsia="Times New Roman" w:hAnsi="Times New Roman"/>
          <w:sz w:val="20"/>
          <w:szCs w:val="20"/>
          <w:color w:val="010000"/>
        </w:rPr>
      </w:pPr>
    </w:p>
    <w:p>
      <w:pPr>
        <w:jc w:val="both"/>
        <w:ind w:firstLine="1505"/>
        <w:spacing w:after="0" w:line="246" w:lineRule="auto"/>
        <w:tabs>
          <w:tab w:leader="none" w:pos="2995" w:val="left"/>
        </w:tabs>
        <w:numPr>
          <w:ilvl w:val="1"/>
          <w:numId w:val="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THIS AGREEMENT AND ALL DISPUTES AND OTHER MATTERS RELATING HERETO OR ARISING THEREFROM (WHETHER SOUNDING IN CONTRACT LAW, TORT LAW OR OTHERWISE), SHALL BE GOVERNED BY, AND SHALL BE CONSTRUED AND ENFORCED IN ACCORDANCE WITH, THE LAWS OF THE STATE OF NEW YORK, WITHOUT REGARD TO ITS CONFLICT OF LAWS PRINCIPLES (OTHER THAN SECTION 5-1401 OF THE GENERAL OBLIGATIONS LAW).</w:t>
      </w:r>
    </w:p>
    <w:p>
      <w:pPr>
        <w:spacing w:after="0" w:line="184" w:lineRule="exact"/>
        <w:rPr>
          <w:rFonts w:ascii="Times New Roman" w:cs="Times New Roman" w:eastAsia="Times New Roman" w:hAnsi="Times New Roman"/>
          <w:sz w:val="20"/>
          <w:szCs w:val="20"/>
          <w:color w:val="010000"/>
        </w:rPr>
      </w:pPr>
    </w:p>
    <w:p>
      <w:pPr>
        <w:jc w:val="both"/>
        <w:ind w:firstLine="1505"/>
        <w:spacing w:after="0" w:line="257" w:lineRule="auto"/>
        <w:tabs>
          <w:tab w:leader="none" w:pos="2995" w:val="left"/>
        </w:tabs>
        <w:numPr>
          <w:ilvl w:val="1"/>
          <w:numId w:val="9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WAIVER OF JURY TRIAL</w:t>
      </w:r>
      <w:r>
        <w:rPr>
          <w:rFonts w:ascii="Times New Roman" w:cs="Times New Roman" w:eastAsia="Times New Roman" w:hAnsi="Times New Roman"/>
          <w:sz w:val="19"/>
          <w:szCs w:val="19"/>
          <w:color w:val="auto"/>
        </w:rPr>
        <w:t>. EACH BORROWER, AGENT AND THE LENDERS PARTY HERETO HEREBY IRREVOCABLY WAIVES ANY AND ALL RIGHT TO TRIAL BY JURY IN ANY LEGAL ACTION OR PROCEEDING ARISING OUT OF OR RELATING TO THIS AGREEMENT OR THE TRANSACTIONS CONTEMPLATED HEREBY AND AGREES THAT ANY SUCH ACTION OR PROCEEDING SHALL BE TRIED BEFORE A COURT AND NOT BEFORE A JURY. EACH BORROWER, AGENT AND EACH LENDER ACKNOWLEDGES THAT THIS WAIVER IS A MATERIAL INDUCEMENT TO ENTER INTO THIS AGREEMENT, THAT EACH HAS RELIED ON THE WAIVER IN ENTERING INTO THIS AGREEMENT, AND THAT EACH WILL CONTINUE TO RELY ON THIS WAIVER IN THEIR RELATED FUTURE DEALINGS. EACH BORROWER, AGENT AND EACH LENDER WARRANTS AND REPRESENTS THAT IT HAS HAD THE OPPORTUNITY OF REVIEWING THIS JURY WAIVER WITH LEGAL COUNSEL, AND THAT IT KNOWINGLY AND VOLUNTARILY WAIVES ITS JURY TRIAL RIGHTS.</w:t>
      </w:r>
    </w:p>
    <w:p>
      <w:pPr>
        <w:spacing w:after="0" w:line="175" w:lineRule="exact"/>
        <w:rPr>
          <w:rFonts w:ascii="Times New Roman" w:cs="Times New Roman" w:eastAsia="Times New Roman" w:hAnsi="Times New Roman"/>
          <w:sz w:val="19"/>
          <w:szCs w:val="19"/>
          <w:color w:val="010000"/>
        </w:rPr>
      </w:pPr>
    </w:p>
    <w:p>
      <w:pPr>
        <w:jc w:val="both"/>
        <w:ind w:firstLine="1505"/>
        <w:spacing w:after="0" w:line="254" w:lineRule="auto"/>
        <w:tabs>
          <w:tab w:leader="none" w:pos="2995" w:val="left"/>
        </w:tabs>
        <w:numPr>
          <w:ilvl w:val="1"/>
          <w:numId w:val="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Incorporation of Credit Agreement Provisions</w:t>
      </w:r>
      <w:r>
        <w:rPr>
          <w:rFonts w:ascii="Times New Roman" w:cs="Times New Roman" w:eastAsia="Times New Roman" w:hAnsi="Times New Roman"/>
          <w:sz w:val="20"/>
          <w:szCs w:val="20"/>
          <w:color w:val="auto"/>
        </w:rPr>
        <w:t>. The provisions contained in Section 11.6 (</w:t>
      </w:r>
      <w:r>
        <w:rPr>
          <w:rFonts w:ascii="Times New Roman" w:cs="Times New Roman" w:eastAsia="Times New Roman" w:hAnsi="Times New Roman"/>
          <w:sz w:val="20"/>
          <w:szCs w:val="20"/>
          <w:i w:val="1"/>
          <w:iCs w:val="1"/>
          <w:color w:val="auto"/>
        </w:rPr>
        <w:t>Indemnification</w:t>
      </w:r>
      <w:r>
        <w:rPr>
          <w:rFonts w:ascii="Times New Roman" w:cs="Times New Roman" w:eastAsia="Times New Roman" w:hAnsi="Times New Roman"/>
          <w:sz w:val="20"/>
          <w:szCs w:val="20"/>
          <w:color w:val="auto"/>
        </w:rPr>
        <w:t>), Section 12.8(b) (</w:t>
      </w:r>
      <w:r>
        <w:rPr>
          <w:rFonts w:ascii="Times New Roman" w:cs="Times New Roman" w:eastAsia="Times New Roman" w:hAnsi="Times New Roman"/>
          <w:sz w:val="20"/>
          <w:szCs w:val="20"/>
          <w:i w:val="1"/>
          <w:iCs w:val="1"/>
          <w:color w:val="auto"/>
        </w:rPr>
        <w:t>Submission to Jurisdiction</w:t>
      </w:r>
      <w:r>
        <w:rPr>
          <w:rFonts w:ascii="Times New Roman" w:cs="Times New Roman" w:eastAsia="Times New Roman" w:hAnsi="Times New Roman"/>
          <w:sz w:val="20"/>
          <w:szCs w:val="20"/>
          <w:color w:val="auto"/>
        </w:rPr>
        <w:t>) and Section 12.9(b) (</w:t>
      </w:r>
      <w:r>
        <w:rPr>
          <w:rFonts w:ascii="Times New Roman" w:cs="Times New Roman" w:eastAsia="Times New Roman" w:hAnsi="Times New Roman"/>
          <w:sz w:val="20"/>
          <w:szCs w:val="20"/>
          <w:i w:val="1"/>
          <w:iCs w:val="1"/>
          <w:color w:val="auto"/>
        </w:rPr>
        <w:t>Waiver of Jury Trial</w:t>
      </w:r>
      <w:r>
        <w:rPr>
          <w:rFonts w:ascii="Times New Roman" w:cs="Times New Roman" w:eastAsia="Times New Roman" w:hAnsi="Times New Roman"/>
          <w:sz w:val="20"/>
          <w:szCs w:val="20"/>
          <w:color w:val="auto"/>
        </w:rPr>
        <w:t>) of the Credit Agreement are incorporated herein by reference to the same extent as if reproduced herein in their entirety.</w:t>
      </w:r>
    </w:p>
    <w:p>
      <w:pPr>
        <w:spacing w:after="0" w:line="174" w:lineRule="exact"/>
        <w:rPr>
          <w:rFonts w:ascii="Times New Roman" w:cs="Times New Roman" w:eastAsia="Times New Roman" w:hAnsi="Times New Roman"/>
          <w:sz w:val="20"/>
          <w:szCs w:val="20"/>
          <w:color w:val="010000"/>
        </w:rPr>
      </w:pPr>
    </w:p>
    <w:p>
      <w:pPr>
        <w:ind w:firstLine="1505"/>
        <w:spacing w:after="0" w:line="269" w:lineRule="auto"/>
        <w:tabs>
          <w:tab w:leader="none" w:pos="2995" w:val="left"/>
        </w:tabs>
        <w:numPr>
          <w:ilvl w:val="1"/>
          <w:numId w:val="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headings in this Agreement are included for convenience of reference only and shall not constitute a part of this Agreement for any other purpose.</w:t>
      </w:r>
    </w:p>
    <w:p>
      <w:pPr>
        <w:spacing w:after="0" w:line="159" w:lineRule="exact"/>
        <w:rPr>
          <w:rFonts w:ascii="Times New Roman" w:cs="Times New Roman" w:eastAsia="Times New Roman" w:hAnsi="Times New Roman"/>
          <w:sz w:val="20"/>
          <w:szCs w:val="20"/>
          <w:color w:val="010000"/>
        </w:rPr>
      </w:pPr>
    </w:p>
    <w:p>
      <w:pPr>
        <w:jc w:val="both"/>
        <w:ind w:firstLine="1505"/>
        <w:spacing w:after="0" w:line="242" w:lineRule="auto"/>
        <w:tabs>
          <w:tab w:leader="none" w:pos="2995" w:val="left"/>
        </w:tabs>
        <w:numPr>
          <w:ilvl w:val="1"/>
          <w:numId w:val="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signed in any number of counterparts, each of which shall be deemed an original and all of which when taken together shall constitute one and the same instrument. Delivery of an executed counterpart of this Agreement by facsimile or by electronic mail delivery of an electronic version (e.g., .pdf or .tif file) of an executed signature page shall be effective as delivery of an original executed counterpart hereof and shall bind the parties hereto. 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2" w:name="page143"/>
    <w:bookmarkEnd w:id="142"/>
    <w:p>
      <w:pPr>
        <w:jc w:val="both"/>
        <w:spacing w:after="0" w:line="255" w:lineRule="auto"/>
        <w:rPr>
          <w:sz w:val="20"/>
          <w:szCs w:val="20"/>
          <w:color w:val="auto"/>
        </w:rPr>
      </w:pPr>
      <w:r>
        <w:rPr>
          <w:rFonts w:ascii="Times New Roman" w:cs="Times New Roman" w:eastAsia="Times New Roman" w:hAnsi="Times New Roman"/>
          <w:sz w:val="20"/>
          <w:szCs w:val="20"/>
          <w:color w:val="auto"/>
        </w:rPr>
        <w:t>other similar state laws based on the Uniform Electronic Transactions Act. As used herein, “</w:t>
      </w:r>
      <w:r>
        <w:rPr>
          <w:rFonts w:ascii="Times New Roman" w:cs="Times New Roman" w:eastAsia="Times New Roman" w:hAnsi="Times New Roman"/>
          <w:sz w:val="20"/>
          <w:szCs w:val="20"/>
          <w:b w:val="1"/>
          <w:bCs w:val="1"/>
          <w:color w:val="auto"/>
        </w:rPr>
        <w:t>Electronic Signature</w:t>
      </w:r>
      <w:r>
        <w:rPr>
          <w:rFonts w:ascii="Times New Roman" w:cs="Times New Roman" w:eastAsia="Times New Roman" w:hAnsi="Times New Roman"/>
          <w:sz w:val="20"/>
          <w:szCs w:val="20"/>
          <w:color w:val="auto"/>
        </w:rPr>
        <w:t>” means an electronic sound, symbol, or process attached to, or associated with, a contract or other record and adopted by a Person with the intent to sign, authenticate or accept such contract or other record.</w:t>
      </w:r>
    </w:p>
    <w:p>
      <w:pPr>
        <w:spacing w:after="0" w:line="175" w:lineRule="exact"/>
        <w:rPr>
          <w:sz w:val="20"/>
          <w:szCs w:val="20"/>
          <w:color w:val="auto"/>
        </w:rPr>
      </w:pPr>
    </w:p>
    <w:p>
      <w:pPr>
        <w:ind w:firstLine="1505"/>
        <w:spacing w:after="0" w:line="269" w:lineRule="auto"/>
        <w:tabs>
          <w:tab w:leader="none" w:pos="2995" w:val="left"/>
        </w:tabs>
        <w:numPr>
          <w:ilvl w:val="0"/>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constitutes the entire agreement and understanding among the parties hereto and supersedes any and all prior agreements and understandings, oral or written, relating to the subject matter hereof.</w:t>
      </w:r>
    </w:p>
    <w:p>
      <w:pPr>
        <w:spacing w:after="0" w:line="159" w:lineRule="exact"/>
        <w:rPr>
          <w:rFonts w:ascii="Times New Roman" w:cs="Times New Roman" w:eastAsia="Times New Roman" w:hAnsi="Times New Roman"/>
          <w:sz w:val="20"/>
          <w:szCs w:val="20"/>
          <w:color w:val="010000"/>
        </w:rPr>
      </w:pPr>
    </w:p>
    <w:p>
      <w:pPr>
        <w:jc w:val="both"/>
        <w:ind w:firstLine="1505"/>
        <w:spacing w:after="0" w:line="254" w:lineRule="auto"/>
        <w:tabs>
          <w:tab w:leader="none" w:pos="2995" w:val="left"/>
        </w:tabs>
        <w:numPr>
          <w:ilvl w:val="0"/>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spacing w:after="0" w:line="174" w:lineRule="exact"/>
        <w:rPr>
          <w:sz w:val="20"/>
          <w:szCs w:val="20"/>
          <w:color w:val="auto"/>
        </w:rPr>
      </w:pPr>
    </w:p>
    <w:p>
      <w:pPr>
        <w:ind w:firstLine="1497"/>
        <w:spacing w:after="0" w:line="269" w:lineRule="auto"/>
        <w:rPr>
          <w:sz w:val="20"/>
          <w:szCs w:val="20"/>
          <w:color w:val="auto"/>
        </w:rPr>
      </w:pPr>
      <w:r>
        <w:rPr>
          <w:rFonts w:ascii="Times New Roman" w:cs="Times New Roman" w:eastAsia="Times New Roman" w:hAnsi="Times New Roman"/>
          <w:sz w:val="20"/>
          <w:szCs w:val="20"/>
          <w:color w:val="010000"/>
        </w:rPr>
        <w:t xml:space="preserve">(i) </w:t>
      </w:r>
      <w:r>
        <w:rPr>
          <w:rFonts w:ascii="Times New Roman" w:cs="Times New Roman" w:eastAsia="Times New Roman" w:hAnsi="Times New Roman"/>
          <w:sz w:val="20"/>
          <w:szCs w:val="20"/>
          <w:u w:val="single" w:color="auto"/>
          <w:color w:val="000000"/>
        </w:rPr>
        <w:t>Successors/Assigns</w:t>
      </w:r>
      <w:r>
        <w:rPr>
          <w:rFonts w:ascii="Times New Roman" w:cs="Times New Roman" w:eastAsia="Times New Roman" w:hAnsi="Times New Roman"/>
          <w:sz w:val="20"/>
          <w:szCs w:val="20"/>
          <w:color w:val="000000"/>
        </w:rPr>
        <w:t>. This Agreement shall bind, and the rights hereunder shall inure to, the respective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successors and assigns of the parties hereto, subject to the provisions of the Credit Agreement and the other Financing Documents.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[SIGNATURES APPEAR ON FOLLOWING PAGES]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3" w:name="page144"/>
    <w:bookmarkEnd w:id="143"/>
    <w:p>
      <w:pPr>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intending to be legally bound, the undersigned have executed this Agreement as of the day and year first hereinabove set forth.</w:t>
      </w: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4700" w:val="left"/>
        </w:tabs>
        <w:rPr>
          <w:sz w:val="20"/>
          <w:szCs w:val="20"/>
          <w:color w:val="auto"/>
        </w:rPr>
      </w:pPr>
      <w:r>
        <w:rPr>
          <w:rFonts w:ascii="Times New Roman" w:cs="Times New Roman" w:eastAsia="Times New Roman" w:hAnsi="Times New Roman"/>
          <w:sz w:val="20"/>
          <w:szCs w:val="20"/>
          <w:b w:val="1"/>
          <w:bCs w:val="1"/>
          <w:color w:val="auto"/>
        </w:rPr>
        <w:t>AGENT:</w:t>
      </w:r>
      <w:r>
        <w:rPr>
          <w:sz w:val="20"/>
          <w:szCs w:val="20"/>
          <w:color w:val="auto"/>
        </w:rPr>
        <w:tab/>
      </w:r>
      <w:r>
        <w:rPr>
          <w:rFonts w:ascii="Times New Roman" w:cs="Times New Roman" w:eastAsia="Times New Roman" w:hAnsi="Times New Roman"/>
          <w:sz w:val="20"/>
          <w:szCs w:val="20"/>
          <w:b w:val="1"/>
          <w:bCs w:val="1"/>
          <w:color w:val="auto"/>
        </w:rPr>
        <w:t>MIDCAP FUNDING IV TRUST</w:t>
      </w:r>
    </w:p>
    <w:p>
      <w:pPr>
        <w:spacing w:after="0" w:line="23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By: Apollo Capital Management, L.P.,</w:t>
      </w:r>
    </w:p>
    <w:p>
      <w:pPr>
        <w:spacing w:after="0" w:line="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its investment manager</w:t>
      </w:r>
    </w:p>
    <w:p>
      <w:pPr>
        <w:spacing w:after="0" w:line="20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By: Apollo Capital Management GP, LLC,</w:t>
      </w:r>
    </w:p>
    <w:p>
      <w:pPr>
        <w:spacing w:after="0" w:line="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2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By: _</w:t>
      </w:r>
      <w:r>
        <w:rPr>
          <w:rFonts w:ascii="Times New Roman" w:cs="Times New Roman" w:eastAsia="Times New Roman" w:hAnsi="Times New Roman"/>
          <w:sz w:val="20"/>
          <w:szCs w:val="20"/>
          <w:u w:val="single" w:color="auto"/>
          <w:color w:val="auto"/>
        </w:rPr>
        <w:t>/s/Maurice Amsellem</w:t>
      </w:r>
      <w:r>
        <w:rPr>
          <w:rFonts w:ascii="Times New Roman" w:cs="Times New Roman" w:eastAsia="Times New Roman" w:hAnsi="Times New Roman"/>
          <w:sz w:val="20"/>
          <w:szCs w:val="20"/>
          <w:color w:val="auto"/>
        </w:rPr>
        <w:t>________________</w:t>
      </w:r>
    </w:p>
    <w:p>
      <w:pPr>
        <w:spacing w:after="0" w:line="2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Name: Maurice Amsellem</w:t>
      </w:r>
    </w:p>
    <w:p>
      <w:pPr>
        <w:ind w:left="476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tabs>
          <w:tab w:leader="none" w:pos="4700" w:val="left"/>
        </w:tabs>
        <w:rPr>
          <w:sz w:val="20"/>
          <w:szCs w:val="20"/>
          <w:color w:val="auto"/>
        </w:rPr>
      </w:pPr>
      <w:r>
        <w:rPr>
          <w:rFonts w:ascii="Times New Roman" w:cs="Times New Roman" w:eastAsia="Times New Roman" w:hAnsi="Times New Roman"/>
          <w:sz w:val="20"/>
          <w:szCs w:val="20"/>
          <w:b w:val="1"/>
          <w:bCs w:val="1"/>
          <w:color w:val="auto"/>
        </w:rPr>
        <w:t>LENDER:</w:t>
      </w:r>
      <w:r>
        <w:rPr>
          <w:sz w:val="20"/>
          <w:szCs w:val="20"/>
          <w:color w:val="auto"/>
        </w:rPr>
        <w:tab/>
      </w:r>
      <w:r>
        <w:rPr>
          <w:rFonts w:ascii="Times New Roman" w:cs="Times New Roman" w:eastAsia="Times New Roman" w:hAnsi="Times New Roman"/>
          <w:sz w:val="20"/>
          <w:szCs w:val="20"/>
          <w:b w:val="1"/>
          <w:bCs w:val="1"/>
          <w:color w:val="auto"/>
        </w:rPr>
        <w:t>MIDCAP FUNDING IV TRUST</w:t>
      </w:r>
    </w:p>
    <w:p>
      <w:pPr>
        <w:spacing w:after="0" w:line="23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By: Apollo Capital Management, L.P.,</w:t>
      </w:r>
    </w:p>
    <w:p>
      <w:pPr>
        <w:spacing w:after="0" w:line="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its investment manager</w:t>
      </w:r>
    </w:p>
    <w:p>
      <w:pPr>
        <w:spacing w:after="0" w:line="20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By: Apollo Capital Management GP, LLC,</w:t>
      </w:r>
    </w:p>
    <w:p>
      <w:pPr>
        <w:spacing w:after="0" w:line="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2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By: _</w:t>
      </w:r>
      <w:r>
        <w:rPr>
          <w:rFonts w:ascii="Times New Roman" w:cs="Times New Roman" w:eastAsia="Times New Roman" w:hAnsi="Times New Roman"/>
          <w:sz w:val="20"/>
          <w:szCs w:val="20"/>
          <w:u w:val="single" w:color="auto"/>
          <w:color w:val="auto"/>
        </w:rPr>
        <w:t>/s/Maurice Amsellem</w:t>
      </w:r>
      <w:r>
        <w:rPr>
          <w:rFonts w:ascii="Times New Roman" w:cs="Times New Roman" w:eastAsia="Times New Roman" w:hAnsi="Times New Roman"/>
          <w:sz w:val="20"/>
          <w:szCs w:val="20"/>
          <w:color w:val="auto"/>
        </w:rPr>
        <w:t>_______________</w:t>
      </w:r>
    </w:p>
    <w:p>
      <w:pPr>
        <w:spacing w:after="0" w:line="2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Name: Maurice Amsellem</w:t>
      </w:r>
    </w:p>
    <w:p>
      <w:pPr>
        <w:ind w:left="476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2036445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4" w:name="page145"/>
    <w:bookmarkEnd w:id="144"/>
    <w:p>
      <w:pPr>
        <w:spacing w:after="0"/>
        <w:tabs>
          <w:tab w:leader="none" w:pos="3160" w:val="left"/>
        </w:tabs>
        <w:rPr>
          <w:sz w:val="20"/>
          <w:szCs w:val="20"/>
          <w:color w:val="auto"/>
        </w:rPr>
      </w:pPr>
      <w:r>
        <w:rPr>
          <w:rFonts w:ascii="Times New Roman" w:cs="Times New Roman" w:eastAsia="Times New Roman" w:hAnsi="Times New Roman"/>
          <w:sz w:val="20"/>
          <w:szCs w:val="20"/>
          <w:b w:val="1"/>
          <w:bCs w:val="1"/>
          <w:color w:val="auto"/>
        </w:rPr>
        <w:t>BORROWER:</w:t>
      </w:r>
      <w:r>
        <w:rPr>
          <w:sz w:val="20"/>
          <w:szCs w:val="20"/>
          <w:color w:val="auto"/>
        </w:rPr>
        <w:tab/>
      </w:r>
      <w:r>
        <w:rPr>
          <w:rFonts w:ascii="Times New Roman" w:cs="Times New Roman" w:eastAsia="Times New Roman" w:hAnsi="Times New Roman"/>
          <w:sz w:val="20"/>
          <w:szCs w:val="20"/>
          <w:b w:val="1"/>
          <w:bCs w:val="1"/>
          <w:color w:val="auto"/>
        </w:rPr>
        <w:t>SIGHT SCIENCES, INC.</w:t>
      </w:r>
    </w:p>
    <w:p>
      <w:pPr>
        <w:spacing w:after="0" w:line="200" w:lineRule="exact"/>
        <w:rPr>
          <w:sz w:val="20"/>
          <w:szCs w:val="20"/>
          <w:color w:val="auto"/>
        </w:rPr>
      </w:pPr>
    </w:p>
    <w:p>
      <w:pPr>
        <w:spacing w:after="0" w:line="2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By: _</w:t>
      </w:r>
      <w:r>
        <w:rPr>
          <w:rFonts w:ascii="Times New Roman" w:cs="Times New Roman" w:eastAsia="Times New Roman" w:hAnsi="Times New Roman"/>
          <w:sz w:val="19"/>
          <w:szCs w:val="19"/>
          <w:u w:val="single" w:color="auto"/>
          <w:color w:val="auto"/>
        </w:rPr>
        <w:t>/s/Jesse Selnick</w:t>
      </w:r>
      <w:r>
        <w:rPr>
          <w:rFonts w:ascii="Times New Roman" w:cs="Times New Roman" w:eastAsia="Times New Roman" w:hAnsi="Times New Roman"/>
          <w:sz w:val="19"/>
          <w:szCs w:val="19"/>
          <w:color w:val="auto"/>
        </w:rPr>
        <w:t xml:space="preserve"> __________________</w:t>
      </w:r>
    </w:p>
    <w:p>
      <w:pPr>
        <w:spacing w:after="0" w:line="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_</w:t>
      </w:r>
      <w:r>
        <w:rPr>
          <w:rFonts w:ascii="Times New Roman" w:cs="Times New Roman" w:eastAsia="Times New Roman" w:hAnsi="Times New Roman"/>
          <w:sz w:val="19"/>
          <w:szCs w:val="19"/>
          <w:u w:val="single" w:color="auto"/>
          <w:color w:val="auto"/>
        </w:rPr>
        <w:t>Jesse Selnick</w:t>
      </w:r>
      <w:r>
        <w:rPr>
          <w:rFonts w:ascii="Times New Roman" w:cs="Times New Roman" w:eastAsia="Times New Roman" w:hAnsi="Times New Roman"/>
          <w:sz w:val="19"/>
          <w:szCs w:val="19"/>
          <w:color w:val="auto"/>
        </w:rPr>
        <w:t>__________________</w:t>
      </w:r>
    </w:p>
    <w:p>
      <w:pPr>
        <w:spacing w:after="0" w:line="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Title: _</w:t>
      </w:r>
      <w:r>
        <w:rPr>
          <w:rFonts w:ascii="Times New Roman" w:cs="Times New Roman" w:eastAsia="Times New Roman" w:hAnsi="Times New Roman"/>
          <w:sz w:val="19"/>
          <w:szCs w:val="19"/>
          <w:u w:val="single" w:color="auto"/>
          <w:color w:val="auto"/>
        </w:rPr>
        <w:t>Chief Financial Officer</w:t>
      </w:r>
      <w:r>
        <w:rPr>
          <w:rFonts w:ascii="Times New Roman" w:cs="Times New Roman" w:eastAsia="Times New Roman" w:hAnsi="Times New Roman"/>
          <w:sz w:val="19"/>
          <w:szCs w:val="19"/>
          <w:color w:val="auto"/>
        </w:rPr>
        <w:t>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56" w:right="1440"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900" w:type="dxa"/>
            <w:vAlign w:val="bottom"/>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Subsidiaries of Sight Sciences, Inc.</w:t>
            </w:r>
          </w:p>
        </w:tc>
        <w:tc>
          <w:tcPr>
            <w:tcW w:w="840" w:type="dxa"/>
            <w:vAlign w:val="bottom"/>
          </w:tcPr>
          <w:p>
            <w:pPr>
              <w:spacing w:after="0"/>
              <w:rPr>
                <w:sz w:val="20"/>
                <w:szCs w:val="20"/>
                <w:color w:val="auto"/>
              </w:rPr>
            </w:pPr>
          </w:p>
        </w:tc>
      </w:tr>
      <w:tr>
        <w:trPr>
          <w:trHeight w:val="405"/>
        </w:trPr>
        <w:tc>
          <w:tcPr>
            <w:tcW w:w="860" w:type="dxa"/>
            <w:vAlign w:val="bottom"/>
          </w:tcPr>
          <w:p>
            <w:pPr>
              <w:spacing w:after="0"/>
              <w:rPr>
                <w:sz w:val="24"/>
                <w:szCs w:val="24"/>
                <w:color w:val="auto"/>
              </w:rPr>
            </w:pPr>
          </w:p>
        </w:tc>
        <w:tc>
          <w:tcPr>
            <w:tcW w:w="2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Legal Name of Subsidiary</w:t>
            </w:r>
          </w:p>
        </w:tc>
        <w:tc>
          <w:tcPr>
            <w:tcW w:w="19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c>
          <w:tcPr>
            <w:tcW w:w="840" w:type="dxa"/>
            <w:vAlign w:val="bottom"/>
          </w:tcPr>
          <w:p>
            <w:pPr>
              <w:spacing w:after="0"/>
              <w:rPr>
                <w:sz w:val="24"/>
                <w:szCs w:val="24"/>
                <w:color w:val="auto"/>
              </w:rPr>
            </w:pPr>
          </w:p>
        </w:tc>
      </w:tr>
      <w:tr>
        <w:trPr>
          <w:trHeight w:val="250"/>
        </w:trPr>
        <w:tc>
          <w:tcPr>
            <w:tcW w:w="860" w:type="dxa"/>
            <w:vAlign w:val="bottom"/>
          </w:tcPr>
          <w:p>
            <w:pPr>
              <w:spacing w:after="0"/>
              <w:rPr>
                <w:sz w:val="21"/>
                <w:szCs w:val="21"/>
                <w:color w:val="auto"/>
              </w:rPr>
            </w:pPr>
          </w:p>
        </w:tc>
        <w:tc>
          <w:tcPr>
            <w:tcW w:w="2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Sight Sciences UK, Ltd.</w:t>
            </w:r>
          </w:p>
        </w:tc>
        <w:tc>
          <w:tcPr>
            <w:tcW w:w="1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United Kingdom</w:t>
            </w:r>
          </w:p>
        </w:tc>
        <w:tc>
          <w:tcPr>
            <w:tcW w:w="840" w:type="dxa"/>
            <w:vAlign w:val="bottom"/>
          </w:tcPr>
          <w:p>
            <w:pPr>
              <w:spacing w:after="0"/>
              <w:rPr>
                <w:sz w:val="21"/>
                <w:szCs w:val="21"/>
                <w:color w:val="auto"/>
              </w:rPr>
            </w:pPr>
          </w:p>
        </w:tc>
      </w:tr>
      <w:tr>
        <w:trPr>
          <w:trHeight w:val="243"/>
        </w:trPr>
        <w:tc>
          <w:tcPr>
            <w:tcW w:w="860" w:type="dxa"/>
            <w:vAlign w:val="bottom"/>
          </w:tcPr>
          <w:p>
            <w:pPr>
              <w:spacing w:after="0"/>
              <w:rPr>
                <w:sz w:val="21"/>
                <w:szCs w:val="21"/>
                <w:color w:val="auto"/>
              </w:rPr>
            </w:pP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Sight Sciences GmbH</w:t>
            </w: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Germany</w:t>
            </w:r>
          </w:p>
        </w:tc>
        <w:tc>
          <w:tcPr>
            <w:tcW w:w="840" w:type="dxa"/>
            <w:vAlign w:val="bottom"/>
          </w:tcPr>
          <w:p>
            <w:pPr>
              <w:spacing w:after="0"/>
              <w:rPr>
                <w:sz w:val="21"/>
                <w:szCs w:val="21"/>
                <w:color w:val="auto"/>
              </w:rPr>
            </w:pPr>
          </w:p>
        </w:tc>
      </w:tr>
      <w:tr>
        <w:trPr>
          <w:trHeight w:val="372"/>
        </w:trPr>
        <w:tc>
          <w:tcPr>
            <w:tcW w:w="8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consent to the incorporation by reference in the Registration Statement No. 333-257936 on Form S-8 of our report dated March 16, 2023, relating to the consolidated financial statements of Sight Sciences, Inc., appearing in this Annual Report on Form 10-K of Sight Sciences, Inc. for the year ended December 31, 2022.</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7"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Paul Badawi and Jim Rodberg, and each of them individually, his and her true and lawful attorneys-in-fact and agents, with full power of substitution and resubstitution, for him and her and in his and her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2" w:lineRule="exact"/>
        <w:rPr>
          <w:sz w:val="20"/>
          <w:szCs w:val="20"/>
          <w:color w:val="auto"/>
        </w:rPr>
      </w:pPr>
    </w:p>
    <w:p>
      <w:pPr>
        <w:ind w:left="1220"/>
        <w:spacing w:after="0"/>
        <w:tabs>
          <w:tab w:leader="none" w:pos="6280" w:val="left"/>
          <w:tab w:leader="none" w:pos="10040" w:val="left"/>
        </w:tabs>
        <w:rPr>
          <w:sz w:val="20"/>
          <w:szCs w:val="20"/>
          <w:color w:val="auto"/>
        </w:rPr>
      </w:pPr>
      <w:r>
        <w:rPr>
          <w:rFonts w:ascii="Times New Roman" w:cs="Times New Roman" w:eastAsia="Times New Roman" w:hAnsi="Times New Roman"/>
          <w:sz w:val="14"/>
          <w:szCs w:val="14"/>
          <w:b w:val="1"/>
          <w:bCs w:val="1"/>
          <w:color w:val="auto"/>
        </w:rPr>
        <w:t>Name and 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p>
      <w:pPr>
        <w:spacing w:after="0" w:line="31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i w:val="1"/>
          <w:iCs w:val="1"/>
          <w:color w:val="auto"/>
        </w:rPr>
        <w:t>/s/ Paul Badawi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3317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1">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7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Paul Badawi</w:t>
      </w:r>
    </w:p>
    <w:p>
      <w:pPr>
        <w:spacing w:after="0" w:line="30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i w:val="1"/>
          <w:iCs w:val="1"/>
          <w:color w:val="auto"/>
        </w:rPr>
        <w:t>/s/ Jim Rodberg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3317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2">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7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Jim Rodberg</w:t>
      </w:r>
    </w:p>
    <w:p>
      <w:pPr>
        <w:spacing w:after="0" w:line="30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i w:val="1"/>
          <w:iCs w:val="1"/>
          <w:color w:val="auto"/>
        </w:rPr>
        <w:t>/s/ Staffan Encrantz</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Staffan Encrantz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3317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3">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8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i w:val="1"/>
          <w:iCs w:val="1"/>
          <w:color w:val="auto"/>
        </w:rPr>
        <w:t>/s/ David Badawi</w:t>
      </w:r>
    </w:p>
    <w:p>
      <w:pPr>
        <w:spacing w:after="0" w:line="3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David Badawi,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3317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8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/s/ Tamara Fountain</w:t>
      </w:r>
    </w:p>
    <w:p>
      <w:pPr>
        <w:spacing w:after="0" w:line="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b w:val="1"/>
          <w:bCs w:val="1"/>
          <w:color w:val="auto"/>
        </w:rPr>
        <w:t>Tamara Fountain,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3317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5">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8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i w:val="1"/>
          <w:iCs w:val="1"/>
          <w:color w:val="auto"/>
        </w:rPr>
        <w:t>/s/ Brenda Becker</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Brenda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3317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6">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8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i w:val="1"/>
          <w:iCs w:val="1"/>
          <w:color w:val="auto"/>
        </w:rPr>
        <w:t>/s/ Erica Rogers</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Erica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3317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7">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8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i w:val="1"/>
          <w:iCs w:val="1"/>
          <w:color w:val="auto"/>
        </w:rPr>
        <w:t>/s/ Valeska Schroeder</w:t>
      </w:r>
    </w:p>
    <w:p>
      <w:pPr>
        <w:spacing w:after="0" w:line="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color w:val="auto"/>
        </w:rPr>
        <w:t>Valeska Schroeder,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3317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8">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8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i w:val="1"/>
          <w:iCs w:val="1"/>
          <w:color w:val="auto"/>
        </w:rPr>
        <w:t>/s/ Donald Zurbay</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Donald Zurbay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3317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9">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8"/>
          <w:szCs w:val="18"/>
          <w:color w:val="auto"/>
        </w:rPr>
        <w:t>President, Chief Executive Officer and Director</w:t>
      </w:r>
      <w:r>
        <w:rPr>
          <w:sz w:val="20"/>
          <w:szCs w:val="20"/>
          <w:color w:val="auto"/>
        </w:rPr>
        <w:tab/>
      </w:r>
      <w:r>
        <w:rPr>
          <w:rFonts w:ascii="Times New Roman" w:cs="Times New Roman" w:eastAsia="Times New Roman" w:hAnsi="Times New Roman"/>
          <w:sz w:val="17"/>
          <w:szCs w:val="17"/>
          <w:color w:val="auto"/>
        </w:rPr>
        <w:t>March 16,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8"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8"/>
          <w:szCs w:val="18"/>
          <w:color w:val="auto"/>
        </w:rPr>
        <w:t>Interim Chief Financial Officer (Principal Financial</w:t>
      </w:r>
      <w:r>
        <w:rPr>
          <w:sz w:val="20"/>
          <w:szCs w:val="20"/>
          <w:color w:val="auto"/>
        </w:rPr>
        <w:tab/>
      </w:r>
      <w:r>
        <w:rPr>
          <w:rFonts w:ascii="Times New Roman" w:cs="Times New Roman" w:eastAsia="Times New Roman" w:hAnsi="Times New Roman"/>
          <w:sz w:val="17"/>
          <w:szCs w:val="17"/>
          <w:color w:val="auto"/>
        </w:rPr>
        <w:t>March 16,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and Principal Accounting Officer)</w:t>
      </w:r>
    </w:p>
    <w:p>
      <w:pPr>
        <w:spacing w:after="0" w:line="328"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8"/>
          <w:szCs w:val="18"/>
          <w:color w:val="auto"/>
        </w:rPr>
        <w:t>Chairman of the Board of Directors</w:t>
      </w:r>
      <w:r>
        <w:rPr>
          <w:sz w:val="20"/>
          <w:szCs w:val="20"/>
          <w:color w:val="auto"/>
        </w:rPr>
        <w:tab/>
      </w:r>
      <w:r>
        <w:rPr>
          <w:rFonts w:ascii="Times New Roman" w:cs="Times New Roman" w:eastAsia="Times New Roman" w:hAnsi="Times New Roman"/>
          <w:sz w:val="17"/>
          <w:szCs w:val="17"/>
          <w:color w:val="auto"/>
        </w:rPr>
        <w:t>March 16, 2023</w:t>
      </w:r>
    </w:p>
    <w:p>
      <w:pPr>
        <w:spacing w:after="0" w:line="200" w:lineRule="exact"/>
        <w:rPr>
          <w:sz w:val="20"/>
          <w:szCs w:val="20"/>
          <w:color w:val="auto"/>
        </w:rPr>
      </w:pPr>
    </w:p>
    <w:p>
      <w:pPr>
        <w:spacing w:after="0" w:line="295"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16, 2023</w:t>
      </w:r>
    </w:p>
    <w:p>
      <w:pPr>
        <w:spacing w:after="0" w:line="200" w:lineRule="exact"/>
        <w:rPr>
          <w:sz w:val="20"/>
          <w:szCs w:val="20"/>
          <w:color w:val="auto"/>
        </w:rPr>
      </w:pPr>
    </w:p>
    <w:p>
      <w:pPr>
        <w:spacing w:after="0" w:line="307"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16, 2023</w:t>
      </w:r>
    </w:p>
    <w:p>
      <w:pPr>
        <w:spacing w:after="0" w:line="200" w:lineRule="exact"/>
        <w:rPr>
          <w:sz w:val="20"/>
          <w:szCs w:val="20"/>
          <w:color w:val="auto"/>
        </w:rPr>
      </w:pPr>
    </w:p>
    <w:p>
      <w:pPr>
        <w:spacing w:after="0" w:line="307"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16, 2023</w:t>
      </w:r>
    </w:p>
    <w:p>
      <w:pPr>
        <w:spacing w:after="0" w:line="200" w:lineRule="exact"/>
        <w:rPr>
          <w:sz w:val="20"/>
          <w:szCs w:val="20"/>
          <w:color w:val="auto"/>
        </w:rPr>
      </w:pPr>
    </w:p>
    <w:p>
      <w:pPr>
        <w:spacing w:after="0" w:line="307"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16, 2023</w:t>
      </w:r>
    </w:p>
    <w:p>
      <w:pPr>
        <w:spacing w:after="0" w:line="200" w:lineRule="exact"/>
        <w:rPr>
          <w:sz w:val="20"/>
          <w:szCs w:val="20"/>
          <w:color w:val="auto"/>
        </w:rPr>
      </w:pPr>
    </w:p>
    <w:p>
      <w:pPr>
        <w:spacing w:after="0" w:line="307"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16, 2023</w:t>
      </w:r>
    </w:p>
    <w:p>
      <w:pPr>
        <w:spacing w:after="0" w:line="200" w:lineRule="exact"/>
        <w:rPr>
          <w:sz w:val="20"/>
          <w:szCs w:val="20"/>
          <w:color w:val="auto"/>
        </w:rPr>
      </w:pPr>
    </w:p>
    <w:p>
      <w:pPr>
        <w:spacing w:after="0" w:line="307"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1426210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100" w:space="720"/>
            <w:col w:w="7420"/>
          </w:cols>
          <w:pgMar w:left="320" w:top="333" w:right="339" w:bottom="1440" w:gutter="0" w:footer="0" w:header="0"/>
          <w:type w:val="continuous"/>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Badawi, certify that:</w:t>
      </w:r>
    </w:p>
    <w:p>
      <w:pPr>
        <w:spacing w:after="0" w:line="225" w:lineRule="exact"/>
        <w:rPr>
          <w:sz w:val="20"/>
          <w:szCs w:val="20"/>
          <w:color w:val="auto"/>
        </w:rPr>
      </w:pPr>
    </w:p>
    <w:p>
      <w:pPr>
        <w:ind w:left="520" w:hanging="512"/>
        <w:spacing w:after="0"/>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2022 of Sight Sciences,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300" w:hanging="369"/>
        <w:spacing w:after="0" w:line="282" w:lineRule="auto"/>
        <w:tabs>
          <w:tab w:leader="none" w:pos="15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80" w:hanging="369"/>
        <w:spacing w:after="0" w:line="282" w:lineRule="auto"/>
        <w:tabs>
          <w:tab w:leader="none" w:pos="15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5"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March 16, 2023</w:t>
      </w:r>
    </w:p>
    <w:p>
      <w:pPr>
        <w:spacing w:after="0" w:line="3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 Paul Badawi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26035</wp:posOffset>
            </wp:positionV>
            <wp:extent cx="366903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2">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2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Paul Badawi</w:t>
      </w:r>
    </w:p>
    <w:p>
      <w:pPr>
        <w:spacing w:after="0" w:line="3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301625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INTERIM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Jim Rodberg, certify that:</w:t>
      </w:r>
    </w:p>
    <w:p>
      <w:pPr>
        <w:spacing w:after="0" w:line="225" w:lineRule="exact"/>
        <w:rPr>
          <w:sz w:val="20"/>
          <w:szCs w:val="20"/>
          <w:color w:val="auto"/>
        </w:rPr>
      </w:pPr>
    </w:p>
    <w:p>
      <w:pPr>
        <w:ind w:left="520" w:hanging="512"/>
        <w:spacing w:after="0"/>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2022 of Sight Sciences,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300" w:hanging="369"/>
        <w:spacing w:after="0" w:line="282" w:lineRule="auto"/>
        <w:tabs>
          <w:tab w:leader="none" w:pos="15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80" w:hanging="369"/>
        <w:spacing w:after="0" w:line="282" w:lineRule="auto"/>
        <w:tabs>
          <w:tab w:leader="none" w:pos="15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16, 2023</w:t>
      </w:r>
    </w:p>
    <w:p>
      <w:pPr>
        <w:spacing w:after="0" w:line="3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Jim Rodberg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26035</wp:posOffset>
            </wp:positionV>
            <wp:extent cx="37973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5">
                      <a:extLst>
                        <a:ext uri="{28A0092B-C50C-407E-A947-70E740481C1C}"/>
                      </a:extLst>
                    </a:blip>
                    <a:srcRect/>
                    <a:stretch>
                      <a:fillRect/>
                    </a:stretch>
                  </pic:blipFill>
                  <pic:spPr bwMode="auto">
                    <a:xfrm>
                      <a:off x="0" y="0"/>
                      <a:ext cx="3797300" cy="8890"/>
                    </a:xfrm>
                    <a:prstGeom prst="rect">
                      <a:avLst/>
                    </a:prstGeom>
                    <a:noFill/>
                  </pic:spPr>
                </pic:pic>
              </a:graphicData>
            </a:graphic>
          </wp:anchor>
        </w:drawing>
      </w:r>
    </w:p>
    <w:p>
      <w:pPr>
        <w:spacing w:after="0" w:line="2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Jim Rodberg</w:t>
      </w:r>
    </w:p>
    <w:p>
      <w:pPr>
        <w:spacing w:after="0" w:line="3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396240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0" w:name="page151"/>
    <w:bookmarkEnd w:id="1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624840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ind w:right="540" w:firstLine="360"/>
        <w:spacing w:after="0" w:line="282"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Sight Sciences,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certifies that, to his knowledge:</w:t>
      </w:r>
    </w:p>
    <w:p>
      <w:pPr>
        <w:spacing w:after="0" w:line="162" w:lineRule="exact"/>
        <w:rPr>
          <w:sz w:val="20"/>
          <w:szCs w:val="20"/>
          <w:color w:val="auto"/>
        </w:rPr>
      </w:pPr>
    </w:p>
    <w:p>
      <w:pPr>
        <w:ind w:left="1260" w:right="560" w:hanging="743"/>
        <w:spacing w:after="0" w:line="282" w:lineRule="auto"/>
        <w:tabs>
          <w:tab w:leader="none" w:pos="12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period ended December 31, 2022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fully complies with the requirements of Section 13(a) or Section 15(d), as applicable,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260" w:right="320" w:hanging="743"/>
        <w:spacing w:after="0" w:line="282" w:lineRule="auto"/>
        <w:tabs>
          <w:tab w:leader="none" w:pos="12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16, 2023</w:t>
            </w:r>
          </w:p>
        </w:tc>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Badawi</w:t>
            </w:r>
          </w:p>
        </w:tc>
      </w:tr>
      <w:tr>
        <w:trPr>
          <w:trHeight w:val="218"/>
        </w:trPr>
        <w:tc>
          <w:tcPr>
            <w:tcW w:w="4280" w:type="dxa"/>
            <w:vAlign w:val="bottom"/>
          </w:tcPr>
          <w:p>
            <w:pPr>
              <w:spacing w:after="0"/>
              <w:rPr>
                <w:sz w:val="18"/>
                <w:szCs w:val="18"/>
                <w:color w:val="auto"/>
              </w:rPr>
            </w:pPr>
          </w:p>
        </w:tc>
        <w:tc>
          <w:tcPr>
            <w:tcW w:w="2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Paul Badawi</w:t>
            </w:r>
          </w:p>
        </w:tc>
      </w:tr>
      <w:tr>
        <w:trPr>
          <w:trHeight w:val="234"/>
        </w:trPr>
        <w:tc>
          <w:tcPr>
            <w:tcW w:w="4280" w:type="dxa"/>
            <w:vAlign w:val="bottom"/>
          </w:tcPr>
          <w:p>
            <w:pPr>
              <w:spacing w:after="0"/>
              <w:rPr>
                <w:sz w:val="20"/>
                <w:szCs w:val="20"/>
                <w:color w:val="auto"/>
              </w:rPr>
            </w:pPr>
          </w:p>
        </w:tc>
        <w:tc>
          <w:tcPr>
            <w:tcW w:w="2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504825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Interim Chief Financial Officer</w:t>
      </w:r>
    </w:p>
    <w:p>
      <w:pPr>
        <w:spacing w:after="0" w:line="229" w:lineRule="exact"/>
        <w:rPr>
          <w:sz w:val="20"/>
          <w:szCs w:val="20"/>
          <w:color w:val="auto"/>
        </w:rPr>
      </w:pPr>
    </w:p>
    <w:p>
      <w:pPr>
        <w:ind w:right="580" w:firstLine="360"/>
        <w:spacing w:after="0" w:line="282"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Sight Sciences, Inc.(the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certifies that, to his knowledge:</w:t>
      </w:r>
    </w:p>
    <w:p>
      <w:pPr>
        <w:spacing w:after="0" w:line="162" w:lineRule="exact"/>
        <w:rPr>
          <w:sz w:val="20"/>
          <w:szCs w:val="20"/>
          <w:color w:val="auto"/>
        </w:rPr>
      </w:pPr>
    </w:p>
    <w:p>
      <w:pPr>
        <w:ind w:left="1260" w:right="560" w:hanging="743"/>
        <w:spacing w:after="0" w:line="282" w:lineRule="auto"/>
        <w:tabs>
          <w:tab w:leader="none" w:pos="12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period ended December 31, 2022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fully complies with the requirements of Section 13(a) or Section 15(d), as applicable,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260" w:right="320" w:hanging="743"/>
        <w:spacing w:after="0" w:line="282" w:lineRule="auto"/>
        <w:tabs>
          <w:tab w:leader="none" w:pos="12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16, 2023</w:t>
            </w:r>
          </w:p>
        </w:tc>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Jim Rodberg</w:t>
            </w:r>
          </w:p>
        </w:tc>
        <w:tc>
          <w:tcPr>
            <w:tcW w:w="300" w:type="dxa"/>
            <w:vAlign w:val="bottom"/>
          </w:tcPr>
          <w:p>
            <w:pPr>
              <w:spacing w:after="0"/>
              <w:rPr>
                <w:sz w:val="17"/>
                <w:szCs w:val="17"/>
                <w:color w:val="auto"/>
              </w:rPr>
            </w:pPr>
          </w:p>
        </w:tc>
      </w:tr>
      <w:tr>
        <w:trPr>
          <w:trHeight w:val="218"/>
        </w:trPr>
        <w:tc>
          <w:tcPr>
            <w:tcW w:w="4560" w:type="dxa"/>
            <w:vAlign w:val="bottom"/>
          </w:tcPr>
          <w:p>
            <w:pPr>
              <w:spacing w:after="0"/>
              <w:rPr>
                <w:sz w:val="18"/>
                <w:szCs w:val="18"/>
                <w:color w:val="auto"/>
              </w:rPr>
            </w:pPr>
          </w:p>
        </w:tc>
        <w:tc>
          <w:tcPr>
            <w:tcW w:w="29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Jim Rodberg</w:t>
            </w:r>
          </w:p>
        </w:tc>
      </w:tr>
      <w:tr>
        <w:trPr>
          <w:trHeight w:val="234"/>
        </w:trPr>
        <w:tc>
          <w:tcPr>
            <w:tcW w:w="4560" w:type="dxa"/>
            <w:vAlign w:val="bottom"/>
          </w:tcPr>
          <w:p>
            <w:pPr>
              <w:spacing w:after="0"/>
              <w:rPr>
                <w:sz w:val="20"/>
                <w:szCs w:val="20"/>
                <w:color w:val="auto"/>
              </w:rPr>
            </w:pPr>
          </w:p>
        </w:tc>
        <w:tc>
          <w:tcPr>
            <w:tcW w:w="29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99"/>
              </w:rPr>
              <w:t>Interim Chief Financial Officer</w:t>
            </w:r>
          </w:p>
        </w:tc>
      </w:tr>
    </w:tbl>
    <w:p>
      <w:pPr>
        <w:spacing w:after="0" w:line="19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367665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3" w:name="page154"/>
    <w:bookmarkEnd w:id="1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lvl w:ilvl="1">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
      <w:numFmt w:val="bullet"/>
      <w:start w:val="1"/>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
      <w:numFmt w:val="bullet"/>
      <w:start w:val="1"/>
    </w:lvl>
  </w:abstractNum>
  <w:abstractNum w:abstractNumId="42">
    <w:nsid w:val="168E121F"/>
    <w:multiLevelType w:val="hybridMultilevel"/>
    <w:lvl w:ilvl="0">
      <w:lvlJc w:val="left"/>
      <w:lvlText w:val="(%1)"/>
      <w:numFmt w:val="lowerLetter"/>
      <w:start w:val="1"/>
    </w:lvl>
  </w:abstractNum>
  <w:abstractNum w:abstractNumId="43">
    <w:nsid w:val="1EBA5D23"/>
    <w:multiLevelType w:val="hybridMultilevel"/>
    <w:lvl w:ilvl="0">
      <w:lvlJc w:val="left"/>
      <w:lvlText w:val="%1"/>
      <w:numFmt w:val="lowerLetter"/>
      <w:start w:val="1"/>
    </w:lvl>
    <w:lvl w:ilvl="1">
      <w:lvlJc w:val="left"/>
      <w:lvlText w:val="(%2)"/>
      <w:numFmt w:val="decimal"/>
      <w:start w:val="2"/>
    </w:lvl>
  </w:abstractNum>
  <w:abstractNum w:abstractNumId="44">
    <w:nsid w:val="661E3F1E"/>
    <w:multiLevelType w:val="hybridMultilevel"/>
    <w:lvl w:ilvl="0">
      <w:lvlJc w:val="left"/>
      <w:lvlText w:val="(%1)"/>
      <w:numFmt w:val="lowerLetter"/>
      <w:start w:val="2"/>
    </w:lvl>
    <w:lvl w:ilvl="1">
      <w:lvlJc w:val="left"/>
      <w:lvlText w:val="%2"/>
      <w:numFmt w:val="decimal"/>
      <w:start w:val="1"/>
    </w:lvl>
  </w:abstractNum>
  <w:abstractNum w:abstractNumId="45">
    <w:nsid w:val="5DC79EA8"/>
    <w:multiLevelType w:val="hybridMultilevel"/>
    <w:lvl w:ilvl="0">
      <w:lvlJc w:val="left"/>
      <w:lvlText w:val="*"/>
      <w:numFmt w:val="bullet"/>
      <w:start w:val="1"/>
    </w:lvl>
    <w:lvl w:ilvl="1">
      <w:lvlJc w:val="left"/>
      <w:lvlText w:val="%2"/>
      <w:numFmt w:val="decimal"/>
      <w:start w:val="104"/>
    </w:lvl>
  </w:abstractNum>
  <w:abstractNum w:abstractNumId="46">
    <w:nsid w:val="540A471C"/>
    <w:multiLevelType w:val="hybridMultilevel"/>
    <w:lvl w:ilvl="0">
      <w:lvlJc w:val="left"/>
      <w:lvlText w:val="**"/>
      <w:numFmt w:val="bullet"/>
      <w:start w:val="1"/>
    </w:lvl>
    <w:lvl w:ilvl="1">
      <w:lvlJc w:val="left"/>
      <w:lvlText w:val="%2"/>
      <w:numFmt w:val="decimal"/>
      <w:start w:val="1"/>
    </w:lvl>
  </w:abstractNum>
  <w:abstractNum w:abstractNumId="47">
    <w:nsid w:val="7BD3EE7B"/>
    <w:multiLevelType w:val="hybridMultilevel"/>
    <w:lvl w:ilvl="0">
      <w:lvlJc w:val="left"/>
      <w:lvlText w:val="%1."/>
      <w:numFmt w:val="upperLetter"/>
      <w:start w:val="1"/>
    </w:lvl>
  </w:abstractNum>
  <w:abstractNum w:abstractNumId="48">
    <w:nsid w:val="51D9C564"/>
    <w:multiLevelType w:val="hybridMultilevel"/>
    <w:lvl w:ilvl="0">
      <w:lvlJc w:val="left"/>
      <w:lvlText w:val="(%1)"/>
      <w:numFmt w:val="lowerLetter"/>
      <w:start w:val="1"/>
    </w:lvl>
  </w:abstractNum>
  <w:abstractNum w:abstractNumId="49">
    <w:nsid w:val="613EFDC5"/>
    <w:multiLevelType w:val="hybridMultilevel"/>
    <w:lvl w:ilvl="0">
      <w:lvlJc w:val="left"/>
      <w:lvlText w:val="(%1)"/>
      <w:numFmt w:val="lowerLetter"/>
      <w:start w:val="1"/>
    </w:lvl>
  </w:abstractNum>
  <w:abstractNum w:abstractNumId="50">
    <w:nsid w:val="BF72B14"/>
    <w:multiLevelType w:val="hybridMultilevel"/>
    <w:lvl w:ilvl="0">
      <w:lvlJc w:val="left"/>
      <w:lvlText w:val="(%1)"/>
      <w:numFmt w:val="lowerLetter"/>
      <w:start w:val="1"/>
    </w:lvl>
    <w:lvl w:ilvl="1">
      <w:lvlJc w:val="left"/>
      <w:lvlText w:val="(%2)"/>
      <w:numFmt w:val="lowerRoman"/>
      <w:start w:val="1"/>
    </w:lvl>
  </w:abstractNum>
  <w:abstractNum w:abstractNumId="51">
    <w:nsid w:val="11447B73"/>
    <w:multiLevelType w:val="hybridMultilevel"/>
    <w:lvl w:ilvl="0">
      <w:lvlJc w:val="left"/>
      <w:lvlText w:val="(%1)"/>
      <w:numFmt w:val="lowerLetter"/>
      <w:start w:val="4"/>
    </w:lvl>
  </w:abstractNum>
  <w:abstractNum w:abstractNumId="52">
    <w:nsid w:val="42963E5A"/>
    <w:multiLevelType w:val="hybridMultilevel"/>
    <w:lvl w:ilvl="0">
      <w:lvlJc w:val="left"/>
      <w:lvlText w:val="(%1)"/>
      <w:numFmt w:val="lowerLetter"/>
      <w:start w:val="1"/>
    </w:lvl>
    <w:lvl w:ilvl="1">
      <w:lvlJc w:val="left"/>
      <w:lvlText w:val="(%2)"/>
      <w:numFmt w:val="lowerRoman"/>
      <w:start w:val="1"/>
    </w:lvl>
  </w:abstractNum>
  <w:abstractNum w:abstractNumId="53">
    <w:nsid w:val="A0382C5"/>
    <w:multiLevelType w:val="hybridMultilevel"/>
    <w:lvl w:ilvl="0">
      <w:lvlJc w:val="left"/>
      <w:lvlText w:val="(%1)"/>
      <w:numFmt w:val="lowerLetter"/>
      <w:start w:val="3"/>
    </w:lvl>
    <w:lvl w:ilvl="1">
      <w:lvlJc w:val="left"/>
      <w:lvlText w:val="(%2)"/>
      <w:numFmt w:val="lowerRoman"/>
      <w:start w:val="1"/>
    </w:lvl>
  </w:abstractNum>
  <w:abstractNum w:abstractNumId="54">
    <w:nsid w:val="8F2B15E"/>
    <w:multiLevelType w:val="hybridMultilevel"/>
    <w:lvl w:ilvl="0">
      <w:lvlJc w:val="left"/>
      <w:lvlText w:val="(%1)"/>
      <w:numFmt w:val="lowerLetter"/>
      <w:start w:val="1"/>
    </w:lvl>
    <w:lvl w:ilvl="1">
      <w:lvlJc w:val="left"/>
      <w:lvlText w:val="(%2)"/>
      <w:numFmt w:val="lowerRoman"/>
      <w:start w:val="1"/>
    </w:lvl>
  </w:abstractNum>
  <w:abstractNum w:abstractNumId="55">
    <w:nsid w:val="1A32234B"/>
    <w:multiLevelType w:val="hybridMultilevel"/>
    <w:lvl w:ilvl="0">
      <w:lvlJc w:val="left"/>
      <w:lvlText w:val="(%1)"/>
      <w:numFmt w:val="lowerLetter"/>
      <w:start w:val="2"/>
    </w:lvl>
  </w:abstractNum>
  <w:abstractNum w:abstractNumId="56">
    <w:nsid w:val="3B0FD379"/>
    <w:multiLevelType w:val="hybridMultilevel"/>
    <w:lvl w:ilvl="0">
      <w:lvlJc w:val="left"/>
      <w:lvlText w:val="(%1)"/>
      <w:numFmt w:val="lowerLetter"/>
      <w:start w:val="3"/>
    </w:lvl>
  </w:abstractNum>
  <w:abstractNum w:abstractNumId="57">
    <w:nsid w:val="68EB2F63"/>
    <w:multiLevelType w:val="hybridMultilevel"/>
    <w:lvl w:ilvl="0">
      <w:lvlJc w:val="left"/>
      <w:lvlText w:val="(%1)"/>
      <w:numFmt w:val="lowerLetter"/>
      <w:start w:val="1"/>
    </w:lvl>
  </w:abstractNum>
  <w:abstractNum w:abstractNumId="58">
    <w:nsid w:val="4962813B"/>
    <w:multiLevelType w:val="hybridMultilevel"/>
    <w:lvl w:ilvl="0">
      <w:lvlJc w:val="left"/>
      <w:lvlText w:val="(%1)"/>
      <w:numFmt w:val="lowerLetter"/>
      <w:start w:val="4"/>
    </w:lvl>
  </w:abstractNum>
  <w:abstractNum w:abstractNumId="59">
    <w:nsid w:val="60B6DF70"/>
    <w:multiLevelType w:val="hybridMultilevel"/>
    <w:lvl w:ilvl="0">
      <w:lvlJc w:val="left"/>
      <w:lvlText w:val="(%1)"/>
      <w:numFmt w:val="lowerLetter"/>
      <w:start w:val="1"/>
    </w:lvl>
    <w:lvl w:ilvl="1">
      <w:lvlJc w:val="left"/>
      <w:lvlText w:val="(%2)"/>
      <w:numFmt w:val="lowerRoman"/>
      <w:start w:val="1"/>
    </w:lvl>
  </w:abstractNum>
  <w:abstractNum w:abstractNumId="60">
    <w:nsid w:val="6A5EE64"/>
    <w:multiLevelType w:val="hybridMultilevel"/>
    <w:lvl w:ilvl="0">
      <w:lvlJc w:val="left"/>
      <w:lvlText w:val="(%1)"/>
      <w:numFmt w:val="lowerLetter"/>
      <w:start w:val="7"/>
    </w:lvl>
  </w:abstractNum>
  <w:abstractNum w:abstractNumId="61">
    <w:nsid w:val="14330624"/>
    <w:multiLevelType w:val="hybridMultilevel"/>
    <w:lvl w:ilvl="0">
      <w:lvlJc w:val="left"/>
      <w:lvlText w:val="(%1)"/>
      <w:numFmt w:val="lowerLetter"/>
      <w:start w:val="10"/>
    </w:lvl>
    <w:lvl w:ilvl="1">
      <w:lvlJc w:val="left"/>
      <w:lvlText w:val="(%2)"/>
      <w:numFmt w:val="lowerRoman"/>
      <w:start w:val="1"/>
    </w:lvl>
  </w:abstractNum>
  <w:abstractNum w:abstractNumId="62">
    <w:nsid w:val="7FFFCA11"/>
    <w:multiLevelType w:val="hybridMultilevel"/>
    <w:lvl w:ilvl="0">
      <w:lvlJc w:val="left"/>
      <w:lvlText w:val="(%1)"/>
      <w:numFmt w:val="lowerRoman"/>
      <w:start w:val="5"/>
    </w:lvl>
  </w:abstractNum>
  <w:abstractNum w:abstractNumId="63">
    <w:nsid w:val="1A27709E"/>
    <w:multiLevelType w:val="hybridMultilevel"/>
    <w:lvl w:ilvl="0">
      <w:lvlJc w:val="left"/>
      <w:lvlText w:val="%1."/>
      <w:numFmt w:val="upperLetter"/>
      <w:start w:val="1"/>
    </w:lvl>
  </w:abstractNum>
  <w:abstractNum w:abstractNumId="64">
    <w:nsid w:val="71EA1109"/>
    <w:multiLevelType w:val="hybridMultilevel"/>
    <w:lvl w:ilvl="0">
      <w:lvlJc w:val="left"/>
      <w:lvlText w:val="%1."/>
      <w:numFmt w:val="decimal"/>
      <w:start w:val="1"/>
    </w:lvl>
    <w:lvl w:ilvl="1">
      <w:lvlJc w:val="left"/>
      <w:lvlText w:val="(%2)"/>
      <w:numFmt w:val="lowerLetter"/>
      <w:start w:val="1"/>
    </w:lvl>
  </w:abstractNum>
  <w:abstractNum w:abstractNumId="65">
    <w:nsid w:val="100F59DC"/>
    <w:multiLevelType w:val="hybridMultilevel"/>
    <w:lvl w:ilvl="0">
      <w:lvlJc w:val="left"/>
      <w:lvlText w:val="(%1)"/>
      <w:numFmt w:val="lowerLetter"/>
      <w:start w:val="2"/>
    </w:lvl>
  </w:abstractNum>
  <w:abstractNum w:abstractNumId="66">
    <w:nsid w:val="7FB7E0AA"/>
    <w:multiLevelType w:val="hybridMultilevel"/>
    <w:lvl w:ilvl="0">
      <w:lvlJc w:val="left"/>
      <w:lvlText w:val="(%1)"/>
      <w:numFmt w:val="lowerLetter"/>
      <w:start w:val="3"/>
    </w:lvl>
  </w:abstractNum>
  <w:abstractNum w:abstractNumId="67">
    <w:nsid w:val="6EB5BD4"/>
    <w:multiLevelType w:val="hybridMultilevel"/>
    <w:lvl w:ilvl="0">
      <w:lvlJc w:val="left"/>
      <w:lvlText w:val="(%1)"/>
      <w:numFmt w:val="lowerRoman"/>
      <w:start w:val="1"/>
    </w:lvl>
  </w:abstractNum>
  <w:abstractNum w:abstractNumId="68">
    <w:nsid w:val="6F6DD9AC"/>
    <w:multiLevelType w:val="hybridMultilevel"/>
    <w:lvl w:ilvl="0">
      <w:lvlJc w:val="left"/>
      <w:lvlText w:val="%1"/>
      <w:numFmt w:val="lowerLetter"/>
      <w:start w:val="1"/>
    </w:lvl>
    <w:lvl w:ilvl="1">
      <w:lvlJc w:val="left"/>
      <w:lvlText w:val="(%2)"/>
      <w:numFmt w:val="lowerLetter"/>
      <w:start w:val="61"/>
    </w:lvl>
  </w:abstractNum>
  <w:abstractNum w:abstractNumId="69">
    <w:nsid w:val="94211F2"/>
    <w:multiLevelType w:val="hybridMultilevel"/>
    <w:lvl w:ilvl="0">
      <w:lvlJc w:val="left"/>
      <w:lvlText w:val="(%1)"/>
      <w:numFmt w:val="lowerLetter"/>
      <w:start w:val="6"/>
    </w:lvl>
    <w:lvl w:ilvl="1">
      <w:lvlJc w:val="left"/>
      <w:lvlText w:val="%2"/>
      <w:numFmt w:val="lowerLetter"/>
      <w:start w:val="1"/>
    </w:lvl>
  </w:abstractNum>
  <w:abstractNum w:abstractNumId="70">
    <w:nsid w:val="885E1B"/>
    <w:multiLevelType w:val="hybridMultilevel"/>
    <w:lvl w:ilvl="0">
      <w:lvlJc w:val="left"/>
      <w:lvlText w:val="(%1)"/>
      <w:numFmt w:val="lowerRoman"/>
      <w:start w:val="1"/>
    </w:lvl>
  </w:abstractNum>
  <w:abstractNum w:abstractNumId="71">
    <w:nsid w:val="76272110"/>
    <w:multiLevelType w:val="hybridMultilevel"/>
    <w:lvl w:ilvl="0">
      <w:lvlJc w:val="left"/>
      <w:lvlText w:val="(%1)"/>
      <w:numFmt w:val="lowerRoman"/>
      <w:start w:val="3"/>
    </w:lvl>
  </w:abstractNum>
  <w:abstractNum w:abstractNumId="72">
    <w:nsid w:val="4C04A8AF"/>
    <w:multiLevelType w:val="hybridMultilevel"/>
    <w:lvl w:ilvl="0">
      <w:lvlJc w:val="left"/>
      <w:lvlText w:val="(%1)"/>
      <w:numFmt w:val="lowerLetter"/>
      <w:start w:val="7"/>
    </w:lvl>
  </w:abstractNum>
  <w:abstractNum w:abstractNumId="73">
    <w:nsid w:val="1716703B"/>
    <w:multiLevelType w:val="hybridMultilevel"/>
    <w:lvl w:ilvl="0">
      <w:lvlJc w:val="left"/>
      <w:lvlText w:val="(%1)"/>
      <w:numFmt w:val="lowerRoman"/>
      <w:start w:val="2"/>
    </w:lvl>
  </w:abstractNum>
  <w:abstractNum w:abstractNumId="74">
    <w:nsid w:val="14E17E33"/>
    <w:multiLevelType w:val="hybridMultilevel"/>
    <w:lvl w:ilvl="0">
      <w:lvlJc w:val="left"/>
      <w:lvlText w:val="(%1)"/>
      <w:numFmt w:val="lowerRoman"/>
      <w:start w:val="3"/>
    </w:lvl>
    <w:lvl w:ilvl="1">
      <w:lvlJc w:val="left"/>
      <w:lvlText w:val="(%2)"/>
      <w:numFmt w:val="lowerRoman"/>
      <w:start w:val="5"/>
    </w:lvl>
  </w:abstractNum>
  <w:abstractNum w:abstractNumId="75">
    <w:nsid w:val="3222E7CD"/>
    <w:multiLevelType w:val="hybridMultilevel"/>
    <w:lvl w:ilvl="0">
      <w:lvlJc w:val="left"/>
      <w:lvlText w:val="(%1)"/>
      <w:numFmt w:val="lowerRoman"/>
      <w:start w:val="6"/>
    </w:lvl>
  </w:abstractNum>
  <w:abstractNum w:abstractNumId="76">
    <w:nsid w:val="74DE0EE3"/>
    <w:multiLevelType w:val="hybridMultilevel"/>
    <w:lvl w:ilvl="0">
      <w:lvlJc w:val="left"/>
      <w:lvlText w:val="%1"/>
      <w:numFmt w:val="decimal"/>
      <w:start w:val="1"/>
    </w:lvl>
    <w:lvl w:ilvl="1">
      <w:lvlJc w:val="left"/>
      <w:lvlText w:val="(%2)"/>
      <w:numFmt w:val="lowerLetter"/>
      <w:start w:val="11"/>
    </w:lvl>
  </w:abstractNum>
  <w:abstractNum w:abstractNumId="77">
    <w:nsid w:val="68EBC550"/>
    <w:multiLevelType w:val="hybridMultilevel"/>
    <w:lvl w:ilvl="0">
      <w:lvlJc w:val="left"/>
      <w:lvlText w:val="%1."/>
      <w:numFmt w:val="decimal"/>
      <w:start w:val="3"/>
    </w:lvl>
    <w:lvl w:ilvl="1">
      <w:lvlJc w:val="left"/>
      <w:lvlText w:val="(%2)"/>
      <w:numFmt w:val="lowerLetter"/>
      <w:start w:val="1"/>
    </w:lvl>
  </w:abstractNum>
  <w:abstractNum w:abstractNumId="78">
    <w:nsid w:val="2DF6D648"/>
    <w:multiLevelType w:val="hybridMultilevel"/>
    <w:lvl w:ilvl="0">
      <w:lvlJc w:val="left"/>
      <w:lvlText w:val="(%1)"/>
      <w:numFmt w:val="lowerLetter"/>
      <w:start w:val="2"/>
    </w:lvl>
  </w:abstractNum>
  <w:abstractNum w:abstractNumId="79">
    <w:nsid w:val="46B7D447"/>
    <w:multiLevelType w:val="hybridMultilevel"/>
    <w:lvl w:ilvl="0">
      <w:lvlJc w:val="left"/>
      <w:lvlText w:val="(%1)"/>
      <w:numFmt w:val="lowerLetter"/>
      <w:start w:val="7"/>
    </w:lvl>
  </w:abstractNum>
  <w:abstractNum w:abstractNumId="80">
    <w:nsid w:val="4A2AC315"/>
    <w:multiLevelType w:val="hybridMultilevel"/>
    <w:lvl w:ilvl="0">
      <w:lvlJc w:val="left"/>
      <w:lvlText w:val="%1."/>
      <w:numFmt w:val="upperLetter"/>
      <w:start w:val="1"/>
    </w:lvl>
  </w:abstractNum>
  <w:abstractNum w:abstractNumId="81">
    <w:nsid w:val="39EE015C"/>
    <w:multiLevelType w:val="hybridMultilevel"/>
    <w:lvl w:ilvl="0">
      <w:lvlJc w:val="left"/>
      <w:lvlText w:val="%1."/>
      <w:numFmt w:val="decimal"/>
      <w:start w:val="1"/>
    </w:lvl>
  </w:abstractNum>
  <w:abstractNum w:abstractNumId="82">
    <w:nsid w:val="57FC4FBB"/>
    <w:multiLevelType w:val="hybridMultilevel"/>
    <w:lvl w:ilvl="0">
      <w:lvlJc w:val="left"/>
      <w:lvlText w:val="(%1)"/>
      <w:numFmt w:val="lowerLetter"/>
      <w:start w:val="1"/>
    </w:lvl>
  </w:abstractNum>
  <w:abstractNum w:abstractNumId="83">
    <w:nsid w:val="CC1016F"/>
    <w:multiLevelType w:val="hybridMultilevel"/>
    <w:lvl w:ilvl="0">
      <w:lvlJc w:val="left"/>
      <w:lvlText w:val="(%1)"/>
      <w:numFmt w:val="lowerLetter"/>
      <w:start w:val="2"/>
    </w:lvl>
  </w:abstractNum>
  <w:abstractNum w:abstractNumId="84">
    <w:nsid w:val="43F18422"/>
    <w:multiLevelType w:val="hybridMultilevel"/>
    <w:lvl w:ilvl="0">
      <w:lvlJc w:val="left"/>
      <w:lvlText w:val="(%1)"/>
      <w:numFmt w:val="lowerLetter"/>
      <w:start w:val="3"/>
    </w:lvl>
  </w:abstractNum>
  <w:abstractNum w:abstractNumId="85">
    <w:nsid w:val="60EF0119"/>
    <w:multiLevelType w:val="hybridMultilevel"/>
    <w:lvl w:ilvl="0">
      <w:lvlJc w:val="left"/>
      <w:lvlText w:val="(%1)"/>
      <w:numFmt w:val="lowerRoman"/>
      <w:start w:val="1"/>
    </w:lvl>
  </w:abstractNum>
  <w:abstractNum w:abstractNumId="86">
    <w:nsid w:val="26F324BA"/>
    <w:multiLevelType w:val="hybridMultilevel"/>
    <w:lvl w:ilvl="0">
      <w:lvlJc w:val="left"/>
      <w:lvlText w:val="(%1)"/>
      <w:numFmt w:val="lowerRoman"/>
      <w:start w:val="2"/>
    </w:lvl>
  </w:abstractNum>
  <w:abstractNum w:abstractNumId="87">
    <w:nsid w:val="7F01579B"/>
    <w:multiLevelType w:val="hybridMultilevel"/>
    <w:lvl w:ilvl="0">
      <w:lvlJc w:val="left"/>
      <w:lvlText w:val="(%1)"/>
      <w:numFmt w:val="lowerLetter"/>
      <w:start w:val="6"/>
    </w:lvl>
  </w:abstractNum>
  <w:abstractNum w:abstractNumId="88">
    <w:nsid w:val="49DA307D"/>
    <w:multiLevelType w:val="hybridMultilevel"/>
    <w:lvl w:ilvl="0">
      <w:lvlJc w:val="left"/>
      <w:lvlText w:val="(%1)"/>
      <w:numFmt w:val="lowerRoman"/>
      <w:start w:val="1"/>
    </w:lvl>
  </w:abstractNum>
  <w:abstractNum w:abstractNumId="89">
    <w:nsid w:val="7055A5F5"/>
    <w:multiLevelType w:val="hybridMultilevel"/>
    <w:lvl w:ilvl="0">
      <w:lvlJc w:val="left"/>
      <w:lvlText w:val="(%1)"/>
      <w:numFmt w:val="lowerRoman"/>
      <w:start w:val="2"/>
    </w:lvl>
  </w:abstractNum>
  <w:abstractNum w:abstractNumId="90">
    <w:nsid w:val="5FB8370B"/>
    <w:multiLevelType w:val="hybridMultilevel"/>
    <w:lvl w:ilvl="0">
      <w:lvlJc w:val="left"/>
      <w:lvlText w:val="(%1)"/>
      <w:numFmt w:val="lowerLetter"/>
      <w:start w:val="7"/>
    </w:lvl>
  </w:abstractNum>
  <w:abstractNum w:abstractNumId="91">
    <w:nsid w:val="50801EE1"/>
    <w:multiLevelType w:val="hybridMultilevel"/>
    <w:lvl w:ilvl="0">
      <w:lvlJc w:val="left"/>
      <w:lvlText w:val="(%1)"/>
      <w:numFmt w:val="lowerRoman"/>
      <w:start w:val="2"/>
    </w:lvl>
  </w:abstractNum>
  <w:abstractNum w:abstractNumId="92">
    <w:nsid w:val="488AC1A"/>
    <w:multiLevelType w:val="hybridMultilevel"/>
    <w:lvl w:ilvl="0">
      <w:lvlJc w:val="left"/>
      <w:lvlText w:val="(%1)"/>
      <w:numFmt w:val="lowerRoman"/>
      <w:start w:val="3"/>
    </w:lvl>
  </w:abstractNum>
  <w:abstractNum w:abstractNumId="93">
    <w:nsid w:val="5FB8011C"/>
    <w:multiLevelType w:val="hybridMultilevel"/>
    <w:lvl w:ilvl="0">
      <w:lvlJc w:val="left"/>
      <w:lvlText w:val="(%1)"/>
      <w:numFmt w:val="lowerRoman"/>
      <w:start w:val="5"/>
    </w:lvl>
  </w:abstractNum>
  <w:abstractNum w:abstractNumId="94">
    <w:nsid w:val="6AA78F7F"/>
    <w:multiLevelType w:val="hybridMultilevel"/>
    <w:lvl w:ilvl="0">
      <w:lvlJc w:val="left"/>
      <w:lvlText w:val="%1"/>
      <w:numFmt w:val="decimal"/>
      <w:start w:val="1"/>
    </w:lvl>
    <w:lvl w:ilvl="1">
      <w:lvlJc w:val="left"/>
      <w:lvlText w:val="(%2)"/>
      <w:numFmt w:val="lowerLetter"/>
      <w:start w:val="11"/>
    </w:lvl>
  </w:abstractNum>
  <w:abstractNum w:abstractNumId="95">
    <w:nsid w:val="7672BD23"/>
    <w:multiLevelType w:val="hybridMultilevel"/>
    <w:lvl w:ilvl="0">
      <w:lvlJc w:val="left"/>
      <w:lvlText w:val="%1."/>
      <w:numFmt w:val="decimal"/>
      <w:start w:val="3"/>
    </w:lvl>
    <w:lvl w:ilvl="1">
      <w:lvlJc w:val="left"/>
      <w:lvlText w:val="(%2)"/>
      <w:numFmt w:val="lowerLetter"/>
      <w:start w:val="1"/>
    </w:lvl>
  </w:abstractNum>
  <w:abstractNum w:abstractNumId="96">
    <w:nsid w:val="6FC75AF8"/>
    <w:multiLevelType w:val="hybridMultilevel"/>
    <w:lvl w:ilvl="0">
      <w:lvlJc w:val="left"/>
      <w:lvlText w:val="%1."/>
      <w:numFmt w:val="decimal"/>
      <w:start w:val="5"/>
    </w:lvl>
    <w:lvl w:ilvl="1">
      <w:lvlJc w:val="left"/>
      <w:lvlText w:val="(%2)"/>
      <w:numFmt w:val="lowerLetter"/>
      <w:start w:val="1"/>
    </w:lvl>
  </w:abstractNum>
  <w:abstractNum w:abstractNumId="97">
    <w:nsid w:val="6A5F7029"/>
    <w:multiLevelType w:val="hybridMultilevel"/>
    <w:lvl w:ilvl="0">
      <w:lvlJc w:val="left"/>
      <w:lvlText w:val="(%1)"/>
      <w:numFmt w:val="lowerLetter"/>
      <w:start w:val="7"/>
    </w:lvl>
  </w:abstractNum>
  <w:abstractNum w:abstractNumId="98">
    <w:nsid w:val="7D5E18F8"/>
    <w:multiLevelType w:val="hybridMultilevel"/>
    <w:lvl w:ilvl="0">
      <w:lvlJc w:val="left"/>
      <w:lvlText w:val="%1."/>
      <w:numFmt w:val="decimal"/>
      <w:start w:val="1"/>
    </w:lvl>
    <w:lvl w:ilvl="1">
      <w:lvlJc w:val="left"/>
      <w:lvlText w:val="%2)"/>
      <w:numFmt w:val="lowerLetter"/>
      <w:start w:val="1"/>
    </w:lvl>
  </w:abstractNum>
  <w:abstractNum w:abstractNumId="99">
    <w:nsid w:val="5F3534A4"/>
    <w:multiLevelType w:val="hybridMultilevel"/>
    <w:lvl w:ilvl="0">
      <w:lvlJc w:val="left"/>
      <w:lvlText w:val="%1."/>
      <w:numFmt w:val="decimal"/>
      <w:start w:val="1"/>
    </w:lvl>
    <w:lvl w:ilvl="1">
      <w:lvlJc w:val="left"/>
      <w:lvlText w:val="%2."/>
      <w:numFmt w:val="lowerLetter"/>
      <w:start w:val="1"/>
    </w:lvl>
  </w:abstractNum>
  <w:abstractNum w:abstractNumId="100">
    <w:nsid w:val="73A1821B"/>
    <w:multiLevelType w:val="hybridMultilevel"/>
    <w:lvl w:ilvl="0">
      <w:lvlJc w:val="left"/>
      <w:lvlText w:val="%1."/>
      <w:numFmt w:val="decimal"/>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56" Type="http://schemas.openxmlformats.org/officeDocument/2006/relationships/image" Target="media/image230.png"/><Relationship Id="rId257" Type="http://schemas.openxmlformats.org/officeDocument/2006/relationships/image" Target="media/image231.png"/><Relationship Id="rId262" Type="http://schemas.openxmlformats.org/officeDocument/2006/relationships/image" Target="media/image232.png"/><Relationship Id="rId263" Type="http://schemas.openxmlformats.org/officeDocument/2006/relationships/image" Target="media/image233.png"/><Relationship Id="rId264" Type="http://schemas.openxmlformats.org/officeDocument/2006/relationships/image" Target="media/image234.png"/><Relationship Id="rId265" Type="http://schemas.openxmlformats.org/officeDocument/2006/relationships/image" Target="media/image235.png"/><Relationship Id="rId266" Type="http://schemas.openxmlformats.org/officeDocument/2006/relationships/image" Target="media/image236.png"/><Relationship Id="rId267" Type="http://schemas.openxmlformats.org/officeDocument/2006/relationships/image" Target="media/image237.png"/><Relationship Id="rId268" Type="http://schemas.openxmlformats.org/officeDocument/2006/relationships/image" Target="media/image238.png"/><Relationship Id="rId269" Type="http://schemas.openxmlformats.org/officeDocument/2006/relationships/image" Target="media/image239.png"/><Relationship Id="rId270" Type="http://schemas.openxmlformats.org/officeDocument/2006/relationships/image" Target="media/image240.png"/><Relationship Id="rId271" Type="http://schemas.openxmlformats.org/officeDocument/2006/relationships/image" Target="media/image241.png"/><Relationship Id="rId272" Type="http://schemas.openxmlformats.org/officeDocument/2006/relationships/image" Target="media/image242.png"/><Relationship Id="rId273" Type="http://schemas.openxmlformats.org/officeDocument/2006/relationships/image" Target="media/image243.png"/><Relationship Id="rId274" Type="http://schemas.openxmlformats.org/officeDocument/2006/relationships/image" Target="media/image244.png"/><Relationship Id="rId275" Type="http://schemas.openxmlformats.org/officeDocument/2006/relationships/image" Target="media/image245.png"/><Relationship Id="rId276" Type="http://schemas.openxmlformats.org/officeDocument/2006/relationships/image" Target="media/image246.png"/><Relationship Id="rId277" Type="http://schemas.openxmlformats.org/officeDocument/2006/relationships/image" Target="media/image247.png"/><Relationship Id="rId278" Type="http://schemas.openxmlformats.org/officeDocument/2006/relationships/image" Target="media/image248.png"/><Relationship Id="rId279" Type="http://schemas.openxmlformats.org/officeDocument/2006/relationships/image" Target="media/image249.png"/><Relationship Id="rId280" Type="http://schemas.openxmlformats.org/officeDocument/2006/relationships/image" Target="media/image250.png"/><Relationship Id="rId281" Type="http://schemas.openxmlformats.org/officeDocument/2006/relationships/image" Target="media/image251.png"/><Relationship Id="rId282" Type="http://schemas.openxmlformats.org/officeDocument/2006/relationships/image" Target="media/image252.png"/><Relationship Id="rId283" Type="http://schemas.openxmlformats.org/officeDocument/2006/relationships/image" Target="media/image253.png"/><Relationship Id="rId284" Type="http://schemas.openxmlformats.org/officeDocument/2006/relationships/image" Target="media/image254.png"/><Relationship Id="rId285" Type="http://schemas.openxmlformats.org/officeDocument/2006/relationships/image" Target="media/image255.png"/><Relationship Id="rId286" Type="http://schemas.openxmlformats.org/officeDocument/2006/relationships/image" Target="media/image256.png"/><Relationship Id="rId287" Type="http://schemas.openxmlformats.org/officeDocument/2006/relationships/image" Target="media/image257.png"/><Relationship Id="rId288" Type="http://schemas.openxmlformats.org/officeDocument/2006/relationships/image" Target="media/image258.png"/><Relationship Id="rId289" Type="http://schemas.openxmlformats.org/officeDocument/2006/relationships/image" Target="media/image259.png"/><Relationship Id="rId290" Type="http://schemas.openxmlformats.org/officeDocument/2006/relationships/image" Target="media/image260.png"/><Relationship Id="rId291" Type="http://schemas.openxmlformats.org/officeDocument/2006/relationships/image" Target="media/image261.png"/><Relationship Id="rId292" Type="http://schemas.openxmlformats.org/officeDocument/2006/relationships/image" Target="media/image262.png"/><Relationship Id="rId293" Type="http://schemas.openxmlformats.org/officeDocument/2006/relationships/image" Target="media/image263.png"/><Relationship Id="rId294" Type="http://schemas.openxmlformats.org/officeDocument/2006/relationships/image" Target="media/image264.png"/><Relationship Id="rId295" Type="http://schemas.openxmlformats.org/officeDocument/2006/relationships/image" Target="media/image265.png"/><Relationship Id="rId296" Type="http://schemas.openxmlformats.org/officeDocument/2006/relationships/image" Target="media/image266.png"/><Relationship Id="rId297" Type="http://schemas.openxmlformats.org/officeDocument/2006/relationships/image" Target="media/image267.png"/><Relationship Id="rId298" Type="http://schemas.openxmlformats.org/officeDocument/2006/relationships/image" Target="media/image268.png"/><Relationship Id="rId299" Type="http://schemas.openxmlformats.org/officeDocument/2006/relationships/image" Target="media/image269.png"/><Relationship Id="rId300" Type="http://schemas.openxmlformats.org/officeDocument/2006/relationships/image" Target="media/image270.png"/><Relationship Id="rId301" Type="http://schemas.openxmlformats.org/officeDocument/2006/relationships/image" Target="media/image271.png"/><Relationship Id="rId302" Type="http://schemas.openxmlformats.org/officeDocument/2006/relationships/image" Target="media/image272.png"/><Relationship Id="rId303" Type="http://schemas.openxmlformats.org/officeDocument/2006/relationships/image" Target="media/image273.png"/><Relationship Id="rId304" Type="http://schemas.openxmlformats.org/officeDocument/2006/relationships/image" Target="media/image274.png"/><Relationship Id="rId305" Type="http://schemas.openxmlformats.org/officeDocument/2006/relationships/image" Target="media/image275.png"/><Relationship Id="rId306" Type="http://schemas.openxmlformats.org/officeDocument/2006/relationships/image" Target="media/image276.png"/><Relationship Id="rId307" Type="http://schemas.openxmlformats.org/officeDocument/2006/relationships/image" Target="media/image277.png"/><Relationship Id="rId308" Type="http://schemas.openxmlformats.org/officeDocument/2006/relationships/image" Target="media/image278.png"/><Relationship Id="rId309" Type="http://schemas.openxmlformats.org/officeDocument/2006/relationships/image" Target="media/image279.png"/><Relationship Id="rId310" Type="http://schemas.openxmlformats.org/officeDocument/2006/relationships/image" Target="media/image280.png"/><Relationship Id="rId311" Type="http://schemas.openxmlformats.org/officeDocument/2006/relationships/image" Target="media/image281.png"/><Relationship Id="rId312" Type="http://schemas.openxmlformats.org/officeDocument/2006/relationships/image" Target="media/image282.png"/><Relationship Id="rId313" Type="http://schemas.openxmlformats.org/officeDocument/2006/relationships/image" Target="media/image283.png"/><Relationship Id="rId314" Type="http://schemas.openxmlformats.org/officeDocument/2006/relationships/image" Target="media/image284.png"/><Relationship Id="rId315" Type="http://schemas.openxmlformats.org/officeDocument/2006/relationships/image" Target="media/image285.png"/><Relationship Id="rId316" Type="http://schemas.openxmlformats.org/officeDocument/2006/relationships/image" Target="media/image286.png"/><Relationship Id="rId317" Type="http://schemas.openxmlformats.org/officeDocument/2006/relationships/image" Target="media/image287.png"/><Relationship Id="rId318" Type="http://schemas.openxmlformats.org/officeDocument/2006/relationships/image" Target="media/image288.png"/><Relationship Id="rId319" Type="http://schemas.openxmlformats.org/officeDocument/2006/relationships/image" Target="media/image289.png"/><Relationship Id="rId320" Type="http://schemas.openxmlformats.org/officeDocument/2006/relationships/image" Target="media/image290.png"/><Relationship Id="rId321" Type="http://schemas.openxmlformats.org/officeDocument/2006/relationships/image" Target="media/image291.png"/><Relationship Id="rId322" Type="http://schemas.openxmlformats.org/officeDocument/2006/relationships/image" Target="media/image292.png"/><Relationship Id="rId323" Type="http://schemas.openxmlformats.org/officeDocument/2006/relationships/image" Target="media/image293.png"/><Relationship Id="rId324" Type="http://schemas.openxmlformats.org/officeDocument/2006/relationships/image" Target="media/image294.png"/><Relationship Id="rId325" Type="http://schemas.openxmlformats.org/officeDocument/2006/relationships/image" Target="media/image295.png"/><Relationship Id="rId326" Type="http://schemas.openxmlformats.org/officeDocument/2006/relationships/image" Target="media/image296.png"/><Relationship Id="rId327" Type="http://schemas.openxmlformats.org/officeDocument/2006/relationships/image" Target="media/image297.png"/><Relationship Id="rId328" Type="http://schemas.openxmlformats.org/officeDocument/2006/relationships/image" Target="media/image298.png"/><Relationship Id="rId329" Type="http://schemas.openxmlformats.org/officeDocument/2006/relationships/image" Target="media/image299.png"/><Relationship Id="rId330" Type="http://schemas.openxmlformats.org/officeDocument/2006/relationships/image" Target="media/image300.png"/><Relationship Id="rId331" Type="http://schemas.openxmlformats.org/officeDocument/2006/relationships/image" Target="media/image301.png"/><Relationship Id="rId332" Type="http://schemas.openxmlformats.org/officeDocument/2006/relationships/image" Target="media/image302.png"/><Relationship Id="rId333" Type="http://schemas.openxmlformats.org/officeDocument/2006/relationships/image" Target="media/image303.png"/><Relationship Id="rId334" Type="http://schemas.openxmlformats.org/officeDocument/2006/relationships/image" Target="media/image304.png"/><Relationship Id="rId335" Type="http://schemas.openxmlformats.org/officeDocument/2006/relationships/image" Target="media/image305.png"/><Relationship Id="rId336" Type="http://schemas.openxmlformats.org/officeDocument/2006/relationships/image" Target="media/image306.png"/><Relationship Id="rId337" Type="http://schemas.openxmlformats.org/officeDocument/2006/relationships/image" Target="media/image307.png"/><Relationship Id="rId338" Type="http://schemas.openxmlformats.org/officeDocument/2006/relationships/image" Target="media/image308.png"/><Relationship Id="rId339" Type="http://schemas.openxmlformats.org/officeDocument/2006/relationships/image" Target="media/image309.png"/><Relationship Id="rId237" Type="http://schemas.openxmlformats.org/officeDocument/2006/relationships/hyperlink" Target="https://www.sec.gov/Archives/edgar/data/1531177/000119312521218705/d116785dex31.htm" TargetMode="External"/><Relationship Id="rId238" Type="http://schemas.openxmlformats.org/officeDocument/2006/relationships/hyperlink" Target="https://www.sec.gov/Archives/edgar/data/1531177/000119312521218705/d116785dex32.htm" TargetMode="External"/><Relationship Id="rId239" Type="http://schemas.openxmlformats.org/officeDocument/2006/relationships/hyperlink" Target="https://www.sec.gov/Archives/edgar/data/1531177/000119312521210231/d90195dex41.htm" TargetMode="External"/><Relationship Id="rId240" Type="http://schemas.openxmlformats.org/officeDocument/2006/relationships/hyperlink" Target="https://www.sec.gov/Archives/edgar/data/1531177/000119312521210231/d90195dex42.htm" TargetMode="External"/><Relationship Id="rId241" Type="http://schemas.openxmlformats.org/officeDocument/2006/relationships/hyperlink" Target="https://www.sec.gov/Archives/edgar/data/1531177/000119312521197314/d90195dex101.htm" TargetMode="External"/><Relationship Id="rId242" Type="http://schemas.openxmlformats.org/officeDocument/2006/relationships/hyperlink" Target="https://www.sec.gov/Archives/edgar/data/1531177/000119312521210231/d90195dex102.htm" TargetMode="External"/><Relationship Id="rId243" Type="http://schemas.openxmlformats.org/officeDocument/2006/relationships/hyperlink" Target="https://www.sec.gov/Archives/edgar/data/1531177/000095017022008993/sght-ex10_1.htm" TargetMode="External"/><Relationship Id="rId244" Type="http://schemas.openxmlformats.org/officeDocument/2006/relationships/hyperlink" Target="https://www.sec.gov/Archives/edgar/data/1531177/000119312521210231/d90195dex103.htm" TargetMode="External"/><Relationship Id="rId245" Type="http://schemas.openxmlformats.org/officeDocument/2006/relationships/hyperlink" Target="https://www.sec.gov/Archives/edgar/data/1531177/000119312521210231/d90195dex104.htm" TargetMode="External"/><Relationship Id="rId246" Type="http://schemas.openxmlformats.org/officeDocument/2006/relationships/hyperlink" Target="https://www.sec.gov/Archives/edgar/data/1531177/000119312521210231/d90195dex105.htm" TargetMode="External"/><Relationship Id="rId247" Type="http://schemas.openxmlformats.org/officeDocument/2006/relationships/hyperlink" Target="https://www.sec.gov/Archives/edgar/data/1531177/000119312521210231/d90195dex1011.htm" TargetMode="External"/><Relationship Id="rId248" Type="http://schemas.openxmlformats.org/officeDocument/2006/relationships/hyperlink" Target="https://www.sec.gov/Archives/edgar/data/1531177/000119312521210231/d90195dex1013.htm" TargetMode="External"/><Relationship Id="rId249" Type="http://schemas.openxmlformats.org/officeDocument/2006/relationships/hyperlink" Target="https://www.sec.gov/Archives/edgar/data/1531177/000119312521210231/d90195dex1014.htm" TargetMode="External"/><Relationship Id="rId250" Type="http://schemas.openxmlformats.org/officeDocument/2006/relationships/hyperlink" Target="https://www.sec.gov/Archives/edgar/data/1531177/000119312521197314/d90195dex107.htm" TargetMode="External"/><Relationship Id="rId251" Type="http://schemas.openxmlformats.org/officeDocument/2006/relationships/hyperlink" Target="https://www.sec.gov/Archives/edgar/data/1531177/000119312521197314/d90195dex108.htm" TargetMode="External"/><Relationship Id="rId252" Type="http://schemas.openxmlformats.org/officeDocument/2006/relationships/hyperlink" Target="https://www.sec.gov/Archives/edgar/data/1531177/000095017021004130/sght-ex10_2.htm" TargetMode="External"/><Relationship Id="rId253" Type="http://schemas.openxmlformats.org/officeDocument/2006/relationships/hyperlink" Target="https://www.sec.gov/Archives/edgar/data/1531177/000095017022004563/sght-ex10_14.htm" TargetMode="External"/><Relationship Id="rId254" Type="http://schemas.openxmlformats.org/officeDocument/2006/relationships/hyperlink" Target="https://www.sec.gov/Archives/edgar/data/1531177/000119312521197314/d90195dex109.htm" TargetMode="External"/><Relationship Id="rId255" Type="http://schemas.openxmlformats.org/officeDocument/2006/relationships/hyperlink" Target="https://www.sec.gov/Archives/edgar/data/1531177/000095017021004130/sght-ex10_1.htm" TargetMode="External"/><Relationship Id="rId258" Type="http://schemas.openxmlformats.org/officeDocument/2006/relationships/hyperlink" Target="https://www.sec.gov/Archives/edgar/data/1531177/000095017022016878/sght-ex10_1.htm" TargetMode="External"/><Relationship Id="rId259" Type="http://schemas.openxmlformats.org/officeDocument/2006/relationships/hyperlink" Target="https://www.sec.gov/Archives/edgar/data/1531177/000119312521197314/d90195dex1010.htm" TargetMode="External"/><Relationship Id="rId260" Type="http://schemas.openxmlformats.org/officeDocument/2006/relationships/hyperlink" Target="https://www.sec.gov/Archives/edgar/data/1531177/000095017022004563/sght-ex10_15.htm" TargetMode="External"/><Relationship Id="rId261" Type="http://schemas.openxmlformats.org/officeDocument/2006/relationships/hyperlink" Target="https://www.sec.gov/Archives/edgar/data/1531177/000095017022024483/sght-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2023-03-16T20:03:30Z</dcterms:created>
  <dcterms:modified xsi:type="dcterms:W3CDTF">2023-03-16T20:03:30Z</dcterms:modified>
</cp:coreProperties>
</file>