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sght-20230331.htm"/>
      <w:bookmarkStart w:id="1" w:name="kssght20230331"/>
      <w:bookmarkEnd w:id="0"/>
      <w:bookmarkEnd w:id="1"/>
      <w:r>
        <w:rPr/>
        <w:t> </w:t>
      </w:r>
    </w:p>
    <w:p>
      <w:pPr>
        <w:pStyle w:val="TextBody"/>
        <w:spacing w:before="0" w:after="0"/>
        <w:jc w:val="left"/>
        <w:rPr/>
      </w:pPr>
      <w:r>
        <w:rPr/>
        <w:t> </w:t>
      </w:r>
    </w:p>
    <w:p>
      <w:pPr>
        <w:pStyle w:val="TextBody"/>
        <w:spacing w:before="0" w:after="0"/>
        <w:jc w:val="left"/>
        <w:rPr/>
      </w:pPr>
      <w:r>
        <w:rPr/>
        <w:t> </w:t>
      </w:r>
    </w:p>
    <w:p>
      <w:pPr>
        <w:pStyle w:val="TextBody"/>
        <w:pBdr>
          <w:top w:val="double" w:sz="6" w:space="1" w:color="000000"/>
        </w:pBdr>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40" w:after="100"/>
        <w:jc w:val="center"/>
        <w:rPr/>
      </w:pPr>
      <w:r>
        <w:rPr/>
        <w:t> </w:t>
      </w:r>
    </w:p>
    <w:p>
      <w:pPr>
        <w:pStyle w:val="TextBody"/>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40" w:after="100"/>
        <w:jc w:val="center"/>
        <w:rPr/>
      </w:pPr>
      <w:r>
        <w:rPr/>
        <w:t> </w:t>
      </w:r>
    </w:p>
    <w:p>
      <w:pPr>
        <w:pStyle w:val="TextBody"/>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12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transition period from __________ to ____________</w:t>
      </w:r>
    </w:p>
    <w:p>
      <w:pPr>
        <w:pStyle w:val="TextBody"/>
        <w:spacing w:before="120" w:after="0"/>
        <w:jc w:val="center"/>
        <w:rPr>
          <w:rFonts w:ascii="Times New Roman;serif" w:hAnsi="Times New Roman;serif"/>
          <w:b/>
          <w:sz w:val="20"/>
        </w:rPr>
      </w:pPr>
      <w:r>
        <w:rPr>
          <w:rFonts w:ascii="Times New Roman;serif" w:hAnsi="Times New Roman;serif"/>
          <w:b/>
          <w:sz w:val="20"/>
        </w:rPr>
        <w:t>Commission File Number: 001-40587</w:t>
      </w:r>
    </w:p>
    <w:p>
      <w:pPr>
        <w:pStyle w:val="TextBody"/>
        <w:pBdr>
          <w:bottom w:val="single" w:sz="4" w:space="1" w:color="000000"/>
        </w:pBdr>
        <w:spacing w:before="40" w:after="100"/>
        <w:jc w:val="center"/>
        <w:rPr/>
      </w:pPr>
      <w:r>
        <w:rPr/>
        <w:t> </w:t>
      </w:r>
    </w:p>
    <w:p>
      <w:pPr>
        <w:pStyle w:val="TextBody"/>
        <w:spacing w:before="0" w:after="0"/>
        <w:jc w:val="center"/>
        <w:rPr>
          <w:rFonts w:ascii="Times New Roman;serif" w:hAnsi="Times New Roman;serif"/>
          <w:b/>
          <w:sz w:val="48"/>
        </w:rPr>
      </w:pPr>
      <w:r>
        <w:rPr>
          <w:rFonts w:ascii="Times New Roman;serif" w:hAnsi="Times New Roman;serif"/>
          <w:b/>
          <w:sz w:val="48"/>
        </w:rPr>
        <w:t>SIGHT SCIENCES,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40" w:after="0"/>
        <w:jc w:val="center"/>
        <w:rPr/>
      </w:pPr>
      <w:r>
        <w:rPr/>
        <w:t> </w:t>
      </w:r>
    </w:p>
    <w:p>
      <w:pPr>
        <w:pStyle w:val="TextBody"/>
        <w:spacing w:before="0" w:after="0"/>
        <w:jc w:val="left"/>
        <w:rPr/>
      </w:pPr>
      <w:r>
        <w:rPr/>
        <w:t> </w:t>
      </w:r>
    </w:p>
    <w:tbl>
      <w:tblPr>
        <w:tblW w:w="3902" w:type="dxa"/>
        <w:jc w:val="left"/>
        <w:tblInd w:w="0" w:type="dxa"/>
        <w:tblCellMar>
          <w:top w:w="28" w:type="dxa"/>
          <w:left w:w="28" w:type="dxa"/>
          <w:bottom w:w="28" w:type="dxa"/>
          <w:right w:w="28" w:type="dxa"/>
        </w:tblCellMar>
      </w:tblPr>
      <w:tblGrid>
        <w:gridCol w:w="2656"/>
        <w:gridCol w:w="1246"/>
      </w:tblGrid>
      <w:tr>
        <w:trPr/>
        <w:tc>
          <w:tcPr>
            <w:tcW w:w="265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80-0625749</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656" w:type="dxa"/>
            <w:tcBorders/>
            <w:shd w:fill="auto" w:val="clear"/>
            <w:tcMar>
              <w:top w:w="0" w:type="dxa"/>
              <w:left w:w="0" w:type="dxa"/>
              <w:bottom w:w="0" w:type="dxa"/>
              <w:right w:w="0" w:type="dxa"/>
            </w:tcMar>
            <w:vAlign w:val="center"/>
          </w:tcPr>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4040 Campbell Ave, Suite 100</w:t>
            </w:r>
          </w:p>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Menlo Park, CA</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94025</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80" w:after="0"/>
        <w:jc w:val="center"/>
        <w:rPr>
          <w:rFonts w:ascii="Times New Roman;serif" w:hAnsi="Times New Roman;serif"/>
          <w:b/>
          <w:sz w:val="20"/>
        </w:rPr>
      </w:pPr>
      <w:r>
        <w:rPr>
          <w:rFonts w:ascii="Times New Roman;serif" w:hAnsi="Times New Roman;serif"/>
          <w:b/>
          <w:sz w:val="20"/>
        </w:rPr>
        <w:t>Registrant’s telephone number, including area code: (877) 266-1144</w:t>
      </w:r>
    </w:p>
    <w:p>
      <w:pPr>
        <w:pStyle w:val="TextBody"/>
        <w:spacing w:before="80" w:after="0"/>
        <w:jc w:val="center"/>
        <w:rPr>
          <w:rFonts w:ascii="Times New Roman;serif" w:hAnsi="Times New Roman;serif"/>
          <w:b/>
          <w:sz w:val="20"/>
        </w:rPr>
      </w:pPr>
      <w:r>
        <w:rPr>
          <w:rFonts w:ascii="Times New Roman;serif" w:hAnsi="Times New Roman;serif"/>
          <w:b/>
          <w:sz w:val="20"/>
        </w:rPr>
        <w:t>N/A</w:t>
      </w:r>
    </w:p>
    <w:p>
      <w:pPr>
        <w:pStyle w:val="TextBody"/>
        <w:spacing w:before="0" w:after="0"/>
        <w:jc w:val="center"/>
        <w:rPr>
          <w:rFonts w:ascii="Times New Roman;serif" w:hAnsi="Times New Roman;serif"/>
          <w:b/>
          <w:sz w:val="20"/>
        </w:rPr>
      </w:pPr>
      <w:r>
        <w:rPr>
          <w:rFonts w:ascii="Times New Roman;serif" w:hAnsi="Times New Roman;serif"/>
          <w:b/>
          <w:sz w:val="20"/>
        </w:rPr>
        <w:t>(Former name, former address and former fiscal year, if changed since last report)</w:t>
      </w:r>
    </w:p>
    <w:p>
      <w:pPr>
        <w:pStyle w:val="TextBody"/>
        <w:pBdr>
          <w:bottom w:val="single" w:sz="4" w:space="1" w:color="000000"/>
        </w:pBdr>
        <w:spacing w:before="40" w:after="0"/>
        <w:jc w:val="center"/>
        <w:rPr/>
      </w:pPr>
      <w:r>
        <w:rPr/>
        <w:t> </w:t>
      </w:r>
    </w:p>
    <w:p>
      <w:pPr>
        <w:pStyle w:val="TextBody"/>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6940" w:type="dxa"/>
        <w:jc w:val="left"/>
        <w:tblInd w:w="0" w:type="dxa"/>
        <w:tblCellMar>
          <w:top w:w="28" w:type="dxa"/>
          <w:left w:w="28" w:type="dxa"/>
          <w:bottom w:w="28" w:type="dxa"/>
          <w:right w:w="28" w:type="dxa"/>
        </w:tblCellMar>
      </w:tblPr>
      <w:tblGrid>
        <w:gridCol w:w="2506"/>
        <w:gridCol w:w="146"/>
        <w:gridCol w:w="826"/>
        <w:gridCol w:w="146"/>
        <w:gridCol w:w="3316"/>
      </w:tblGrid>
      <w:tr>
        <w:trPr/>
        <w:tc>
          <w:tcPr>
            <w:tcW w:w="25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2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250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$0.001</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SGHT</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Global Select Market</w:t>
            </w:r>
          </w:p>
        </w:tc>
      </w:tr>
    </w:tbl>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197" w:type="dxa"/>
        <w:jc w:val="left"/>
        <w:tblInd w:w="0" w:type="dxa"/>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As of May 4, 2023, the registrant had</w:t>
      </w:r>
      <w:r>
        <w:rPr>
          <w:rFonts w:ascii="Times New Roman" w:hAnsi="Times New Roman"/>
          <w:sz w:val="20"/>
        </w:rPr>
        <w:t xml:space="preserve"> </w:t>
      </w:r>
      <w:r>
        <w:rPr>
          <w:rFonts w:ascii="Times New Roman;serif" w:hAnsi="Times New Roman;serif"/>
          <w:b w:val="false"/>
          <w:sz w:val="18"/>
        </w:rPr>
        <w:t>48,460,154</w:t>
      </w:r>
      <w:r>
        <w:rPr>
          <w:rFonts w:ascii="Times New Roman" w:hAnsi="Times New Roman"/>
          <w:sz w:val="20"/>
        </w:rPr>
        <w:t xml:space="preserve"> </w:t>
      </w:r>
      <w:r>
        <w:rPr>
          <w:rFonts w:ascii="Times New Roman;serif" w:hAnsi="Times New Roman;serif"/>
          <w:b w:val="false"/>
          <w:sz w:val="18"/>
        </w:rPr>
        <w:t>shares of Common Stock, par value $0.001 outstanding.</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8900" w:type="dxa"/>
        <w:jc w:val="left"/>
        <w:tblInd w:w="0" w:type="dxa"/>
        <w:tblCellMar>
          <w:top w:w="28" w:type="dxa"/>
          <w:left w:w="28" w:type="dxa"/>
          <w:bottom w:w="28" w:type="dxa"/>
          <w:right w:w="28" w:type="dxa"/>
        </w:tblCellMar>
      </w:tblPr>
      <w:tblGrid>
        <w:gridCol w:w="886"/>
        <w:gridCol w:w="7366"/>
        <w:gridCol w:w="648"/>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37"/>
              <w:jc w:val="center"/>
              <w:rPr>
                <w:rFonts w:ascii="Times New Roman;serif" w:hAnsi="Times New Roman;serif"/>
                <w:b/>
                <w:sz w:val="16"/>
              </w:rPr>
            </w:pPr>
            <w:r>
              <w:rPr>
                <w:rFonts w:ascii="Times New Roman;serif" w:hAnsi="Times New Roman;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orward_looking_statements">
              <w:r>
                <w:rPr>
                  <w:rStyle w:val="InternetLink"/>
                  <w:rFonts w:ascii="Times New Roman;serif" w:hAnsi="Times New Roman;serif"/>
                  <w:b w:val="false"/>
                  <w:sz w:val="20"/>
                  <w:u w:val="single"/>
                </w:rPr>
                <w:t>Special Note Regarding Forward-Looking Statements</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inancial_information">
              <w:r>
                <w:rPr>
                  <w:rStyle w:val="InternetLink"/>
                  <w:rFonts w:ascii="Times New Roman;serif" w:hAnsi="Times New Roman;serif"/>
                  <w:b w:val="false"/>
                  <w:sz w:val="20"/>
                  <w:u w:val="single"/>
                </w:rPr>
                <w:t>FINANCIAL INFORMATION</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financial_statements">
              <w:r>
                <w:rPr>
                  <w:rStyle w:val="InternetLink"/>
                  <w:rFonts w:ascii="Times New Roman;serif" w:hAnsi="Times New Roman;serif"/>
                  <w:b w:val="false"/>
                  <w:sz w:val="20"/>
                  <w:u w:val="single"/>
                </w:rPr>
                <w:t>Condensed Consolidated Financial Statements (Unaudited)</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firstLine="137"/>
              <w:jc w:val="center"/>
              <w:rPr>
                <w:rFonts w:ascii="Times New Roman;serif" w:hAnsi="Times New Roman;serif"/>
                <w:b w:val="false"/>
                <w:sz w:val="18"/>
              </w:rPr>
            </w:pPr>
            <w:r>
              <w:rPr>
                <w:rFonts w:ascii="Times New Roman;serif" w:hAnsi="Times New Roman;serif"/>
                <w:b w:val="false"/>
                <w:sz w:val="18"/>
              </w:rPr>
              <w:t>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_sheet">
              <w:r>
                <w:rPr>
                  <w:rStyle w:val="InternetLink"/>
                  <w:rFonts w:ascii="Times New Roman;serif" w:hAnsi="Times New Roman;serif"/>
                  <w:b w:val="false"/>
                  <w:sz w:val="20"/>
                  <w:u w:val="single"/>
                </w:rPr>
                <w:t>Condensed Consolidated Balance Sheets (Unaudited)</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firstLine="137"/>
              <w:jc w:val="center"/>
              <w:rPr>
                <w:rFonts w:ascii="Times New Roman;serif" w:hAnsi="Times New Roman;serif"/>
                <w:b w:val="false"/>
                <w:sz w:val="18"/>
              </w:rPr>
            </w:pPr>
            <w:r>
              <w:rPr>
                <w:rFonts w:ascii="Times New Roman;serif" w:hAnsi="Times New Roman;serif"/>
                <w:b w:val="false"/>
                <w:sz w:val="18"/>
              </w:rPr>
              <w:t>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atements_of_operations_and_comp_loss">
              <w:r>
                <w:rPr>
                  <w:rStyle w:val="InternetLink"/>
                  <w:rFonts w:ascii="Times New Roman;serif" w:hAnsi="Times New Roman;serif"/>
                  <w:b w:val="false"/>
                  <w:sz w:val="20"/>
                  <w:u w:val="single"/>
                </w:rPr>
                <w:t>Condensed Consolidated Statements of Operations and Comprehensive Loss (Unaudited)</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firstLine="137"/>
              <w:jc w:val="center"/>
              <w:rPr>
                <w:rFonts w:ascii="Times New Roman;serif" w:hAnsi="Times New Roman;serif"/>
                <w:b w:val="false"/>
                <w:sz w:val="18"/>
              </w:rPr>
            </w:pPr>
            <w:r>
              <w:rPr>
                <w:rFonts w:ascii="Times New Roman;serif" w:hAnsi="Times New Roman;serif"/>
                <w:b w:val="false"/>
                <w:sz w:val="18"/>
              </w:rPr>
              <w:t>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ockholders_deficit">
              <w:r>
                <w:rPr>
                  <w:rStyle w:val="InternetLink"/>
                  <w:rFonts w:ascii="Times New Roman;serif" w:hAnsi="Times New Roman;serif"/>
                  <w:b w:val="false"/>
                  <w:sz w:val="20"/>
                  <w:u w:val="single"/>
                </w:rPr>
                <w:t>Condensed Consolidated Statements of Stockholders’ Equity (Unaudited)</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firstLine="137"/>
              <w:jc w:val="center"/>
              <w:rPr>
                <w:rFonts w:ascii="Times New Roman;serif" w:hAnsi="Times New Roman;serif"/>
                <w:b w:val="false"/>
                <w:sz w:val="18"/>
              </w:rPr>
            </w:pPr>
            <w:r>
              <w:rPr>
                <w:rFonts w:ascii="Times New Roman;serif" w:hAnsi="Times New Roman;serif"/>
                <w:b w:val="false"/>
                <w:sz w:val="18"/>
              </w:rPr>
              <w:t>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ash_flows">
              <w:r>
                <w:rPr>
                  <w:rStyle w:val="InternetLink"/>
                  <w:rFonts w:ascii="Times New Roman;serif" w:hAnsi="Times New Roman;serif"/>
                  <w:b w:val="false"/>
                  <w:sz w:val="20"/>
                  <w:u w:val="single"/>
                </w:rPr>
                <w:t>Condensed Consolidated Statements of Cash Flows (Unaudited)</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firstLine="137"/>
              <w:jc w:val="center"/>
              <w:rPr>
                <w:rFonts w:ascii="Times New Roman;serif" w:hAnsi="Times New Roman;serif"/>
                <w:b w:val="false"/>
                <w:sz w:val="18"/>
              </w:rPr>
            </w:pPr>
            <w:r>
              <w:rPr>
                <w:rFonts w:ascii="Times New Roman;serif" w:hAnsi="Times New Roman;serif"/>
                <w:b w:val="false"/>
                <w:sz w:val="18"/>
              </w:rPr>
              <w:t>8</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financial_statements">
              <w:r>
                <w:rPr>
                  <w:rStyle w:val="InternetLink"/>
                  <w:rFonts w:ascii="Times New Roman;serif" w:hAnsi="Times New Roman;serif"/>
                  <w:b w:val="false"/>
                  <w:sz w:val="20"/>
                  <w:u w:val="single"/>
                </w:rPr>
                <w:t>Notes to Condensed Consolidated Financial Statements (Unaudited)</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and_qualitative">
              <w:r>
                <w:rPr>
                  <w:rStyle w:val="InternetLink"/>
                  <w:rFonts w:ascii="Times New Roman;serif" w:hAnsi="Times New Roman;serif"/>
                  <w:b w:val="false"/>
                  <w:sz w:val="20"/>
                  <w:u w:val="single"/>
                </w:rPr>
                <w:t>Quantitative and Qualitative Disclosures About Market Risk</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28</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and_procedures">
              <w:r>
                <w:rPr>
                  <w:rStyle w:val="InternetLink"/>
                  <w:rFonts w:ascii="Times New Roman;serif" w:hAnsi="Times New Roman;serif"/>
                  <w:b w:val="false"/>
                  <w:sz w:val="20"/>
                  <w:u w:val="single"/>
                </w:rPr>
                <w:t>Controls and Procedures</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28</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and Use of Proceeds</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30</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64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32</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forward_looking_statements"/>
      <w:bookmarkEnd w:id="2"/>
      <w:r>
        <w:rPr>
          <w:rFonts w:ascii="Times New Roman;serif" w:hAnsi="Times New Roman;serif"/>
          <w:b/>
          <w:sz w:val="20"/>
        </w:rPr>
        <w:t>SPECIAL NOTE REGARDING FORWARD-LOOKING STATEMENTS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Unless the context otherwise requires, references in this Quarterly Report on Form 10-Q to the “Company,” “Sight Sciences,” “we,” “us” and “our” refer to Sight Sciences, Inc.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Quarterly Report on Form 10-Q for the fiscal period ended March 31, 2023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estimates of our total addressable market, future revenue, expenses, capital requirements, and our needs for additional financing;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enter into and compete in new markets;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pandemics on our business, our customers’ and suppliers’ businesses and the general economy;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compete effectively with existing competitors and new market entrants;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scale our infrastructure;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manage and grow our business by expanding our sales to existing customers or introducing our products to new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establish and maintain intellectual property protection for our products or avoid claims of infringement;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effects of extensive government regulation;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and maintain sufficient reimbursement for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abilities to protect and scale our intellectual property portfolio;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hire and retain key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financing in future offerings;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volatility of the trading price of our common stock;</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expectation regarding the time during which we will be an emerging growth company under the Jumpstart Our Business Startups Act (the “JOBS Act”);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ability to maintain proper and effective internal controls.</w:t>
      </w:r>
    </w:p>
    <w:p>
      <w:pPr>
        <w:pStyle w:val="TextBody"/>
        <w:spacing w:before="240" w:after="0"/>
        <w:jc w:val="left"/>
        <w:rPr>
          <w:rFonts w:ascii="Times New Roman" w:hAnsi="Times New Roman"/>
          <w:sz w:val="20"/>
        </w:rPr>
      </w:pPr>
      <w:r>
        <w:rPr>
          <w:rFonts w:ascii="Times New Roman;serif" w:hAnsi="Times New Roman;serif"/>
          <w:b w:val="false"/>
          <w:sz w:val="20"/>
        </w:rPr>
        <w:t>Actual events or results may differ from those expressed in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in our Annual Report on Form 10-K for the year ended December 31, 2022 filed with the Securities and Exchange Commission (the "SEC") on March 16, 2023 (the "2022 Form 10-K")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statements may not be achieved or occur, and actual results, events or circumstances could differ materially from those described in the forward-looking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forward-looking statements in this Quarterly Report are based 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spacing w:before="24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3" w:name="financial_information"/>
      <w:bookmarkEnd w:id="3"/>
      <w:r>
        <w:rPr>
          <w:rFonts w:ascii="Times New Roman;serif" w:hAnsi="Times New Roman;serif"/>
          <w:b/>
          <w:sz w:val="20"/>
        </w:rPr>
        <w:t>PART 1. FINANCIAL INFORMATION</w:t>
      </w:r>
    </w:p>
    <w:p>
      <w:pPr>
        <w:pStyle w:val="TextBody"/>
        <w:spacing w:before="0" w:after="0"/>
        <w:jc w:val="left"/>
        <w:rPr/>
      </w:pPr>
      <w:r>
        <w:rPr/>
        <w:t> </w:t>
      </w:r>
    </w:p>
    <w:p>
      <w:pPr>
        <w:pStyle w:val="TextBody"/>
        <w:spacing w:before="0" w:after="0"/>
        <w:jc w:val="left"/>
        <w:rPr>
          <w:rFonts w:ascii="Times New Roman" w:hAnsi="Times New Roman"/>
          <w:sz w:val="20"/>
        </w:rPr>
      </w:pPr>
      <w:bookmarkStart w:id="4" w:name="condensed_financial_statements"/>
      <w:bookmarkEnd w:id="4"/>
      <w:r>
        <w:rPr>
          <w:rFonts w:ascii="Times New Roman;serif" w:hAnsi="Times New Roman;serif"/>
          <w:b/>
          <w:sz w:val="20"/>
        </w:rPr>
        <w:t>Item 1. Financial Statements</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SIGHT SCIENCES, INC.</w:t>
      </w:r>
    </w:p>
    <w:p>
      <w:pPr>
        <w:pStyle w:val="TextBody"/>
        <w:spacing w:before="0" w:after="0"/>
        <w:jc w:val="center"/>
        <w:rPr>
          <w:rFonts w:ascii="Times New Roman;serif" w:hAnsi="Times New Roman;serif"/>
          <w:b/>
          <w:sz w:val="20"/>
        </w:rPr>
      </w:pPr>
      <w:bookmarkStart w:id="5" w:name="balance_sheet"/>
      <w:bookmarkEnd w:id="5"/>
      <w:r>
        <w:rPr>
          <w:rFonts w:ascii="Times New Roman;serif" w:hAnsi="Times New Roman;serif"/>
          <w:b/>
          <w:sz w:val="20"/>
        </w:rPr>
        <w:t>Condensed Consolidated Balance Sheets (Unaudited)</w:t>
      </w:r>
    </w:p>
    <w:p>
      <w:pPr>
        <w:pStyle w:val="TextBody"/>
        <w:spacing w:before="0" w:after="0"/>
        <w:jc w:val="center"/>
        <w:rPr>
          <w:rFonts w:ascii="Times New Roman;serif" w:hAnsi="Times New Roman;serif"/>
          <w:b/>
          <w:i/>
          <w:sz w:val="20"/>
        </w:rPr>
      </w:pPr>
      <w:r>
        <w:rPr>
          <w:rFonts w:ascii="Times New Roman;serif" w:hAnsi="Times New Roman;serif"/>
          <w:b/>
          <w:i/>
          <w:sz w:val="20"/>
        </w:rPr>
        <w:t>(in thousands, except share and per share data)</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019"/>
        <w:gridCol w:w="146"/>
        <w:gridCol w:w="211"/>
        <w:gridCol w:w="841"/>
        <w:gridCol w:w="166"/>
        <w:gridCol w:w="146"/>
        <w:gridCol w:w="213"/>
        <w:gridCol w:w="850"/>
        <w:gridCol w:w="613"/>
      </w:tblGrid>
      <w:tr>
        <w:trPr/>
        <w:tc>
          <w:tcPr>
            <w:tcW w:w="70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70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613" w:type="dxa"/>
            <w:tcBorders/>
            <w:shd w:fill="auto" w:val="clear"/>
            <w:vAlign w:val="center"/>
          </w:tcPr>
          <w:p>
            <w:pPr>
              <w:pStyle w:val="TableContents"/>
              <w:spacing w:before="0" w:after="0"/>
              <w:ind w:left="0" w:right="0" w:hanging="0"/>
              <w:jc w:val="center"/>
              <w:rPr/>
            </w:pPr>
            <w:r>
              <w:rPr/>
              <w:t> </w:t>
            </w:r>
          </w:p>
        </w:tc>
      </w:tr>
      <w:tr>
        <w:trPr/>
        <w:tc>
          <w:tcPr>
            <w:tcW w:w="70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1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r>
      <w:tr>
        <w:trPr/>
        <w:tc>
          <w:tcPr>
            <w:tcW w:w="70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firstLine="200"/>
              <w:jc w:val="righ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185,000</w:t>
            </w:r>
          </w:p>
        </w:tc>
        <w:tc>
          <w:tcPr>
            <w:tcW w:w="613" w:type="dxa"/>
            <w:tcBorders/>
            <w:shd w:fill="auto" w:val="clear"/>
            <w:vAlign w:val="center"/>
          </w:tcPr>
          <w:p>
            <w:pPr>
              <w:pStyle w:val="TableContents"/>
              <w:spacing w:before="0" w:after="0"/>
              <w:ind w:left="0" w:right="0" w:firstLine="200"/>
              <w:jc w:val="lef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for credit losses of $774</w:t>
            </w:r>
            <w:r>
              <w:rPr>
                <w:rFonts w:ascii="Times New Roman" w:hAnsi="Times New Roman"/>
                <w:sz w:val="20"/>
              </w:rPr>
              <w:t> </w:t>
            </w:r>
            <w:r>
              <w:rPr>
                <w:rFonts w:ascii="Times New Roman;serif" w:hAnsi="Times New Roman;serif"/>
                <w:b w:val="false"/>
                <w:sz w:val="20"/>
              </w:rPr>
              <w:t>and $1,024</w:t>
            </w:r>
            <w:r>
              <w:rPr>
                <w:rFonts w:ascii="Times New Roman" w:hAnsi="Times New Roman"/>
                <w:sz w:val="20"/>
              </w:rPr>
              <w:t> </w:t>
            </w:r>
            <w:r>
              <w:rPr>
                <w:rFonts w:ascii="Times New Roman;serif" w:hAnsi="Times New Roman;serif"/>
                <w:b w:val="false"/>
                <w:sz w:val="20"/>
              </w:rPr>
              <w:t>at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15,148</w:t>
            </w:r>
          </w:p>
        </w:tc>
        <w:tc>
          <w:tcPr>
            <w:tcW w:w="613" w:type="dxa"/>
            <w:tcBorders/>
            <w:shd w:fill="auto" w:val="clear"/>
            <w:vAlign w:val="center"/>
          </w:tcPr>
          <w:p>
            <w:pPr>
              <w:pStyle w:val="TableContents"/>
              <w:spacing w:before="0" w:after="0"/>
              <w:ind w:left="0" w:right="0" w:firstLine="200"/>
              <w:jc w:val="lef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Inventory,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6,114</w:t>
            </w:r>
          </w:p>
        </w:tc>
        <w:tc>
          <w:tcPr>
            <w:tcW w:w="613" w:type="dxa"/>
            <w:tcBorders/>
            <w:shd w:fill="auto" w:val="clear"/>
            <w:vAlign w:val="center"/>
          </w:tcPr>
          <w:p>
            <w:pPr>
              <w:pStyle w:val="TableContents"/>
              <w:spacing w:before="0" w:after="0"/>
              <w:ind w:left="0" w:right="0" w:firstLine="200"/>
              <w:jc w:val="lef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3,415</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1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193,652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209,677</w:t>
            </w:r>
          </w:p>
        </w:tc>
        <w:tc>
          <w:tcPr>
            <w:tcW w:w="613" w:type="dxa"/>
            <w:tcBorders/>
            <w:shd w:fill="auto" w:val="clear"/>
            <w:vAlign w:val="center"/>
          </w:tcPr>
          <w:p>
            <w:pPr>
              <w:pStyle w:val="TableContents"/>
              <w:spacing w:before="0" w:after="0"/>
              <w:ind w:left="0" w:right="0" w:hanging="0"/>
              <w:jc w:val="left"/>
              <w:rPr/>
            </w:pPr>
            <w:r>
              <w:rPr/>
              <w:t> </w:t>
            </w:r>
          </w:p>
        </w:tc>
      </w:tr>
      <w:tr>
        <w:trPr/>
        <w:tc>
          <w:tcPr>
            <w:tcW w:w="70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1,571</w:t>
            </w:r>
          </w:p>
        </w:tc>
        <w:tc>
          <w:tcPr>
            <w:tcW w:w="613" w:type="dxa"/>
            <w:tcBorders/>
            <w:shd w:fill="auto" w:val="clear"/>
            <w:vAlign w:val="center"/>
          </w:tcPr>
          <w:p>
            <w:pPr>
              <w:pStyle w:val="TableContents"/>
              <w:spacing w:before="0" w:after="0"/>
              <w:ind w:left="0" w:right="0" w:hanging="0"/>
              <w:jc w:val="left"/>
              <w:rPr/>
            </w:pPr>
            <w:r>
              <w:rPr/>
              <w:t> </w:t>
            </w:r>
          </w:p>
        </w:tc>
      </w:tr>
      <w:tr>
        <w:trPr/>
        <w:tc>
          <w:tcPr>
            <w:tcW w:w="70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1,614</w:t>
            </w:r>
          </w:p>
        </w:tc>
        <w:tc>
          <w:tcPr>
            <w:tcW w:w="613" w:type="dxa"/>
            <w:tcBorders/>
            <w:shd w:fill="auto" w:val="clear"/>
            <w:vAlign w:val="center"/>
          </w:tcPr>
          <w:p>
            <w:pPr>
              <w:pStyle w:val="TableContents"/>
              <w:spacing w:before="0" w:after="0"/>
              <w:ind w:left="0" w:right="0" w:hanging="0"/>
              <w:jc w:val="left"/>
              <w:rPr/>
            </w:pPr>
            <w:r>
              <w:rPr/>
              <w:t> </w:t>
            </w:r>
          </w:p>
        </w:tc>
      </w:tr>
      <w:tr>
        <w:trPr/>
        <w:tc>
          <w:tcPr>
            <w:tcW w:w="70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1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196,641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213,073</w:t>
            </w:r>
          </w:p>
        </w:tc>
        <w:tc>
          <w:tcPr>
            <w:tcW w:w="6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1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r>
      <w:tr>
        <w:trPr/>
        <w:tc>
          <w:tcPr>
            <w:tcW w:w="70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firstLine="200"/>
              <w:jc w:val="righ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2,688</w:t>
            </w:r>
          </w:p>
        </w:tc>
        <w:tc>
          <w:tcPr>
            <w:tcW w:w="613" w:type="dxa"/>
            <w:tcBorders/>
            <w:shd w:fill="auto" w:val="clear"/>
            <w:vAlign w:val="center"/>
          </w:tcPr>
          <w:p>
            <w:pPr>
              <w:pStyle w:val="TableContents"/>
              <w:spacing w:before="0" w:after="0"/>
              <w:ind w:left="0" w:right="0" w:firstLine="200"/>
              <w:jc w:val="lef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7,352</w:t>
            </w:r>
          </w:p>
        </w:tc>
        <w:tc>
          <w:tcPr>
            <w:tcW w:w="613" w:type="dxa"/>
            <w:tcBorders/>
            <w:shd w:fill="auto" w:val="clear"/>
            <w:vAlign w:val="center"/>
          </w:tcPr>
          <w:p>
            <w:pPr>
              <w:pStyle w:val="TableContents"/>
              <w:spacing w:before="0" w:after="0"/>
              <w:ind w:left="0" w:right="0" w:firstLine="200"/>
              <w:jc w:val="lef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7,777</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1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17,817</w:t>
            </w:r>
          </w:p>
        </w:tc>
        <w:tc>
          <w:tcPr>
            <w:tcW w:w="613" w:type="dxa"/>
            <w:tcBorders/>
            <w:shd w:fill="auto" w:val="clear"/>
            <w:vAlign w:val="center"/>
          </w:tcPr>
          <w:p>
            <w:pPr>
              <w:pStyle w:val="TableContents"/>
              <w:spacing w:before="0" w:after="0"/>
              <w:ind w:left="0" w:right="0" w:hanging="0"/>
              <w:jc w:val="left"/>
              <w:rPr/>
            </w:pPr>
            <w:r>
              <w:rPr/>
              <w:t> </w:t>
            </w:r>
          </w:p>
        </w:tc>
      </w:tr>
      <w:tr>
        <w:trPr/>
        <w:tc>
          <w:tcPr>
            <w:tcW w:w="70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33,313</w:t>
            </w:r>
          </w:p>
        </w:tc>
        <w:tc>
          <w:tcPr>
            <w:tcW w:w="613" w:type="dxa"/>
            <w:tcBorders/>
            <w:shd w:fill="auto" w:val="clear"/>
            <w:vAlign w:val="center"/>
          </w:tcPr>
          <w:p>
            <w:pPr>
              <w:pStyle w:val="TableContents"/>
              <w:spacing w:before="0" w:after="0"/>
              <w:ind w:left="0" w:right="0" w:hanging="0"/>
              <w:jc w:val="left"/>
              <w:rPr/>
            </w:pPr>
            <w:r>
              <w:rPr/>
              <w:t> </w:t>
            </w:r>
          </w:p>
        </w:tc>
      </w:tr>
      <w:tr>
        <w:trPr/>
        <w:tc>
          <w:tcPr>
            <w:tcW w:w="70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1,867</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52,997</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6)</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r>
      <w:tr>
        <w:trPr/>
        <w:tc>
          <w:tcPr>
            <w:tcW w:w="70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3" w:type="dxa"/>
            <w:gridSpan w:val="2"/>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firstLine="200"/>
              <w:jc w:val="righ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Preferred stock par value of $0.001</w:t>
            </w:r>
            <w:r>
              <w:rPr>
                <w:rFonts w:ascii="Times New Roman" w:hAnsi="Times New Roman"/>
                <w:sz w:val="20"/>
              </w:rPr>
              <w:t> </w:t>
            </w:r>
            <w:r>
              <w:rPr>
                <w:rFonts w:ascii="Times New Roman;serif" w:hAnsi="Times New Roman;serif"/>
                <w:b w:val="false"/>
                <w:sz w:val="20"/>
              </w:rPr>
              <w:t>per share; 10,000,000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pPr>
            <w:r>
              <w:rPr/>
              <w:t>—</w:t>
            </w:r>
          </w:p>
        </w:tc>
        <w:tc>
          <w:tcPr>
            <w:tcW w:w="613" w:type="dxa"/>
            <w:tcBorders/>
            <w:shd w:fill="auto" w:val="clear"/>
            <w:vAlign w:val="center"/>
          </w:tcPr>
          <w:p>
            <w:pPr>
              <w:pStyle w:val="TableContents"/>
              <w:spacing w:before="0" w:after="0"/>
              <w:ind w:left="0" w:right="0" w:firstLine="200"/>
              <w:jc w:val="lef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par value of $0.001</w:t>
            </w:r>
            <w:r>
              <w:rPr>
                <w:rFonts w:ascii="Times New Roman" w:hAnsi="Times New Roman"/>
                <w:sz w:val="20"/>
              </w:rPr>
              <w:t> </w:t>
            </w:r>
            <w:r>
              <w:rPr>
                <w:rFonts w:ascii="Times New Roman;serif" w:hAnsi="Times New Roman;serif"/>
                <w:b w:val="false"/>
                <w:sz w:val="20"/>
              </w:rPr>
              <w:t>per share; 200,000,000</w:t>
            </w:r>
            <w:r>
              <w:rPr>
                <w:rFonts w:ascii="Times New Roman" w:hAnsi="Times New Roman"/>
                <w:sz w:val="20"/>
              </w:rPr>
              <w:t> </w:t>
            </w:r>
            <w:r>
              <w:rPr>
                <w:rFonts w:ascii="Times New Roman;serif" w:hAnsi="Times New Roman;serif"/>
                <w:b w:val="false"/>
                <w:sz w:val="20"/>
              </w:rPr>
              <w:t>shares authorized as of March 31, 2023 and December 31, 2022, respectively; 48,450,378</w:t>
            </w:r>
            <w:r>
              <w:rPr>
                <w:rFonts w:ascii="Times New Roman" w:hAnsi="Times New Roman"/>
                <w:sz w:val="20"/>
              </w:rPr>
              <w:t> </w:t>
            </w:r>
            <w:r>
              <w:rPr>
                <w:rFonts w:ascii="Times New Roman;serif" w:hAnsi="Times New Roman;serif"/>
                <w:b w:val="false"/>
                <w:sz w:val="20"/>
              </w:rPr>
              <w:t>and 48,298,138</w:t>
            </w:r>
            <w:r>
              <w:rPr>
                <w:rFonts w:ascii="Times New Roman" w:hAnsi="Times New Roman"/>
                <w:sz w:val="20"/>
              </w:rPr>
              <w:t> </w:t>
            </w:r>
            <w:r>
              <w:rPr>
                <w:rFonts w:ascii="Times New Roman;serif" w:hAnsi="Times New Roman;serif"/>
                <w:b w:val="false"/>
                <w:sz w:val="20"/>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613" w:type="dxa"/>
            <w:tcBorders/>
            <w:shd w:fill="auto" w:val="clear"/>
            <w:vAlign w:val="center"/>
          </w:tcPr>
          <w:p>
            <w:pPr>
              <w:pStyle w:val="TableContents"/>
              <w:spacing w:before="0" w:after="0"/>
              <w:ind w:left="0" w:right="0" w:firstLine="200"/>
              <w:jc w:val="lef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402,638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399,271</w:t>
            </w:r>
          </w:p>
        </w:tc>
        <w:tc>
          <w:tcPr>
            <w:tcW w:w="613" w:type="dxa"/>
            <w:tcBorders/>
            <w:shd w:fill="auto" w:val="clear"/>
            <w:vAlign w:val="center"/>
          </w:tcPr>
          <w:p>
            <w:pPr>
              <w:pStyle w:val="TableContents"/>
              <w:spacing w:before="0" w:after="0"/>
              <w:ind w:left="0" w:right="0" w:firstLine="200"/>
              <w:jc w:val="left"/>
              <w:rPr/>
            </w:pPr>
            <w:r>
              <w:rPr/>
              <w:t> </w:t>
            </w:r>
          </w:p>
        </w:tc>
      </w:tr>
      <w:tr>
        <w:trPr/>
        <w:tc>
          <w:tcPr>
            <w:tcW w:w="701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(256,310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(239,243</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1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146,376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160,076</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01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196,641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213,073</w:t>
            </w:r>
          </w:p>
        </w:tc>
        <w:tc>
          <w:tcPr>
            <w:tcW w:w="6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SIGHT SCIENCES, INC.</w:t>
      </w:r>
    </w:p>
    <w:p>
      <w:pPr>
        <w:pStyle w:val="TextBody"/>
        <w:spacing w:before="0" w:after="0"/>
        <w:jc w:val="center"/>
        <w:rPr>
          <w:rFonts w:ascii="Times New Roman;serif" w:hAnsi="Times New Roman;serif"/>
          <w:b/>
          <w:sz w:val="20"/>
        </w:rPr>
      </w:pPr>
      <w:bookmarkStart w:id="6" w:name="statements_of_operations_and_comp_loss"/>
      <w:bookmarkEnd w:id="6"/>
      <w:r>
        <w:rPr>
          <w:rFonts w:ascii="Times New Roman;serif" w:hAnsi="Times New Roman;serif"/>
          <w:b/>
          <w:sz w:val="20"/>
        </w:rPr>
        <w:t>Condensed Consolidated Statements of Operations and Comprehensive Loss (Unaudited)</w:t>
      </w:r>
    </w:p>
    <w:p>
      <w:pPr>
        <w:pStyle w:val="TextBody"/>
        <w:spacing w:before="0" w:after="0"/>
        <w:jc w:val="center"/>
        <w:rPr>
          <w:rFonts w:ascii="Times New Roman;serif" w:hAnsi="Times New Roman;serif"/>
          <w:b/>
          <w:i/>
          <w:sz w:val="20"/>
        </w:rPr>
      </w:pPr>
      <w:r>
        <w:rPr>
          <w:rFonts w:ascii="Times New Roman;serif" w:hAnsi="Times New Roman;serif"/>
          <w:b/>
          <w:i/>
          <w:sz w:val="20"/>
        </w:rPr>
        <w:t>(in thousands, except share and per share data)</w:t>
      </w:r>
    </w:p>
    <w:p>
      <w:pPr>
        <w:pStyle w:val="TextBody"/>
        <w:spacing w:before="0" w:after="0"/>
        <w:jc w:val="center"/>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496"/>
        <w:gridCol w:w="146"/>
        <w:gridCol w:w="211"/>
        <w:gridCol w:w="1036"/>
        <w:gridCol w:w="166"/>
        <w:gridCol w:w="146"/>
        <w:gridCol w:w="211"/>
        <w:gridCol w:w="1036"/>
        <w:gridCol w:w="166"/>
        <w:gridCol w:w="591"/>
      </w:tblGrid>
      <w:tr>
        <w:trPr/>
        <w:tc>
          <w:tcPr>
            <w:tcW w:w="6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4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14,881</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goods sold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11,848</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5,646</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64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(17,568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(22,193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(17,053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and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attributable to common stockholders,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in computing net loss per share attributable to common stockholders,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48,405,271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47,569,499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360" w:after="0"/>
        <w:jc w:val="center"/>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SIGHT SCIENCES, INC.</w:t>
      </w:r>
    </w:p>
    <w:p>
      <w:pPr>
        <w:pStyle w:val="TextBody"/>
        <w:spacing w:before="0" w:after="0"/>
        <w:jc w:val="center"/>
        <w:rPr>
          <w:rFonts w:ascii="Times New Roman" w:hAnsi="Times New Roman"/>
          <w:sz w:val="20"/>
        </w:rPr>
      </w:pPr>
      <w:bookmarkStart w:id="7" w:name="stockholders_deficit"/>
      <w:bookmarkEnd w:id="7"/>
      <w:r>
        <w:rPr>
          <w:rFonts w:ascii="Times New Roman;serif" w:hAnsi="Times New Roman;serif"/>
          <w:b/>
          <w:sz w:val="20"/>
        </w:rPr>
        <w:t>Condensed Consolidated Statements of Stockholders’ Equity</w:t>
      </w:r>
      <w:r>
        <w:rPr>
          <w:rFonts w:ascii="Times New Roman" w:hAnsi="Times New Roman"/>
          <w:sz w:val="20"/>
        </w:rPr>
        <w:t xml:space="preserve"> </w:t>
      </w:r>
      <w:r>
        <w:rPr>
          <w:rFonts w:ascii="Times New Roman;serif" w:hAnsi="Times New Roman;serif"/>
          <w:b/>
          <w:sz w:val="20"/>
        </w:rPr>
        <w:t>(Unaudited)</w:t>
      </w:r>
    </w:p>
    <w:p>
      <w:pPr>
        <w:pStyle w:val="TextBody"/>
        <w:spacing w:before="0" w:after="0"/>
        <w:jc w:val="center"/>
        <w:rPr>
          <w:rFonts w:ascii="Times New Roman;serif" w:hAnsi="Times New Roman;serif"/>
          <w:b/>
          <w:i/>
          <w:sz w:val="20"/>
        </w:rPr>
      </w:pPr>
      <w:r>
        <w:rPr>
          <w:rFonts w:ascii="Times New Roman;serif" w:hAnsi="Times New Roman;serif"/>
          <w:b/>
          <w:i/>
          <w:sz w:val="20"/>
        </w:rPr>
        <w:t>(in thousands, except share data)</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26"/>
        <w:gridCol w:w="842"/>
        <w:gridCol w:w="213"/>
      </w:tblGrid>
      <w:tr>
        <w:trPr/>
        <w:tc>
          <w:tcPr>
            <w:tcW w:w="36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65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3"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5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213" w:type="dxa"/>
            <w:tcBorders/>
            <w:shd w:fill="auto" w:val="clear"/>
            <w:vAlign w:val="center"/>
          </w:tcPr>
          <w:p>
            <w:pPr>
              <w:pStyle w:val="TableContents"/>
              <w:spacing w:before="0" w:after="0"/>
              <w:ind w:left="0" w:right="0" w:hanging="0"/>
              <w:jc w:val="center"/>
              <w:rPr/>
            </w:pPr>
            <w:r>
              <w:rPr/>
              <w:t> </w:t>
            </w:r>
          </w:p>
        </w:tc>
      </w:tr>
      <w:tr>
        <w:trPr/>
        <w:tc>
          <w:tcPr>
            <w:tcW w:w="365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5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48,298,138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399,271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(239,243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160,076</w:t>
            </w:r>
          </w:p>
        </w:tc>
        <w:tc>
          <w:tcPr>
            <w:tcW w:w="213" w:type="dxa"/>
            <w:tcBorders/>
            <w:shd w:fill="auto" w:val="clear"/>
            <w:vAlign w:val="center"/>
          </w:tcPr>
          <w:p>
            <w:pPr>
              <w:pStyle w:val="TableContents"/>
              <w:spacing w:before="0" w:after="0"/>
              <w:ind w:left="0" w:right="0" w:hanging="0"/>
              <w:jc w:val="left"/>
              <w:rPr/>
            </w:pPr>
            <w:r>
              <w:rPr/>
              <w:t> </w:t>
            </w:r>
          </w:p>
        </w:tc>
      </w:tr>
      <w:tr>
        <w:trPr/>
        <w:tc>
          <w:tcPr>
            <w:tcW w:w="3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upon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3" w:type="dxa"/>
            <w:tcBorders/>
            <w:shd w:fill="auto" w:val="clear"/>
            <w:vAlign w:val="center"/>
          </w:tcPr>
          <w:p>
            <w:pPr>
              <w:pStyle w:val="TableContents"/>
              <w:spacing w:before="0" w:after="0"/>
              <w:ind w:left="0" w:right="0" w:hanging="0"/>
              <w:jc w:val="left"/>
              <w:rPr/>
            </w:pPr>
            <w:r>
              <w:rPr/>
              <w:t> </w:t>
            </w:r>
          </w:p>
        </w:tc>
      </w:tr>
      <w:tr>
        <w:trPr/>
        <w:tc>
          <w:tcPr>
            <w:tcW w:w="3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upon vesting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106,032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pPr>
            <w:r>
              <w:rPr/>
              <w:t>—</w:t>
            </w:r>
          </w:p>
        </w:tc>
        <w:tc>
          <w:tcPr>
            <w:tcW w:w="213" w:type="dxa"/>
            <w:tcBorders/>
            <w:shd w:fill="auto" w:val="clear"/>
            <w:vAlign w:val="center"/>
          </w:tcPr>
          <w:p>
            <w:pPr>
              <w:pStyle w:val="TableContents"/>
              <w:spacing w:before="0" w:after="0"/>
              <w:ind w:left="0" w:right="0" w:hanging="0"/>
              <w:jc w:val="left"/>
              <w:rPr/>
            </w:pPr>
            <w:r>
              <w:rPr/>
              <w:t> </w:t>
            </w:r>
          </w:p>
        </w:tc>
      </w:tr>
      <w:tr>
        <w:trPr/>
        <w:tc>
          <w:tcPr>
            <w:tcW w:w="3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Withholding taxes on net share settlement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3,523</w:t>
            </w:r>
          </w:p>
        </w:tc>
        <w:tc>
          <w:tcPr>
            <w:tcW w:w="213" w:type="dxa"/>
            <w:tcBorders/>
            <w:shd w:fill="auto" w:val="clear"/>
            <w:vAlign w:val="center"/>
          </w:tcPr>
          <w:p>
            <w:pPr>
              <w:pStyle w:val="TableContents"/>
              <w:spacing w:before="0" w:after="0"/>
              <w:ind w:left="0" w:right="0" w:hanging="0"/>
              <w:jc w:val="left"/>
              <w:rPr/>
            </w:pPr>
            <w:r>
              <w:rPr/>
              <w:t> </w:t>
            </w:r>
          </w:p>
        </w:tc>
      </w:tr>
      <w:tr>
        <w:trPr/>
        <w:tc>
          <w:tcPr>
            <w:tcW w:w="36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(17,067</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5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48,450,378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402,638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(256,310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146,376</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3666"/>
        <w:gridCol w:w="146"/>
        <w:gridCol w:w="146"/>
        <w:gridCol w:w="1036"/>
        <w:gridCol w:w="146"/>
        <w:gridCol w:w="146"/>
        <w:gridCol w:w="261"/>
        <w:gridCol w:w="430"/>
        <w:gridCol w:w="146"/>
        <w:gridCol w:w="146"/>
        <w:gridCol w:w="211"/>
        <w:gridCol w:w="781"/>
        <w:gridCol w:w="146"/>
        <w:gridCol w:w="146"/>
        <w:gridCol w:w="211"/>
        <w:gridCol w:w="841"/>
        <w:gridCol w:w="166"/>
        <w:gridCol w:w="146"/>
        <w:gridCol w:w="228"/>
        <w:gridCol w:w="848"/>
        <w:gridCol w:w="212"/>
      </w:tblGrid>
      <w:tr>
        <w:trPr/>
        <w:tc>
          <w:tcPr>
            <w:tcW w:w="3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6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81"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212" w:type="dxa"/>
            <w:tcBorders/>
            <w:shd w:fill="auto" w:val="clear"/>
            <w:vAlign w:val="center"/>
          </w:tcPr>
          <w:p>
            <w:pPr>
              <w:pStyle w:val="TableContents"/>
              <w:spacing w:before="0" w:after="0"/>
              <w:ind w:left="0" w:right="0" w:hanging="0"/>
              <w:jc w:val="center"/>
              <w:rPr/>
            </w:pPr>
            <w:r>
              <w:rPr/>
              <w:t> </w:t>
            </w:r>
          </w:p>
        </w:tc>
      </w:tr>
      <w:tr>
        <w:trPr/>
        <w:tc>
          <w:tcPr>
            <w:tcW w:w="36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47,504,704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385,060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232,107</w:t>
            </w:r>
          </w:p>
        </w:tc>
        <w:tc>
          <w:tcPr>
            <w:tcW w:w="212" w:type="dxa"/>
            <w:tcBorders/>
            <w:shd w:fill="auto" w:val="clear"/>
            <w:vAlign w:val="center"/>
          </w:tcPr>
          <w:p>
            <w:pPr>
              <w:pStyle w:val="TableContents"/>
              <w:spacing w:before="0" w:after="0"/>
              <w:ind w:left="0" w:right="0" w:hanging="0"/>
              <w:jc w:val="left"/>
              <w:rPr/>
            </w:pPr>
            <w:r>
              <w:rPr/>
              <w:t> </w:t>
            </w:r>
          </w:p>
        </w:tc>
      </w:tr>
      <w:tr>
        <w:trPr/>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upon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85,644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212" w:type="dxa"/>
            <w:tcBorders/>
            <w:shd w:fill="auto" w:val="clear"/>
            <w:vAlign w:val="center"/>
          </w:tcPr>
          <w:p>
            <w:pPr>
              <w:pStyle w:val="TableContents"/>
              <w:spacing w:before="0" w:after="0"/>
              <w:ind w:left="0" w:right="0" w:hanging="0"/>
              <w:jc w:val="left"/>
              <w:rPr/>
            </w:pPr>
            <w:r>
              <w:rPr/>
              <w:t> </w:t>
            </w:r>
          </w:p>
        </w:tc>
      </w:tr>
      <w:tr>
        <w:trPr/>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2,974</w:t>
            </w:r>
          </w:p>
        </w:tc>
        <w:tc>
          <w:tcPr>
            <w:tcW w:w="212" w:type="dxa"/>
            <w:tcBorders/>
            <w:shd w:fill="auto" w:val="clear"/>
            <w:vAlign w:val="center"/>
          </w:tcPr>
          <w:p>
            <w:pPr>
              <w:pStyle w:val="TableContents"/>
              <w:spacing w:before="0" w:after="0"/>
              <w:ind w:left="0" w:right="0" w:hanging="0"/>
              <w:jc w:val="left"/>
              <w:rPr/>
            </w:pPr>
            <w:r>
              <w:rPr/>
              <w:t> </w:t>
            </w:r>
          </w:p>
        </w:tc>
      </w:tr>
      <w:tr>
        <w:trPr/>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(23,263</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47,590,348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388,127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(176,264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211,911</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SIGHT SCIENCES, INC.</w:t>
      </w:r>
    </w:p>
    <w:p>
      <w:pPr>
        <w:pStyle w:val="TextBody"/>
        <w:spacing w:before="0" w:after="0"/>
        <w:jc w:val="center"/>
        <w:rPr>
          <w:rFonts w:ascii="Times New Roman" w:hAnsi="Times New Roman"/>
          <w:sz w:val="20"/>
        </w:rPr>
      </w:pPr>
      <w:bookmarkStart w:id="8" w:name="cash_flows"/>
      <w:bookmarkEnd w:id="8"/>
      <w:r>
        <w:rPr>
          <w:rFonts w:ascii="Times New Roman;serif" w:hAnsi="Times New Roman;serif"/>
          <w:b/>
          <w:sz w:val="20"/>
        </w:rPr>
        <w:t>Condensed Consolidated Statements of Cash Flows</w:t>
      </w:r>
      <w:r>
        <w:rPr>
          <w:rFonts w:ascii="Times New Roman" w:hAnsi="Times New Roman"/>
          <w:sz w:val="20"/>
        </w:rPr>
        <w:t xml:space="preserve"> </w:t>
      </w:r>
      <w:r>
        <w:rPr>
          <w:rFonts w:ascii="Times New Roman;serif" w:hAnsi="Times New Roman;serif"/>
          <w:b/>
          <w:sz w:val="20"/>
        </w:rPr>
        <w:t>(Unaudited)</w:t>
      </w:r>
    </w:p>
    <w:p>
      <w:pPr>
        <w:pStyle w:val="TextBody"/>
        <w:spacing w:before="0" w:after="0"/>
        <w:jc w:val="center"/>
        <w:rPr>
          <w:rFonts w:ascii="Times New Roman;serif" w:hAnsi="Times New Roman;serif"/>
          <w:b/>
          <w:i/>
          <w:sz w:val="20"/>
        </w:rPr>
      </w:pPr>
      <w:r>
        <w:rPr>
          <w:rFonts w:ascii="Times New Roman;serif" w:hAnsi="Times New Roman;serif"/>
          <w:b/>
          <w:i/>
          <w:sz w:val="20"/>
        </w:rPr>
        <w:t>(in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352"/>
        <w:gridCol w:w="146"/>
        <w:gridCol w:w="211"/>
        <w:gridCol w:w="781"/>
        <w:gridCol w:w="166"/>
        <w:gridCol w:w="146"/>
        <w:gridCol w:w="211"/>
        <w:gridCol w:w="781"/>
        <w:gridCol w:w="411"/>
      </w:tblGrid>
      <w:tr>
        <w:trPr/>
        <w:tc>
          <w:tcPr>
            <w:tcW w:w="73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735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11" w:type="dxa"/>
            <w:tcBorders/>
            <w:shd w:fill="auto" w:val="clear"/>
            <w:vAlign w:val="center"/>
          </w:tcPr>
          <w:p>
            <w:pPr>
              <w:pStyle w:val="TableContents"/>
              <w:spacing w:before="0" w:after="0"/>
              <w:ind w:left="0" w:right="0" w:hanging="0"/>
              <w:jc w:val="center"/>
              <w:rPr/>
            </w:pPr>
            <w:r>
              <w:rPr/>
              <w:t> </w:t>
            </w:r>
          </w:p>
        </w:tc>
      </w:tr>
      <w:tr>
        <w:trPr/>
        <w:tc>
          <w:tcPr>
            <w:tcW w:w="735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35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(23,263</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411" w:type="dxa"/>
            <w:tcBorders/>
            <w:shd w:fill="auto" w:val="clear"/>
            <w:vAlign w:val="center"/>
          </w:tcPr>
          <w:p>
            <w:pPr>
              <w:pStyle w:val="TableContents"/>
              <w:spacing w:before="0" w:after="0"/>
              <w:ind w:left="0" w:right="0" w:firstLine="200"/>
              <w:jc w:val="lef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Accretion of debt discount and amortization of debt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411" w:type="dxa"/>
            <w:tcBorders/>
            <w:shd w:fill="auto" w:val="clear"/>
            <w:vAlign w:val="center"/>
          </w:tcPr>
          <w:p>
            <w:pPr>
              <w:pStyle w:val="TableContents"/>
              <w:spacing w:before="0" w:after="0"/>
              <w:ind w:left="0" w:right="0" w:firstLine="200"/>
              <w:jc w:val="lef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2,974</w:t>
            </w:r>
          </w:p>
        </w:tc>
        <w:tc>
          <w:tcPr>
            <w:tcW w:w="411" w:type="dxa"/>
            <w:tcBorders/>
            <w:shd w:fill="auto" w:val="clear"/>
            <w:vAlign w:val="center"/>
          </w:tcPr>
          <w:p>
            <w:pPr>
              <w:pStyle w:val="TableContents"/>
              <w:spacing w:before="0" w:after="0"/>
              <w:ind w:left="0" w:right="0" w:firstLine="200"/>
              <w:jc w:val="lef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for doubtful 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for excess and obsolete 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411" w:type="dxa"/>
            <w:tcBorders/>
            <w:shd w:fill="auto" w:val="clear"/>
            <w:vAlign w:val="center"/>
          </w:tcPr>
          <w:p>
            <w:pPr>
              <w:pStyle w:val="TableContents"/>
              <w:spacing w:before="0" w:after="0"/>
              <w:ind w:left="0" w:right="0" w:firstLine="200"/>
              <w:jc w:val="lef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operating lease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411" w:type="dxa"/>
            <w:tcBorders/>
            <w:shd w:fill="auto" w:val="clear"/>
            <w:vAlign w:val="center"/>
          </w:tcPr>
          <w:p>
            <w:pPr>
              <w:pStyle w:val="TableContents"/>
              <w:spacing w:before="0" w:after="0"/>
              <w:ind w:left="0" w:right="0" w:firstLine="200"/>
              <w:jc w:val="lef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disposal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411" w:type="dxa"/>
            <w:tcBorders/>
            <w:shd w:fill="auto" w:val="cle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1,472</w:t>
            </w:r>
          </w:p>
        </w:tc>
        <w:tc>
          <w:tcPr>
            <w:tcW w:w="411" w:type="dxa"/>
            <w:tcBorders/>
            <w:shd w:fill="auto" w:val="clear"/>
            <w:vAlign w:val="center"/>
          </w:tcPr>
          <w:p>
            <w:pPr>
              <w:pStyle w:val="TableContents"/>
              <w:spacing w:before="0" w:after="0"/>
              <w:ind w:left="0" w:right="0" w:firstLine="200"/>
              <w:jc w:val="lef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411" w:type="dxa"/>
            <w:tcBorders/>
            <w:shd w:fill="auto" w:val="clear"/>
            <w:vAlign w:val="center"/>
          </w:tcPr>
          <w:p>
            <w:pPr>
              <w:pStyle w:val="TableContents"/>
              <w:spacing w:before="0" w:after="0"/>
              <w:ind w:left="0" w:right="0" w:firstLine="200"/>
              <w:jc w:val="lef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(2,129</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w:t>
            </w:r>
          </w:p>
        </w:tc>
        <w:tc>
          <w:tcPr>
            <w:tcW w:w="411" w:type="dxa"/>
            <w:tcBorders/>
            <w:shd w:fill="auto" w:val="clear"/>
            <w:vAlign w:val="center"/>
          </w:tcPr>
          <w:p>
            <w:pPr>
              <w:pStyle w:val="TableContents"/>
              <w:spacing w:before="0" w:after="0"/>
              <w:ind w:left="0" w:right="0" w:firstLine="200"/>
              <w:jc w:val="lef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(17,383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(21,966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exercise of common stock options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411" w:type="dxa"/>
            <w:tcBorders/>
            <w:shd w:fill="auto" w:val="cle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Taxes paid on the net share settlement of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7352"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Net cash (used in)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change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(22,101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185,000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260,687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238,586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766</w:t>
            </w:r>
          </w:p>
        </w:tc>
        <w:tc>
          <w:tcPr>
            <w:tcW w:w="411" w:type="dxa"/>
            <w:tcBorders/>
            <w:shd w:fill="auto" w:val="clear"/>
            <w:vAlign w:val="center"/>
          </w:tcPr>
          <w:p>
            <w:pPr>
              <w:pStyle w:val="TableContents"/>
              <w:spacing w:before="0" w:after="0"/>
              <w:ind w:left="0" w:right="0" w:hanging="0"/>
              <w:jc w:val="lef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noncash disclosure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7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of property and equipment included in accounts payable and accrued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SIGHT SCIENCES, INC.</w:t>
      </w:r>
    </w:p>
    <w:p>
      <w:pPr>
        <w:pStyle w:val="TextBody"/>
        <w:spacing w:before="0" w:after="0"/>
        <w:jc w:val="center"/>
        <w:rPr>
          <w:rFonts w:ascii="Times New Roman;serif" w:hAnsi="Times New Roman;serif"/>
          <w:b/>
          <w:sz w:val="20"/>
        </w:rPr>
      </w:pPr>
      <w:bookmarkStart w:id="9" w:name="notes_to_financial_statements"/>
      <w:bookmarkEnd w:id="9"/>
      <w:r>
        <w:rPr>
          <w:rFonts w:ascii="Times New Roman;serif" w:hAnsi="Times New Roman;serif"/>
          <w:b/>
          <w:sz w:val="20"/>
        </w:rPr>
        <w:t>Notes to Condensed Consolidated Financial Statements (Unaudited)</w:t>
      </w:r>
    </w:p>
    <w:p>
      <w:pPr>
        <w:pStyle w:val="TextBody"/>
        <w:spacing w:before="0" w:after="0"/>
        <w:jc w:val="center"/>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Note 1. Company and Nature of Business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Description of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w:t>
      </w:r>
    </w:p>
    <w:p>
      <w:pPr>
        <w:pStyle w:val="TextBody"/>
        <w:spacing w:before="360" w:after="0"/>
        <w:jc w:val="left"/>
        <w:rPr>
          <w:rFonts w:ascii="Times New Roman;serif" w:hAnsi="Times New Roman;serif"/>
          <w:b/>
          <w:i/>
          <w:sz w:val="20"/>
        </w:rPr>
      </w:pPr>
      <w:r>
        <w:rPr>
          <w:rFonts w:ascii="Times New Roman;serif" w:hAnsi="Times New Roman;serif"/>
          <w:b/>
          <w:i/>
          <w:sz w:val="20"/>
        </w:rPr>
        <w:t>Significant Risks and Uncertainties</w:t>
      </w:r>
    </w:p>
    <w:p>
      <w:pPr>
        <w:pStyle w:val="TextBody"/>
        <w:spacing w:before="120" w:after="0"/>
        <w:jc w:val="left"/>
        <w:rPr>
          <w:rFonts w:ascii="Times New Roman" w:hAnsi="Times New Roman"/>
          <w:sz w:val="20"/>
        </w:rPr>
      </w:pPr>
      <w:r>
        <w:rPr>
          <w:rFonts w:ascii="Times New Roman;serif" w:hAnsi="Times New Roman;serif"/>
          <w:b w:val="false"/>
          <w:sz w:val="20"/>
        </w:rPr>
        <w:t>Since inception, the Company has incurred losses and negative cash flows from operations. As of March 31, 2023, the Company had an accumulated deficit of $256.3</w:t>
      </w:r>
      <w:r>
        <w:rPr>
          <w:rFonts w:ascii="Times New Roman" w:hAnsi="Times New Roman"/>
          <w:sz w:val="20"/>
        </w:rPr>
        <w:t xml:space="preserve"> </w:t>
      </w:r>
      <w:r>
        <w:rPr>
          <w:rFonts w:ascii="Times New Roman;serif" w:hAnsi="Times New Roman;serif"/>
          <w:b w:val="false"/>
          <w:sz w:val="20"/>
        </w:rPr>
        <w:t>million and recorded a net loss of $17.1</w:t>
      </w:r>
      <w:r>
        <w:rPr>
          <w:rFonts w:ascii="Times New Roman" w:hAnsi="Times New Roman"/>
          <w:sz w:val="20"/>
        </w:rPr>
        <w:t xml:space="preserve"> </w:t>
      </w:r>
      <w:r>
        <w:rPr>
          <w:rFonts w:ascii="Times New Roman;serif" w:hAnsi="Times New Roman;serif"/>
          <w:b w:val="false"/>
          <w:sz w:val="20"/>
        </w:rPr>
        <w:t>million for the three months then ended and expects to incur additional losses in the future. If the Company’s revenue levels from its products are not sufficient or if the Company is unable to secure additional funding when desired, the Company may need to delay the development of its products, scale back its business and operations, or change its business strategy.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believes that its existing sources of liquidity will satisfy its working capital and capital requirements for at least 12 months from the issuance of its financial statements. Any failure to generate increased revenues, achieve improved gross margins, or control operating costs could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pStyle w:val="TextBody"/>
        <w:spacing w:before="360" w:after="0"/>
        <w:jc w:val="left"/>
        <w:rPr>
          <w:rFonts w:ascii="Times New Roman;serif" w:hAnsi="Times New Roman;serif"/>
          <w:b/>
          <w:sz w:val="20"/>
        </w:rPr>
      </w:pPr>
      <w:r>
        <w:rPr>
          <w:rFonts w:ascii="Times New Roman;serif" w:hAnsi="Times New Roman;serif"/>
          <w:b/>
          <w:sz w:val="20"/>
        </w:rPr>
        <w:t>Note 2. Summary of Significant Accounting Policies</w:t>
      </w:r>
    </w:p>
    <w:p>
      <w:pPr>
        <w:pStyle w:val="TextBody"/>
        <w:spacing w:before="120" w:after="0"/>
        <w:jc w:val="left"/>
        <w:rPr>
          <w:rFonts w:ascii="Times New Roman" w:hAnsi="Times New Roman"/>
          <w:sz w:val="20"/>
        </w:rPr>
      </w:pPr>
      <w:r>
        <w:rPr>
          <w:rFonts w:ascii="Times New Roman;serif" w:hAnsi="Times New Roman;serif"/>
          <w:b w:val="false"/>
          <w:sz w:val="20"/>
        </w:rPr>
        <w:t>There have been no significant changes in the Company's significant accounting policies during the three months ended March 31, 2023, as compared with those disclosed in the 2022 Form 10-K for the year ended December 31, 2022 filed with the U.S. Securities and Exchange Commission (SEC) on March 16, 2023.</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Basis of Presentation</w:t>
      </w:r>
    </w:p>
    <w:p>
      <w:pPr>
        <w:pStyle w:val="TextBody"/>
        <w:spacing w:before="120" w:after="0"/>
        <w:jc w:val="left"/>
        <w:rPr>
          <w:rFonts w:ascii="Times New Roman" w:hAnsi="Times New Roman"/>
          <w:sz w:val="20"/>
        </w:rPr>
      </w:pPr>
      <w:r>
        <w:rPr>
          <w:rFonts w:ascii="Times New Roman;serif" w:hAnsi="Times New Roman;serif"/>
          <w:b w:val="false"/>
          <w:sz w:val="20"/>
        </w:rPr>
        <w:t>The accompanying condensed consolidated financial statements are unaudited and have been prepared in accordance with generally accepted accounting principles in the United States of America (“GAAP”) applicable to interim periods and pursuant to the instructions to Form 10-Q and Article 10 of Regulation S-X.</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unaudited consolidated financial statements have been prepared on a basis consistent with the audited financial statements. In the opinion of management, the unaudited consolidated financial statements reflect all adjustments, which include only normal recurring adjustments, necessary for the fair presentation of the Company's financial information contained herein. The condensed consolidated balance sheets as of December 31, 2022 has been derived from the audited financial statements at that date. These interim condensed consolidated financial statements do not include all disclosures required by GAAP and should be read in conjunction with the Company's financial statements and accompanying notes for the fiscal year ended December 31, 2022, which are contained in the Company's 2022 Form 10-K filed with the SEC on March 16, 2023. The Company's results of operations for the three months ended March 31, 2023 are not necessarily indicative of the results to be expected for the year ending December 31, 2023 or for any other interim period.</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reflect the operations of the Company and its wholly-owned subsidiaries. All intercompany accounts and transactions have been eliminated.</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Use of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preparation of financial statements in conformity with GAAP requires management to make estimates and assumptions that affect the reported amounts of assets and liabilities, disclosure of contingent liabilities at the date of the financial statements, and the reported amounts of revenues and expenses during the reporting period. The most significant estimates related to the provision for doubtful accounts, inventory excess and obsolescence, the selection of useful lives of property and equipment, determination of the fair value of stock option grants,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pStyle w:val="TextBody"/>
        <w:spacing w:before="360" w:after="0"/>
        <w:jc w:val="left"/>
        <w:rPr>
          <w:rFonts w:ascii="Times New Roman;serif" w:hAnsi="Times New Roman;serif"/>
          <w:b/>
          <w:i/>
          <w:sz w:val="20"/>
        </w:rPr>
      </w:pPr>
      <w:r>
        <w:rPr>
          <w:rFonts w:ascii="Times New Roman;serif" w:hAnsi="Times New Roman;serif"/>
          <w:b/>
          <w:i/>
          <w:sz w:val="20"/>
        </w:rPr>
        <w:t>New Accounting Pronouncements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Accounting Standards Adopted</w:t>
      </w:r>
    </w:p>
    <w:p>
      <w:pPr>
        <w:pStyle w:val="TextBody"/>
        <w:spacing w:before="120" w:after="240"/>
        <w:jc w:val="left"/>
        <w:rPr>
          <w:rFonts w:ascii="Times New Roman" w:hAnsi="Times New Roman"/>
          <w:sz w:val="20"/>
        </w:rPr>
      </w:pPr>
      <w:r>
        <w:rPr>
          <w:rFonts w:ascii="Times New Roman;serif" w:hAnsi="Times New Roman;serif"/>
          <w:b w:val="false"/>
          <w:sz w:val="20"/>
        </w:rPr>
        <w:t xml:space="preserve">In June 2016, the FASB issued ASU No. 2016-13, </w:t>
      </w:r>
      <w:r>
        <w:rPr>
          <w:rFonts w:ascii="Times New Roman;serif" w:hAnsi="Times New Roman;serif"/>
          <w:b w:val="false"/>
          <w:i/>
          <w:sz w:val="20"/>
        </w:rPr>
        <w:t>Financial Instruments—Credit Losses (Topic 326): Measurement of Credit Losses on Financial Instruments</w:t>
      </w:r>
      <w:r>
        <w:rPr>
          <w:rFonts w:ascii="Times New Roman;serif" w:hAnsi="Times New Roman;serif"/>
          <w:b w:val="false"/>
          <w:sz w:val="20"/>
        </w:rPr>
        <w:t>, which amends the impairment model by requiring entities to use a forward-looking approach based on expected losses to estimate credit losses on certain types of financial instruments, including trade receivables and available-for-sale debt securities. The guidance was effective for the Company beginning in the first quarter of 2023. The amendments in ASU 2016-13 were adopted with no material impact on the Company's consolidated financial statements.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Accounting Standards Net Yet Adopted</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there are no significant ASU's issued and not yet adopted, that are expected to have a material impact on the Company's financial statements and related disclosures.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Note 3. Fair Value Measurements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1—Inputs are quoted prices (unadjusted) in active markets for identical assets or liabilities that the Company has the ability to access at the measurement 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pStyle w:val="TextBody"/>
        <w:spacing w:before="240" w:after="0"/>
        <w:jc w:val="left"/>
        <w:rPr>
          <w:rFonts w:ascii="Times New Roman" w:hAnsi="Times New Roman"/>
          <w:sz w:val="20"/>
        </w:rPr>
      </w:pPr>
      <w:r>
        <w:rPr>
          <w:rFonts w:ascii="Times New Roman;serif" w:hAnsi="Times New Roman;serif"/>
          <w:b w:val="false"/>
          <w:sz w:val="20"/>
        </w:rPr>
        <w:t>The Company's cash and cash equivalents included $157.3</w:t>
      </w:r>
      <w:r>
        <w:rPr>
          <w:rFonts w:ascii="Times New Roman" w:hAnsi="Times New Roman"/>
          <w:sz w:val="20"/>
        </w:rPr>
        <w:t xml:space="preserve"> </w:t>
      </w:r>
      <w:r>
        <w:rPr>
          <w:rFonts w:ascii="Times New Roman;serif" w:hAnsi="Times New Roman;serif"/>
          <w:b w:val="false"/>
          <w:sz w:val="20"/>
        </w:rPr>
        <w:t xml:space="preserve">million of treasury bills as of March 31, 2023. These securities are classified as held-to-maturity and all have been purchased with original maturities of 90 days or less. Held-to-maturity debt securities are recorded at amortized cost in the financial statements. </w:t>
      </w:r>
    </w:p>
    <w:p>
      <w:pPr>
        <w:pStyle w:val="TextBody"/>
        <w:spacing w:before="24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tbl>
      <w:tblPr>
        <w:tblW w:w="8834" w:type="dxa"/>
        <w:jc w:val="left"/>
        <w:tblInd w:w="0" w:type="dxa"/>
        <w:tblCellMar>
          <w:top w:w="28" w:type="dxa"/>
          <w:left w:w="28" w:type="dxa"/>
          <w:bottom w:w="28" w:type="dxa"/>
          <w:right w:w="28" w:type="dxa"/>
        </w:tblCellMar>
      </w:tblPr>
      <w:tblGrid>
        <w:gridCol w:w="1951"/>
        <w:gridCol w:w="146"/>
        <w:gridCol w:w="265"/>
        <w:gridCol w:w="980"/>
        <w:gridCol w:w="146"/>
        <w:gridCol w:w="146"/>
        <w:gridCol w:w="539"/>
        <w:gridCol w:w="811"/>
        <w:gridCol w:w="146"/>
        <w:gridCol w:w="146"/>
        <w:gridCol w:w="522"/>
        <w:gridCol w:w="858"/>
        <w:gridCol w:w="146"/>
        <w:gridCol w:w="146"/>
        <w:gridCol w:w="360"/>
        <w:gridCol w:w="1335"/>
        <w:gridCol w:w="191"/>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46"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 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157,297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157,355</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The Company measures the fair value of outstanding debt for disclosure purposes on a recurring basis. As of March 31, 2023 and December 31, 2022, total debt of $33.5</w:t>
      </w:r>
      <w:r>
        <w:rPr>
          <w:rFonts w:ascii="Times New Roman" w:hAnsi="Times New Roman"/>
          <w:sz w:val="20"/>
        </w:rPr>
        <w:t xml:space="preserve"> </w:t>
      </w:r>
      <w:r>
        <w:rPr>
          <w:rFonts w:ascii="Times New Roman;serif" w:hAnsi="Times New Roman;serif"/>
          <w:b w:val="false"/>
          <w:sz w:val="20"/>
        </w:rPr>
        <w:t>million and $33.3</w:t>
      </w:r>
      <w:r>
        <w:rPr>
          <w:rFonts w:ascii="Times New Roman" w:hAnsi="Times New Roman"/>
          <w:sz w:val="20"/>
        </w:rPr>
        <w:t xml:space="preserve"> </w:t>
      </w:r>
      <w:r>
        <w:rPr>
          <w:rFonts w:ascii="Times New Roman;serif" w:hAnsi="Times New Roman;serif"/>
          <w:b w:val="false"/>
          <w:sz w:val="20"/>
        </w:rPr>
        <w:t>million is reported at amortized cost, respectively. This outstanding debt is classified as Level 2 as it is not actively traded. The amortized cost of the outstanding debt approximates the fair value.</w:t>
      </w:r>
    </w:p>
    <w:p>
      <w:pPr>
        <w:pStyle w:val="TextBody"/>
        <w:spacing w:before="240" w:after="0"/>
        <w:jc w:val="left"/>
        <w:rPr>
          <w:rFonts w:ascii="Times New Roman" w:hAnsi="Times New Roman"/>
          <w:sz w:val="20"/>
        </w:rPr>
      </w:pPr>
      <w:r>
        <w:rPr>
          <w:rFonts w:ascii="Times New Roman;serif" w:hAnsi="Times New Roman;serif"/>
          <w:b w:val="false"/>
          <w:sz w:val="20"/>
        </w:rPr>
        <w:t>The financial statements as of March 31, 2023 and December 31, 2022, do not include any assets or liabilities that are measured at fair value on a nonrecurring basis.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Note 4. Balance Sheet Components</w:t>
      </w:r>
    </w:p>
    <w:p>
      <w:pPr>
        <w:pStyle w:val="TextBody"/>
        <w:spacing w:before="120" w:after="0"/>
        <w:jc w:val="left"/>
        <w:rPr>
          <w:rFonts w:ascii="Times New Roman;serif" w:hAnsi="Times New Roman;serif"/>
          <w:b/>
          <w:i/>
          <w:sz w:val="20"/>
        </w:rPr>
      </w:pPr>
      <w:r>
        <w:rPr>
          <w:rFonts w:ascii="Times New Roman;serif" w:hAnsi="Times New Roman;serif"/>
          <w:b/>
          <w:i/>
          <w:sz w:val="20"/>
        </w:rPr>
        <w:t>Property and Equipment,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Property and equipment, net consist of the following (in thousands):</w:t>
      </w:r>
    </w:p>
    <w:p>
      <w:pPr>
        <w:pStyle w:val="TextBody"/>
        <w:spacing w:before="120" w:after="0"/>
        <w:jc w:val="left"/>
        <w:rPr/>
      </w:pPr>
      <w:r>
        <w:rPr/>
        <w:t> </w:t>
      </w:r>
    </w:p>
    <w:tbl>
      <w:tblPr>
        <w:tblW w:w="6570" w:type="dxa"/>
        <w:jc w:val="left"/>
        <w:tblInd w:w="0" w:type="dxa"/>
        <w:tblCellMar>
          <w:top w:w="28" w:type="dxa"/>
          <w:left w:w="28" w:type="dxa"/>
          <w:bottom w:w="28" w:type="dxa"/>
          <w:right w:w="28" w:type="dxa"/>
        </w:tblCellMar>
      </w:tblPr>
      <w:tblGrid>
        <w:gridCol w:w="2911"/>
        <w:gridCol w:w="146"/>
        <w:gridCol w:w="319"/>
        <w:gridCol w:w="956"/>
        <w:gridCol w:w="166"/>
        <w:gridCol w:w="146"/>
        <w:gridCol w:w="379"/>
        <w:gridCol w:w="1136"/>
        <w:gridCol w:w="411"/>
      </w:tblGrid>
      <w:tr>
        <w:trPr/>
        <w:tc>
          <w:tcPr>
            <w:tcW w:w="2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w:t>
            </w:r>
          </w:p>
        </w:tc>
        <w:tc>
          <w:tcPr>
            <w:tcW w:w="411" w:type="dxa"/>
            <w:tcBorders/>
            <w:shd w:fill="auto" w:val="clear"/>
            <w:vAlign w:val="center"/>
          </w:tcPr>
          <w:p>
            <w:pPr>
              <w:pStyle w:val="TableContents"/>
              <w:spacing w:before="0" w:after="0"/>
              <w:ind w:left="0" w:right="0" w:hanging="0"/>
              <w:jc w:val="center"/>
              <w:rPr/>
            </w:pPr>
            <w:r>
              <w:rPr/>
              <w:t> </w:t>
            </w:r>
          </w:p>
        </w:tc>
      </w:tr>
      <w:tr>
        <w:trPr/>
        <w:tc>
          <w:tcPr>
            <w:tcW w:w="29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Tools and equipment</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2,173</w:t>
            </w:r>
          </w:p>
        </w:tc>
        <w:tc>
          <w:tcPr>
            <w:tcW w:w="4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4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4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4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process</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shd w:fill="auto" w:val="clear"/>
            <w:vAlign w:val="center"/>
          </w:tcPr>
          <w:p>
            <w:pPr>
              <w:pStyle w:val="TableContents"/>
              <w:spacing w:before="0" w:after="0"/>
              <w:ind w:left="0" w:right="0" w:hanging="0"/>
              <w:jc w:val="left"/>
              <w:rPr/>
            </w:pPr>
            <w:r>
              <w:rPr/>
              <w:t> </w:t>
            </w:r>
          </w:p>
        </w:tc>
        <w:tc>
          <w:tcPr>
            <w:tcW w:w="11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3,005</w:t>
            </w:r>
          </w:p>
        </w:tc>
        <w:tc>
          <w:tcPr>
            <w:tcW w:w="4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Depreciation expense was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Accrued and Other Current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and other current liabilities consist of the following (in thousands):</w:t>
      </w:r>
    </w:p>
    <w:p>
      <w:pPr>
        <w:pStyle w:val="TextBody"/>
        <w:spacing w:before="120" w:after="0"/>
        <w:jc w:val="left"/>
        <w:rPr/>
      </w:pPr>
      <w:r>
        <w:rPr/>
        <w:t> </w:t>
      </w:r>
    </w:p>
    <w:tbl>
      <w:tblPr>
        <w:tblW w:w="7100" w:type="dxa"/>
        <w:jc w:val="left"/>
        <w:tblInd w:w="0" w:type="dxa"/>
        <w:tblCellMar>
          <w:top w:w="28" w:type="dxa"/>
          <w:left w:w="28" w:type="dxa"/>
          <w:bottom w:w="28" w:type="dxa"/>
          <w:right w:w="28" w:type="dxa"/>
        </w:tblCellMar>
      </w:tblPr>
      <w:tblGrid>
        <w:gridCol w:w="3481"/>
        <w:gridCol w:w="146"/>
        <w:gridCol w:w="344"/>
        <w:gridCol w:w="931"/>
        <w:gridCol w:w="146"/>
        <w:gridCol w:w="146"/>
        <w:gridCol w:w="407"/>
        <w:gridCol w:w="1108"/>
        <w:gridCol w:w="39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5,307</w:t>
            </w:r>
          </w:p>
        </w:tc>
        <w:tc>
          <w:tcPr>
            <w:tcW w:w="3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lease liabilities</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pPr>
            <w:r>
              <w:rPr/>
              <w:t> </w:t>
            </w:r>
          </w:p>
        </w:tc>
        <w:tc>
          <w:tcPr>
            <w:tcW w:w="11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1,033</w:t>
            </w:r>
          </w:p>
        </w:tc>
        <w:tc>
          <w:tcPr>
            <w:tcW w:w="3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 term interest payable</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pPr>
            <w:r>
              <w:rPr/>
              <w:t> </w:t>
            </w:r>
          </w:p>
        </w:tc>
        <w:tc>
          <w:tcPr>
            <w:tcW w:w="11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w:t>
            </w:r>
          </w:p>
        </w:tc>
        <w:tc>
          <w:tcPr>
            <w:tcW w:w="3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liabilities</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Other Noncurrent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noncurrent liabilities consist of the following (in thousands):</w:t>
      </w:r>
    </w:p>
    <w:p>
      <w:pPr>
        <w:pStyle w:val="TextBody"/>
        <w:spacing w:before="120" w:after="0"/>
        <w:jc w:val="left"/>
        <w:rPr/>
      </w:pPr>
      <w:r>
        <w:rPr/>
        <w:t> </w:t>
      </w:r>
    </w:p>
    <w:tbl>
      <w:tblPr>
        <w:tblW w:w="6785" w:type="dxa"/>
        <w:jc w:val="left"/>
        <w:tblInd w:w="0" w:type="dxa"/>
        <w:tblCellMar>
          <w:top w:w="28" w:type="dxa"/>
          <w:left w:w="28" w:type="dxa"/>
          <w:bottom w:w="28" w:type="dxa"/>
          <w:right w:w="28" w:type="dxa"/>
        </w:tblCellMar>
      </w:tblPr>
      <w:tblGrid>
        <w:gridCol w:w="3166"/>
        <w:gridCol w:w="146"/>
        <w:gridCol w:w="344"/>
        <w:gridCol w:w="931"/>
        <w:gridCol w:w="146"/>
        <w:gridCol w:w="146"/>
        <w:gridCol w:w="407"/>
        <w:gridCol w:w="1108"/>
        <w:gridCol w:w="391"/>
      </w:tblGrid>
      <w:tr>
        <w:trPr/>
        <w:tc>
          <w:tcPr>
            <w:tcW w:w="3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 term interest payable</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1,194</w:t>
            </w:r>
          </w:p>
        </w:tc>
        <w:tc>
          <w:tcPr>
            <w:tcW w:w="391" w:type="dxa"/>
            <w:tcBorders/>
            <w:shd w:fill="auto" w:val="cle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portion of lease liabilities</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pPr>
            <w:r>
              <w:rPr/>
              <w:t> </w:t>
            </w:r>
          </w:p>
        </w:tc>
        <w:tc>
          <w:tcPr>
            <w:tcW w:w="11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635</w:t>
            </w:r>
          </w:p>
        </w:tc>
        <w:tc>
          <w:tcPr>
            <w:tcW w:w="391" w:type="dxa"/>
            <w:tcBorders/>
            <w:shd w:fill="auto" w:val="clear"/>
            <w:vAlign w:val="center"/>
          </w:tcPr>
          <w:p>
            <w:pPr>
              <w:pStyle w:val="TableContents"/>
              <w:spacing w:before="0" w:after="0"/>
              <w:ind w:left="0" w:right="0" w:hanging="0"/>
              <w:jc w:val="left"/>
              <w:rPr/>
            </w:pPr>
            <w:r>
              <w:rPr/>
              <w:t> </w:t>
            </w:r>
          </w:p>
        </w:tc>
      </w:tr>
      <w:tr>
        <w:trPr/>
        <w:tc>
          <w:tcPr>
            <w:tcW w:w="3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5. Debt</w:t>
      </w:r>
    </w:p>
    <w:p>
      <w:pPr>
        <w:pStyle w:val="TextBody"/>
        <w:spacing w:before="120" w:after="0"/>
        <w:jc w:val="left"/>
        <w:rPr>
          <w:rFonts w:ascii="Times New Roman" w:hAnsi="Times New Roman"/>
          <w:sz w:val="20"/>
        </w:rPr>
      </w:pPr>
      <w:r>
        <w:rPr>
          <w:rFonts w:ascii="Times New Roman;serif" w:hAnsi="Times New Roman;serif"/>
          <w:b w:val="false"/>
          <w:sz w:val="20"/>
        </w:rPr>
        <w:t>The Company currently has two credit and security agreements with MidCap Financial Services (the "Lender"), which provide for a maximum $40.0</w:t>
      </w:r>
      <w:r>
        <w:rPr>
          <w:rFonts w:ascii="Times New Roman" w:hAnsi="Times New Roman"/>
          <w:sz w:val="20"/>
        </w:rPr>
        <w:t xml:space="preserve"> </w:t>
      </w:r>
      <w:r>
        <w:rPr>
          <w:rFonts w:ascii="Times New Roman;serif" w:hAnsi="Times New Roman;serif"/>
          <w:b w:val="false"/>
          <w:sz w:val="20"/>
        </w:rPr>
        <w:t>million credit facility, consisting of a $35.0</w:t>
      </w:r>
      <w:r>
        <w:rPr>
          <w:rFonts w:ascii="Times New Roman" w:hAnsi="Times New Roman"/>
          <w:sz w:val="20"/>
        </w:rPr>
        <w:t xml:space="preserve"> </w:t>
      </w:r>
      <w:r>
        <w:rPr>
          <w:rFonts w:ascii="Times New Roman;serif" w:hAnsi="Times New Roman;serif"/>
          <w:b w:val="false"/>
          <w:sz w:val="20"/>
        </w:rPr>
        <w:t>million senior secured term loan (the "Term Loan") and a $5.0</w:t>
      </w:r>
      <w:r>
        <w:rPr>
          <w:rFonts w:ascii="Times New Roman" w:hAnsi="Times New Roman"/>
          <w:sz w:val="20"/>
        </w:rPr>
        <w:t xml:space="preserve"> </w:t>
      </w:r>
      <w:r>
        <w:rPr>
          <w:rFonts w:ascii="Times New Roman;serif" w:hAnsi="Times New Roman;serif"/>
          <w:b w:val="false"/>
          <w:sz w:val="20"/>
        </w:rPr>
        <w:t>million revolving loan (the "Revolver" and collectively with the Term Loan, the “MidCap Credit Facility”).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obligations under the MidCap Credit Facility are guaranteed by the Company's current and future subsidiaries, subject to exceptions for certain foreign subsidiaries. Obligations under the agreements are secured by substantially all assets of the Company, including material intellectual property. Additionally, the Company is subject to customary affirmative and negative covenants as defined in the credit agreements, including covenants that limit or restrict the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As of March 31, 2023, the Company was in compliance with all financial and non-financial covenants.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MidCap Credit Facility agreements each contain events of default that include, among others, non-payment of principal, interest or fees, breach of covenants, inaccuracy of representations and warranties, cross-defaults and bankruptcy and insolvency events.</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$5.0</w:t>
      </w:r>
      <w:r>
        <w:rPr>
          <w:rFonts w:ascii="Times New Roman" w:hAnsi="Times New Roman"/>
          <w:sz w:val="20"/>
        </w:rPr>
        <w:t xml:space="preserve"> </w:t>
      </w:r>
      <w:r>
        <w:rPr>
          <w:rFonts w:ascii="Times New Roman;serif" w:hAnsi="Times New Roman;serif"/>
          <w:b w:val="false"/>
          <w:sz w:val="20"/>
        </w:rPr>
        <w:t>million was available to be drawn under the Revolver, respectively. The Revolver had not been drawn upon as of March 31, 2023 and December 31, 2022. Long-term and short-term debt was as follows (in thousands):</w:t>
      </w:r>
    </w:p>
    <w:p>
      <w:pPr>
        <w:pStyle w:val="TextBody"/>
        <w:spacing w:before="120" w:after="0"/>
        <w:jc w:val="left"/>
        <w:rPr/>
      </w:pPr>
      <w:r>
        <w:rPr/>
        <w:t> </w:t>
      </w:r>
    </w:p>
    <w:tbl>
      <w:tblPr>
        <w:tblW w:w="8845" w:type="dxa"/>
        <w:jc w:val="left"/>
        <w:tblInd w:w="0" w:type="dxa"/>
        <w:tblCellMar>
          <w:top w:w="28" w:type="dxa"/>
          <w:left w:w="28" w:type="dxa"/>
          <w:bottom w:w="28" w:type="dxa"/>
          <w:right w:w="28" w:type="dxa"/>
        </w:tblCellMar>
      </w:tblPr>
      <w:tblGrid>
        <w:gridCol w:w="5386"/>
        <w:gridCol w:w="146"/>
        <w:gridCol w:w="303"/>
        <w:gridCol w:w="972"/>
        <w:gridCol w:w="166"/>
        <w:gridCol w:w="146"/>
        <w:gridCol w:w="360"/>
        <w:gridCol w:w="1155"/>
        <w:gridCol w:w="211"/>
      </w:tblGrid>
      <w:tr>
        <w:trPr/>
        <w:tc>
          <w:tcPr>
            <w:tcW w:w="5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w:t>
            </w:r>
          </w:p>
        </w:tc>
        <w:tc>
          <w:tcPr>
            <w:tcW w:w="211" w:type="dxa"/>
            <w:tcBorders/>
            <w:shd w:fill="auto" w:val="clear"/>
            <w:vAlign w:val="center"/>
          </w:tcPr>
          <w:p>
            <w:pPr>
              <w:pStyle w:val="TableContents"/>
              <w:spacing w:before="0" w:after="0"/>
              <w:ind w:left="0" w:right="0" w:hanging="0"/>
              <w:jc w:val="center"/>
              <w:rPr/>
            </w:pPr>
            <w:r>
              <w:rPr/>
              <w:t> </w:t>
            </w:r>
          </w:p>
        </w:tc>
      </w:tr>
      <w:tr>
        <w:trPr/>
        <w:tc>
          <w:tcPr>
            <w:tcW w:w="5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principal payments due</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debt discount related to warrant liability and issuance costs</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9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left"/>
              <w:rPr/>
            </w:pPr>
            <w:r>
              <w:rPr/>
              <w:t> </w:t>
            </w:r>
          </w:p>
        </w:tc>
        <w:tc>
          <w:tcPr>
            <w:tcW w:w="11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amounts outstanding</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33,313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33,457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33,313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repayment schedule relating to the Company’s debt as of March 31, 2023, is as follows (in thousands):</w:t>
      </w:r>
    </w:p>
    <w:p>
      <w:pPr>
        <w:pStyle w:val="TextBody"/>
        <w:spacing w:before="120" w:after="0"/>
        <w:jc w:val="left"/>
        <w:rPr/>
      </w:pPr>
      <w:r>
        <w:rPr/>
        <w:t> </w:t>
      </w:r>
    </w:p>
    <w:tbl>
      <w:tblPr>
        <w:tblW w:w="2755" w:type="dxa"/>
        <w:jc w:val="left"/>
        <w:tblInd w:w="0" w:type="dxa"/>
        <w:tblCellMar>
          <w:top w:w="28" w:type="dxa"/>
          <w:left w:w="28" w:type="dxa"/>
          <w:bottom w:w="28" w:type="dxa"/>
          <w:right w:w="28" w:type="dxa"/>
        </w:tblCellMar>
      </w:tblPr>
      <w:tblGrid>
        <w:gridCol w:w="1531"/>
        <w:gridCol w:w="146"/>
        <w:gridCol w:w="211"/>
        <w:gridCol w:w="676"/>
        <w:gridCol w:w="191"/>
      </w:tblGrid>
      <w:tr>
        <w:trPr/>
        <w:tc>
          <w:tcPr>
            <w:tcW w:w="1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(remainder)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2,917</w:t>
            </w:r>
          </w:p>
        </w:tc>
        <w:tc>
          <w:tcPr>
            <w:tcW w:w="191"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32,083</w:t>
            </w:r>
          </w:p>
        </w:tc>
        <w:tc>
          <w:tcPr>
            <w:tcW w:w="191"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repayments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6. Commitments and Contingencies</w:t>
      </w:r>
    </w:p>
    <w:p>
      <w:pPr>
        <w:pStyle w:val="TextBody"/>
        <w:spacing w:before="120" w:after="0"/>
        <w:jc w:val="left"/>
        <w:rPr>
          <w:rFonts w:ascii="Times New Roman;serif" w:hAnsi="Times New Roman;serif"/>
          <w:b/>
          <w:i/>
          <w:sz w:val="20"/>
        </w:rPr>
      </w:pPr>
      <w:r>
        <w:rPr>
          <w:rFonts w:ascii="Times New Roman;serif" w:hAnsi="Times New Roman;serif"/>
          <w:b/>
          <w:i/>
          <w:sz w:val="20"/>
        </w:rPr>
        <w:t>Operating Lease Obligations</w:t>
      </w:r>
    </w:p>
    <w:p>
      <w:pPr>
        <w:pStyle w:val="TextBody"/>
        <w:spacing w:before="120" w:after="0"/>
        <w:jc w:val="left"/>
        <w:rPr>
          <w:rFonts w:ascii="Times New Roman" w:hAnsi="Times New Roman"/>
          <w:sz w:val="20"/>
        </w:rPr>
      </w:pPr>
      <w:r>
        <w:rPr>
          <w:rFonts w:ascii="Times New Roman;serif" w:hAnsi="Times New Roman;serif"/>
          <w:b w:val="false"/>
          <w:sz w:val="20"/>
        </w:rPr>
        <w:t>The Company’s leases include facility leases and storage leases. In determining the present value of lease payments, the Company uses its incremental borrowing rate based on the information available at the lease commencement date if the rate implicit in the lease is not readily determinable. The Company estimates its incremental borrowing rate based on qualitative factors including company specific credit offers, lease term, general economics, and the interest rate environment. In determining the lease term, the Company includes all renewal options that are reasonably probable to be executed.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During the first quarter of 2021, the Company renewed its lease on its corporate headquarters in Menlo Park, California. The lease commenced in early August 2021</w:t>
      </w:r>
      <w:r>
        <w:rPr>
          <w:rFonts w:ascii="Times New Roman" w:hAnsi="Times New Roman"/>
          <w:sz w:val="20"/>
        </w:rPr>
        <w:t xml:space="preserve"> </w:t>
      </w:r>
      <w:r>
        <w:rPr>
          <w:rFonts w:ascii="Times New Roman;serif" w:hAnsi="Times New Roman;serif"/>
          <w:b w:val="false"/>
          <w:sz w:val="20"/>
        </w:rPr>
        <w:t>and is for a term of 37 months</w:t>
      </w:r>
      <w:r>
        <w:rPr>
          <w:rFonts w:ascii="Times New Roman" w:hAnsi="Times New Roman"/>
          <w:sz w:val="20"/>
        </w:rPr>
        <w:t xml:space="preserve"> </w:t>
      </w:r>
      <w:r>
        <w:rPr>
          <w:rFonts w:ascii="Times New Roman;serif" w:hAnsi="Times New Roman;serif"/>
          <w:b w:val="false"/>
          <w:sz w:val="20"/>
        </w:rPr>
        <w:t>from the commencement</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date. The Company recorded an aggregate right-of-use ("ROU") asset and lease liability of $1.5</w:t>
      </w:r>
      <w:r>
        <w:rPr>
          <w:rFonts w:ascii="Times New Roman" w:hAnsi="Times New Roman"/>
          <w:sz w:val="20"/>
        </w:rPr>
        <w:t xml:space="preserve"> </w:t>
      </w:r>
      <w:r>
        <w:rPr>
          <w:rFonts w:ascii="Times New Roman;serif" w:hAnsi="Times New Roman;serif"/>
          <w:b w:val="false"/>
          <w:sz w:val="20"/>
        </w:rPr>
        <w:t>million. The ROU asset and corresponding lease liability were estimated using a weighted-average incremental borrowing rate of 13.59%. Total base rent is approximately $1.6</w:t>
      </w:r>
      <w:r>
        <w:rPr>
          <w:rFonts w:ascii="Times New Roman" w:hAnsi="Times New Roman"/>
          <w:sz w:val="20"/>
        </w:rPr>
        <w:t xml:space="preserve"> </w:t>
      </w:r>
      <w:r>
        <w:rPr>
          <w:rFonts w:ascii="Times New Roman;serif" w:hAnsi="Times New Roman;serif"/>
          <w:b w:val="false"/>
          <w:sz w:val="20"/>
        </w:rPr>
        <w:t>million under the lease agreement.</w:t>
      </w:r>
    </w:p>
    <w:p>
      <w:pPr>
        <w:pStyle w:val="TextBody"/>
        <w:spacing w:before="120" w:after="0"/>
        <w:jc w:val="left"/>
        <w:rPr>
          <w:rFonts w:ascii="Times New Roman" w:hAnsi="Times New Roman"/>
          <w:sz w:val="20"/>
        </w:rPr>
      </w:pPr>
      <w:r>
        <w:rPr>
          <w:rFonts w:ascii="Times New Roman;serif" w:hAnsi="Times New Roman;serif"/>
          <w:b w:val="false"/>
          <w:sz w:val="20"/>
        </w:rPr>
        <w:t>During the fourth quarter of 2022, the Company entered into a supply agreement that is expected to last approximately 18</w:t>
      </w:r>
      <w:r>
        <w:rPr>
          <w:rFonts w:ascii="Times New Roman" w:hAnsi="Times New Roman"/>
          <w:sz w:val="20"/>
        </w:rPr>
        <w:t xml:space="preserve"> </w:t>
      </w:r>
      <w:r>
        <w:rPr>
          <w:rFonts w:ascii="Times New Roman;serif" w:hAnsi="Times New Roman;serif"/>
          <w:b w:val="false"/>
          <w:sz w:val="20"/>
        </w:rPr>
        <w:t>months. The supply agreement contained provisions that, when evaluated, indicated an embedded lease was present within the agreement. The agreement commenced in early December 2022 and the Company recorded an aggregate ROU asset and lease liability of $0.7</w:t>
      </w:r>
      <w:r>
        <w:rPr>
          <w:rFonts w:ascii="Times New Roman" w:hAnsi="Times New Roman"/>
          <w:sz w:val="20"/>
        </w:rPr>
        <w:t xml:space="preserve"> </w:t>
      </w:r>
      <w:r>
        <w:rPr>
          <w:rFonts w:ascii="Times New Roman;serif" w:hAnsi="Times New Roman;serif"/>
          <w:b w:val="false"/>
          <w:sz w:val="20"/>
        </w:rPr>
        <w:t>million. The ROU asset and corresponding lease liability were estimated using a weighted-average incremental borrowing rate of 10.75%. Total base rent under the agreement is approximately $0.7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recognizes rent expense on a straight-line basis over the noncancelable lease term. The Company’s rent expense was $0.3</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As of March 31, 2023, the weighted average remaining lease term for the leases was 1.3</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Operating lease expense and supplemental cash flow information related to operating leases for the three months ended March 31, 2023 and 2022 were as follows (in thousands):</w:t>
      </w:r>
    </w:p>
    <w:p>
      <w:pPr>
        <w:pStyle w:val="TextBody"/>
        <w:spacing w:before="120" w:after="0"/>
        <w:jc w:val="left"/>
        <w:rPr/>
      </w:pPr>
      <w:r>
        <w:rPr/>
        <w:t> </w:t>
      </w:r>
    </w:p>
    <w:tbl>
      <w:tblPr>
        <w:tblW w:w="4680" w:type="dxa"/>
        <w:jc w:val="left"/>
        <w:tblInd w:w="0" w:type="dxa"/>
        <w:tblCellMar>
          <w:top w:w="28" w:type="dxa"/>
          <w:left w:w="28" w:type="dxa"/>
          <w:bottom w:w="28" w:type="dxa"/>
          <w:right w:w="28" w:type="dxa"/>
        </w:tblCellMar>
      </w:tblPr>
      <w:tblGrid>
        <w:gridCol w:w="2551"/>
        <w:gridCol w:w="146"/>
        <w:gridCol w:w="223"/>
        <w:gridCol w:w="446"/>
        <w:gridCol w:w="154"/>
        <w:gridCol w:w="154"/>
        <w:gridCol w:w="223"/>
        <w:gridCol w:w="446"/>
        <w:gridCol w:w="146"/>
        <w:gridCol w:w="19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6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expense</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operating leases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4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w:t>
            </w:r>
          </w:p>
        </w:tc>
        <w:tc>
          <w:tcPr>
            <w:tcW w:w="154"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4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Aggregate future minimum lease payments at March 31, 2023, under these noncancelable operating leases were as follows (in thousands):</w:t>
      </w:r>
    </w:p>
    <w:p>
      <w:pPr>
        <w:pStyle w:val="TextBody"/>
        <w:spacing w:before="120" w:after="0"/>
        <w:jc w:val="left"/>
        <w:rPr/>
      </w:pPr>
      <w:r>
        <w:rPr/>
        <w:t> </w:t>
      </w:r>
    </w:p>
    <w:tbl>
      <w:tblPr>
        <w:tblW w:w="5814" w:type="dxa"/>
        <w:jc w:val="left"/>
        <w:tblInd w:w="0" w:type="dxa"/>
        <w:tblCellMar>
          <w:top w:w="28" w:type="dxa"/>
          <w:left w:w="28" w:type="dxa"/>
          <w:bottom w:w="28" w:type="dxa"/>
          <w:right w:w="28" w:type="dxa"/>
        </w:tblCellMar>
      </w:tblPr>
      <w:tblGrid>
        <w:gridCol w:w="4036"/>
        <w:gridCol w:w="146"/>
        <w:gridCol w:w="319"/>
        <w:gridCol w:w="956"/>
        <w:gridCol w:w="166"/>
        <w:gridCol w:w="191"/>
      </w:tblGrid>
      <w:tr>
        <w:trPr/>
        <w:tc>
          <w:tcPr>
            <w:tcW w:w="4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w:t>
            </w:r>
          </w:p>
        </w:tc>
        <w:tc>
          <w:tcPr>
            <w:tcW w:w="16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(remainder)</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9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887</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future minimum lease payments</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future minimum lease payments</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1,422</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 of operating lease liability</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 noncurrent</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40" w:after="0"/>
        <w:jc w:val="left"/>
        <w:rPr>
          <w:rFonts w:ascii="Times New Roman;serif" w:hAnsi="Times New Roman;serif"/>
          <w:b/>
          <w:i/>
          <w:sz w:val="20"/>
        </w:rPr>
      </w:pPr>
      <w:r>
        <w:rPr>
          <w:rFonts w:ascii="Times New Roman;serif" w:hAnsi="Times New Roman;serif"/>
          <w:b/>
          <w:i/>
          <w:sz w:val="20"/>
        </w:rPr>
        <w:t>Legal Proceedings</w:t>
      </w:r>
    </w:p>
    <w:p>
      <w:pPr>
        <w:pStyle w:val="TextBody"/>
        <w:spacing w:before="120" w:after="0"/>
        <w:jc w:val="left"/>
        <w:rPr>
          <w:rFonts w:ascii="Times New Roman" w:hAnsi="Times New Roman"/>
          <w:sz w:val="20"/>
        </w:rPr>
      </w:pPr>
      <w:r>
        <w:rPr>
          <w:rFonts w:ascii="Times New Roman;serif" w:hAnsi="Times New Roman;serif"/>
          <w:b w:val="false"/>
          <w:sz w:val="20"/>
        </w:rPr>
        <w:t xml:space="preserve">On September 16, 2021, the Company filed suit in the U.S. District Court for the District of Delaware (C.A. No. 1:21-cv-01317) alleging that Ivantis, Inc. ("Ivantis") directly and indirectly infringes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reasserted counterclaims requesting declaratory judgments that the Company’s asserted patents-in-suit are not infringed and/or invalid. A five-day jury trial is scheduled to commence on April 8, 2024. Ivantis and Alcon filed petitions with the U.S. Patent Office seeking </w:t>
      </w:r>
      <w:r>
        <w:rPr>
          <w:rFonts w:ascii="Times New Roman;serif" w:hAnsi="Times New Roman;serif"/>
          <w:b w:val="false"/>
          <w:i/>
          <w:sz w:val="20"/>
        </w:rPr>
        <w:t xml:space="preserve">inter partes </w:t>
      </w:r>
      <w:r>
        <w:rPr>
          <w:rFonts w:ascii="Times New Roman;serif" w:hAnsi="Times New Roman;serif"/>
          <w:b w:val="false"/>
          <w:sz w:val="20"/>
        </w:rPr>
        <w:t>review of U.S. Patent Nos. 8,287,482, 9,370,443, 9,486,361, and 10,314,742 (IPR2022-01529, IPR2022-01530, IPR2022-01533, IPR2022-01540), each of which the U.S. Patent Office denied for raising prior art reference and invalidity arguments that were cumulative of those previously considered by the Office. The Company is presently unable to</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predict the outcome of this lawsuit or to reasonably estimate the potential financial impact of the lawsuit on the Company, if any.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is subject to claims and assessments from time to time in the ordinary course of business. Accruals for litigation and contingencies are reflected in the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As of March 31, 2023 the Company does not believe it was a party to any legal proceedings or claims which, if determined adversely, would, individually or taken together, have a material adverse effect on its business, financial condition, operating results, liquidity or future prospects. However, regardless of the merits of the claims raised or the outcome, legal proceedings and claims may have an adverse impact on the Company as a result of defense and settlement costs, diversion of management time and resources, and other factors.</w:t>
      </w:r>
    </w:p>
    <w:p>
      <w:pPr>
        <w:pStyle w:val="TextBody"/>
        <w:spacing w:before="360" w:after="0"/>
        <w:jc w:val="left"/>
        <w:rPr>
          <w:rFonts w:ascii="Times New Roman;serif" w:hAnsi="Times New Roman;serif"/>
          <w:b/>
          <w:i/>
          <w:sz w:val="20"/>
        </w:rPr>
      </w:pPr>
      <w:r>
        <w:rPr>
          <w:rFonts w:ascii="Times New Roman;serif" w:hAnsi="Times New Roman;serif"/>
          <w:b/>
          <w:i/>
          <w:sz w:val="20"/>
        </w:rPr>
        <w:t>Indemnification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indemnifies each of its directors and officers (each an "Indemnitee")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an indemnitee may be subject to any proceeding arising out of acts or omissions of such indemnitee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March 31, 2023 or December 31, 2022.</w:t>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7. Stockholders' Equity</w:t>
      </w:r>
    </w:p>
    <w:p>
      <w:pPr>
        <w:pStyle w:val="TextBody"/>
        <w:spacing w:before="120" w:after="0"/>
        <w:jc w:val="left"/>
        <w:rPr>
          <w:rFonts w:ascii="Times New Roman;serif" w:hAnsi="Times New Roman;serif"/>
          <w:b/>
          <w:i/>
          <w:sz w:val="20"/>
        </w:rPr>
      </w:pPr>
      <w:r>
        <w:rPr>
          <w:rFonts w:ascii="Times New Roman;serif" w:hAnsi="Times New Roman;serif"/>
          <w:b/>
          <w:i/>
          <w:sz w:val="20"/>
        </w:rPr>
        <w:t>Common Stock</w:t>
      </w:r>
    </w:p>
    <w:p>
      <w:pPr>
        <w:pStyle w:val="TextBody"/>
        <w:spacing w:before="120" w:after="240"/>
        <w:jc w:val="left"/>
        <w:rPr>
          <w:rFonts w:ascii="Times New Roman" w:hAnsi="Times New Roman"/>
          <w:sz w:val="20"/>
        </w:rPr>
      </w:pPr>
      <w:r>
        <w:rPr>
          <w:rFonts w:ascii="Times New Roman;serif" w:hAnsi="Times New Roman;serif"/>
          <w:b w:val="false"/>
          <w:sz w:val="20"/>
        </w:rPr>
        <w:t>In connection with the IPO, the Company’s certificate of incorporation was amended and restated to provide for 200,000,000</w:t>
      </w:r>
      <w:r>
        <w:rPr>
          <w:rFonts w:ascii="Times New Roman" w:hAnsi="Times New Roman"/>
          <w:sz w:val="20"/>
        </w:rPr>
        <w:t xml:space="preserve"> </w:t>
      </w:r>
      <w:r>
        <w:rPr>
          <w:rFonts w:ascii="Times New Roman;serif" w:hAnsi="Times New Roman;serif"/>
          <w:b w:val="false"/>
          <w:sz w:val="20"/>
        </w:rPr>
        <w:t>authorized shares of common stock with a par value of $0.001</w:t>
      </w:r>
      <w:r>
        <w:rPr>
          <w:rFonts w:ascii="Times New Roman" w:hAnsi="Times New Roman"/>
          <w:sz w:val="20"/>
        </w:rPr>
        <w:t xml:space="preserve"> </w:t>
      </w:r>
      <w:r>
        <w:rPr>
          <w:rFonts w:ascii="Times New Roman;serif" w:hAnsi="Times New Roman;serif"/>
          <w:b w:val="false"/>
          <w:sz w:val="20"/>
        </w:rPr>
        <w:t>per share and 10,000,000</w:t>
      </w:r>
      <w:r>
        <w:rPr>
          <w:rFonts w:ascii="Times New Roman" w:hAnsi="Times New Roman"/>
          <w:sz w:val="20"/>
        </w:rPr>
        <w:t xml:space="preserve"> </w:t>
      </w:r>
      <w:r>
        <w:rPr>
          <w:rFonts w:ascii="Times New Roman;serif" w:hAnsi="Times New Roman;serif"/>
          <w:b w:val="false"/>
          <w:sz w:val="20"/>
        </w:rPr>
        <w:t>authorized shares of preferred stock with a par value of $0.001</w:t>
      </w:r>
      <w:r>
        <w:rPr>
          <w:rFonts w:ascii="Times New Roman" w:hAnsi="Times New Roman"/>
          <w:sz w:val="20"/>
        </w:rPr>
        <w:t xml:space="preserve"> </w:t>
      </w:r>
      <w:r>
        <w:rPr>
          <w:rFonts w:ascii="Times New Roman;serif" w:hAnsi="Times New Roman;serif"/>
          <w:b w:val="false"/>
          <w:sz w:val="20"/>
        </w:rPr>
        <w:t>per share. The holders of common stock are entitled to receive dividends whenever funds are legally available, when and if declared by the board of directors. As of March 31, 2023, no</w:t>
      </w:r>
      <w:r>
        <w:rPr>
          <w:rFonts w:ascii="Times New Roman" w:hAnsi="Times New Roman"/>
          <w:sz w:val="20"/>
        </w:rPr>
        <w:t xml:space="preserve"> </w:t>
      </w:r>
      <w:r>
        <w:rPr>
          <w:rFonts w:ascii="Times New Roman;serif" w:hAnsi="Times New Roman;serif"/>
          <w:b w:val="false"/>
          <w:sz w:val="20"/>
        </w:rPr>
        <w:t>dividends have been declared to date. Each share of common stock is entitled to one</w:t>
      </w:r>
      <w:r>
        <w:rPr>
          <w:rFonts w:ascii="Times New Roman" w:hAnsi="Times New Roman"/>
          <w:sz w:val="20"/>
        </w:rPr>
        <w:t xml:space="preserve"> </w:t>
      </w:r>
      <w:r>
        <w:rPr>
          <w:rFonts w:ascii="Times New Roman;serif" w:hAnsi="Times New Roman;serif"/>
          <w:b w:val="false"/>
          <w:sz w:val="20"/>
        </w:rPr>
        <w:t>vote.</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120" w:after="240"/>
        <w:jc w:val="left"/>
        <w:rPr>
          <w:rFonts w:ascii="Times New Roman;serif" w:hAnsi="Times New Roman;serif"/>
          <w:b w:val="false"/>
          <w:sz w:val="20"/>
        </w:rPr>
      </w:pPr>
      <w:r>
        <w:rPr>
          <w:rFonts w:ascii="Times New Roman;serif" w:hAnsi="Times New Roman;serif"/>
          <w:b w:val="false"/>
          <w:sz w:val="20"/>
        </w:rPr>
        <w:t>At March 31, 2023 and December 31, 2022, the Company had reserved common stock for future issuances as follows:</w:t>
      </w:r>
    </w:p>
    <w:tbl>
      <w:tblPr>
        <w:tblW w:w="6984" w:type="dxa"/>
        <w:jc w:val="left"/>
        <w:tblInd w:w="0" w:type="dxa"/>
        <w:tblCellMar>
          <w:top w:w="28" w:type="dxa"/>
          <w:left w:w="28" w:type="dxa"/>
          <w:bottom w:w="28" w:type="dxa"/>
          <w:right w:w="28" w:type="dxa"/>
        </w:tblCellMar>
      </w:tblPr>
      <w:tblGrid>
        <w:gridCol w:w="3991"/>
        <w:gridCol w:w="146"/>
        <w:gridCol w:w="146"/>
        <w:gridCol w:w="1036"/>
        <w:gridCol w:w="146"/>
        <w:gridCol w:w="146"/>
        <w:gridCol w:w="146"/>
        <w:gridCol w:w="1036"/>
        <w:gridCol w:w="191"/>
      </w:tblGrid>
      <w:tr>
        <w:trPr/>
        <w:tc>
          <w:tcPr>
            <w:tcW w:w="3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3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options issued and outstanding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5,095,956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4,819,906</w:t>
            </w:r>
          </w:p>
        </w:tc>
        <w:tc>
          <w:tcPr>
            <w:tcW w:w="191" w:type="dxa"/>
            <w:tcBorders/>
            <w:shd w:fill="auto" w:val="cle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available for future grant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7,258,472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6,099,584</w:t>
            </w:r>
          </w:p>
        </w:tc>
        <w:tc>
          <w:tcPr>
            <w:tcW w:w="191" w:type="dxa"/>
            <w:tcBorders/>
            <w:shd w:fill="auto" w:val="cle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 outstanding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1,840,324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1,014,123</w:t>
            </w:r>
          </w:p>
        </w:tc>
        <w:tc>
          <w:tcPr>
            <w:tcW w:w="191" w:type="dxa"/>
            <w:tcBorders/>
            <w:shd w:fill="auto" w:val="cle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future purchase under ESPP</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1,709,104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1,226,123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15,903,856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13,159,736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8. Equity Incentive Plans</w:t>
      </w:r>
    </w:p>
    <w:p>
      <w:pPr>
        <w:pStyle w:val="TextBody"/>
        <w:spacing w:before="160" w:after="0"/>
        <w:jc w:val="left"/>
        <w:rPr>
          <w:rFonts w:ascii="Times New Roman;serif" w:hAnsi="Times New Roman;serif"/>
          <w:b/>
          <w:i/>
          <w:sz w:val="20"/>
        </w:rPr>
      </w:pPr>
      <w:r>
        <w:rPr>
          <w:rFonts w:ascii="Times New Roman;serif" w:hAnsi="Times New Roman;serif"/>
          <w:b/>
          <w:i/>
          <w:sz w:val="20"/>
        </w:rPr>
        <w:t>2011 Stock Option Plan and 2021 Incentive Award Plan</w:t>
      </w:r>
    </w:p>
    <w:p>
      <w:pPr>
        <w:pStyle w:val="TextBody"/>
        <w:spacing w:before="120" w:after="0"/>
        <w:jc w:val="left"/>
        <w:rPr>
          <w:rFonts w:ascii="Times New Roman" w:hAnsi="Times New Roman"/>
          <w:sz w:val="20"/>
        </w:rPr>
      </w:pPr>
      <w:r>
        <w:rPr>
          <w:rFonts w:ascii="Times New Roman;serif" w:hAnsi="Times New Roman;serif"/>
          <w:b w:val="false"/>
          <w:sz w:val="20"/>
        </w:rPr>
        <w:t>In 2011, the Company established its 2011 Stock Option Plan (the “2011 Plan”) that provided for the granting of stock options to employees and nonemployees of the Company.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 awards. Options under the 2021 Plan can typically be granted for periods of up to 10 years. For stock options granted to a grantee who, at the time the option is granted, owns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not be less than 110% of the grant date fair value of the shares. Options granted to new hires generally vest over a four-year period, with 25% of the shares vesting on the first anniversary of the grant date and the remaining shares vesting in 36 equal monthly installments thereafter; options granted as merit awards generally vest in 48 equal monthly installments following the grant date.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initially reserved 5,200,000</w:t>
      </w:r>
      <w:r>
        <w:rPr>
          <w:rFonts w:ascii="Times New Roman" w:hAnsi="Times New Roman"/>
          <w:sz w:val="20"/>
        </w:rPr>
        <w:t xml:space="preserve"> </w:t>
      </w:r>
      <w:r>
        <w:rPr>
          <w:rFonts w:ascii="Times New Roman;serif" w:hAnsi="Times New Roman;serif"/>
          <w:b w:val="false"/>
          <w:sz w:val="20"/>
        </w:rPr>
        <w:t>shares of common stock for future issuance under the 2021 Plan. Pursuant to the evergreen provision in the 2021 Plan, this initial reserve was increased by 2,414,907</w:t>
      </w:r>
      <w:r>
        <w:rPr>
          <w:rFonts w:ascii="Times New Roman" w:hAnsi="Times New Roman"/>
          <w:sz w:val="20"/>
        </w:rPr>
        <w:t xml:space="preserve"> </w:t>
      </w:r>
      <w:r>
        <w:rPr>
          <w:rFonts w:ascii="Times New Roman;serif" w:hAnsi="Times New Roman;serif"/>
          <w:b w:val="false"/>
          <w:sz w:val="20"/>
        </w:rPr>
        <w:t>and 2,375,235</w:t>
      </w:r>
      <w:r>
        <w:rPr>
          <w:rFonts w:ascii="Times New Roman" w:hAnsi="Times New Roman"/>
          <w:sz w:val="20"/>
        </w:rPr>
        <w:t xml:space="preserve"> </w:t>
      </w:r>
      <w:r>
        <w:rPr>
          <w:rFonts w:ascii="Times New Roman;serif" w:hAnsi="Times New Roman;serif"/>
          <w:b w:val="false"/>
          <w:sz w:val="20"/>
        </w:rPr>
        <w:t xml:space="preserve">shares on January 1, 2023 and 2022, respectively. These annual increases under the evergreen provision are equal to the lesser of (i) 5% of the aggregate number of shares of Common Stock outstanding on the final day of the immediately preceding calendar year and (ii) such smaller number of shares of Common Stock as determined by the Board, subject to certain limitations. </w:t>
      </w:r>
    </w:p>
    <w:p>
      <w:pPr>
        <w:pStyle w:val="TextBody"/>
        <w:spacing w:before="120" w:after="0"/>
        <w:jc w:val="left"/>
        <w:rPr>
          <w:rFonts w:ascii="Times New Roman" w:hAnsi="Times New Roman"/>
          <w:sz w:val="20"/>
        </w:rPr>
      </w:pPr>
      <w:r>
        <w:rPr>
          <w:rFonts w:ascii="Times New Roman;serif" w:hAnsi="Times New Roman;serif"/>
          <w:b w:val="false"/>
          <w:sz w:val="20"/>
        </w:rPr>
        <w:t>The 2011 Plan was superseded by the 2021 Plan at the time of the IPO and no further grants have been made under the 2011 Plan from the date the 2021 Plan became effective. The terms under the 2011 Plan are consistent with those described above for the 2021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At March 31, 2023 and December 31, 2022 there were 7,258,472</w:t>
      </w:r>
      <w:r>
        <w:rPr>
          <w:rFonts w:ascii="Times New Roman" w:hAnsi="Times New Roman"/>
          <w:sz w:val="20"/>
        </w:rPr>
        <w:t xml:space="preserve"> </w:t>
      </w:r>
      <w:r>
        <w:rPr>
          <w:rFonts w:ascii="Times New Roman;serif" w:hAnsi="Times New Roman;serif"/>
          <w:b w:val="false"/>
          <w:sz w:val="20"/>
        </w:rPr>
        <w:t>and 6,099,584</w:t>
      </w:r>
      <w:r>
        <w:rPr>
          <w:rFonts w:ascii="Times New Roman" w:hAnsi="Times New Roman"/>
          <w:sz w:val="20"/>
        </w:rPr>
        <w:t xml:space="preserve"> </w:t>
      </w:r>
      <w:r>
        <w:rPr>
          <w:rFonts w:ascii="Times New Roman;serif" w:hAnsi="Times New Roman;serif"/>
          <w:b w:val="false"/>
          <w:sz w:val="20"/>
        </w:rPr>
        <w:t>shares, respectively, of common stock available for issuance under the 2021 Plan.</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Stock Option Awards</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stock option activity under the 2021 Plan during the periods presented:</w:t>
      </w:r>
      <w:r>
        <w:rPr>
          <w:rFonts w:ascii="Times New Roman" w:hAnsi="Times New Roman"/>
          <w:sz w:val="20"/>
        </w:rPr>
        <w:t xml:space="preserve"> </w:t>
      </w:r>
    </w:p>
    <w:p>
      <w:pPr>
        <w:pStyle w:val="TextBody"/>
        <w:spacing w:before="120" w:after="0"/>
        <w:jc w:val="left"/>
        <w:rPr/>
      </w:pPr>
      <w:r>
        <w:rPr/>
        <w:t> </w:t>
      </w:r>
    </w:p>
    <w:tbl>
      <w:tblPr>
        <w:tblW w:w="10205" w:type="dxa"/>
        <w:jc w:val="left"/>
        <w:tblInd w:w="0" w:type="dxa"/>
        <w:tblCellMar>
          <w:top w:w="28" w:type="dxa"/>
          <w:left w:w="28" w:type="dxa"/>
          <w:bottom w:w="28" w:type="dxa"/>
          <w:right w:w="28" w:type="dxa"/>
        </w:tblCellMar>
      </w:tblPr>
      <w:tblGrid>
        <w:gridCol w:w="2739"/>
        <w:gridCol w:w="146"/>
        <w:gridCol w:w="146"/>
        <w:gridCol w:w="931"/>
        <w:gridCol w:w="166"/>
        <w:gridCol w:w="146"/>
        <w:gridCol w:w="552"/>
        <w:gridCol w:w="1501"/>
        <w:gridCol w:w="146"/>
        <w:gridCol w:w="146"/>
        <w:gridCol w:w="423"/>
        <w:gridCol w:w="1048"/>
        <w:gridCol w:w="146"/>
        <w:gridCol w:w="146"/>
        <w:gridCol w:w="339"/>
        <w:gridCol w:w="1089"/>
        <w:gridCol w:w="395"/>
      </w:tblGrid>
      <w:tr>
        <w:trPr/>
        <w:tc>
          <w:tcPr>
            <w:tcW w:w="27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r>
      <w:tr>
        <w:trPr/>
        <w:tc>
          <w:tcPr>
            <w:tcW w:w="273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Weighted-Average 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Weighted-Average</w:t>
              <w:br/>
              <w:t>Contractual</w:t>
              <w:br/>
              <w:t> Term (in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Average Intrinsic Value </w:t>
              <w:br/>
              <w:t>(in thousands)</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Balances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4,819,906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19,463</w:t>
            </w:r>
          </w:p>
        </w:tc>
        <w:tc>
          <w:tcPr>
            <w:tcW w:w="395" w:type="dxa"/>
            <w:tcBorders/>
            <w:shd w:fill="auto" w:val="clear"/>
            <w:vAlign w:val="center"/>
          </w:tcPr>
          <w:p>
            <w:pPr>
              <w:pStyle w:val="TableContents"/>
              <w:spacing w:before="0" w:after="0"/>
              <w:ind w:left="0" w:right="0" w:firstLine="200"/>
              <w:jc w:val="left"/>
              <w:rPr/>
            </w:pPr>
            <w:r>
              <w:rPr/>
              <w:t> </w:t>
            </w:r>
          </w:p>
        </w:tc>
      </w:tr>
      <w:tr>
        <w:trPr/>
        <w:tc>
          <w:tcPr>
            <w:tcW w:w="273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633,700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8" w:type="dxa"/>
            <w:gridSpan w:val="2"/>
            <w:tcBorders/>
            <w:shd w:fill="auto" w:val="clear"/>
            <w:vAlign w:val="center"/>
          </w:tcPr>
          <w:p>
            <w:pPr>
              <w:pStyle w:val="TableContents"/>
              <w:spacing w:before="0" w:after="0"/>
              <w:ind w:left="0" w:right="0" w:hanging="0"/>
              <w:jc w:val="right"/>
              <w:rPr/>
            </w:pPr>
            <w:r>
              <w:rPr/>
              <w:t> </w:t>
            </w:r>
          </w:p>
        </w:tc>
        <w:tc>
          <w:tcPr>
            <w:tcW w:w="395" w:type="dxa"/>
            <w:tcBorders/>
            <w:shd w:fill="auto" w:val="clear"/>
            <w:vAlign w:val="center"/>
          </w:tcPr>
          <w:p>
            <w:pPr>
              <w:pStyle w:val="TableContents"/>
              <w:spacing w:before="0" w:after="0"/>
              <w:ind w:left="0" w:right="0" w:firstLine="200"/>
              <w:jc w:val="right"/>
              <w:rPr/>
            </w:pPr>
            <w:r>
              <w:rPr/>
              <w:t> </w:t>
            </w:r>
          </w:p>
        </w:tc>
      </w:tr>
      <w:tr>
        <w:trPr/>
        <w:tc>
          <w:tcPr>
            <w:tcW w:w="273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(309,914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8" w:type="dxa"/>
            <w:gridSpan w:val="2"/>
            <w:tcBorders/>
            <w:shd w:fill="auto" w:val="clear"/>
            <w:vAlign w:val="center"/>
          </w:tcPr>
          <w:p>
            <w:pPr>
              <w:pStyle w:val="TableContents"/>
              <w:spacing w:before="0" w:after="0"/>
              <w:ind w:left="0" w:right="0" w:hanging="0"/>
              <w:jc w:val="right"/>
              <w:rPr/>
            </w:pPr>
            <w:r>
              <w:rPr/>
              <w:t> </w:t>
            </w:r>
          </w:p>
        </w:tc>
        <w:tc>
          <w:tcPr>
            <w:tcW w:w="395" w:type="dxa"/>
            <w:tcBorders/>
            <w:shd w:fill="auto" w:val="clear"/>
            <w:vAlign w:val="center"/>
          </w:tcPr>
          <w:p>
            <w:pPr>
              <w:pStyle w:val="TableContents"/>
              <w:spacing w:before="0" w:after="0"/>
              <w:ind w:left="0" w:right="0" w:firstLine="200"/>
              <w:jc w:val="right"/>
              <w:rPr/>
            </w:pPr>
            <w:r>
              <w:rPr/>
              <w:t> </w:t>
            </w:r>
          </w:p>
        </w:tc>
      </w:tr>
      <w:tr>
        <w:trPr/>
        <w:tc>
          <w:tcPr>
            <w:tcW w:w="273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Exercised/released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left"/>
              <w:rPr/>
            </w:pPr>
            <w:r>
              <w:rPr/>
              <w:t> </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8" w:type="dxa"/>
            <w:gridSpan w:val="2"/>
            <w:tcBorders/>
            <w:shd w:fill="auto" w:val="clear"/>
            <w:vAlign w:val="center"/>
          </w:tcPr>
          <w:p>
            <w:pPr>
              <w:pStyle w:val="TableContents"/>
              <w:spacing w:before="0" w:after="0"/>
              <w:ind w:left="0" w:right="0" w:hanging="0"/>
              <w:jc w:val="right"/>
              <w:rPr/>
            </w:pPr>
            <w:r>
              <w:rPr/>
              <w:t> </w:t>
            </w:r>
          </w:p>
        </w:tc>
        <w:tc>
          <w:tcPr>
            <w:tcW w:w="395" w:type="dxa"/>
            <w:tcBorders/>
            <w:shd w:fill="auto" w:val="clear"/>
            <w:vAlign w:val="center"/>
          </w:tcPr>
          <w:p>
            <w:pPr>
              <w:pStyle w:val="TableContents"/>
              <w:spacing w:before="0" w:after="0"/>
              <w:ind w:left="0" w:right="0" w:hanging="0"/>
              <w:jc w:val="right"/>
              <w:rPr/>
            </w:pPr>
            <w:r>
              <w:rPr/>
              <w:t> </w:t>
            </w:r>
          </w:p>
        </w:tc>
      </w:tr>
      <w:tr>
        <w:trPr/>
        <w:tc>
          <w:tcPr>
            <w:tcW w:w="273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Balances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5,095,956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10,891</w:t>
            </w:r>
          </w:p>
        </w:tc>
        <w:tc>
          <w:tcPr>
            <w:tcW w:w="395" w:type="dxa"/>
            <w:tcBorders/>
            <w:shd w:fill="auto" w:val="clear"/>
            <w:vAlign w:val="center"/>
          </w:tcPr>
          <w:p>
            <w:pPr>
              <w:pStyle w:val="TableContents"/>
              <w:spacing w:before="0" w:after="0"/>
              <w:ind w:left="0" w:right="0" w:hanging="0"/>
              <w:jc w:val="left"/>
              <w:rPr/>
            </w:pPr>
            <w:r>
              <w:rPr/>
              <w:t> </w:t>
            </w:r>
          </w:p>
        </w:tc>
      </w:tr>
      <w:tr>
        <w:trPr/>
        <w:tc>
          <w:tcPr>
            <w:tcW w:w="27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exercisable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2,508,970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9,076</w:t>
            </w:r>
          </w:p>
        </w:tc>
        <w:tc>
          <w:tcPr>
            <w:tcW w:w="395" w:type="dxa"/>
            <w:tcBorders/>
            <w:shd w:fill="auto" w:val="clear"/>
            <w:vAlign w:val="center"/>
          </w:tcPr>
          <w:p>
            <w:pPr>
              <w:pStyle w:val="TableContents"/>
              <w:spacing w:before="0" w:after="0"/>
              <w:ind w:left="0" w:right="0" w:hanging="0"/>
              <w:jc w:val="left"/>
              <w:rPr/>
            </w:pPr>
            <w:r>
              <w:rPr/>
              <w:t> </w:t>
            </w:r>
          </w:p>
        </w:tc>
      </w:tr>
      <w:tr>
        <w:trPr/>
        <w:tc>
          <w:tcPr>
            <w:tcW w:w="27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5,095,956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10,891</w:t>
            </w:r>
          </w:p>
        </w:tc>
        <w:tc>
          <w:tcPr>
            <w:tcW w:w="395"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three months ended March 31, 2023 and 2022, the Company recorded stock-based compensation expense of $2.2</w:t>
      </w:r>
      <w:r>
        <w:rPr>
          <w:rFonts w:ascii="Times New Roman" w:hAnsi="Times New Roman"/>
          <w:sz w:val="20"/>
        </w:rPr>
        <w:t xml:space="preserve"> </w:t>
      </w:r>
      <w:r>
        <w:rPr>
          <w:rFonts w:ascii="Times New Roman;serif" w:hAnsi="Times New Roman;serif"/>
          <w:b w:val="false"/>
          <w:sz w:val="20"/>
        </w:rPr>
        <w:t>million and $2.5</w:t>
      </w:r>
      <w:r>
        <w:rPr>
          <w:rFonts w:ascii="Times New Roman" w:hAnsi="Times New Roman"/>
          <w:sz w:val="20"/>
        </w:rPr>
        <w:t xml:space="preserve"> </w:t>
      </w:r>
      <w:r>
        <w:rPr>
          <w:rFonts w:ascii="Times New Roman;serif" w:hAnsi="Times New Roman;serif"/>
          <w:b w:val="false"/>
          <w:sz w:val="20"/>
        </w:rPr>
        <w:t>million related to stock option awards, respectively. The weighted-average grant-date fair values of options granted during the three months ended March 31, 2023 and 2022 was $6.91</w:t>
      </w:r>
      <w:r>
        <w:rPr>
          <w:rFonts w:ascii="Times New Roman" w:hAnsi="Times New Roman"/>
          <w:sz w:val="20"/>
        </w:rPr>
        <w:t xml:space="preserve"> </w:t>
      </w:r>
      <w:r>
        <w:rPr>
          <w:rFonts w:ascii="Times New Roman;serif" w:hAnsi="Times New Roman;serif"/>
          <w:b w:val="false"/>
          <w:sz w:val="20"/>
        </w:rPr>
        <w:t>and $9.76</w:t>
      </w:r>
      <w:r>
        <w:rPr>
          <w:rFonts w:ascii="Times New Roman" w:hAnsi="Times New Roman"/>
          <w:sz w:val="20"/>
        </w:rPr>
        <w:t xml:space="preserve"> </w:t>
      </w:r>
      <w:r>
        <w:rPr>
          <w:rFonts w:ascii="Times New Roman;serif" w:hAnsi="Times New Roman;serif"/>
          <w:b w:val="false"/>
          <w:sz w:val="20"/>
        </w:rPr>
        <w:t>per share, respectively.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aggregate intrinsic value of options exercised was $0.6</w:t>
      </w:r>
      <w:r>
        <w:rPr>
          <w:rFonts w:ascii="Times New Roman" w:hAnsi="Times New Roman"/>
          <w:sz w:val="20"/>
        </w:rPr>
        <w:t xml:space="preserve"> </w:t>
      </w:r>
      <w:r>
        <w:rPr>
          <w:rFonts w:ascii="Times New Roman;serif" w:hAnsi="Times New Roman;serif"/>
          <w:b w:val="false"/>
          <w:sz w:val="20"/>
        </w:rPr>
        <w:t>million during the three months ended March 31, 2023. The aggregate intrinsic value was calculated as the difference between the exercise prices of the underlying options and the estimated fair value of the common stock on the date of exercise. As of March 31, 2023, the unrecognized stock-based compensation expense relating to unvested options was $22.0</w:t>
      </w:r>
      <w:r>
        <w:rPr>
          <w:rFonts w:ascii="Times New Roman" w:hAnsi="Times New Roman"/>
          <w:sz w:val="20"/>
        </w:rPr>
        <w:t xml:space="preserve"> </w:t>
      </w:r>
      <w:r>
        <w:rPr>
          <w:rFonts w:ascii="Times New Roman;serif" w:hAnsi="Times New Roman;serif"/>
          <w:b w:val="false"/>
          <w:sz w:val="20"/>
        </w:rPr>
        <w:t>million, which is expected to be recognized over a weighted-average period of 2.4</w:t>
      </w:r>
      <w:r>
        <w:rPr>
          <w:rFonts w:ascii="Times New Roman" w:hAnsi="Times New Roman"/>
          <w:sz w:val="20"/>
        </w:rPr>
        <w:t xml:space="preserve"> </w:t>
      </w:r>
      <w:r>
        <w:rPr>
          <w:rFonts w:ascii="Times New Roman;serif" w:hAnsi="Times New Roman;serif"/>
          <w:b w:val="false"/>
          <w:sz w:val="20"/>
        </w:rPr>
        <w:t>years.</w:t>
      </w:r>
    </w:p>
    <w:p>
      <w:pPr>
        <w:pStyle w:val="TextBody"/>
        <w:spacing w:before="0" w:after="0"/>
        <w:jc w:val="left"/>
        <w:rPr/>
      </w:pPr>
      <w:r>
        <w:rPr/>
        <w:t> </w:t>
      </w:r>
    </w:p>
    <w:p>
      <w:pPr>
        <w:pStyle w:val="TextBody"/>
        <w:spacing w:before="40" w:after="0"/>
        <w:jc w:val="left"/>
        <w:rPr>
          <w:rFonts w:ascii="Times New Roman;serif" w:hAnsi="Times New Roman;serif"/>
          <w:b w:val="false"/>
          <w:i/>
          <w:sz w:val="20"/>
        </w:rPr>
      </w:pPr>
      <w:r>
        <w:rPr>
          <w:rFonts w:ascii="Times New Roman;serif" w:hAnsi="Times New Roman;serif"/>
          <w:b w:val="false"/>
          <w:i/>
          <w:sz w:val="20"/>
        </w:rPr>
        <w:t>Determination of Fair Value</w:t>
      </w:r>
    </w:p>
    <w:p>
      <w:pPr>
        <w:pStyle w:val="TextBody"/>
        <w:spacing w:before="240" w:after="0"/>
        <w:jc w:val="left"/>
        <w:rPr>
          <w:rFonts w:ascii="Times New Roman" w:hAnsi="Times New Roman"/>
          <w:sz w:val="20"/>
        </w:rPr>
      </w:pPr>
      <w:r>
        <w:rPr>
          <w:rFonts w:ascii="Times New Roman;serif" w:hAnsi="Times New Roman;serif"/>
          <w:b w:val="false"/>
          <w:sz w:val="20"/>
        </w:rPr>
        <w:t>The Company estimated the grant date fair value of stock options using the Black-Scholes option-pricing model. The fair value of stock options is recognized on a straight-line basis over the requisite service periods of the awards.</w:t>
      </w:r>
      <w:r>
        <w:rPr>
          <w:rFonts w:ascii="Times New Roman" w:hAnsi="Times New Roman"/>
          <w:sz w:val="20"/>
        </w:rPr>
        <w:t xml:space="preserve"> </w:t>
      </w:r>
      <w:r>
        <w:rPr>
          <w:rFonts w:ascii="Times New Roman;serif" w:hAnsi="Times New Roman;serif"/>
          <w:b w:val="false"/>
          <w:sz w:val="20"/>
        </w:rPr>
        <w:t xml:space="preserve">The fair value of stock options was estimated using the following weighted-average assumptions: </w:t>
      </w:r>
    </w:p>
    <w:p>
      <w:pPr>
        <w:pStyle w:val="TextBody"/>
        <w:spacing w:before="120" w:after="0"/>
        <w:jc w:val="left"/>
        <w:rPr/>
      </w:pPr>
      <w:r>
        <w:rPr/>
        <w:t> </w:t>
      </w:r>
    </w:p>
    <w:tbl>
      <w:tblPr>
        <w:tblW w:w="5481" w:type="dxa"/>
        <w:jc w:val="left"/>
        <w:tblInd w:w="0" w:type="dxa"/>
        <w:tblCellMar>
          <w:top w:w="28" w:type="dxa"/>
          <w:left w:w="28" w:type="dxa"/>
          <w:bottom w:w="28" w:type="dxa"/>
          <w:right w:w="28" w:type="dxa"/>
        </w:tblCellMar>
      </w:tblPr>
      <w:tblGrid>
        <w:gridCol w:w="2086"/>
        <w:gridCol w:w="146"/>
        <w:gridCol w:w="1351"/>
        <w:gridCol w:w="146"/>
        <w:gridCol w:w="1561"/>
        <w:gridCol w:w="19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5.60</w:t>
            </w:r>
            <w:r>
              <w:rPr>
                <w:rFonts w:ascii="Times New Roman" w:hAnsi="Times New Roman"/>
                <w:sz w:val="20"/>
              </w:rPr>
              <w:t xml:space="preserve"> – </w:t>
            </w:r>
            <w:r>
              <w:rPr>
                <w:rFonts w:ascii="Times New Roman;serif" w:hAnsi="Times New Roman;serif"/>
                <w:b w:val="false"/>
                <w:sz w:val="20"/>
              </w:rPr>
              <w:t>6.02</w:t>
            </w:r>
          </w:p>
        </w:tc>
        <w:tc>
          <w:tcPr>
            <w:tcW w:w="146" w:type="dxa"/>
            <w:tcBorders/>
            <w:shd w:fill="auto" w:val="clear"/>
            <w:vAlign w:val="center"/>
          </w:tcPr>
          <w:p>
            <w:pPr>
              <w:pStyle w:val="TableContents"/>
              <w:spacing w:before="0" w:after="0"/>
              <w:ind w:left="0" w:right="0" w:hanging="0"/>
              <w:jc w:val="center"/>
              <w:rPr/>
            </w:pPr>
            <w:r>
              <w:rPr/>
              <w:t> </w:t>
            </w:r>
          </w:p>
        </w:tc>
        <w:tc>
          <w:tcPr>
            <w:tcW w:w="156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5.38</w:t>
            </w:r>
            <w:r>
              <w:rPr>
                <w:rFonts w:ascii="Times New Roman" w:hAnsi="Times New Roman"/>
                <w:sz w:val="20"/>
              </w:rPr>
              <w:t xml:space="preserve"> – </w:t>
            </w:r>
            <w:r>
              <w:rPr>
                <w:rFonts w:ascii="Times New Roman;serif" w:hAnsi="Times New Roman;serif"/>
                <w:b w:val="false"/>
                <w:sz w:val="20"/>
              </w:rPr>
              <w:t>6.94</w:t>
            </w:r>
          </w:p>
        </w:tc>
        <w:tc>
          <w:tcPr>
            <w:tcW w:w="191" w:type="dxa"/>
            <w:tcBorders/>
            <w:shd w:fill="auto" w:val="cle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79.73%</w:t>
            </w:r>
          </w:p>
        </w:tc>
        <w:tc>
          <w:tcPr>
            <w:tcW w:w="146" w:type="dxa"/>
            <w:tcBorders/>
            <w:shd w:fill="auto" w:val="clear"/>
            <w:vAlign w:val="center"/>
          </w:tcPr>
          <w:p>
            <w:pPr>
              <w:pStyle w:val="TableContents"/>
              <w:spacing w:before="0" w:after="0"/>
              <w:ind w:left="0" w:right="0" w:hanging="0"/>
              <w:jc w:val="left"/>
              <w:rPr/>
            </w:pPr>
            <w:r>
              <w:rPr/>
              <w:t> </w:t>
            </w:r>
          </w:p>
        </w:tc>
        <w:tc>
          <w:tcPr>
            <w:tcW w:w="15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58.75% – 60.12%</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3.66% – 3.67%</w:t>
            </w:r>
          </w:p>
        </w:tc>
        <w:tc>
          <w:tcPr>
            <w:tcW w:w="146" w:type="dxa"/>
            <w:tcBorders/>
            <w:shd w:fill="auto" w:val="clear"/>
            <w:vAlign w:val="center"/>
          </w:tcPr>
          <w:p>
            <w:pPr>
              <w:pStyle w:val="TableContents"/>
              <w:spacing w:before="0" w:after="0"/>
              <w:ind w:left="0" w:right="0" w:hanging="0"/>
              <w:jc w:val="center"/>
              <w:rPr/>
            </w:pPr>
            <w:r>
              <w:rPr/>
              <w:t> </w:t>
            </w:r>
          </w:p>
        </w:tc>
        <w:tc>
          <w:tcPr>
            <w:tcW w:w="15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1.34% – 2.40%</w:t>
            </w:r>
          </w:p>
        </w:tc>
        <w:tc>
          <w:tcPr>
            <w:tcW w:w="191" w:type="dxa"/>
            <w:tcBorders/>
            <w:shd w:fill="auto" w:val="cle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1561"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jc w:val="center"/>
              <w:rPr/>
            </w:pPr>
            <w:r>
              <w:rPr/>
              <w:t> </w:t>
            </w:r>
          </w:p>
        </w:tc>
      </w:tr>
    </w:tbl>
    <w:p>
      <w:pPr>
        <w:pStyle w:val="TextBody"/>
        <w:spacing w:before="40" w:after="0"/>
        <w:jc w:val="left"/>
        <w:rPr/>
      </w:pPr>
      <w:r>
        <w:rPr/>
        <w:t> </w:t>
      </w:r>
    </w:p>
    <w:p>
      <w:pPr>
        <w:pStyle w:val="TextBody"/>
        <w:spacing w:before="40" w:after="0"/>
        <w:jc w:val="left"/>
        <w:rPr>
          <w:rFonts w:ascii="Times New Roman;serif" w:hAnsi="Times New Roman;serif"/>
          <w:b w:val="false"/>
          <w:i/>
          <w:sz w:val="20"/>
        </w:rPr>
      </w:pPr>
      <w:r>
        <w:rPr>
          <w:rFonts w:ascii="Times New Roman;serif" w:hAnsi="Times New Roman;serif"/>
          <w:b w:val="false"/>
          <w:i/>
          <w:sz w:val="20"/>
        </w:rPr>
        <w:t>Expected Term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expected term is calculated using the simplified method, which is available if there is insufficient historical data about exercise patterns and post 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Expected Volatility</w:t>
      </w:r>
    </w:p>
    <w:p>
      <w:pPr>
        <w:pStyle w:val="TextBody"/>
        <w:spacing w:before="120" w:after="0"/>
        <w:jc w:val="left"/>
        <w:rPr>
          <w:rFonts w:ascii="Times New Roman" w:hAnsi="Times New Roman"/>
          <w:sz w:val="20"/>
        </w:rPr>
      </w:pPr>
      <w:r>
        <w:rPr>
          <w:rFonts w:ascii="Times New Roman;serif" w:hAnsi="Times New Roman;serif"/>
          <w:b w:val="false"/>
          <w:sz w:val="20"/>
        </w:rPr>
        <w:t>The Company used an average historical stock price volatility of a peer group of publicly traded companies to be representative of its expected future stock price volatility, as the Company did not have any trading history for its common stock. For purposes of identifying these peer companies, the Company considered the industry, stage of</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development, size, and financial leverage of potential comparable companies. For each grant, the Company measured historical volatility over a period equivalent to the expected term.</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Risk-Free Interest Rate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risk-free interest rate is based on the implied yield currently available on US Treasury zero-coupon issues with remaining terms equivalent to the expected term of a stock award.</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Expected Dividend Rate</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The Company has not paid, and does not anticipate paying, any dividends in the near future. Accordingly, the Company has estimated the dividend yield to be 0%.</w:t>
      </w:r>
    </w:p>
    <w:p>
      <w:pPr>
        <w:pStyle w:val="TextBody"/>
        <w:spacing w:before="240" w:after="0"/>
        <w:jc w:val="left"/>
        <w:rPr>
          <w:rFonts w:ascii="Times New Roman;serif" w:hAnsi="Times New Roman;serif"/>
          <w:b/>
          <w:i/>
          <w:sz w:val="20"/>
        </w:rPr>
      </w:pPr>
      <w:r>
        <w:rPr>
          <w:rFonts w:ascii="Times New Roman;serif" w:hAnsi="Times New Roman;serif"/>
          <w:b/>
          <w:i/>
          <w:sz w:val="20"/>
        </w:rPr>
        <w:t>Restricted Stock Units</w:t>
      </w:r>
    </w:p>
    <w:p>
      <w:pPr>
        <w:pStyle w:val="TextBody"/>
        <w:spacing w:before="120" w:after="0"/>
        <w:jc w:val="left"/>
        <w:rPr>
          <w:rFonts w:ascii="Times New Roman" w:hAnsi="Times New Roman"/>
          <w:sz w:val="20"/>
        </w:rPr>
      </w:pPr>
      <w:r>
        <w:rPr>
          <w:rFonts w:ascii="Times New Roman;serif" w:hAnsi="Times New Roman;serif"/>
          <w:b w:val="false"/>
          <w:sz w:val="20"/>
        </w:rPr>
        <w:t>RSUs are share awards that entitle the holder to receive freely tradeable shares of the Company’s common stock upon vesting. The RSUs cannot be transferred, and the awards are subject to forfeiture if the holder’s employment terminates prior to the release of the vesting restrictions. The RSUs generally vest over a four-year</w:t>
      </w:r>
      <w:r>
        <w:rPr>
          <w:rFonts w:ascii="Times New Roman" w:hAnsi="Times New Roman"/>
          <w:sz w:val="20"/>
        </w:rPr>
        <w:t xml:space="preserve"> </w:t>
      </w:r>
      <w:r>
        <w:rPr>
          <w:rFonts w:ascii="Times New Roman;serif" w:hAnsi="Times New Roman;serif"/>
          <w:b w:val="false"/>
          <w:sz w:val="20"/>
        </w:rPr>
        <w:t>period with straight-line vesting in equal amounts on an annual basis, provided the employee remains continuously employed with the Company. The fair value of the RSUs is equal to the closing price of the Company’s common stock on the grant 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restricted share award activity under the 2021 Plan:</w:t>
      </w:r>
    </w:p>
    <w:tbl>
      <w:tblPr>
        <w:tblW w:w="8737" w:type="dxa"/>
        <w:jc w:val="left"/>
        <w:tblInd w:w="0" w:type="dxa"/>
        <w:tblCellMar>
          <w:top w:w="28" w:type="dxa"/>
          <w:left w:w="28" w:type="dxa"/>
          <w:bottom w:w="28" w:type="dxa"/>
          <w:right w:w="28" w:type="dxa"/>
        </w:tblCellMar>
      </w:tblPr>
      <w:tblGrid>
        <w:gridCol w:w="2866"/>
        <w:gridCol w:w="146"/>
        <w:gridCol w:w="146"/>
        <w:gridCol w:w="931"/>
        <w:gridCol w:w="166"/>
        <w:gridCol w:w="146"/>
        <w:gridCol w:w="1062"/>
        <w:gridCol w:w="2883"/>
        <w:gridCol w:w="391"/>
      </w:tblGrid>
      <w:tr>
        <w:trPr/>
        <w:tc>
          <w:tcPr>
            <w:tcW w:w="28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Weighted-Average Grant Date Fair Value 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Outstanding,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1,014,123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14.25</w:t>
            </w:r>
          </w:p>
        </w:tc>
        <w:tc>
          <w:tcPr>
            <w:tcW w:w="391" w:type="dxa"/>
            <w:tcBorders/>
            <w:shd w:fill="auto" w:val="clear"/>
            <w:vAlign w:val="center"/>
          </w:tcPr>
          <w:p>
            <w:pPr>
              <w:pStyle w:val="TableContents"/>
              <w:spacing w:before="0" w:after="0"/>
              <w:ind w:left="0" w:right="0" w:firstLine="200"/>
              <w:jc w:val="left"/>
              <w:rPr/>
            </w:pPr>
            <w:r>
              <w:rPr/>
              <w:t> </w:t>
            </w:r>
          </w:p>
        </w:tc>
      </w:tr>
      <w:tr>
        <w:trPr/>
        <w:tc>
          <w:tcPr>
            <w:tcW w:w="28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984,600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left"/>
              <w:rPr/>
            </w:pPr>
            <w:r>
              <w:rPr/>
              <w:t> </w:t>
            </w:r>
          </w:p>
        </w:tc>
        <w:tc>
          <w:tcPr>
            <w:tcW w:w="28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9.78</w:t>
            </w:r>
          </w:p>
        </w:tc>
        <w:tc>
          <w:tcPr>
            <w:tcW w:w="391" w:type="dxa"/>
            <w:tcBorders/>
            <w:shd w:fill="auto" w:val="clear"/>
            <w:vAlign w:val="center"/>
          </w:tcPr>
          <w:p>
            <w:pPr>
              <w:pStyle w:val="TableContents"/>
              <w:spacing w:before="0" w:after="0"/>
              <w:ind w:left="0" w:right="0" w:firstLine="200"/>
              <w:jc w:val="left"/>
              <w:rPr/>
            </w:pPr>
            <w:r>
              <w:rPr/>
              <w:t> </w:t>
            </w:r>
          </w:p>
        </w:tc>
      </w:tr>
      <w:tr>
        <w:trPr/>
        <w:tc>
          <w:tcPr>
            <w:tcW w:w="28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left"/>
              <w:rPr/>
            </w:pPr>
            <w:r>
              <w:rPr/>
              <w:t> </w:t>
            </w:r>
          </w:p>
        </w:tc>
        <w:tc>
          <w:tcPr>
            <w:tcW w:w="28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15.47</w:t>
            </w:r>
          </w:p>
        </w:tc>
        <w:tc>
          <w:tcPr>
            <w:tcW w:w="391" w:type="dxa"/>
            <w:tcBorders/>
            <w:shd w:fill="auto" w:val="clear"/>
            <w:vAlign w:val="center"/>
          </w:tcPr>
          <w:p>
            <w:pPr>
              <w:pStyle w:val="TableContents"/>
              <w:spacing w:before="0" w:after="0"/>
              <w:ind w:left="0" w:right="0" w:firstLine="200"/>
              <w:jc w:val="left"/>
              <w:rPr/>
            </w:pPr>
            <w:r>
              <w:rPr/>
              <w:t> </w:t>
            </w:r>
          </w:p>
        </w:tc>
      </w:tr>
      <w:tr>
        <w:trPr/>
        <w:tc>
          <w:tcPr>
            <w:tcW w:w="28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(106,032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left"/>
              <w:rPr/>
            </w:pPr>
            <w:r>
              <w:rPr/>
              <w:t> </w:t>
            </w:r>
          </w:p>
        </w:tc>
        <w:tc>
          <w:tcPr>
            <w:tcW w:w="28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17.07</w:t>
            </w:r>
          </w:p>
        </w:tc>
        <w:tc>
          <w:tcPr>
            <w:tcW w:w="391" w:type="dxa"/>
            <w:tcBorders/>
            <w:shd w:fill="auto" w:val="clear"/>
            <w:vAlign w:val="center"/>
          </w:tcPr>
          <w:p>
            <w:pPr>
              <w:pStyle w:val="TableContents"/>
              <w:spacing w:before="0" w:after="0"/>
              <w:ind w:left="0" w:right="0" w:hanging="0"/>
              <w:jc w:val="left"/>
              <w:rPr/>
            </w:pPr>
            <w:r>
              <w:rPr/>
              <w:t> </w:t>
            </w:r>
          </w:p>
        </w:tc>
      </w:tr>
      <w:tr>
        <w:trPr/>
        <w:tc>
          <w:tcPr>
            <w:tcW w:w="28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Outstanding,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1,840,324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11.66</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240" w:after="120"/>
        <w:jc w:val="left"/>
        <w:rPr>
          <w:rFonts w:ascii="Times New Roman" w:hAnsi="Times New Roman"/>
          <w:sz w:val="20"/>
        </w:rPr>
      </w:pPr>
      <w:r>
        <w:rPr>
          <w:rFonts w:ascii="Times New Roman;serif" w:hAnsi="Times New Roman;serif"/>
          <w:b w:val="false"/>
          <w:sz w:val="20"/>
        </w:rPr>
        <w:t>During three months ended March 31, 2023 and 2022, the Company recorded stock-based compensation expense of $1.1</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related to the RSUs. As of March 31, 2023, there was $19.7</w:t>
      </w:r>
      <w:r>
        <w:rPr>
          <w:rFonts w:ascii="Times New Roman" w:hAnsi="Times New Roman"/>
          <w:sz w:val="20"/>
        </w:rPr>
        <w:t xml:space="preserve"> </w:t>
      </w:r>
      <w:r>
        <w:rPr>
          <w:rFonts w:ascii="Times New Roman;serif" w:hAnsi="Times New Roman;serif"/>
          <w:b w:val="false"/>
          <w:sz w:val="20"/>
        </w:rPr>
        <w:t>million of total unrecognized stock-based compensation expense relating to the RSUs that is expected to be recognized over a weighted-average period of 3.4</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160" w:after="0"/>
        <w:jc w:val="left"/>
        <w:rPr>
          <w:rFonts w:ascii="Times New Roman;serif" w:hAnsi="Times New Roman;serif"/>
          <w:b/>
          <w:i/>
          <w:sz w:val="20"/>
        </w:rPr>
      </w:pPr>
      <w:r>
        <w:rPr>
          <w:rFonts w:ascii="Times New Roman;serif" w:hAnsi="Times New Roman;serif"/>
          <w:b/>
          <w:i/>
          <w:sz w:val="20"/>
        </w:rPr>
        <w:t>Employee Stock Purchase Plan</w:t>
      </w:r>
    </w:p>
    <w:p>
      <w:pPr>
        <w:pStyle w:val="TextBody"/>
        <w:spacing w:before="120" w:after="0"/>
        <w:jc w:val="left"/>
        <w:rPr>
          <w:rFonts w:ascii="Times New Roman" w:hAnsi="Times New Roman"/>
          <w:sz w:val="20"/>
        </w:rPr>
      </w:pPr>
      <w:r>
        <w:rPr>
          <w:rFonts w:ascii="Times New Roman;serif" w:hAnsi="Times New Roman;serif"/>
          <w:b w:val="false"/>
          <w:sz w:val="20"/>
        </w:rPr>
        <w:t>In July 2021, the board of directors and stockholders adopted and approved the 2021 Employee Stock Purchase Plan (the “ESPP”). The Company initially reserved 850,000</w:t>
      </w:r>
      <w:r>
        <w:rPr>
          <w:rFonts w:ascii="Times New Roman" w:hAnsi="Times New Roman"/>
          <w:sz w:val="20"/>
        </w:rPr>
        <w:t xml:space="preserve"> </w:t>
      </w:r>
      <w:r>
        <w:rPr>
          <w:rFonts w:ascii="Times New Roman;serif" w:hAnsi="Times New Roman;serif"/>
          <w:b w:val="false"/>
          <w:sz w:val="20"/>
        </w:rPr>
        <w:t>shares of common stock for future issuance under the ESPP. Pursuant to the evergreen provision under the ESPP, this initial reserve was increased by 482,981</w:t>
      </w:r>
      <w:r>
        <w:rPr>
          <w:rFonts w:ascii="Times New Roman" w:hAnsi="Times New Roman"/>
          <w:sz w:val="20"/>
        </w:rPr>
        <w:t xml:space="preserve"> </w:t>
      </w:r>
      <w:r>
        <w:rPr>
          <w:rFonts w:ascii="Times New Roman;serif" w:hAnsi="Times New Roman;serif"/>
          <w:b w:val="false"/>
          <w:sz w:val="20"/>
        </w:rPr>
        <w:t>and 475,047</w:t>
      </w:r>
      <w:r>
        <w:rPr>
          <w:rFonts w:ascii="Times New Roman" w:hAnsi="Times New Roman"/>
          <w:sz w:val="20"/>
        </w:rPr>
        <w:t xml:space="preserve"> </w:t>
      </w:r>
      <w:r>
        <w:rPr>
          <w:rFonts w:ascii="Times New Roman;serif" w:hAnsi="Times New Roman;serif"/>
          <w:b w:val="false"/>
          <w:sz w:val="20"/>
        </w:rPr>
        <w:t>shares on January 1, 2023 and 2022, respectively. These annual increases pursuant to the evergreen provision are equal to the lesser of (i) 1% of the aggregate number of shares of common stock outstanding on the final day of the immediately preceding calendar year and (ii) such smaller number of shares of common stock as determined by the Board, subject to certain limitations.</w:t>
      </w:r>
    </w:p>
    <w:p>
      <w:pPr>
        <w:pStyle w:val="TextBody"/>
        <w:spacing w:before="120" w:after="0"/>
        <w:jc w:val="left"/>
        <w:rPr>
          <w:rFonts w:ascii="Times New Roman" w:hAnsi="Times New Roman"/>
          <w:sz w:val="20"/>
        </w:rPr>
      </w:pPr>
      <w:r>
        <w:rPr>
          <w:rFonts w:ascii="Times New Roman;serif" w:hAnsi="Times New Roman;serif"/>
          <w:b w:val="false"/>
          <w:sz w:val="20"/>
        </w:rPr>
        <w:t>The Company's first six-month offering period under the ESPP began during the second quarter of 2022. The Company has two offering periods annually, running for six-months, with the first offering period beginning in the second quarter, and the second offering period beginning in the fourth quarter. The purchase of shares for participants in the ESPP occurs at the conclusion of each offering period.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Company has collected payroll withholdings of $0.5</w:t>
      </w:r>
      <w:r>
        <w:rPr>
          <w:rFonts w:ascii="Times New Roman" w:hAnsi="Times New Roman"/>
          <w:sz w:val="20"/>
        </w:rPr>
        <w:t xml:space="preserve"> </w:t>
      </w:r>
      <w:r>
        <w:rPr>
          <w:rFonts w:ascii="Times New Roman;serif" w:hAnsi="Times New Roman;serif"/>
          <w:b w:val="false"/>
          <w:sz w:val="20"/>
        </w:rPr>
        <w:t>million in the current offering period for the purchase of shares under the ESPP. The Company recorded $0.2</w:t>
      </w:r>
      <w:r>
        <w:rPr>
          <w:rFonts w:ascii="Times New Roman" w:hAnsi="Times New Roman"/>
          <w:sz w:val="20"/>
        </w:rPr>
        <w:t xml:space="preserve"> </w:t>
      </w:r>
      <w:r>
        <w:rPr>
          <w:rFonts w:ascii="Times New Roman;serif" w:hAnsi="Times New Roman;serif"/>
          <w:b w:val="false"/>
          <w:sz w:val="20"/>
        </w:rPr>
        <w:t>million of stock-based compensation expense associated with the ESPP for the quarter ended March 31, 2023. There was no stock-based compensation expense associated with the ESPP for the three months ended March 31, 2022.</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there were 1,709,104</w:t>
      </w:r>
      <w:r>
        <w:rPr>
          <w:rFonts w:ascii="Times New Roman" w:hAnsi="Times New Roman"/>
          <w:sz w:val="20"/>
        </w:rPr>
        <w:t xml:space="preserve"> </w:t>
      </w:r>
      <w:r>
        <w:rPr>
          <w:rFonts w:ascii="Times New Roman;serif" w:hAnsi="Times New Roman;serif"/>
          <w:b w:val="false"/>
          <w:sz w:val="20"/>
        </w:rPr>
        <w:t>shares of common stock available for issuance under the ESPP.</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fair value of shares to be issued under the Company's 2021 ESPP was estimated using the Black-Scholes valuation model with the following assumptions for the three months ended March 31, 2023:</w:t>
      </w:r>
    </w:p>
    <w:p>
      <w:pPr>
        <w:pStyle w:val="TextBody"/>
        <w:spacing w:before="120" w:after="0"/>
        <w:jc w:val="left"/>
        <w:rPr/>
      </w:pPr>
      <w:r>
        <w:rPr/>
        <w:t> </w:t>
      </w:r>
    </w:p>
    <w:tbl>
      <w:tblPr>
        <w:tblW w:w="4074" w:type="dxa"/>
        <w:jc w:val="left"/>
        <w:tblInd w:w="0" w:type="dxa"/>
        <w:tblCellMar>
          <w:top w:w="28" w:type="dxa"/>
          <w:left w:w="28" w:type="dxa"/>
          <w:bottom w:w="28" w:type="dxa"/>
          <w:right w:w="28" w:type="dxa"/>
        </w:tblCellMar>
      </w:tblPr>
      <w:tblGrid>
        <w:gridCol w:w="2086"/>
        <w:gridCol w:w="146"/>
        <w:gridCol w:w="1651"/>
        <w:gridCol w:w="19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shd w:fill="auto" w:val="clear"/>
            <w:vAlign w:val="center"/>
          </w:tcPr>
          <w:p>
            <w:pPr>
              <w:pStyle w:val="TableContents"/>
              <w:spacing w:before="0" w:after="0"/>
              <w:ind w:left="0" w:right="0" w:hanging="0"/>
              <w:jc w:val="left"/>
              <w:rPr/>
            </w:pPr>
            <w:r>
              <w:rPr/>
              <w:t> </w:t>
            </w:r>
          </w:p>
        </w:tc>
        <w:tc>
          <w:tcPr>
            <w:tcW w:w="16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0.48</w:t>
            </w:r>
          </w:p>
        </w:tc>
        <w:tc>
          <w:tcPr>
            <w:tcW w:w="191" w:type="dxa"/>
            <w:tcBorders/>
            <w:shd w:fill="auto" w:val="cle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16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97.38%</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6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4.62%</w:t>
            </w:r>
          </w:p>
        </w:tc>
        <w:tc>
          <w:tcPr>
            <w:tcW w:w="191" w:type="dxa"/>
            <w:tcBorders/>
            <w:shd w:fill="auto" w:val="cle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1651" w:type="dxa"/>
            <w:tcBorders/>
            <w:shd w:fill="auto" w:val="clear"/>
            <w:vAlign w:val="center"/>
          </w:tcPr>
          <w:p>
            <w:pPr>
              <w:pStyle w:val="TableContents"/>
              <w:spacing w:before="0" w:after="0"/>
              <w:ind w:left="0" w:right="0" w:hanging="0"/>
              <w:jc w:val="center"/>
              <w:rPr/>
            </w:pPr>
            <w:r>
              <w:rPr/>
              <w:t>–</w:t>
            </w:r>
          </w:p>
        </w:tc>
        <w:tc>
          <w:tcPr>
            <w:tcW w:w="191" w:type="dxa"/>
            <w:tcBorders/>
            <w:shd w:fill="auto" w:val="clear"/>
            <w:vAlign w:val="center"/>
          </w:tcPr>
          <w:p>
            <w:pPr>
              <w:pStyle w:val="TableContents"/>
              <w:spacing w:before="0" w:after="0"/>
              <w:ind w:left="0" w:right="0" w:hanging="0"/>
              <w:jc w:val="center"/>
              <w:rPr/>
            </w:pPr>
            <w:r>
              <w:rPr/>
              <w:t> </w:t>
            </w:r>
          </w:p>
        </w:tc>
      </w:tr>
    </w:tbl>
    <w:p>
      <w:pPr>
        <w:pStyle w:val="TextBody"/>
        <w:spacing w:before="240" w:after="120"/>
        <w:jc w:val="left"/>
        <w:rPr>
          <w:rFonts w:ascii="Times New Roman;serif" w:hAnsi="Times New Roman;serif"/>
          <w:b/>
          <w:i/>
          <w:sz w:val="20"/>
        </w:rPr>
      </w:pPr>
      <w:r>
        <w:rPr>
          <w:rFonts w:ascii="Times New Roman;serif" w:hAnsi="Times New Roman;serif"/>
          <w:b/>
          <w:i/>
          <w:sz w:val="20"/>
        </w:rPr>
        <w:t>Stock Based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is a summary of stock-based compensation expense by function (in thousands):</w:t>
      </w:r>
    </w:p>
    <w:p>
      <w:pPr>
        <w:pStyle w:val="TextBody"/>
        <w:spacing w:before="120" w:after="0"/>
        <w:jc w:val="left"/>
        <w:rPr/>
      </w:pPr>
      <w:r>
        <w:rPr/>
        <w:t> </w:t>
      </w:r>
    </w:p>
    <w:tbl>
      <w:tblPr>
        <w:tblW w:w="5990" w:type="dxa"/>
        <w:jc w:val="left"/>
        <w:tblInd w:w="0" w:type="dxa"/>
        <w:tblCellMar>
          <w:top w:w="28" w:type="dxa"/>
          <w:left w:w="28" w:type="dxa"/>
          <w:bottom w:w="28" w:type="dxa"/>
          <w:right w:w="28" w:type="dxa"/>
        </w:tblCellMar>
      </w:tblPr>
      <w:tblGrid>
        <w:gridCol w:w="3451"/>
        <w:gridCol w:w="146"/>
        <w:gridCol w:w="211"/>
        <w:gridCol w:w="571"/>
        <w:gridCol w:w="146"/>
        <w:gridCol w:w="146"/>
        <w:gridCol w:w="211"/>
        <w:gridCol w:w="571"/>
        <w:gridCol w:w="146"/>
        <w:gridCol w:w="3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goods sold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9. Net Loss per Share Attributable to Common Stockholders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Basic net loss per share is computed by dividing the net loss by the weighted-average number of common shares outstanding for the period. As the Company reported a net loss for the three months ended March 31, 2023 and 2022, respectively, basic net loss per share is the same as diluted net loss per share for each of the reported periods.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net loss per share attributable to common stockholders (in thousands, except share and per share data):</w:t>
      </w:r>
    </w:p>
    <w:p>
      <w:pPr>
        <w:pStyle w:val="TextBody"/>
        <w:spacing w:before="120" w:after="0"/>
        <w:jc w:val="left"/>
        <w:rPr/>
      </w:pPr>
      <w:r>
        <w:rPr/>
        <w:t> </w:t>
      </w:r>
    </w:p>
    <w:tbl>
      <w:tblPr>
        <w:tblW w:w="7305" w:type="dxa"/>
        <w:jc w:val="left"/>
        <w:tblInd w:w="0" w:type="dxa"/>
        <w:tblCellMar>
          <w:top w:w="28" w:type="dxa"/>
          <w:left w:w="28" w:type="dxa"/>
          <w:bottom w:w="28" w:type="dxa"/>
          <w:right w:w="28" w:type="dxa"/>
        </w:tblCellMar>
      </w:tblPr>
      <w:tblGrid>
        <w:gridCol w:w="3796"/>
        <w:gridCol w:w="146"/>
        <w:gridCol w:w="211"/>
        <w:gridCol w:w="1036"/>
        <w:gridCol w:w="166"/>
        <w:gridCol w:w="146"/>
        <w:gridCol w:w="211"/>
        <w:gridCol w:w="1036"/>
        <w:gridCol w:w="166"/>
        <w:gridCol w:w="391"/>
      </w:tblGrid>
      <w:tr>
        <w:trPr/>
        <w:tc>
          <w:tcPr>
            <w:tcW w:w="3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(23,263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shares of common stock</w:t>
              <w:br/>
              <w:t>   outstanding—basic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48,405,271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47,569,499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per share attributable to common</w:t>
              <w:br/>
              <w:t>   stockholders—basic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potentially dilutive securities were excluded from the computation of diluted net loss per share attributable to common stockholders for the period presented because including them would have been antidilutive as a result of the net loss position:</w:t>
      </w:r>
    </w:p>
    <w:p>
      <w:pPr>
        <w:pStyle w:val="TextBody"/>
        <w:spacing w:before="120" w:after="0"/>
        <w:jc w:val="left"/>
        <w:rPr/>
      </w:pPr>
      <w:r>
        <w:rPr/>
        <w:t> </w:t>
      </w:r>
    </w:p>
    <w:tbl>
      <w:tblPr>
        <w:tblW w:w="4659" w:type="dxa"/>
        <w:jc w:val="left"/>
        <w:tblInd w:w="0" w:type="dxa"/>
        <w:tblCellMar>
          <w:top w:w="28" w:type="dxa"/>
          <w:left w:w="28" w:type="dxa"/>
          <w:bottom w:w="28" w:type="dxa"/>
          <w:right w:w="28" w:type="dxa"/>
        </w:tblCellMar>
      </w:tblPr>
      <w:tblGrid>
        <w:gridCol w:w="1876"/>
        <w:gridCol w:w="146"/>
        <w:gridCol w:w="146"/>
        <w:gridCol w:w="931"/>
        <w:gridCol w:w="146"/>
        <w:gridCol w:w="146"/>
        <w:gridCol w:w="146"/>
        <w:gridCol w:w="931"/>
        <w:gridCol w:w="191"/>
      </w:tblGrid>
      <w:tr>
        <w:trPr/>
        <w:tc>
          <w:tcPr>
            <w:tcW w:w="18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 awards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5,095,956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5,944,899</w:t>
            </w:r>
          </w:p>
        </w:tc>
        <w:tc>
          <w:tcPr>
            <w:tcW w:w="191" w:type="dxa"/>
            <w:tcBorders/>
            <w:shd w:fill="auto" w:val="clear"/>
            <w:vAlign w:val="center"/>
          </w:tcPr>
          <w:p>
            <w:pPr>
              <w:pStyle w:val="TableContents"/>
              <w:spacing w:before="0" w:after="0"/>
              <w:ind w:left="0" w:right="0" w:hanging="0"/>
              <w:jc w:val="left"/>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1,840,324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656,573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6,936,280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6,601,472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10. Segment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has two reportable operating segments which are determined on the basis of the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pStyle w:val="TextBody"/>
        <w:spacing w:before="240" w:after="0"/>
        <w:jc w:val="left"/>
        <w:rPr>
          <w:rFonts w:ascii="Times New Roman" w:hAnsi="Times New Roman"/>
          <w:sz w:val="20"/>
        </w:rPr>
      </w:pPr>
      <w:r>
        <w:rPr>
          <w:rFonts w:ascii="Times New Roman;serif" w:hAnsi="Times New Roman;serif"/>
          <w:b w:val="false"/>
          <w:sz w:val="20"/>
        </w:rPr>
        <w:t>Surgical Glaucoma segment includes sales of the Company’s OMNI® Surgical System ("OMNI") and SION</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Surgical Instrument ("SION") for use in minimally invasive glaucoma procedures. Dry Eye segment includes sales of the Company’s TearCare® System ("TearCare") and related components and accessories for use in the treatment of Dry Eye Disease.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summarizes select operating results information for each reportable segment (in thousands):</w:t>
      </w:r>
    </w:p>
    <w:p>
      <w:pPr>
        <w:pStyle w:val="TextBody"/>
        <w:spacing w:before="120" w:after="0"/>
        <w:jc w:val="left"/>
        <w:rPr/>
      </w:pPr>
      <w:r>
        <w:rPr/>
        <w:t> </w:t>
      </w:r>
    </w:p>
    <w:tbl>
      <w:tblPr>
        <w:tblW w:w="5495" w:type="dxa"/>
        <w:jc w:val="left"/>
        <w:tblInd w:w="0" w:type="dxa"/>
        <w:tblCellMar>
          <w:top w:w="28" w:type="dxa"/>
          <w:left w:w="28" w:type="dxa"/>
          <w:bottom w:w="28" w:type="dxa"/>
          <w:right w:w="28" w:type="dxa"/>
        </w:tblCellMar>
      </w:tblPr>
      <w:tblGrid>
        <w:gridCol w:w="2386"/>
        <w:gridCol w:w="146"/>
        <w:gridCol w:w="211"/>
        <w:gridCol w:w="736"/>
        <w:gridCol w:w="166"/>
        <w:gridCol w:w="146"/>
        <w:gridCol w:w="211"/>
        <w:gridCol w:w="736"/>
        <w:gridCol w:w="166"/>
        <w:gridCol w:w="591"/>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Surgical Glaucoma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13,870</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Dry Eye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238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14,881</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Cost of goods sold</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Surgical Glaucoma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1,491</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Dry Eye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238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3,033</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Surgical Glaucoma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12,379</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Dry Eye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238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11,848</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(17,568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(22,193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before income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12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does not allocate any components of income and expenses beyond revenue and cost of goods sold to the reportable operating segments in its reporting to the CODM. No asset information is provided for reportable operating segments because that information is not reviewed by the CODM on a segment basis. Substantially all of the Company’s revenue is generated from sales in the United States.</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11. Subsequent Events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evaluated subsequent events through May 8, 2023, the date on which the condensed consolidated financial statements were available for issuance.</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0" w:name="item_2_managements_discussion"/>
      <w:bookmarkEnd w:id="10"/>
      <w:r>
        <w:rPr>
          <w:rFonts w:ascii="Times New Roman;serif" w:hAnsi="Times New Roman;serif"/>
          <w:b/>
          <w:sz w:val="20"/>
        </w:rPr>
        <w:t>Item 2. Management’s Discussion and Analysis of Financial Condition and Results of Operations.</w:t>
      </w:r>
    </w:p>
    <w:p>
      <w:pPr>
        <w:pStyle w:val="TextBody"/>
        <w:spacing w:before="12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in conjunction with our condensed consolidated financial statements and the related notes and other financial information included in this Quarterly Report and our audited financial statements and related notes as disclosed in our 2022 Form 10-K. Certain statements included in this discussion and analysis constitute “forward-looking statements” that are subject to considerable risks and uncertainties. Please see the information under the heading “Special Note Regarding Forward-Looking Statements” in this Quarterly Report.</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 w:hAnsi="Times New Roman"/>
          <w:sz w:val="20"/>
        </w:rPr>
      </w:pPr>
      <w:r>
        <w:rPr>
          <w:rFonts w:ascii="Times New Roman;serif" w:hAnsi="Times New Roman;serif"/>
          <w:b w:val="false"/>
          <w:sz w:val="20"/>
        </w:rPr>
        <w:t>Sight Sciences’ mission is to transform ophthalmology and optometry through the development and commercialization of proprietary devices that target the underlying causes of the world’s most prevalent eye diseases. We are passionate about improving patients’ lives.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comprehensively understand disease physiology;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 products that are intended to restore natural physiological functionality to diseased eyes;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 and market products that achieve superior effectiveness versus current treatment paradigms while minimizing complications or side effects;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provide intuitive, patient friendly solutions to ophthalmologists and optometrists;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deliver compelling economic value to all stakeholders, including patients, providers and third-party payors such as Medicare and commercial insurers.</w:t>
      </w:r>
    </w:p>
    <w:p>
      <w:pPr>
        <w:pStyle w:val="TextBody"/>
        <w:spacing w:before="120" w:after="0"/>
        <w:jc w:val="left"/>
        <w:rPr>
          <w:rFonts w:ascii="Times New Roman" w:hAnsi="Times New Roman"/>
          <w:sz w:val="20"/>
        </w:rPr>
      </w:pPr>
      <w:r>
        <w:rPr>
          <w:rFonts w:ascii="Times New Roman;serif" w:hAnsi="Times New Roman;serif"/>
          <w:b w:val="false"/>
          <w:sz w:val="20"/>
        </w:rPr>
        <w:t>Our initial product development has focused on the treatment of two of the world’s most prevalent and underserved eye diseases, glaucoma and dry eye disease. We have commercialized products in each of our two reportable segments; Surgical Glaucoma and Dry Eye. Our Surgical Glaucoma segment consists of sales of the OMNI® Surgical System, or OMNI, and the SION Surgical Instrument, or SION, while our Dry Eye segment includes sales of the TearCare® System, and related components and accessories. Each product is primarily sold through a highly-involved direct sales model that offers intensive education, training and customer service. We believe this philosophy and model not only enables us to differentiate our products and our overall company from competitors, but also to expand our addressable market by educating ophthalmologists and optometrists (together, "eyecare professionals" or "ECPs"), patients and other stakeholders on our products and evolving treatment paradigms. Outside of the U.S., we have established direct commercial operations in the United Kingdom and Germany. We sell OMNI in several other countries through distributors.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sell OMNI and SION to facilities where ophthalmic surgeons perform outpatient procedures, mainly ambulatory service centers ("ASCs") and hospital outpatient departments ("HOPDs"),</w:t>
      </w:r>
      <w:r>
        <w:rPr>
          <w:rFonts w:ascii="Times New Roman" w:hAnsi="Times New Roman"/>
          <w:sz w:val="20"/>
        </w:rPr>
        <w:t xml:space="preserve"> </w:t>
      </w:r>
      <w:r>
        <w:rPr>
          <w:rFonts w:ascii="Times New Roman;serif" w:hAnsi="Times New Roman;serif"/>
          <w:b w:val="false"/>
          <w:sz w:val="20"/>
        </w:rPr>
        <w:t>which are typically reimbursed by Medicare or private payors for procedures using our products. We sell TearCare to optometrist and ophthalmologist practices. Currently, there is no meaningful reimbursement coverage by Medicare or private payors for meibomian gland disease ("MGD") procedures, including TearCare, and patients typically pay out-of-pocket for TearCare. We are continuing our controlled commercial launch and are focused on our comprehensive, clinical data-driven long-term market development plan that aims to improve awareness and patient access to TearCare. We have dedicated meaningful resources to execute our commercial strategy and we continue to expand our sales organization through additional sales representatives and territories. The overall success of our approach to eyecare to date is evidenced by the over 150,000 estimated uses of OMNI and its direct predicates in over 1,500 hospitals and ASCs in the U.S. and Europe, and over 25,000 estimated uses of TearCare in over 1,000 eyecare facilities in the U.S. through March 31,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currently operate no manufacturing facilities and instead contract with third parties for our production requirements. We believe our suppliers will be able to meet our current and anticipated manufacturing needs across all our products. We plan to continue to utilize third party contract manufacturers for our products and any related components.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Revenue in our Surgical Glaucoma segment for the three months ended March 31, 2023 and 2022 was $17.3 million and $13.9 million, respectively, with gross margins for the same period of 86.4% and 89.3%, respectively. The Company continues to focus on cost optimization efforts to increase margins in our Surgical Glaucoma segment. Revenue in our Dry Eye segment for the three months ended March 31, 2023 was $1.5 million, with gross margin of 54.0%. In the prior year comparable period, Dry Eye revenue was $1.0 million, with a gross margin of (52.5)%. 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in the importance of continued strategic investment in initiatives that: further demonstrate our products’ clinical effectiveness and safety to potential customers, patients, payors and regulators; enhance our commercial capabilities, including resources dedicated to sales, marketing and education; ensure the broadest possible patient access to the treatment alternatives that our products are cleared to offer; enhance and improve upon our existing product technologies; and allow us to innovate new products, devices or drugs, in glaucoma and ocular surface disease or in new eye disease areas. As a result, we intend to continue to invest in clinical studies, sales and marketing, education initiatives, market access, and product development. However, we are also focused on being disciplined in our spend, and seek to grow operating expenses at a lower rate than revenue growth. Because of these and other factors, we expect to continue to incur net losses for at least the next several fiscal years. Moreover, we expect to incur expenses as a result of operating as a public company, including expenses related to compliance with the rules and regulations of the SEC and those of the Nasdaq Stock Market, additional insurance expenses, litigation expenses, investor relations activities and other administrative and professional services. As a result of these and other factors, we may require and seek additional debt and equity financing to fund our operations and planned growth.</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date, our primary sources of capital have been private placements of redeemable convertible preferred stock, debt financing agreements, the sale of common stock in our IPO, and revenue from the sale of our products. As of March 31, 2023, we had an outstanding term loan balance of $35.0 million (excluding debt discount and amortized debt issuance costs), cash and cash equivalents of $167.3 million and an accumulated deficit of $256.3 million.</w:t>
      </w:r>
    </w:p>
    <w:p>
      <w:pPr>
        <w:pStyle w:val="TextBody"/>
        <w:spacing w:before="360" w:after="0"/>
        <w:jc w:val="left"/>
        <w:rPr>
          <w:rFonts w:ascii="Times New Roman;serif" w:hAnsi="Times New Roman;serif"/>
          <w:b/>
          <w:i/>
          <w:sz w:val="20"/>
        </w:rPr>
      </w:pPr>
      <w:r>
        <w:rPr>
          <w:rFonts w:ascii="Times New Roman;serif" w:hAnsi="Times New Roman;serif"/>
          <w:b/>
          <w:i/>
          <w:sz w:val="20"/>
        </w:rPr>
        <w:t>Impact of COVID-19</w:t>
      </w:r>
    </w:p>
    <w:p>
      <w:pPr>
        <w:pStyle w:val="TextBody"/>
        <w:spacing w:before="120" w:after="0"/>
        <w:jc w:val="left"/>
        <w:rPr>
          <w:rFonts w:ascii="Times New Roman" w:hAnsi="Times New Roman"/>
          <w:sz w:val="20"/>
        </w:rPr>
      </w:pPr>
      <w:r>
        <w:rPr>
          <w:rFonts w:ascii="Times New Roman;serif" w:hAnsi="Times New Roman;serif"/>
          <w:b w:val="false"/>
          <w:sz w:val="20"/>
        </w:rPr>
        <w:t>From 2020 through 2022, the global healthcare system faced unprecedented challenges as a result of the COVID-19 situation and its impact. Although the lingering effects of COVID-19, many of which are unpredictable and impossible to quantify or measure, may have an adverse impact on the healthcare system generally and certain aspects of our business specifically, we do not expect it to have a material effect on our business going forward.</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Factors Affecting our Business and Results of Operations</w:t>
      </w:r>
    </w:p>
    <w:p>
      <w:pPr>
        <w:pStyle w:val="TextBody"/>
        <w:spacing w:before="120" w:after="0"/>
        <w:jc w:val="left"/>
        <w:rPr>
          <w:rFonts w:ascii="Times New Roman" w:hAnsi="Times New Roman"/>
          <w:sz w:val="20"/>
        </w:rPr>
      </w:pPr>
      <w:r>
        <w:rPr>
          <w:rFonts w:ascii="Times New Roman;serif" w:hAnsi="Times New Roman;serif"/>
          <w:b w:val="false"/>
          <w:sz w:val="20"/>
        </w:rPr>
        <w:t>We believe there are several important factors that have impacted and that will continue to impact our business and results of operations. There have been no material changes to such factors from those described in the 2022 Form 10-K under the heading "Factors Affecting our Business and Results of Operations."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Components of our 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Revenue</w:t>
      </w:r>
    </w:p>
    <w:p>
      <w:pPr>
        <w:pStyle w:val="TextBody"/>
        <w:spacing w:before="120" w:after="0"/>
        <w:jc w:val="left"/>
        <w:rPr>
          <w:rFonts w:ascii="Times New Roman" w:hAnsi="Times New Roman"/>
          <w:sz w:val="20"/>
        </w:rPr>
      </w:pPr>
      <w:r>
        <w:rPr>
          <w:rFonts w:ascii="Times New Roman;serif" w:hAnsi="Times New Roman;serif"/>
          <w:b w:val="false"/>
          <w:sz w:val="20"/>
        </w:rPr>
        <w:t>We currently derive the majority of our U.S. revenue from the sale of our OMNI and SION products to ASCs and HOPDs and our TearCare products to ophthalmology and optometry practices. During the three months ended March 31, 2023 and 2022, the revenues from our Surgical Glaucoma segment accounted for over 90% of our total revenues. Substantially all of our revenues for both periods were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SmartHubs, multiple single-use SmartLids and other accessories. After utilizing their initial inventory, customers can reorder TearCare SmartLids® ("SmartLids")</w:t>
      </w:r>
      <w:r>
        <w:rPr>
          <w:rFonts w:ascii="Times New Roman" w:hAnsi="Times New Roman"/>
          <w:sz w:val="20"/>
        </w:rPr>
        <w:t xml:space="preserve"> </w:t>
      </w:r>
      <w:r>
        <w:rPr>
          <w:rFonts w:ascii="Times New Roman;serif" w:hAnsi="Times New Roman;serif"/>
          <w:b w:val="false"/>
          <w:sz w:val="20"/>
        </w:rPr>
        <w:t>as needed. No single customer accounted for 10% or more of our revenue for the three months ended March 31, 2023 and 2022.</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growth in our revenue is driven by the demand for elective surgery and treatment utilizing our products. Such demand is often lower during summer months because of ECP vacations and in winter months in certain parts of the world because of fewer business or surgery days due to holidays and adverse weather conditions.</w:t>
      </w:r>
    </w:p>
    <w:p>
      <w:pPr>
        <w:pStyle w:val="TextBody"/>
        <w:spacing w:before="360" w:after="0"/>
        <w:jc w:val="left"/>
        <w:rPr>
          <w:rFonts w:ascii="Times New Roman;serif" w:hAnsi="Times New Roman;serif"/>
          <w:b/>
          <w:i/>
          <w:sz w:val="20"/>
        </w:rPr>
      </w:pPr>
      <w:r>
        <w:rPr>
          <w:rFonts w:ascii="Times New Roman;serif" w:hAnsi="Times New Roman;serif"/>
          <w:b/>
          <w:i/>
          <w:sz w:val="20"/>
        </w:rPr>
        <w:t>Cost of Goods Sold and Gross Margin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products are produced by third-party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calculate gross margin as gross profit divided by revenue. Our gross margin has been and will continue to be affected by a variety of factors, including differences in segment gross margins, changes in average selling prices, product sales mix, production and ordering volumes, manufacturing costs, product yields, and headcount. In general, we expect our gross margins to increase over the long-term to the extent our production and ordering volumes increase and to the extent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pStyle w:val="TextBody"/>
        <w:spacing w:before="360" w:after="0"/>
        <w:jc w:val="left"/>
        <w:rPr>
          <w:rFonts w:ascii="Times New Roman;serif" w:hAnsi="Times New Roman;serif"/>
          <w:b/>
          <w:i/>
          <w:sz w:val="20"/>
        </w:rPr>
      </w:pPr>
      <w:r>
        <w:rPr>
          <w:rFonts w:ascii="Times New Roman;serif" w:hAnsi="Times New Roman;serif"/>
          <w:b/>
          <w:i/>
          <w:sz w:val="20"/>
        </w:rPr>
        <w:t>Research and Development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("R&amp;D") expenses consist primarily of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 develop new products, and improve our existing products.</w:t>
      </w:r>
    </w:p>
    <w:p>
      <w:pPr>
        <w:pStyle w:val="TextBody"/>
        <w:spacing w:before="360" w:after="0"/>
        <w:jc w:val="left"/>
        <w:rPr>
          <w:rFonts w:ascii="Times New Roman;serif" w:hAnsi="Times New Roman;serif"/>
          <w:b/>
          <w:i/>
          <w:sz w:val="20"/>
        </w:rPr>
      </w:pPr>
      <w:r>
        <w:rPr>
          <w:rFonts w:ascii="Times New Roman;serif" w:hAnsi="Times New Roman;serif"/>
          <w:b/>
          <w:i/>
          <w:sz w:val="20"/>
        </w:rPr>
        <w:t>Selling, General and Administrative Expenses</w:t>
      </w:r>
    </w:p>
    <w:p>
      <w:pPr>
        <w:pStyle w:val="TextBody"/>
        <w:spacing w:before="120" w:after="0"/>
        <w:jc w:val="left"/>
        <w:rPr>
          <w:rFonts w:ascii="Times New Roman" w:hAnsi="Times New Roman"/>
          <w:sz w:val="20"/>
        </w:rPr>
      </w:pPr>
      <w:r>
        <w:rPr>
          <w:rFonts w:ascii="Times New Roman;serif" w:hAnsi="Times New Roman;serif"/>
          <w:b w:val="false"/>
          <w:sz w:val="20"/>
        </w:rPr>
        <w:t>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Interest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expense consists primarily of interest incurred on our outstanding indebtedness and non-cash interest related to the accretion of debt discount and amortization of debt issuance costs associated with our term loan agreement.</w:t>
      </w:r>
    </w:p>
    <w:p>
      <w:pPr>
        <w:pStyle w:val="TextBody"/>
        <w:spacing w:before="360" w:after="0"/>
        <w:jc w:val="left"/>
        <w:rPr>
          <w:rFonts w:ascii="Times New Roman;serif" w:hAnsi="Times New Roman;serif"/>
          <w:b/>
          <w:i/>
          <w:sz w:val="20"/>
        </w:rPr>
      </w:pPr>
      <w:r>
        <w:rPr>
          <w:rFonts w:ascii="Times New Roman;serif" w:hAnsi="Times New Roman;serif"/>
          <w:b/>
          <w:i/>
          <w:sz w:val="20"/>
        </w:rPr>
        <w:t>Other Income (Expense),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income (expense), net primarily consists of interest and amortization on held-to-maturity investments in treasury securities.</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Comparison of the Three Months Ended March 31, 2023 and 2022 (dollars in thousands)</w:t>
      </w:r>
    </w:p>
    <w:p>
      <w:pPr>
        <w:pStyle w:val="TextBody"/>
        <w:spacing w:before="120" w:after="0"/>
        <w:jc w:val="left"/>
        <w:rPr/>
      </w:pPr>
      <w:r>
        <w:rPr/>
        <w:t> </w:t>
      </w:r>
    </w:p>
    <w:tbl>
      <w:tblPr>
        <w:tblW w:w="8794" w:type="dxa"/>
        <w:jc w:val="left"/>
        <w:tblInd w:w="0" w:type="dxa"/>
        <w:tblCellMar>
          <w:top w:w="28" w:type="dxa"/>
          <w:left w:w="28" w:type="dxa"/>
          <w:bottom w:w="28" w:type="dxa"/>
          <w:right w:w="28" w:type="dxa"/>
        </w:tblCellMar>
      </w:tblPr>
      <w:tblGrid>
        <w:gridCol w:w="2956"/>
        <w:gridCol w:w="146"/>
        <w:gridCol w:w="219"/>
        <w:gridCol w:w="764"/>
        <w:gridCol w:w="281"/>
        <w:gridCol w:w="151"/>
        <w:gridCol w:w="219"/>
        <w:gridCol w:w="764"/>
        <w:gridCol w:w="271"/>
        <w:gridCol w:w="146"/>
        <w:gridCol w:w="211"/>
        <w:gridCol w:w="571"/>
        <w:gridCol w:w="166"/>
        <w:gridCol w:w="146"/>
        <w:gridCol w:w="146"/>
        <w:gridCol w:w="826"/>
        <w:gridCol w:w="81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9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center"/>
              <w:rPr/>
            </w:pPr>
            <w:r>
              <w:rPr/>
              <w:t> </w:t>
            </w:r>
          </w:p>
        </w:tc>
        <w:tc>
          <w:tcPr>
            <w:tcW w:w="811"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8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Surgical Glaucoma</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17,334</w:t>
            </w:r>
          </w:p>
        </w:tc>
        <w:tc>
          <w:tcPr>
            <w:tcW w:w="28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13,870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shd w:fill="auto" w:val="clear"/>
            <w:vAlign w:val="center"/>
          </w:tcPr>
          <w:p>
            <w:pPr>
              <w:pStyle w:val="TableContents"/>
              <w:spacing w:before="0" w:after="0"/>
              <w:ind w:left="400" w:right="0" w:hanging="0"/>
              <w:jc w:val="left"/>
              <w:rPr>
                <w:rFonts w:ascii="Times New Roman;serif" w:hAnsi="Times New Roman;serif"/>
                <w:b w:val="false"/>
                <w:i/>
                <w:sz w:val="20"/>
              </w:rPr>
            </w:pPr>
            <w:r>
              <w:rPr>
                <w:rFonts w:ascii="Times New Roman;serif" w:hAnsi="Times New Roman;serif"/>
                <w:b w:val="false"/>
                <w:i/>
                <w:sz w:val="20"/>
              </w:rPr>
              <w:t>Percentage of total revenue</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92.1</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93.2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Dry Eye</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1,490</w:t>
            </w:r>
          </w:p>
        </w:tc>
        <w:tc>
          <w:tcPr>
            <w:tcW w:w="28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w:t>
            </w:r>
          </w:p>
        </w:tc>
        <w:tc>
          <w:tcPr>
            <w:tcW w:w="811" w:type="dxa"/>
            <w:tcBorders/>
            <w:shd w:fill="auto" w:val="clear"/>
            <w:vAlign w:val="center"/>
          </w:tcPr>
          <w:p>
            <w:pPr>
              <w:pStyle w:val="TableContents"/>
              <w:spacing w:before="0" w:after="0"/>
              <w:ind w:left="0" w:right="0" w:firstLine="400"/>
              <w:jc w:val="left"/>
              <w:rPr/>
            </w:pPr>
            <w:r>
              <w:rPr/>
              <w:t> </w:t>
            </w:r>
          </w:p>
        </w:tc>
      </w:tr>
      <w:tr>
        <w:trPr/>
        <w:tc>
          <w:tcPr>
            <w:tcW w:w="2956" w:type="dxa"/>
            <w:tcBorders/>
            <w:shd w:fill="auto" w:val="clear"/>
            <w:vAlign w:val="center"/>
          </w:tcPr>
          <w:p>
            <w:pPr>
              <w:pStyle w:val="TableContents"/>
              <w:spacing w:before="0" w:after="0"/>
              <w:ind w:left="400" w:right="0" w:hanging="0"/>
              <w:jc w:val="left"/>
              <w:rPr>
                <w:rFonts w:ascii="Times New Roman;serif" w:hAnsi="Times New Roman;serif"/>
                <w:b w:val="false"/>
                <w:i/>
                <w:sz w:val="20"/>
              </w:rPr>
            </w:pPr>
            <w:r>
              <w:rPr>
                <w:rFonts w:ascii="Times New Roman;serif" w:hAnsi="Times New Roman;serif"/>
                <w:b w:val="false"/>
                <w:i/>
                <w:sz w:val="20"/>
              </w:rPr>
              <w:t>Percentage of total revenue</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7.9</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6.8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right"/>
              <w:rPr/>
            </w:pPr>
            <w:r>
              <w:rPr/>
              <w:t> </w:t>
            </w:r>
          </w:p>
        </w:tc>
      </w:tr>
      <w:tr>
        <w:trPr/>
        <w:tc>
          <w:tcPr>
            <w:tcW w:w="295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18,824</w:t>
            </w:r>
          </w:p>
        </w:tc>
        <w:tc>
          <w:tcPr>
            <w:tcW w:w="28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81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Cost of goods sold</w:t>
            </w:r>
          </w:p>
        </w:tc>
        <w:tc>
          <w:tcPr>
            <w:tcW w:w="146"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8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Surgical Glaucoma</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2,362</w:t>
            </w:r>
          </w:p>
        </w:tc>
        <w:tc>
          <w:tcPr>
            <w:tcW w:w="28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w:t>
            </w:r>
          </w:p>
        </w:tc>
        <w:tc>
          <w:tcPr>
            <w:tcW w:w="811" w:type="dxa"/>
            <w:tcBorders/>
            <w:shd w:fill="auto" w:val="clear"/>
            <w:vAlign w:val="center"/>
          </w:tcPr>
          <w:p>
            <w:pPr>
              <w:pStyle w:val="TableContents"/>
              <w:spacing w:before="0" w:after="0"/>
              <w:ind w:left="0" w:right="0" w:firstLine="200"/>
              <w:jc w:val="lef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Dry Eye</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686</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3,048</w:t>
            </w:r>
          </w:p>
        </w:tc>
        <w:tc>
          <w:tcPr>
            <w:tcW w:w="28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81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8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Surgical Glaucoma</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14,972</w:t>
            </w:r>
          </w:p>
        </w:tc>
        <w:tc>
          <w:tcPr>
            <w:tcW w:w="28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12,379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811" w:type="dxa"/>
            <w:tcBorders/>
            <w:shd w:fill="auto" w:val="clear"/>
            <w:vAlign w:val="center"/>
          </w:tcPr>
          <w:p>
            <w:pPr>
              <w:pStyle w:val="TableContents"/>
              <w:spacing w:before="0" w:after="0"/>
              <w:ind w:left="0" w:right="0" w:firstLine="200"/>
              <w:jc w:val="lef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Dry Eye</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804</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251.4</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295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15,776</w:t>
            </w:r>
          </w:p>
        </w:tc>
        <w:tc>
          <w:tcPr>
            <w:tcW w:w="28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11,848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81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8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Surgical Glaucoma</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86.4</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89.3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Dry Eye</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54.0</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-52.5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right"/>
              <w:rPr/>
            </w:pPr>
            <w:r>
              <w:rPr/>
              <w:t> </w:t>
            </w:r>
          </w:p>
        </w:tc>
      </w:tr>
      <w:tr>
        <w:trPr/>
        <w:tc>
          <w:tcPr>
            <w:tcW w:w="295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83.8</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79.6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8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4,669</w:t>
            </w:r>
          </w:p>
        </w:tc>
        <w:tc>
          <w:tcPr>
            <w:tcW w:w="281"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28,675</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28,395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295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33,344</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34,041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(17,568</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(22,193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81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1,791</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12,040.0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81" w:type="dxa"/>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983"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before income tax</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(17,053</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(23,254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81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9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 and comprehensive loss</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(17,067</w:t>
            </w:r>
          </w:p>
        </w:tc>
        <w:tc>
          <w:tcPr>
            <w:tcW w:w="2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(23,263</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Revenue</w:t>
      </w:r>
      <w:r>
        <w:rPr>
          <w:rFonts w:ascii="Times New Roman;serif" w:hAnsi="Times New Roman;serif"/>
          <w:b w:val="false"/>
          <w:sz w:val="20"/>
        </w:rPr>
        <w:t>. Revenue in the three months ended March 31, 2023 was $18.8 million, an increase of $3.9 million, or 26.5%, from the prior year comparable period. The overall increase in Surgical Glaucoma revenue was primarily attributable to an increase in the number of OMNI and SION units sold in the three months ended March 31, 2023. This growth in units was driven by both a growth in the number of facilities ordering OMNI and SION, as well as an increase in unit utilization per ordering facility. Our Dry Eye revenues increased in the three months ended March 31, 2023 versus the comparable period in 2022 due to the continued growth in our installed base of facilities that have purchased TearCare. Surgical Glaucoma sales represented 92.1% and 93.2% of our total revenue generated in the three months ended March 31, 2023 and 2022, respectively.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Cost of Goods Sold and Gross Profit</w:t>
      </w:r>
      <w:r>
        <w:rPr>
          <w:rFonts w:ascii="Times New Roman;serif" w:hAnsi="Times New Roman;serif"/>
          <w:b w:val="false"/>
          <w:sz w:val="20"/>
        </w:rPr>
        <w:t>. Cost of goods sold remained flat during the three months ended March 31, 2023 compared to the same period in the prior year. Our Surgical Glaucoma cost of goods sold increased $0.9 million as compared to 2022. The increase was driven by increased sales activity, partially offset by lower per unit production costs as a result of continued manufacturing efficiencies. Dry Eye cost of goods sold decreased $0.9 million in the three months ended March 31, 2023 over the comparable period in 2022 driven primarily by prior year charges associated with the voluntary recall of our SmartHub 1.0 devices.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total gross profit was $15.8 million in the three months ended March 31, 2023, an increase of $3.9 million from the comparable period in 2022. Our total gross margin for the three months ended March 31, 2023, increased</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to 83.8%, up from 79.6% in the prior year comparable period primarily related to charges from the voluntary recall in our Dry Eye segment mentioned above. Gross margin in our Surgical Glaucoma segment was 86.4% for the quarter ended March 31, 2023, a decrease from 89.3% for the prior year comparable period driven by a write-off of inventory components as we transitioned to our next generation OMNI device and product mix. In our Dry Eye segment, gross margin increased from (52.5)% in the first quarter of 2022, to 54.0% for the quarter ended March 31, 2023 driven by the impact of the voluntary SmartHub recall in Q1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Research and Development ("R&amp;D") Expenses</w:t>
      </w:r>
      <w:r>
        <w:rPr>
          <w:rFonts w:ascii="Times New Roman;serif" w:hAnsi="Times New Roman;serif"/>
          <w:b w:val="false"/>
          <w:sz w:val="20"/>
        </w:rPr>
        <w:t>. The $1.0 million decrease in R&amp;D expenses during the three months ended March 31, 2023 compared to the three months ended March 31, 2022 was primarily attributable to a $0.4 million decrease in costs associated with contract engineering and lab supplies, a $0.2 million decrease in consulting expenses, and a $0.1 million decrease in personnel expenses.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Selling, General, and Administrative ("SG&amp;A") Expenses</w:t>
      </w:r>
      <w:r>
        <w:rPr>
          <w:rFonts w:ascii="Times New Roman;serif" w:hAnsi="Times New Roman;serif"/>
          <w:b w:val="false"/>
          <w:sz w:val="20"/>
        </w:rPr>
        <w:t>. SG&amp;A expenses were $28.7 million for the three months ended March 31, 2023, an increase of $0.3 million from the prior year comparable period. The increase was primarily attributable to a $2.0 million increase in personnel expenses which included a $0.3 million increase in stock-based compensation expense. This increase was partially offset by a $0.9 million decrease in consulting expenses, as well as a $0.8 million decrease in legal expense.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Interest Expense</w:t>
      </w:r>
      <w:r>
        <w:rPr>
          <w:rFonts w:ascii="Times New Roman;serif" w:hAnsi="Times New Roman;serif"/>
          <w:b w:val="false"/>
          <w:sz w:val="20"/>
        </w:rPr>
        <w:t>. Interest expense increased $0.2 million, as the Company saw an increase in lending rates during the three months ended March 31, 2023 compared to the three months ended March 31, 2022.</w:t>
      </w:r>
    </w:p>
    <w:p>
      <w:pPr>
        <w:pStyle w:val="TextBody"/>
        <w:spacing w:before="24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r>
        <w:rPr>
          <w:rFonts w:ascii="Times New Roman;serif" w:hAnsi="Times New Roman;serif"/>
          <w:b w:val="false"/>
          <w:sz w:val="20"/>
        </w:rPr>
        <w:t>Other income (expense), net was $1.8 million for the three months ended March 31, 2023 as compared to an expense of $0.0 million in the three months ended March 31, 2022. The income in the current year is attributable to the amortization of purchase discounts on held-to-maturity cash-equivalent investments.</w:t>
      </w:r>
    </w:p>
    <w:p>
      <w:pPr>
        <w:pStyle w:val="TextBody"/>
        <w:spacing w:before="360" w:after="0"/>
        <w:jc w:val="left"/>
        <w:rPr>
          <w:rFonts w:ascii="Times New Roman;serif" w:hAnsi="Times New Roman;serif"/>
          <w:b/>
          <w:sz w:val="20"/>
        </w:rPr>
      </w:pPr>
      <w:r>
        <w:rPr>
          <w:rFonts w:ascii="Times New Roman;serif" w:hAnsi="Times New Roman;serif"/>
          <w:b/>
          <w:sz w:val="20"/>
        </w:rPr>
        <w:t>Cash Flows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cash flows for the periods indicated (in thousands):</w:t>
      </w:r>
    </w:p>
    <w:p>
      <w:pPr>
        <w:pStyle w:val="TextBody"/>
        <w:spacing w:before="120" w:after="0"/>
        <w:jc w:val="left"/>
        <w:rPr/>
      </w:pPr>
      <w:r>
        <w:rPr/>
        <w:t> </w:t>
      </w:r>
    </w:p>
    <w:tbl>
      <w:tblPr>
        <w:tblW w:w="6971" w:type="dxa"/>
        <w:jc w:val="left"/>
        <w:tblInd w:w="0" w:type="dxa"/>
        <w:tblCellMar>
          <w:top w:w="28" w:type="dxa"/>
          <w:left w:w="28" w:type="dxa"/>
          <w:bottom w:w="28" w:type="dxa"/>
          <w:right w:w="28" w:type="dxa"/>
        </w:tblCellMar>
      </w:tblPr>
      <w:tblGrid>
        <w:gridCol w:w="4216"/>
        <w:gridCol w:w="146"/>
        <w:gridCol w:w="229"/>
        <w:gridCol w:w="801"/>
        <w:gridCol w:w="180"/>
        <w:gridCol w:w="158"/>
        <w:gridCol w:w="229"/>
        <w:gridCol w:w="801"/>
        <w:gridCol w:w="211"/>
      </w:tblGrid>
      <w:tr>
        <w:trPr/>
        <w:tc>
          <w:tcPr>
            <w:tcW w:w="4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center"/>
              <w:rPr/>
            </w:pPr>
            <w:r>
              <w:rPr/>
              <w:t> </w:t>
            </w:r>
          </w:p>
        </w:tc>
        <w:tc>
          <w:tcPr>
            <w:tcW w:w="180" w:type="dxa"/>
            <w:tcBorders/>
            <w:shd w:fill="auto" w:val="cle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(17,383</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(21,966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increase in cash</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(17,665</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(22,101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Net Cash Used in Operating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for the three months ended March 31, 2023 was $17.4 million, consisting primarily of a net loss of $17.1 million and a net change in our operating assets and liabilities of $4.2 million, partially offset by non-cash charges of $3.9 million. The net change in our operating assets and liabilities was primarily due to a $1.0 million increase in accounts receivable and a $1.0 million increase in inventory to support the continued growth of our operations. The Company had a $0.9 million decrease in accounts payable, while accrued compensation and accrued and other current liabilities decreased by an aggregate of $3.7 million, primarily driven by the timing of payments on invoices and bonuses. The non-cash charges primarily consisted of $3.5 million related to stock-based compensation, $0.2 million of noncash operating lease expense, $0.1 million of depreciation, and $0.1 million of accretion of debt discount and amortization of debt issuance costs.</w:t>
      </w:r>
    </w:p>
    <w:p>
      <w:pPr>
        <w:pStyle w:val="TextBody"/>
        <w:spacing w:before="240" w:after="0"/>
        <w:jc w:val="left"/>
        <w:rPr>
          <w:rFonts w:ascii="Times New Roman" w:hAnsi="Times New Roman"/>
          <w:sz w:val="20"/>
        </w:rPr>
      </w:pPr>
      <w:r>
        <w:rPr>
          <w:rFonts w:ascii="Times New Roman;serif" w:hAnsi="Times New Roman;serif"/>
          <w:b w:val="false"/>
          <w:sz w:val="20"/>
        </w:rPr>
        <w:t>Net cash used in operating activities for the three months ended March 31, 2022 was $22.0 million, consisting primarily of a net loss of $23.3 million. The net change in our operating assets and liabilities during the period was $2.1 million, which was more than offset by non-cash charges of $3.4 million. The net change in our operating assets and liabilities was primarily due to a $1.2 million increase in accounts receivable and a $0.6 million increase in inventory to support the continued growth of our operations. Prepaid expenses decreased by $1.5 million as</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balances on annual prepaid contracts decreased during the period. The Company also had a $2.1 million decrease in accrued compensation and a $0.2 million decrease in accounts payable driven by the timing of payments on invoices and bonuses. The non-cash charges primarily consisted of $3.0 million related to stock-based compensation, $0.2 million of depreciation, $0.2 million of accretion of debt discount and amortization of debt issuance costs, and $0.1 million of noncash operating lease expense.</w:t>
      </w:r>
      <w:r>
        <w:rPr>
          <w:rFonts w:ascii="Times New Roman" w:hAnsi="Times New Roman"/>
          <w:sz w:val="20"/>
        </w:rPr>
        <w:t xml:space="preserve">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Net Cash Used in Investing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investing activities in the three months ended March 31, 2023 and 2022 was $0.1 million and $0.2 million, respectively, in both cases for purchases of property and equipment.</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Net Cash Provided by Financing Activities.</w:t>
      </w:r>
    </w:p>
    <w:p>
      <w:pPr>
        <w:pStyle w:val="TextBody"/>
        <w:spacing w:before="120" w:after="0"/>
        <w:jc w:val="left"/>
        <w:rPr>
          <w:rFonts w:ascii="Times New Roman" w:hAnsi="Times New Roman"/>
          <w:sz w:val="20"/>
        </w:rPr>
      </w:pPr>
      <w:r>
        <w:rPr>
          <w:rFonts w:ascii="Times New Roman;serif" w:hAnsi="Times New Roman;serif"/>
          <w:b w:val="false"/>
          <w:sz w:val="20"/>
        </w:rPr>
        <w:t>Net cash used in financing activities in the three months ended March 31, 2023 of $0.2 million was primarily related to taxes paid on the net share settlement of restricted stock units, partially offset by proceeds from stock option exercises.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Net cash provided by financing activities in the three months ended March 31, 2022 of $0.1 million was related to proceeds from stock option exercises.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20" w:after="0"/>
        <w:jc w:val="left"/>
        <w:rPr>
          <w:rFonts w:ascii="Times New Roman;serif" w:hAnsi="Times New Roman;serif"/>
          <w:b/>
          <w:i/>
          <w:sz w:val="20"/>
        </w:rPr>
      </w:pPr>
      <w:r>
        <w:rPr>
          <w:rFonts w:ascii="Times New Roman;serif" w:hAnsi="Times New Roman;serif"/>
          <w:b/>
          <w:i/>
          <w:sz w:val="20"/>
        </w:rPr>
        <w:t>Sources of Liquidity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date, our primary sources of capital have been private placements of redeemable convertible preferred stock, debt financing agreements, the sale of common stock in our IPO, and revenue from the sale of our products. Since our inception, we have raised an aggregate of approximately $402.4 million in net proceeds from sales of our redeemable convertible preferred stock and common stock and borrowed $32.9 million of net proceeds under our term loans.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we had cash and cash equivalents of $167.3 million, an accumulated deficit of $256.3 million and $35.0 million outstanding under our term loan agreement (before debt discount). Based on our current planned operations, we expect revenue from sales of our products, our cash and cash equivalents and additional borrowings available under our revolving credit facility will enable us to fund our operations for at least the next twelve months and the foreseeable future.</w:t>
      </w:r>
    </w:p>
    <w:p>
      <w:pPr>
        <w:pStyle w:val="TextBody"/>
        <w:spacing w:before="120" w:after="0"/>
        <w:jc w:val="left"/>
        <w:rPr>
          <w:rFonts w:ascii="Times New Roman;serif" w:hAnsi="Times New Roman;serif"/>
          <w:b/>
          <w:i/>
          <w:sz w:val="20"/>
        </w:rPr>
      </w:pPr>
      <w:r>
        <w:rPr>
          <w:rFonts w:ascii="Times New Roman;serif" w:hAnsi="Times New Roman;serif"/>
          <w:b/>
          <w:i/>
          <w:sz w:val="20"/>
        </w:rPr>
        <w:t>MidCap Loan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have two credit and security agreements with MidCap Financial Services, which provide for a maximum $40.0 million credit facility, consisting of a $35.0 million senior secured term loan (the "Term Loan") and a $5.0 million revolving loan (the "Revolver" and collectively with the Term Loan, the “MidCap Credit Facility”).</w:t>
      </w:r>
    </w:p>
    <w:p>
      <w:pPr>
        <w:pStyle w:val="TextBody"/>
        <w:spacing w:before="120" w:after="0"/>
        <w:jc w:val="left"/>
        <w:rPr>
          <w:rFonts w:ascii="Times New Roman" w:hAnsi="Times New Roman"/>
          <w:sz w:val="20"/>
        </w:rPr>
      </w:pPr>
      <w:r>
        <w:rPr>
          <w:rFonts w:ascii="Times New Roman;serif" w:hAnsi="Times New Roman;serif"/>
          <w:b w:val="false"/>
          <w:sz w:val="20"/>
        </w:rPr>
        <w:t>Our obligations under the MidCap Credit Facility are guaranteed by us and our future subsidiaries, subject to exceptions for certain foreign subsidiaries. Our obligations under the agreements are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 As of March 31, 2023, we were in compliance with all financial and non-financial covenants</w:t>
      </w:r>
      <w:r>
        <w:rPr>
          <w:rFonts w:ascii="Times New Roman;serif" w:hAnsi="Times New Roman;serif"/>
          <w:b w:val="false"/>
          <w:sz w:val="24"/>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MidCap Credit Facility contains events of default that include, among others, non-payment of principal, interest or fees, breach of covenants, inaccuracy of representations and warranties, cross-defaults and bankruptcy and insolvency events.</w:t>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val="false"/>
          <w:sz w:val="20"/>
          <w:u w:val="single"/>
        </w:rPr>
      </w:pPr>
      <w:r>
        <w:rPr>
          <w:rFonts w:ascii="Times New Roman;serif" w:hAnsi="Times New Roman;serif"/>
          <w:b w:val="false"/>
          <w:sz w:val="20"/>
          <w:u w:val="single"/>
        </w:rPr>
        <w:t>Term Loan</w:t>
      </w:r>
    </w:p>
    <w:p>
      <w:pPr>
        <w:pStyle w:val="TextBody"/>
        <w:spacing w:before="120" w:after="0"/>
        <w:jc w:val="left"/>
        <w:rPr>
          <w:rFonts w:ascii="Times New Roman" w:hAnsi="Times New Roman"/>
          <w:sz w:val="20"/>
        </w:rPr>
      </w:pPr>
      <w:r>
        <w:rPr>
          <w:rFonts w:ascii="Times New Roman;serif" w:hAnsi="Times New Roman;serif"/>
          <w:b w:val="false"/>
          <w:sz w:val="20"/>
        </w:rPr>
        <w:t xml:space="preserve">The Term Loan agreement includes a maturity date of November 1, 2025 and includes a stated floating interest rate that is reserve-adjusted SOFR, </w:t>
      </w:r>
      <w:r>
        <w:rPr>
          <w:rFonts w:ascii="Times New Roman;serif" w:hAnsi="Times New Roman;serif"/>
          <w:b w:val="false"/>
          <w:i/>
          <w:sz w:val="20"/>
        </w:rPr>
        <w:t>plus</w:t>
      </w:r>
      <w:r>
        <w:rPr>
          <w:rFonts w:ascii="Times New Roman" w:hAnsi="Times New Roman"/>
          <w:sz w:val="20"/>
        </w:rPr>
        <w:t xml:space="preserve"> </w:t>
      </w:r>
      <w:r>
        <w:rPr>
          <w:rFonts w:ascii="Times New Roman;serif" w:hAnsi="Times New Roman;serif"/>
          <w:b w:val="false"/>
          <w:sz w:val="20"/>
        </w:rPr>
        <w:t>7.00%. Principal payments under the Term Loan are scheduled to begin in December 2023. However, if certain conditions are met, the initiation of principal payments can be delayed to December 2024. We currently expect that we will be in a position to meet the conditions necessary to extend the commencement date for the initiation of principal payments under the 2020 Term Loan from December 1, 2023 to December 1, 2024. In addition, the final payment fee is 6.0% and we are subject to certain financial and non-financial covenants.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incurred $0.7 million of issuance costs in conjunction with the Term Loan which were netted against the borrowed funds in the balance sheet and are being accreted using the effective interest method as interest expense over the contractual period of the Term Loan.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conjunction with the initial funding of the Term Loan in 2020, we issued a 10-year warrant to the Lender to purchase 300,000 shares of our Series F redeemable convertible preferred stock at an exercise price of $21.88 per share, or the MidCap Warrant, with the estimated fair value of $1.8 million. The MidCap Warrants were recorded at the fair value as a debt discount and as a warrant liability. The debt discount is being accreted using the effective interest method as interest expense over the contractual period of the Term Loan. The MidCap Warrant was automatically converted into a common stock warrant in connection with the IPO and subsequently exercised in the third quarter of fiscal year 2021. Accordingly, the MidCap Warrant no longer remains outstanding.</w:t>
      </w:r>
    </w:p>
    <w:p>
      <w:pPr>
        <w:pStyle w:val="TextBody"/>
        <w:spacing w:before="360" w:after="0"/>
        <w:jc w:val="left"/>
        <w:rPr>
          <w:rFonts w:ascii="Times New Roman;serif" w:hAnsi="Times New Roman;serif"/>
          <w:b w:val="false"/>
          <w:sz w:val="20"/>
          <w:u w:val="single"/>
        </w:rPr>
      </w:pPr>
      <w:r>
        <w:rPr>
          <w:rFonts w:ascii="Times New Roman;serif" w:hAnsi="Times New Roman;serif"/>
          <w:b w:val="false"/>
          <w:sz w:val="20"/>
          <w:u w:val="single"/>
        </w:rPr>
        <w:t>Revolver</w:t>
      </w:r>
    </w:p>
    <w:p>
      <w:pPr>
        <w:pStyle w:val="TextBody"/>
        <w:spacing w:before="120" w:after="0"/>
        <w:jc w:val="left"/>
        <w:rPr>
          <w:rFonts w:ascii="Times New Roman" w:hAnsi="Times New Roman"/>
          <w:sz w:val="20"/>
        </w:rPr>
      </w:pPr>
      <w:r>
        <w:rPr>
          <w:rFonts w:ascii="Times New Roman;serif" w:hAnsi="Times New Roman;serif"/>
          <w:b w:val="false"/>
          <w:sz w:val="20"/>
        </w:rPr>
        <w:t>The maturity date of the Revolver was amended to November 1, 2025 and the stated floating interest rate was adjusted to reserve-adjusted LIBOR plus 4.50%. As of March 31, 2023, $5.0 million was available to be drawn under the 2020 Revolver which remains undrawn.</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Lease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corporate headquarters are located in Menlo Park, California, where we lease approximately 11,000 square feet of office, research and development, engineering and laboratory space pursuant to a lease that commenced on August 1, 2021, and expires on August 31, 2024. We also lease approximately 2,040 square feet of office space, which is primarily used by our commercial leadership team, in Southlake, Texas, pursuant to a lease that commenced on April 30, 2019 and expires on May 15, 2024.</w:t>
      </w:r>
    </w:p>
    <w:p>
      <w:pPr>
        <w:pStyle w:val="TextBody"/>
        <w:spacing w:before="36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condensed consolidated financial statements included elsewhere in this Quarterly Report are prepared in accordance with GAAP. The preparation of these condensed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stock-based compensation has the greatest potential impact on our condensed consolidated financial statements. Therefore, we consider this to be our critical accounting policy and estimate.</w:t>
      </w:r>
    </w:p>
    <w:p>
      <w:pPr>
        <w:pStyle w:val="TextBody"/>
        <w:spacing w:before="240" w:after="0"/>
        <w:jc w:val="left"/>
        <w:rPr>
          <w:rFonts w:ascii="Times New Roman" w:hAnsi="Times New Roman"/>
          <w:sz w:val="20"/>
        </w:rPr>
      </w:pPr>
      <w:r>
        <w:rPr>
          <w:rFonts w:ascii="Times New Roman;serif" w:hAnsi="Times New Roman;serif"/>
          <w:b w:val="false"/>
          <w:sz w:val="20"/>
        </w:rPr>
        <w:t>There have been no material changes to our critical accounting policies and estimates as compared to the critical accounting policies and estimates described in our consolidated financial statements for the year ended December 31, 2022, included under the heading “Management’s Discussion and Analysis of Financial Condition</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and Results of Operations—Critical Accounting Policies and Estimates” in our 2022 Form 10-K and in Note 2 to our condensed consolidated financial statements appearing elsewhere in this Quarterly Report.</w:t>
      </w:r>
    </w:p>
    <w:p>
      <w:pPr>
        <w:pStyle w:val="TextBody"/>
        <w:spacing w:before="360" w:after="0"/>
        <w:jc w:val="left"/>
        <w:rPr>
          <w:rFonts w:ascii="Times New Roman;serif" w:hAnsi="Times New Roman;serif"/>
          <w:b/>
          <w:sz w:val="20"/>
        </w:rPr>
      </w:pPr>
      <w:r>
        <w:rPr>
          <w:rFonts w:ascii="Times New Roman;serif" w:hAnsi="Times New Roman;serif"/>
          <w:b/>
          <w:sz w:val="20"/>
        </w:rPr>
        <w:t>JOBS Act Accounting Election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Jumpstart Our Business Startups Act of 2012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TextBody"/>
        <w:spacing w:before="360" w:after="0"/>
        <w:jc w:val="left"/>
        <w:rPr>
          <w:rFonts w:ascii="Times New Roman;serif" w:hAnsi="Times New Roman;serif"/>
          <w:b/>
          <w:sz w:val="20"/>
        </w:rPr>
      </w:pPr>
      <w:r>
        <w:rPr>
          <w:rFonts w:ascii="Times New Roman;serif" w:hAnsi="Times New Roman;serif"/>
          <w:b/>
          <w:sz w:val="20"/>
        </w:rPr>
        <w:t>Recently Issued Accounting Pronouncements</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there are no significant Accounting Standard Updates (ASU's) issued and not yet adopted, that are expected to have a material impact on the Company's financial statements and related disclosures.</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11" w:name="item_3_quantitative_and_qualitative"/>
      <w:bookmarkEnd w:id="11"/>
      <w:r>
        <w:rPr>
          <w:rFonts w:ascii="Times New Roman;serif" w:hAnsi="Times New Roman;serif"/>
          <w:b/>
          <w:sz w:val="20"/>
        </w:rPr>
        <w:t>Item 3. Quantitative and Qualitative Disclosures About Market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exposed to market risks in the ordinary course of our business. These risks primarily include interest rate risk and foreign currency exchange rate risk. There have been no material changes to such risks from those described in our 2022 Form 10-K under "Item 3 - Quantitative and Qualitative Disclosures About Market Risk."</w:t>
      </w:r>
    </w:p>
    <w:p>
      <w:pPr>
        <w:pStyle w:val="TextBody"/>
        <w:spacing w:before="360" w:after="0"/>
        <w:jc w:val="left"/>
        <w:rPr>
          <w:rFonts w:ascii="Times New Roman;serif" w:hAnsi="Times New Roman;serif"/>
          <w:b/>
          <w:sz w:val="20"/>
        </w:rPr>
      </w:pPr>
      <w:bookmarkStart w:id="12" w:name="item_4_controls_and_procedures"/>
      <w:bookmarkEnd w:id="12"/>
      <w:r>
        <w:rPr>
          <w:rFonts w:ascii="Times New Roman;serif" w:hAnsi="Times New Roman;serif"/>
          <w:b/>
          <w:sz w:val="20"/>
        </w:rPr>
        <w:t>Item 4. Controls and Procedures.</w:t>
      </w:r>
    </w:p>
    <w:p>
      <w:pPr>
        <w:pStyle w:val="TextBody"/>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and supervision of our principal executive officer and our principal financial and accounting officer, evaluated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principal financial officer and principal accounting officer, as appropriate to allow timely decisions regarding required disclosure.</w:t>
      </w:r>
    </w:p>
    <w:p>
      <w:pPr>
        <w:pStyle w:val="TextBody"/>
        <w:spacing w:before="120" w:after="0"/>
        <w:jc w:val="left"/>
        <w:rPr>
          <w:rFonts w:ascii="Times New Roman" w:hAnsi="Times New Roman"/>
          <w:sz w:val="20"/>
        </w:rPr>
      </w:pPr>
      <w:r>
        <w:rPr>
          <w:rFonts w:ascii="Times New Roman;serif" w:hAnsi="Times New Roman;serif"/>
          <w:b w:val="false"/>
          <w:sz w:val="20"/>
        </w:rPr>
        <w:t>Based on this evaluation, our principal executive officer and our principal financial and accounting officer concluded that, as a result of the material weakness in our internal control over financial reporting described below, as of the end of the period covered by this Quarterly Report on Form 10-Q, our disclosure controls and procedures were not effective. However, our management, including our principal executive officer and our principal financial and accounting officer, has concluded that, notwithstanding the identified material weakness in our internal control over financial reporting, the condensed consolidated financial statements in this Quarterly Report on Form 10-Q fairly present, in all material respects, our financial position, results of operations, and cash flows for the periods presented in conformity with GAAP.</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Remediation efforts on previously reported material weaknesses</w:t>
      </w:r>
    </w:p>
    <w:p>
      <w:pPr>
        <w:pStyle w:val="TextBody"/>
        <w:spacing w:before="120" w:after="0"/>
        <w:jc w:val="left"/>
        <w:rPr>
          <w:rFonts w:ascii="Times New Roman" w:hAnsi="Times New Roman"/>
          <w:sz w:val="20"/>
        </w:rPr>
      </w:pPr>
      <w:r>
        <w:rPr>
          <w:rFonts w:ascii="Times New Roman;serif" w:hAnsi="Times New Roman;serif"/>
          <w:b w:val="false"/>
          <w:sz w:val="20"/>
        </w:rPr>
        <w:t>In connection with the preparation of our financial statements in connection with our IPO,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to a lack of sufficient full-time accounting personnel with requisite experience and deep technical accounting knowledge to (i) identify and resolve complex accounting issues under</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GAAP, and (ii) enable appropriate segregation of duties and reviews over the financial reviews over the financial close and reporting process.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year ended December 31, 2022, our management, with the oversight of the Audit Committee of our Board of Directors, designed and implemented measures to remediate the control deficiencies contributing to the material weakness and completed testing of internal controls. These remediation efforts, which continued initiatives that began during the year ended December 31, 2021, included the following:</w:t>
      </w:r>
    </w:p>
    <w:p>
      <w:pPr>
        <w:pStyle w:val="TextBody"/>
        <w:spacing w:before="120" w:after="0"/>
        <w:jc w:val="left"/>
        <w:rPr/>
      </w:pPr>
      <w:r>
        <w:rPr/>
        <w:t> </w:t>
      </w:r>
    </w:p>
    <w:p>
      <w:pPr>
        <w:pStyle w:val="TextBody"/>
        <w:spacing w:before="0" w:after="120"/>
        <w:jc w:val="left"/>
        <w:rPr/>
      </w:pPr>
      <w:r>
        <w:rPr/>
        <w:t>•</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Significantly increased our accounting and financial reporting personnel, including hiring of CPAs, and technical accounting and SEC reporting resources with requisite technical accounting knowledge.</w:t>
      </w:r>
    </w:p>
    <w:p>
      <w:pPr>
        <w:pStyle w:val="TextBody"/>
        <w:spacing w:before="0" w:after="120"/>
        <w:jc w:val="left"/>
        <w:rPr/>
      </w:pPr>
      <w:r>
        <w:rPr/>
        <w:t>•</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 xml:space="preserve">Designed and implemented controls to formalize review procedures around the financial close process with appropriate segregation of duties and to improve the completeness, timeliness and accuracy of our financial reporting and disclosures including the assessment of more judgmental areas of accounting.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While significant progress has been made to improve our internal control over financial reporting, not all aspects of our past material weakness have been sufficiently remediated. The remaining aspect of the material weakness relates to the lack of sufficient accounting resources with deep technical accounting knowledge to identify and resolve complex accounting issues in a timely manner. Remediation of the material weakness will require further validation and testing of the operating effectiveness of the applicable remedial controls over a sustained period of financial reporting cycles.</w:t>
      </w:r>
    </w:p>
    <w:p>
      <w:pPr>
        <w:pStyle w:val="TextBody"/>
        <w:spacing w:before="120" w:after="0"/>
        <w:jc w:val="left"/>
        <w:rPr>
          <w:rFonts w:ascii="Times New Roman" w:hAnsi="Times New Roman"/>
          <w:sz w:val="20"/>
        </w:rPr>
      </w:pPr>
      <w:r>
        <w:rPr>
          <w:rFonts w:ascii="Times New Roman;serif" w:hAnsi="Times New Roman;serif"/>
          <w:b/>
          <w:sz w:val="20"/>
        </w:rPr>
        <w:t>Changes in internal control over financial reporting</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than the changes intended to remediate the material weakness noted above, there were no changes in our internal control over financial reporting during the most recently completed fiscal quarter that has materially affected, or is reasonably likely to materially affect, our internal control over financial reporting.</w:t>
      </w:r>
    </w:p>
    <w:p>
      <w:pPr>
        <w:pStyle w:val="TextBody"/>
        <w:spacing w:before="360" w:after="0"/>
        <w:jc w:val="center"/>
        <w:rPr>
          <w:rFonts w:ascii="Times New Roman;serif" w:hAnsi="Times New Roman;serif"/>
          <w:b/>
          <w:sz w:val="20"/>
        </w:rPr>
      </w:pPr>
      <w:bookmarkStart w:id="13" w:name="part_ii_other_information"/>
      <w:bookmarkEnd w:id="13"/>
      <w:r>
        <w:rPr>
          <w:rFonts w:ascii="Times New Roman;serif" w:hAnsi="Times New Roman;serif"/>
          <w:b/>
          <w:sz w:val="20"/>
        </w:rPr>
        <w:t>PART II—OTHER INFORMATION</w:t>
      </w:r>
    </w:p>
    <w:p>
      <w:pPr>
        <w:pStyle w:val="TextBody"/>
        <w:spacing w:before="120" w:after="0"/>
        <w:jc w:val="left"/>
        <w:rPr>
          <w:rFonts w:ascii="Times New Roman;serif" w:hAnsi="Times New Roman;serif"/>
          <w:b/>
          <w:sz w:val="20"/>
        </w:rPr>
      </w:pPr>
      <w:bookmarkStart w:id="14" w:name="item_1_legal_proceedings"/>
      <w:bookmarkEnd w:id="14"/>
      <w:r>
        <w:rPr>
          <w:rFonts w:ascii="Times New Roman;serif" w:hAnsi="Times New Roman;serif"/>
          <w:b/>
          <w:sz w:val="20"/>
        </w:rPr>
        <w:t>Item 1. Legal 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Except as set forth in Note 6, Commitments and Contingencies, in our notes to the unaudited condensed consolidated financial statements in this Quarterly Report,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regardless of the merits of the claims raised or the outcome, legal proceedings, regulatory matters, and other disputes and claims may have an adverse impact on us as a result of defense and settlement costs, diversion of management time and resources, and other factors</w:t>
      </w:r>
    </w:p>
    <w:p>
      <w:pPr>
        <w:pStyle w:val="TextBody"/>
        <w:spacing w:before="360" w:after="0"/>
        <w:jc w:val="left"/>
        <w:rPr>
          <w:rFonts w:ascii="Times New Roman;serif" w:hAnsi="Times New Roman;serif"/>
          <w:b/>
          <w:sz w:val="20"/>
        </w:rPr>
      </w:pPr>
      <w:bookmarkStart w:id="15" w:name="item_1a_risk_factors"/>
      <w:bookmarkEnd w:id="15"/>
      <w:r>
        <w:rPr>
          <w:rFonts w:ascii="Times New Roman;serif" w:hAnsi="Times New Roman;serif"/>
          <w:b/>
          <w:sz w:val="20"/>
        </w:rPr>
        <w:t>Item 1A. Risk Factors.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are not aware of any material changes to the risk factors set forth under the heading "Risk Factors" in the 2022 Form 10-K, which are incorporated herein by reference. The risks described in the 2022 Form 10-K are not the only ones we face. Additional risks we currently do not know about or that we currently believe to be immaterial may also impair our business, financial condition, operating results, liquidity, and future prospects.</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6" w:name="item_2_unregistered_sales_of_equity"/>
      <w:bookmarkEnd w:id="16"/>
      <w:r>
        <w:rPr>
          <w:rFonts w:ascii="Times New Roman;serif" w:hAnsi="Times New Roman;serif"/>
          <w:b/>
          <w:sz w:val="20"/>
        </w:rPr>
        <w:t>Item 2. Unregistered Sales of Equity Securities and Use of Proceeds.</w:t>
      </w:r>
    </w:p>
    <w:p>
      <w:pPr>
        <w:pStyle w:val="TextBody"/>
        <w:spacing w:before="120" w:after="0"/>
        <w:jc w:val="left"/>
        <w:rPr>
          <w:rFonts w:ascii="Times New Roman;serif" w:hAnsi="Times New Roman;serif"/>
          <w:b/>
          <w:sz w:val="20"/>
        </w:rPr>
      </w:pPr>
      <w:r>
        <w:rPr>
          <w:rFonts w:ascii="Times New Roman;serif" w:hAnsi="Times New Roman;serif"/>
          <w:b/>
          <w:sz w:val="20"/>
        </w:rPr>
        <w:t>Use of Proceeds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July 2021, we completed our IPO. All shares sold were registered pursuant to a registration statement on Form S-1 (File No. 333-257320), as amended (the "Registration Statement"), declared effective by the SEC on July 14, 2021.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has been no material change in the intended use of proceeds from the IPO as described in the Registration Statement.</w:t>
      </w:r>
    </w:p>
    <w:p>
      <w:pPr>
        <w:pStyle w:val="TextBody"/>
        <w:spacing w:before="360" w:after="0"/>
        <w:jc w:val="left"/>
        <w:rPr>
          <w:rFonts w:ascii="Times New Roman;serif" w:hAnsi="Times New Roman;serif"/>
          <w:b/>
          <w:sz w:val="20"/>
        </w:rPr>
      </w:pPr>
      <w:r>
        <w:rPr>
          <w:rFonts w:ascii="Times New Roman;serif" w:hAnsi="Times New Roman;serif"/>
          <w:b/>
          <w:sz w:val="20"/>
        </w:rPr>
        <w:t>Recent Sales of Unregistered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r>
        <w:rPr>
          <w:rFonts w:ascii="Times New Roman;serif" w:hAnsi="Times New Roman;serif"/>
          <w:b/>
          <w:sz w:val="20"/>
        </w:rPr>
        <w:t>Issuer Purchases of Equity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17" w:name="item_3_defaults_upon_senior_securities"/>
      <w:bookmarkEnd w:id="17"/>
      <w:r>
        <w:rPr>
          <w:rFonts w:ascii="Times New Roman;serif" w:hAnsi="Times New Roman;serif"/>
          <w:b/>
          <w:sz w:val="20"/>
        </w:rPr>
        <w:t>Item 3. Defaults Upon Senior Securities.</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18" w:name="item_4_mine_safety_disclosures"/>
      <w:bookmarkEnd w:id="18"/>
      <w:r>
        <w:rPr>
          <w:rFonts w:ascii="Times New Roman;serif" w:hAnsi="Times New Roman;serif"/>
          <w:b/>
          <w:sz w:val="20"/>
        </w:rPr>
        <w:t>Item 4. Mine Safety Disclosures.</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19" w:name="item_5_other_information"/>
      <w:bookmarkEnd w:id="19"/>
      <w:r>
        <w:rPr>
          <w:rFonts w:ascii="Times New Roman;serif" w:hAnsi="Times New Roman;serif"/>
          <w:b/>
          <w:sz w:val="20"/>
        </w:rPr>
        <w:t>Item 5. Other Information.</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20" w:name="item_6_exhibits"/>
      <w:bookmarkEnd w:id="20"/>
      <w:r>
        <w:rPr>
          <w:rFonts w:ascii="Times New Roman;serif" w:hAnsi="Times New Roman;serif"/>
          <w:b/>
          <w:sz w:val="20"/>
        </w:rPr>
        <w:t>Item 6. Exhibits.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exhibits are filed or furnished as a part of, or incorporated by reference into, this Quarterly Report.</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937"/>
        <w:gridCol w:w="146"/>
        <w:gridCol w:w="3909"/>
        <w:gridCol w:w="146"/>
        <w:gridCol w:w="1414"/>
        <w:gridCol w:w="146"/>
        <w:gridCol w:w="463"/>
        <w:gridCol w:w="146"/>
        <w:gridCol w:w="676"/>
        <w:gridCol w:w="146"/>
        <w:gridCol w:w="654"/>
        <w:gridCol w:w="146"/>
        <w:gridCol w:w="1276"/>
      </w:tblGrid>
      <w:tr>
        <w:trPr/>
        <w:tc>
          <w:tcPr>
            <w:tcW w:w="9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Incorporated by Reference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Exhibit Number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Exhibit Description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Form</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File No.</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Exhibit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Filing Date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Filed/Furnished Herewith</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ght-ex10_1.htm">
              <w:r>
                <w:rPr>
                  <w:rStyle w:val="InternetLink"/>
                  <w:rFonts w:ascii="Times New Roman;serif" w:hAnsi="Times New Roman;serif"/>
                  <w:b w:val="false"/>
                  <w:sz w:val="18"/>
                  <w:u w:val="single"/>
                </w:rPr>
                <w:t>Employment Agreement between Sight Sciences, Inc. and Alison Bauerlein, dated April 3, 2023</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ght-ex31_1.htm">
              <w:r>
                <w:rPr>
                  <w:rStyle w:val="InternetLink"/>
                  <w:rFonts w:ascii="Times New Roman;serif" w:hAnsi="Times New Roman;serif"/>
                  <w:b w:val="false"/>
                  <w:sz w:val="18"/>
                  <w:u w:val="single"/>
                </w:rPr>
                <w:t>Certification of the Chief Executive Officer pursuant to Section 906 of the Sarbanes-Oxley Act</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ght-ex31_2.htm">
              <w:r>
                <w:rPr>
                  <w:rStyle w:val="InternetLink"/>
                  <w:rFonts w:ascii="Times New Roman;serif" w:hAnsi="Times New Roman;serif"/>
                  <w:b w:val="false"/>
                  <w:sz w:val="18"/>
                  <w:u w:val="single"/>
                </w:rPr>
                <w:t>Certification of the Chief Financial Officer pursuant to Section 906 of the Sarbanes-Oxley Act</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ght-ex32_1.htm">
              <w:r>
                <w:rPr>
                  <w:rStyle w:val="InternetLink"/>
                  <w:rFonts w:ascii="Times New Roman;serif" w:hAnsi="Times New Roman;serif"/>
                  <w:b w:val="false"/>
                  <w:sz w:val="18"/>
                  <w:u w:val="single"/>
                </w:rPr>
                <w:t>Certification of the Chief Executive Officer pursuant to 18 U.S.C Section 1350, as adopted pursuant to Section 906 of the Sarbanes-Oxley Act of 2002</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32.2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ght-ex32_2.htm">
              <w:r>
                <w:rPr>
                  <w:rStyle w:val="InternetLink"/>
                  <w:rFonts w:ascii="Times New Roman;serif" w:hAnsi="Times New Roman;serif"/>
                  <w:b w:val="false"/>
                  <w:sz w:val="18"/>
                  <w:u w:val="single"/>
                </w:rPr>
                <w:t>Certification of the Chief Financial Officer pursuant to 18 U.S.C. Section 1350, as adopted pursuant to Section 906 of the Sarbanes-Oxley Act of 2002</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101.INS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Instance Document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101.SCH</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Schema Document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101.CAL</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Calculation Linkbase Document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101.DEF</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Definition Linkbase Document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101.LAB</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Label Linkbase Document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101.PRE</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Presentation Linkbase Document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93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104</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0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Cover Page Interactive Data File (formatted as Inline XBRL and contained in Exhibit 101)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5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 Filed herewith.</w:t>
      </w:r>
    </w:p>
    <w:p>
      <w:pPr>
        <w:pStyle w:val="TextBody"/>
        <w:spacing w:before="0" w:after="0"/>
        <w:jc w:val="left"/>
        <w:rPr>
          <w:rFonts w:ascii="Times New Roman;serif" w:hAnsi="Times New Roman;serif"/>
          <w:b w:val="false"/>
          <w:sz w:val="18"/>
        </w:rPr>
      </w:pPr>
      <w:r>
        <w:rPr>
          <w:rFonts w:ascii="Times New Roman;serif" w:hAnsi="Times New Roman;serif"/>
          <w:b w:val="false"/>
          <w:sz w:val="18"/>
        </w:rPr>
        <w:t>** Furnished herewith.</w:t>
      </w:r>
    </w:p>
    <w:p>
      <w:pPr>
        <w:pStyle w:val="TextBody"/>
        <w:spacing w:before="0" w:after="0"/>
        <w:jc w:val="left"/>
        <w:rPr>
          <w:rFonts w:ascii="Times New Roman;serif" w:hAnsi="Times New Roman;serif"/>
          <w:b w:val="false"/>
          <w:sz w:val="18"/>
        </w:rPr>
      </w:pPr>
      <w:r>
        <w:rPr>
          <w:rFonts w:ascii="Times New Roman;serif" w:hAnsi="Times New Roman;serif"/>
          <w:b w:val="false"/>
          <w:sz w:val="18"/>
        </w:rPr>
        <w:t># Indicates a management or compensator plan</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1" w:name="signatures"/>
      <w:bookmarkEnd w:id="21"/>
      <w:r>
        <w:rPr>
          <w:rFonts w:ascii="Times New Roman;serif" w:hAnsi="Times New Roman;serif"/>
          <w:b/>
          <w:sz w:val="20"/>
        </w:rPr>
        <w:t>SIGNATURES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120" w:after="0"/>
        <w:jc w:val="left"/>
        <w:rPr/>
      </w:pPr>
      <w:r>
        <w:rPr/>
        <w:t> </w:t>
      </w:r>
    </w:p>
    <w:tbl>
      <w:tblPr>
        <w:tblW w:w="4882" w:type="dxa"/>
        <w:jc w:val="left"/>
        <w:tblInd w:w="0" w:type="dxa"/>
        <w:tblCellMar>
          <w:top w:w="28" w:type="dxa"/>
          <w:left w:w="28" w:type="dxa"/>
          <w:bottom w:w="28" w:type="dxa"/>
          <w:right w:w="28" w:type="dxa"/>
        </w:tblCellMar>
      </w:tblPr>
      <w:tblGrid>
        <w:gridCol w:w="1156"/>
        <w:gridCol w:w="109"/>
        <w:gridCol w:w="406"/>
        <w:gridCol w:w="3211"/>
      </w:tblGrid>
      <w:tr>
        <w:trPr/>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11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SIGHT SCIENCES, INC</w:t>
            </w:r>
          </w:p>
        </w:tc>
      </w:tr>
      <w:tr>
        <w:trPr/>
        <w:tc>
          <w:tcPr>
            <w:tcW w:w="11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1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8,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Paul Badawi</w:t>
            </w:r>
          </w:p>
        </w:tc>
      </w:tr>
      <w:tr>
        <w:trPr/>
        <w:tc>
          <w:tcPr>
            <w:tcW w:w="11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Paul Badawi</w:t>
            </w:r>
          </w:p>
        </w:tc>
      </w:tr>
      <w:tr>
        <w:trPr/>
        <w:tc>
          <w:tcPr>
            <w:tcW w:w="115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11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r>
        <w:br w:type="page"/>
      </w:r>
    </w:p>
    <w:p>
      <w:pPr>
        <w:pStyle w:val="TextBody"/>
        <w:spacing w:before="0" w:after="0"/>
        <w:jc w:val="right"/>
        <w:rPr>
          <w:rFonts w:ascii="Times New Roman;serif" w:hAnsi="Times New Roman;serif"/>
          <w:b/>
          <w:sz w:val="20"/>
        </w:rPr>
      </w:pPr>
      <w:bookmarkStart w:id="22" w:name="sght-ex10_1.htm"/>
      <w:bookmarkStart w:id="23" w:name="kssghtex10_1"/>
      <w:bookmarkEnd w:id="22"/>
      <w:bookmarkEnd w:id="23"/>
      <w:r>
        <w:rPr>
          <w:rFonts w:ascii="Times New Roman;serif" w:hAnsi="Times New Roman;serif"/>
          <w:b/>
          <w:sz w:val="20"/>
        </w:rPr>
        <w:t>Exhibit 10.1</w:t>
      </w:r>
    </w:p>
    <w:p>
      <w:pPr>
        <w:pStyle w:val="TextBody"/>
        <w:spacing w:before="0" w:after="240"/>
        <w:jc w:val="center"/>
        <w:rPr>
          <w:rFonts w:ascii="Times New Roman;serif" w:hAnsi="Times New Roman;serif"/>
          <w:b/>
          <w:sz w:val="22"/>
          <w:u w:val="single"/>
        </w:rPr>
      </w:pPr>
      <w:r>
        <w:rPr>
          <w:rFonts w:ascii="Times New Roman;serif" w:hAnsi="Times New Roman;serif"/>
          <w:b/>
          <w:sz w:val="22"/>
          <w:u w:val="single"/>
        </w:rPr>
        <w:t>Employment Agreement</w:t>
      </w:r>
    </w:p>
    <w:p>
      <w:pPr>
        <w:pStyle w:val="TextBody"/>
        <w:spacing w:before="0" w:after="240"/>
        <w:jc w:val="left"/>
        <w:rPr>
          <w:rFonts w:ascii="Times New Roman" w:hAnsi="Times New Roman"/>
          <w:sz w:val="20"/>
        </w:rPr>
      </w:pPr>
      <w:r>
        <w:rPr>
          <w:rFonts w:ascii="Times New Roman;serif" w:hAnsi="Times New Roman;serif"/>
          <w:b w:val="false"/>
          <w:sz w:val="22"/>
        </w:rPr>
        <w:t>This Employment Agreement (this “</w:t>
      </w:r>
      <w:r>
        <w:rPr>
          <w:rFonts w:ascii="Times New Roman;serif" w:hAnsi="Times New Roman;serif"/>
          <w:b w:val="false"/>
          <w:sz w:val="22"/>
          <w:u w:val="single"/>
        </w:rPr>
        <w:t>Agreement</w:t>
      </w:r>
      <w:r>
        <w:rPr>
          <w:rFonts w:ascii="Times New Roman" w:hAnsi="Times New Roman"/>
          <w:sz w:val="20"/>
        </w:rPr>
        <w:t>”</w:t>
      </w:r>
      <w:r>
        <w:rPr>
          <w:rFonts w:ascii="Times New Roman;serif" w:hAnsi="Times New Roman;serif"/>
          <w:b w:val="false"/>
          <w:sz w:val="22"/>
        </w:rPr>
        <w:t>), effective as of April 3, 2023 (the “</w:t>
      </w:r>
      <w:r>
        <w:rPr>
          <w:rFonts w:ascii="Times New Roman;serif" w:hAnsi="Times New Roman;serif"/>
          <w:b w:val="false"/>
          <w:sz w:val="22"/>
          <w:u w:val="single"/>
        </w:rPr>
        <w:t>Effective Date</w:t>
      </w:r>
      <w:r>
        <w:rPr>
          <w:rFonts w:ascii="Times New Roman" w:hAnsi="Times New Roman"/>
          <w:sz w:val="20"/>
        </w:rPr>
        <w:t>”</w:t>
      </w:r>
      <w:r>
        <w:rPr>
          <w:rFonts w:ascii="Times New Roman;serif" w:hAnsi="Times New Roman;serif"/>
          <w:b w:val="false"/>
          <w:sz w:val="22"/>
        </w:rPr>
        <w:t>), is made by and between Sight Sciences, Inc., a Delaware corporation (together with any successor thereto,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and Alison Bauerlein (“</w:t>
      </w:r>
      <w:r>
        <w:rPr>
          <w:rFonts w:ascii="Times New Roman;serif" w:hAnsi="Times New Roman;serif"/>
          <w:b w:val="false"/>
          <w:sz w:val="22"/>
          <w:u w:val="single"/>
        </w:rPr>
        <w:t>Executive</w:t>
      </w:r>
      <w:r>
        <w:rPr>
          <w:rFonts w:ascii="Times New Roman" w:hAnsi="Times New Roman"/>
          <w:sz w:val="20"/>
        </w:rPr>
        <w:t>”</w:t>
      </w:r>
      <w:r>
        <w:rPr>
          <w:rFonts w:ascii="Times New Roman;serif" w:hAnsi="Times New Roman;serif"/>
          <w:b w:val="false"/>
          <w:sz w:val="22"/>
        </w:rPr>
        <w:t>) (collectively referred to herein as the “</w:t>
      </w:r>
      <w:r>
        <w:rPr>
          <w:rFonts w:ascii="Times New Roman;serif" w:hAnsi="Times New Roman;serif"/>
          <w:b w:val="false"/>
          <w:sz w:val="22"/>
          <w:u w:val="single"/>
        </w:rPr>
        <w:t>Parties</w:t>
      </w:r>
      <w:r>
        <w:rPr>
          <w:rFonts w:ascii="Times New Roman" w:hAnsi="Times New Roman"/>
          <w:sz w:val="20"/>
        </w:rPr>
        <w:t xml:space="preserve">” </w:t>
      </w:r>
      <w:r>
        <w:rPr>
          <w:rFonts w:ascii="Times New Roman;serif" w:hAnsi="Times New Roman;serif"/>
          <w:b w:val="false"/>
          <w:sz w:val="22"/>
        </w:rPr>
        <w:t>or individually referred to as a “</w:t>
      </w:r>
      <w:r>
        <w:rPr>
          <w:rFonts w:ascii="Times New Roman;serif" w:hAnsi="Times New Roman;serif"/>
          <w:b w:val="false"/>
          <w:sz w:val="22"/>
          <w:u w:val="single"/>
        </w:rPr>
        <w:t>Party</w:t>
      </w:r>
      <w:r>
        <w:rPr>
          <w:rFonts w:ascii="Times New Roman" w:hAnsi="Times New Roman"/>
          <w:sz w:val="20"/>
        </w:rPr>
        <w:t>”</w:t>
      </w:r>
      <w:r>
        <w:rPr>
          <w:rFonts w:ascii="Times New Roman;serif" w:hAnsi="Times New Roman;serif"/>
          <w:b w:val="false"/>
          <w:sz w:val="22"/>
        </w:rPr>
        <w:t>).</w:t>
      </w:r>
      <w:r>
        <w:rPr>
          <w:rFonts w:ascii="Times New Roman" w:hAnsi="Times New Roman"/>
          <w:sz w:val="20"/>
        </w:rPr>
        <w:t xml:space="preserve"> </w:t>
      </w:r>
    </w:p>
    <w:p>
      <w:pPr>
        <w:pStyle w:val="TextBody"/>
        <w:spacing w:before="0" w:after="240"/>
        <w:jc w:val="center"/>
        <w:rPr>
          <w:rFonts w:ascii="Times New Roman;serif" w:hAnsi="Times New Roman;serif"/>
          <w:b/>
          <w:sz w:val="22"/>
        </w:rPr>
      </w:pPr>
      <w:r>
        <w:rPr>
          <w:rFonts w:ascii="Times New Roman;serif" w:hAnsi="Times New Roman;serif"/>
          <w:b/>
          <w:sz w:val="22"/>
        </w:rPr>
        <w:t>RECITALS</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A. It is the desire of the Company to assure itself of the services of Executive as of the Effective Date and thereafter by entering into this Agreement.</w:t>
      </w:r>
    </w:p>
    <w:p>
      <w:pPr>
        <w:pStyle w:val="TextBody"/>
        <w:spacing w:before="0" w:after="240"/>
        <w:jc w:val="left"/>
        <w:rPr>
          <w:rFonts w:ascii="Times New Roman" w:hAnsi="Times New Roman"/>
          <w:sz w:val="20"/>
        </w:rPr>
      </w:pPr>
      <w:r>
        <w:rPr>
          <w:rFonts w:ascii="Times New Roman;serif" w:hAnsi="Times New Roman;serif"/>
          <w:b w:val="false"/>
          <w:sz w:val="22"/>
        </w:rPr>
        <w:t>B. Executive and the Company mutually desire that Executive provide services to the Company on the terms herein provided.</w:t>
      </w:r>
      <w:r>
        <w:rPr>
          <w:rFonts w:ascii="Times New Roman" w:hAnsi="Times New Roman"/>
          <w:sz w:val="20"/>
        </w:rPr>
        <w:t xml:space="preserve"> </w:t>
      </w:r>
    </w:p>
    <w:p>
      <w:pPr>
        <w:pStyle w:val="TextBody"/>
        <w:spacing w:before="0" w:after="240"/>
        <w:jc w:val="center"/>
        <w:rPr>
          <w:rFonts w:ascii="Times New Roman;serif" w:hAnsi="Times New Roman;serif"/>
          <w:b/>
          <w:sz w:val="22"/>
        </w:rPr>
      </w:pPr>
      <w:r>
        <w:rPr>
          <w:rFonts w:ascii="Times New Roman;serif" w:hAnsi="Times New Roman;serif"/>
          <w:b/>
          <w:sz w:val="22"/>
        </w:rPr>
        <w:t>AGREEMENT</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NOW, THEREFORE, in consideration of the foregoing and of the respective covenants and agreements set forth below, the Parties hereto agree as follows:</w:t>
      </w:r>
    </w:p>
    <w:p>
      <w:pPr>
        <w:pStyle w:val="TextBody"/>
        <w:spacing w:before="0" w:after="240"/>
        <w:jc w:val="left"/>
        <w:rPr>
          <w:rFonts w:ascii="Times New Roman" w:hAnsi="Times New Roman"/>
          <w:b/>
          <w:sz w:val="24"/>
        </w:rPr>
      </w:pPr>
      <w:r>
        <w:rPr>
          <w:rFonts w:ascii="Times New Roman" w:hAnsi="Times New Roman"/>
          <w:b/>
          <w:sz w:val="24"/>
        </w:rPr>
        <w:t>1.</w:t>
      </w:r>
    </w:p>
    <w:p>
      <w:pPr>
        <w:pStyle w:val="TextBody"/>
        <w:spacing w:before="0" w:after="240"/>
        <w:jc w:val="left"/>
        <w:rPr/>
      </w:pPr>
      <w:r>
        <w:rPr>
          <w:rFonts w:ascii="Times New Roman;serif" w:hAnsi="Times New Roman;serif"/>
          <w:b/>
          <w:sz w:val="22"/>
          <w:u w:val="single"/>
        </w:rPr>
        <w:t>Employment</w:t>
      </w:r>
      <w:r>
        <w:rPr>
          <w:rFonts w:ascii="Times New Roman;serif" w:hAnsi="Times New Roman;serif"/>
          <w:b/>
          <w:sz w:val="22"/>
        </w:rPr>
        <w:t>.</w:t>
      </w:r>
    </w:p>
    <w:p>
      <w:pPr>
        <w:pStyle w:val="TextBody"/>
        <w:spacing w:before="0" w:after="240"/>
        <w:jc w:val="left"/>
        <w:rPr>
          <w:rFonts w:ascii="Times New Roman" w:hAnsi="Times New Roman"/>
          <w:b w:val="false"/>
          <w:sz w:val="22"/>
        </w:rPr>
      </w:pPr>
      <w:r>
        <w:rPr>
          <w:rFonts w:ascii="Times New Roman" w:hAnsi="Times New Roman"/>
          <w:b w:val="false"/>
          <w:sz w:val="22"/>
        </w:rPr>
        <w:t>(a)</w:t>
      </w:r>
    </w:p>
    <w:p>
      <w:pPr>
        <w:pStyle w:val="TextBody"/>
        <w:spacing w:before="0" w:after="240"/>
        <w:jc w:val="left"/>
        <w:rPr/>
      </w:pPr>
      <w:r>
        <w:rPr>
          <w:rFonts w:ascii="Times New Roman;serif" w:hAnsi="Times New Roman;serif"/>
          <w:b w:val="false"/>
          <w:sz w:val="22"/>
          <w:u w:val="single"/>
        </w:rPr>
        <w:t>General</w:t>
      </w:r>
      <w:r>
        <w:rPr>
          <w:rFonts w:ascii="Times New Roman;serif" w:hAnsi="Times New Roman;serif"/>
          <w:b w:val="false"/>
          <w:sz w:val="22"/>
        </w:rPr>
        <w:t xml:space="preserve">. Effective on the Effective Date, the Company shall commence employment of Executive for the period and in the positions set forth in this </w:t>
      </w:r>
      <w:r>
        <w:rPr>
          <w:rFonts w:ascii="Times New Roman;serif" w:hAnsi="Times New Roman;serif"/>
          <w:b w:val="false"/>
          <w:sz w:val="22"/>
          <w:u w:val="single"/>
        </w:rPr>
        <w:t>Section 1</w:t>
      </w:r>
      <w:r>
        <w:rPr>
          <w:rFonts w:ascii="Times New Roman;serif" w:hAnsi="Times New Roman;serif"/>
          <w:b w:val="false"/>
          <w:sz w:val="22"/>
        </w:rPr>
        <w:t>, and subject to the other terms and conditions herein provided.</w:t>
      </w:r>
    </w:p>
    <w:p>
      <w:pPr>
        <w:pStyle w:val="TextBody"/>
        <w:spacing w:before="0" w:after="240"/>
        <w:jc w:val="left"/>
        <w:rPr>
          <w:rFonts w:ascii="Times New Roman" w:hAnsi="Times New Roman"/>
          <w:b w:val="false"/>
          <w:sz w:val="22"/>
        </w:rPr>
      </w:pPr>
      <w:r>
        <w:rPr>
          <w:rFonts w:ascii="Times New Roman" w:hAnsi="Times New Roman"/>
          <w:b w:val="false"/>
          <w:sz w:val="22"/>
        </w:rPr>
        <w:t>(b)</w:t>
      </w:r>
    </w:p>
    <w:p>
      <w:pPr>
        <w:pStyle w:val="TextBody"/>
        <w:spacing w:before="0" w:after="240"/>
        <w:jc w:val="left"/>
        <w:rPr/>
      </w:pPr>
      <w:r>
        <w:rPr>
          <w:rFonts w:ascii="Times New Roman;serif" w:hAnsi="Times New Roman;serif"/>
          <w:b w:val="false"/>
          <w:sz w:val="22"/>
          <w:u w:val="single"/>
        </w:rPr>
        <w:t>At-Will Employment</w:t>
      </w:r>
      <w:r>
        <w:rPr>
          <w:rFonts w:ascii="Times New Roman;serif" w:hAnsi="Times New Roman;serif"/>
          <w:b w:val="false"/>
          <w:sz w:val="22"/>
        </w:rPr>
        <w:t xml:space="preserve">. The Company and Executive acknowledge that Executive’s employment is at-will, as defined under applicable law, and that Executive’s employment with the Company may be terminated by either Party at any time for any or no reason (subject to the notice requirements of </w:t>
      </w:r>
      <w:r>
        <w:rPr>
          <w:rFonts w:ascii="Times New Roman;serif" w:hAnsi="Times New Roman;serif"/>
          <w:b w:val="false"/>
          <w:sz w:val="22"/>
          <w:u w:val="single"/>
        </w:rPr>
        <w:t>Section 3(b)</w:t>
      </w:r>
      <w:r>
        <w:rPr>
          <w:rFonts w:ascii="Times New Roman;serif" w:hAnsi="Times New Roman;serif"/>
          <w:b w:val="false"/>
          <w:sz w:val="22"/>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serif" w:hAnsi="Times New Roman;serif"/>
          <w:b w:val="false"/>
          <w:sz w:val="22"/>
          <w:u w:val="single"/>
        </w:rPr>
        <w:t>Term</w:t>
      </w:r>
      <w:r>
        <w:rPr/>
        <w:t>”</w:t>
      </w:r>
      <w:r>
        <w:rPr>
          <w:rFonts w:ascii="Times New Roman;serif" w:hAnsi="Times New Roman;serif"/>
          <w:b w:val="false"/>
          <w:sz w:val="22"/>
        </w:rPr>
        <w:t xml:space="preserve">) shall commence on the Effective Date and end on the date this Agreement is terminated under </w:t>
      </w:r>
      <w:r>
        <w:rPr>
          <w:rFonts w:ascii="Times New Roman;serif" w:hAnsi="Times New Roman;serif"/>
          <w:b w:val="false"/>
          <w:sz w:val="22"/>
          <w:u w:val="single"/>
        </w:rPr>
        <w:t>Section 3</w:t>
      </w:r>
      <w:r>
        <w:rPr>
          <w:rFonts w:ascii="Times New Roman;serif" w:hAnsi="Times New Roman;serif"/>
          <w:b w:val="false"/>
          <w:sz w:val="22"/>
        </w:rPr>
        <w:t>.</w:t>
      </w:r>
    </w:p>
    <w:p>
      <w:pPr>
        <w:pStyle w:val="TextBody"/>
        <w:spacing w:before="0" w:after="240"/>
        <w:jc w:val="left"/>
        <w:rPr>
          <w:rFonts w:ascii="Times New Roman" w:hAnsi="Times New Roman"/>
          <w:b w:val="false"/>
          <w:sz w:val="22"/>
        </w:rPr>
      </w:pPr>
      <w:r>
        <w:rPr>
          <w:rFonts w:ascii="Times New Roman" w:hAnsi="Times New Roman"/>
          <w:b w:val="false"/>
          <w:sz w:val="22"/>
        </w:rPr>
        <w:t>(c)</w:t>
      </w:r>
    </w:p>
    <w:p>
      <w:pPr>
        <w:pStyle w:val="TextBody"/>
        <w:spacing w:before="0" w:after="240"/>
        <w:jc w:val="left"/>
        <w:rPr/>
      </w:pPr>
      <w:r>
        <w:rPr>
          <w:rFonts w:ascii="Times New Roman;serif" w:hAnsi="Times New Roman;serif"/>
          <w:b w:val="false"/>
          <w:sz w:val="22"/>
          <w:u w:val="single"/>
        </w:rPr>
        <w:t>Positions and Duties</w:t>
      </w:r>
      <w:r>
        <w:rPr>
          <w:rFonts w:ascii="Times New Roman;serif" w:hAnsi="Times New Roman;serif"/>
          <w:b w:val="false"/>
          <w:sz w:val="22"/>
        </w:rPr>
        <w:t>. During the Term, Executive shall serve as Chief Financial Officer of the Company, with such responsibilities, duties and authority normally associated with such position and as may from time to time be assigned to Executive by the Chief Executive Officer of the Company.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Board of Directors of the Company or an authorized committee of the Board (in either case, the “</w:t>
      </w:r>
      <w:r>
        <w:rPr>
          <w:rFonts w:ascii="Times New Roman;serif" w:hAnsi="Times New Roman;serif"/>
          <w:b w:val="false"/>
          <w:sz w:val="22"/>
          <w:u w:val="single"/>
        </w:rPr>
        <w:t>Board</w:t>
      </w:r>
      <w:r>
        <w:rPr/>
        <w:t>”</w:t>
      </w:r>
      <w:r>
        <w:rPr>
          <w:rFonts w:ascii="Times New Roman;serif" w:hAnsi="Times New Roman;serif"/>
          <w:b w:val="false"/>
          <w:sz w:val="22"/>
        </w:rPr>
        <w:t xml:space="preserve">), provided that Executive shall be permitted to (i) manage Executive’s personal, financial and legal affairs, (ii) participate in trade associations, (iii) continue to serve on those private and public company boards of directors on which Executive is serving as of the Effective Date, and (iv) serve on the board of directors of not-for-profit or tax-exempt charitable organizations, in each case, subject to compliance with this </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rFonts w:ascii="Times New Roman;serif" w:hAnsi="Times New Roman;serif"/>
          <w:b w:val="false"/>
          <w:sz w:val="22"/>
        </w:rPr>
        <w:t>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(each, a “</w:t>
      </w:r>
      <w:r>
        <w:rPr>
          <w:rFonts w:ascii="Times New Roman;serif" w:hAnsi="Times New Roman;serif"/>
          <w:b w:val="false"/>
          <w:sz w:val="22"/>
          <w:u w:val="single"/>
        </w:rPr>
        <w:t>Policy</w:t>
      </w:r>
      <w:r>
        <w:rPr/>
        <w:t>”</w:t>
      </w:r>
      <w:r>
        <w:rPr>
          <w:rFonts w:ascii="Times New Roman;serif" w:hAnsi="Times New Roman;serif"/>
          <w:b w:val="false"/>
          <w:sz w:val="22"/>
        </w:rPr>
        <w:t>).</w:t>
      </w:r>
      <w:r>
        <w:rPr/>
        <w:t xml:space="preserve"> </w:t>
      </w:r>
    </w:p>
    <w:p>
      <w:pPr>
        <w:pStyle w:val="TextBody"/>
        <w:spacing w:before="0" w:after="240"/>
        <w:jc w:val="left"/>
        <w:rPr>
          <w:rFonts w:ascii="Times New Roman" w:hAnsi="Times New Roman"/>
          <w:b/>
          <w:sz w:val="24"/>
        </w:rPr>
      </w:pPr>
      <w:r>
        <w:rPr>
          <w:rFonts w:ascii="Times New Roman" w:hAnsi="Times New Roman"/>
          <w:b/>
          <w:sz w:val="24"/>
        </w:rPr>
        <w:t>2.</w:t>
      </w:r>
    </w:p>
    <w:p>
      <w:pPr>
        <w:pStyle w:val="TextBody"/>
        <w:spacing w:before="0" w:after="240"/>
        <w:jc w:val="left"/>
        <w:rPr/>
      </w:pPr>
      <w:r>
        <w:rPr>
          <w:rFonts w:ascii="Times New Roman;serif" w:hAnsi="Times New Roman;serif"/>
          <w:b/>
          <w:sz w:val="22"/>
          <w:u w:val="single"/>
        </w:rPr>
        <w:t>Compensation and Related Matters</w:t>
      </w:r>
      <w:r>
        <w:rPr>
          <w:rFonts w:ascii="Times New Roman;serif" w:hAnsi="Times New Roman;serif"/>
          <w:b/>
          <w:sz w:val="22"/>
        </w:rPr>
        <w:t>.</w:t>
      </w:r>
    </w:p>
    <w:p>
      <w:pPr>
        <w:pStyle w:val="TextBody"/>
        <w:spacing w:before="0" w:after="240"/>
        <w:jc w:val="left"/>
        <w:rPr>
          <w:rFonts w:ascii="Times New Roman" w:hAnsi="Times New Roman"/>
          <w:b w:val="false"/>
          <w:sz w:val="22"/>
        </w:rPr>
      </w:pPr>
      <w:r>
        <w:rPr>
          <w:rFonts w:ascii="Times New Roman" w:hAnsi="Times New Roman"/>
          <w:b w:val="false"/>
          <w:sz w:val="22"/>
        </w:rPr>
        <w:t>(a)</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40"/>
        <w:jc w:val="left"/>
        <w:rPr/>
      </w:pPr>
      <w:r>
        <w:rPr>
          <w:rFonts w:ascii="Times New Roman;serif" w:hAnsi="Times New Roman;serif"/>
          <w:b w:val="false"/>
          <w:sz w:val="22"/>
          <w:u w:val="single"/>
        </w:rPr>
        <w:t>Annual Base Salary</w:t>
      </w:r>
      <w:r>
        <w:rPr>
          <w:rFonts w:ascii="Times New Roman;serif" w:hAnsi="Times New Roman;serif"/>
          <w:b w:val="false"/>
          <w:sz w:val="22"/>
        </w:rPr>
        <w:t>. During the Term, Executive shall receive a base salary at a rate of $410,000 per annum, which shall be paid in accordance with the customary payroll practices of the Company and shall be pro-rated for partial years of employment. Such annual base salary shall be reviewed (and may be adjusted) from time to time by the Board (such annual base salary, as it may be adjusted from time to time, the “</w:t>
      </w:r>
      <w:r>
        <w:rPr>
          <w:rFonts w:ascii="Times New Roman;serif" w:hAnsi="Times New Roman;serif"/>
          <w:b w:val="false"/>
          <w:sz w:val="22"/>
          <w:u w:val="single"/>
        </w:rPr>
        <w:t>Annual Base Salary</w:t>
      </w:r>
      <w:r>
        <w:rPr/>
        <w:t>”</w:t>
      </w:r>
      <w:r>
        <w:rPr>
          <w:rFonts w:ascii="Times New Roman;serif" w:hAnsi="Times New Roman;serif"/>
          <w:b w:val="false"/>
          <w:sz w:val="22"/>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left"/>
        <w:rPr>
          <w:rFonts w:ascii="Times New Roman" w:hAnsi="Times New Roman"/>
          <w:b w:val="false"/>
          <w:sz w:val="22"/>
        </w:rPr>
      </w:pPr>
      <w:r>
        <w:rPr>
          <w:rFonts w:ascii="Times New Roman" w:hAnsi="Times New Roman"/>
          <w:b w:val="false"/>
          <w:sz w:val="22"/>
        </w:rPr>
        <w:t>(b)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40"/>
        <w:jc w:val="left"/>
        <w:rPr/>
      </w:pPr>
      <w:r>
        <w:rPr>
          <w:rFonts w:ascii="Times New Roman;serif" w:hAnsi="Times New Roman;serif"/>
          <w:b w:val="false"/>
          <w:sz w:val="22"/>
          <w:u w:val="single"/>
        </w:rPr>
        <w:t>Annual Cash Bonus</w:t>
      </w:r>
      <w:bookmarkStart w:id="24" w:name="ole_link2"/>
      <w:bookmarkEnd w:id="24"/>
      <w:r>
        <w:rPr>
          <w:u w:val="single"/>
        </w:rPr>
        <w:t xml:space="preserve"> </w:t>
      </w:r>
      <w:r>
        <w:rPr>
          <w:rFonts w:ascii="Times New Roman;serif" w:hAnsi="Times New Roman;serif"/>
          <w:b w:val="false"/>
          <w:sz w:val="22"/>
          <w:u w:val="single"/>
        </w:rPr>
        <w:t>Opportunity</w:t>
      </w:r>
      <w:r>
        <w:rPr>
          <w:rFonts w:ascii="Times New Roman;serif" w:hAnsi="Times New Roman;serif"/>
          <w:b w:val="false"/>
          <w:sz w:val="22"/>
        </w:rPr>
        <w:t>. During the Term, Executive will be eligible to participate in an annual incentive program established by the Board. Executive’s annual incentive compensation under such incentive program (the “</w:t>
      </w:r>
      <w:r>
        <w:rPr>
          <w:rFonts w:ascii="Times New Roman;serif" w:hAnsi="Times New Roman;serif"/>
          <w:b w:val="false"/>
          <w:sz w:val="22"/>
          <w:u w:val="single"/>
        </w:rPr>
        <w:t>Annual Bonus</w:t>
      </w:r>
      <w:r>
        <w:rPr/>
        <w:t>”</w:t>
      </w:r>
      <w:r>
        <w:rPr>
          <w:rFonts w:ascii="Times New Roman;serif" w:hAnsi="Times New Roman;serif"/>
          <w:b w:val="false"/>
          <w:sz w:val="22"/>
        </w:rPr>
        <w:t>) shall be targeted at 50% of Executive’s Annual Base Salary (such target, as may be adjusted by the Board from time to time, the “</w:t>
      </w:r>
      <w:r>
        <w:rPr>
          <w:rFonts w:ascii="Times New Roman;serif" w:hAnsi="Times New Roman;serif"/>
          <w:b w:val="false"/>
          <w:sz w:val="22"/>
          <w:u w:val="single"/>
        </w:rPr>
        <w:t>Target Annual Bonus</w:t>
      </w:r>
      <w:r>
        <w:rPr/>
        <w:t>”</w:t>
      </w:r>
      <w:r>
        <w:rPr>
          <w:rFonts w:ascii="Times New Roman;serif" w:hAnsi="Times New Roman;serif"/>
          <w:b w:val="false"/>
          <w:sz w:val="22"/>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Times New Roman;serif" w:hAnsi="Times New Roman;serif"/>
          <w:b w:val="false"/>
          <w:sz w:val="22"/>
          <w:u w:val="single"/>
        </w:rPr>
        <w:t>Section 4(b)</w:t>
      </w:r>
      <w:r>
        <w:rPr>
          <w:rFonts w:ascii="Times New Roman;serif" w:hAnsi="Times New Roman;serif"/>
          <w:b w:val="false"/>
          <w:sz w:val="22"/>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left"/>
        <w:rPr>
          <w:rFonts w:ascii="Times New Roman" w:hAnsi="Times New Roman"/>
          <w:b w:val="false"/>
          <w:sz w:val="22"/>
        </w:rPr>
      </w:pPr>
      <w:r>
        <w:rPr>
          <w:rFonts w:ascii="Times New Roman" w:hAnsi="Times New Roman"/>
          <w:b w:val="false"/>
          <w:sz w:val="22"/>
        </w:rPr>
        <w:t>(c)</w:t>
      </w:r>
    </w:p>
    <w:p>
      <w:pPr>
        <w:pStyle w:val="TextBody"/>
        <w:spacing w:before="0" w:after="240"/>
        <w:jc w:val="left"/>
        <w:rPr/>
      </w:pPr>
      <w:r>
        <w:rPr>
          <w:rFonts w:ascii="Times New Roman;serif" w:hAnsi="Times New Roman;serif"/>
          <w:b w:val="false"/>
          <w:sz w:val="22"/>
          <w:u w:val="single"/>
        </w:rPr>
        <w:t>Benefits</w:t>
      </w:r>
      <w:r>
        <w:rPr>
          <w:rFonts w:ascii="Times New Roman;serif" w:hAnsi="Times New Roman;serif"/>
          <w:b w:val="false"/>
          <w:sz w:val="22"/>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serif" w:hAnsi="Times New Roman;serif"/>
          <w:b w:val="false"/>
          <w:sz w:val="22"/>
          <w:u w:val="single"/>
        </w:rPr>
        <w:t>Section 4</w:t>
      </w:r>
      <w:r>
        <w:rPr/>
        <w:t xml:space="preserve"> </w:t>
      </w:r>
      <w:r>
        <w:rPr>
          <w:rFonts w:ascii="Times New Roman;serif" w:hAnsi="Times New Roman;serif"/>
          <w:b w:val="false"/>
          <w:sz w:val="22"/>
        </w:rPr>
        <w:t>of this Agreement.</w:t>
      </w:r>
    </w:p>
    <w:p>
      <w:pPr>
        <w:pStyle w:val="TextBody"/>
        <w:spacing w:before="0" w:after="240"/>
        <w:jc w:val="left"/>
        <w:rPr>
          <w:rFonts w:ascii="Times New Roman" w:hAnsi="Times New Roman"/>
          <w:b w:val="false"/>
          <w:sz w:val="22"/>
        </w:rPr>
      </w:pPr>
      <w:r>
        <w:rPr>
          <w:rFonts w:ascii="Times New Roman" w:hAnsi="Times New Roman"/>
          <w:b w:val="false"/>
          <w:sz w:val="22"/>
        </w:rPr>
        <w:t>(d)</w:t>
      </w:r>
    </w:p>
    <w:p>
      <w:pPr>
        <w:pStyle w:val="TextBody"/>
        <w:spacing w:before="0" w:after="240"/>
        <w:jc w:val="left"/>
        <w:rPr/>
      </w:pPr>
      <w:r>
        <w:rPr>
          <w:rFonts w:ascii="Times New Roman;serif" w:hAnsi="Times New Roman;serif"/>
          <w:b w:val="false"/>
          <w:sz w:val="22"/>
          <w:u w:val="single"/>
        </w:rPr>
        <w:t>Vacation</w:t>
      </w:r>
      <w:r>
        <w:rPr>
          <w:rFonts w:ascii="Times New Roman;serif" w:hAnsi="Times New Roman;serif"/>
          <w:b w:val="false"/>
          <w:sz w:val="22"/>
        </w:rPr>
        <w:t xml:space="preserve">. During the Term, Executive shall be entitled to paid personal leave in accordance with the Company’s Policies. Any vacation shall be taken at the reasonable and mutual convenience of the Company and Executive. </w:t>
      </w:r>
    </w:p>
    <w:p>
      <w:pPr>
        <w:pStyle w:val="TextBody"/>
        <w:spacing w:before="0" w:after="240"/>
        <w:jc w:val="left"/>
        <w:rPr>
          <w:rFonts w:ascii="Times New Roman" w:hAnsi="Times New Roman"/>
          <w:b w:val="false"/>
          <w:sz w:val="22"/>
        </w:rPr>
      </w:pPr>
      <w:r>
        <w:rPr>
          <w:rFonts w:ascii="Times New Roman" w:hAnsi="Times New Roman"/>
          <w:b w:val="false"/>
          <w:sz w:val="22"/>
        </w:rPr>
        <w:t>(e)</w:t>
      </w:r>
    </w:p>
    <w:p>
      <w:pPr>
        <w:pStyle w:val="TextBody"/>
        <w:spacing w:before="0" w:after="240"/>
        <w:jc w:val="left"/>
        <w:rPr/>
      </w:pPr>
      <w:r>
        <w:rPr>
          <w:rFonts w:ascii="Times New Roman;serif" w:hAnsi="Times New Roman;serif"/>
          <w:b w:val="false"/>
          <w:sz w:val="22"/>
          <w:u w:val="single"/>
        </w:rPr>
        <w:t>Business Expenses</w:t>
      </w:r>
      <w:r>
        <w:rPr>
          <w:rFonts w:ascii="Times New Roman;serif" w:hAnsi="Times New Roman;serif"/>
          <w:b w:val="false"/>
          <w:sz w:val="22"/>
        </w:rPr>
        <w:t>. During the Term, the Company shall reimburse Executive for all reasonable travel and other business expenses incurred by Executive in the performance of Executive’s duties to the Company in accordance with the Company’s expense reimbursement Policy.</w:t>
      </w:r>
    </w:p>
    <w:p>
      <w:pPr>
        <w:pStyle w:val="TextBody"/>
        <w:spacing w:before="0" w:after="240"/>
        <w:jc w:val="left"/>
        <w:rPr>
          <w:rFonts w:ascii="Times New Roman" w:hAnsi="Times New Roman"/>
          <w:b w:val="false"/>
          <w:sz w:val="22"/>
        </w:rPr>
      </w:pPr>
      <w:r>
        <w:rPr>
          <w:rFonts w:ascii="Times New Roman" w:hAnsi="Times New Roman"/>
          <w:b w:val="false"/>
          <w:sz w:val="22"/>
        </w:rPr>
        <w:t>(f)</w:t>
      </w:r>
    </w:p>
    <w:p>
      <w:pPr>
        <w:pStyle w:val="TextBody"/>
        <w:spacing w:before="0" w:after="240"/>
        <w:jc w:val="left"/>
        <w:rPr/>
      </w:pPr>
      <w:r>
        <w:rPr>
          <w:rFonts w:ascii="Times New Roman;serif" w:hAnsi="Times New Roman;serif"/>
          <w:b w:val="false"/>
          <w:sz w:val="22"/>
          <w:u w:val="single"/>
        </w:rPr>
        <w:t>Key Person Insurance</w:t>
      </w:r>
      <w:r>
        <w:rPr>
          <w:rFonts w:ascii="Times New Roman;serif" w:hAnsi="Times New Roman;serif"/>
          <w:b w:val="false"/>
          <w:sz w:val="22"/>
        </w:rPr>
        <w:t xml:space="preserve">.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2</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rFonts w:ascii="Times New Roman" w:hAnsi="Times New Roman"/>
          <w:b/>
          <w:sz w:val="24"/>
        </w:rPr>
      </w:pPr>
      <w:r>
        <w:rPr>
          <w:rFonts w:ascii="Times New Roman" w:hAnsi="Times New Roman"/>
          <w:b/>
          <w:sz w:val="24"/>
        </w:rPr>
        <w:t>3.</w:t>
      </w:r>
    </w:p>
    <w:p>
      <w:pPr>
        <w:pStyle w:val="TextBody"/>
        <w:spacing w:before="0" w:after="240"/>
        <w:jc w:val="left"/>
        <w:rPr/>
      </w:pPr>
      <w:r>
        <w:rPr>
          <w:rFonts w:ascii="Times New Roman;serif" w:hAnsi="Times New Roman;serif"/>
          <w:b/>
          <w:sz w:val="22"/>
          <w:u w:val="single"/>
        </w:rPr>
        <w:t>Termination</w:t>
      </w:r>
      <w:r>
        <w:rPr>
          <w:rFonts w:ascii="Times New Roman;serif" w:hAnsi="Times New Roman;serif"/>
          <w:b/>
          <w:sz w:val="22"/>
        </w:rPr>
        <w:t>.</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Executive’s employment hereunder and the Term may be terminated by the Company or Executive, as applicable, without any breach of this Agreement under the following circumstances and the Term will end on the Date of Termination:</w:t>
      </w:r>
    </w:p>
    <w:p>
      <w:pPr>
        <w:pStyle w:val="TextBody"/>
        <w:spacing w:before="0" w:after="240"/>
        <w:jc w:val="left"/>
        <w:rPr>
          <w:rFonts w:ascii="Times New Roman" w:hAnsi="Times New Roman"/>
          <w:b w:val="false"/>
          <w:sz w:val="22"/>
        </w:rPr>
      </w:pPr>
      <w:r>
        <w:rPr>
          <w:rFonts w:ascii="Times New Roman" w:hAnsi="Times New Roman"/>
          <w:b w:val="false"/>
          <w:sz w:val="22"/>
        </w:rPr>
        <w:t>(a)</w:t>
      </w:r>
    </w:p>
    <w:p>
      <w:pPr>
        <w:pStyle w:val="TextBody"/>
        <w:spacing w:before="0" w:after="240"/>
        <w:jc w:val="left"/>
        <w:rPr/>
      </w:pPr>
      <w:r>
        <w:rPr>
          <w:rFonts w:ascii="Times New Roman;serif" w:hAnsi="Times New Roman;serif"/>
          <w:b w:val="false"/>
          <w:sz w:val="22"/>
          <w:u w:val="single"/>
        </w:rPr>
        <w:t>Circumstances</w:t>
      </w:r>
      <w:r>
        <w:rPr>
          <w:rFonts w:ascii="Times New Roman;serif" w:hAnsi="Times New Roman;serif"/>
          <w:b w:val="false"/>
          <w:sz w:val="22"/>
        </w:rPr>
        <w:t>.</w:t>
      </w:r>
    </w:p>
    <w:p>
      <w:pPr>
        <w:pStyle w:val="TextBody"/>
        <w:spacing w:before="0" w:after="240"/>
        <w:jc w:val="left"/>
        <w:rPr>
          <w:rFonts w:ascii="Times New Roman" w:hAnsi="Times New Roman"/>
          <w:b w:val="false"/>
          <w:sz w:val="22"/>
        </w:rPr>
      </w:pPr>
      <w:r>
        <w:rPr>
          <w:rFonts w:ascii="Times New Roman" w:hAnsi="Times New Roman"/>
          <w:b w:val="false"/>
          <w:sz w:val="22"/>
        </w:rPr>
        <w:t>(i)</w:t>
      </w:r>
    </w:p>
    <w:p>
      <w:pPr>
        <w:pStyle w:val="TextBody"/>
        <w:spacing w:before="0" w:after="240"/>
        <w:jc w:val="left"/>
        <w:rPr/>
      </w:pPr>
      <w:r>
        <w:rPr>
          <w:rFonts w:ascii="Times New Roman;serif" w:hAnsi="Times New Roman;serif"/>
          <w:b w:val="false"/>
          <w:i/>
          <w:sz w:val="22"/>
        </w:rPr>
        <w:t>Death</w:t>
      </w:r>
      <w:r>
        <w:rPr>
          <w:rFonts w:ascii="Times New Roman;serif" w:hAnsi="Times New Roman;serif"/>
          <w:b w:val="false"/>
          <w:sz w:val="22"/>
        </w:rPr>
        <w:t>. Executive’s employment hereunder shall terminate upon Executive’s death.</w:t>
      </w:r>
    </w:p>
    <w:p>
      <w:pPr>
        <w:pStyle w:val="TextBody"/>
        <w:spacing w:before="0" w:after="240"/>
        <w:jc w:val="left"/>
        <w:rPr>
          <w:rFonts w:ascii="Times New Roman" w:hAnsi="Times New Roman"/>
          <w:b w:val="false"/>
          <w:sz w:val="22"/>
        </w:rPr>
      </w:pPr>
      <w:r>
        <w:rPr>
          <w:rFonts w:ascii="Times New Roman" w:hAnsi="Times New Roman"/>
          <w:b w:val="false"/>
          <w:sz w:val="22"/>
        </w:rPr>
        <w:t>(ii)</w:t>
      </w:r>
    </w:p>
    <w:p>
      <w:pPr>
        <w:pStyle w:val="TextBody"/>
        <w:spacing w:before="0" w:after="240"/>
        <w:jc w:val="left"/>
        <w:rPr/>
      </w:pPr>
      <w:r>
        <w:rPr>
          <w:rFonts w:ascii="Times New Roman;serif" w:hAnsi="Times New Roman;serif"/>
          <w:b w:val="false"/>
          <w:i/>
          <w:sz w:val="22"/>
        </w:rPr>
        <w:t>Disability</w:t>
      </w:r>
      <w:r>
        <w:rPr>
          <w:rFonts w:ascii="Times New Roman;serif" w:hAnsi="Times New Roman;serif"/>
          <w:b w:val="false"/>
          <w:sz w:val="22"/>
        </w:rPr>
        <w:t>. If Executive has incurred a Disability, as defined below, the Company may terminate Executive’s employment.</w:t>
      </w:r>
    </w:p>
    <w:p>
      <w:pPr>
        <w:pStyle w:val="TextBody"/>
        <w:spacing w:before="0" w:after="240"/>
        <w:jc w:val="left"/>
        <w:rPr>
          <w:rFonts w:ascii="Times New Roman" w:hAnsi="Times New Roman"/>
          <w:b w:val="false"/>
          <w:sz w:val="22"/>
        </w:rPr>
      </w:pPr>
      <w:r>
        <w:rPr>
          <w:rFonts w:ascii="Times New Roman" w:hAnsi="Times New Roman"/>
          <w:b w:val="false"/>
          <w:sz w:val="22"/>
        </w:rPr>
        <w:t>(iii)</w:t>
      </w:r>
    </w:p>
    <w:p>
      <w:pPr>
        <w:pStyle w:val="TextBody"/>
        <w:spacing w:before="0" w:after="240"/>
        <w:jc w:val="left"/>
        <w:rPr/>
      </w:pPr>
      <w:r>
        <w:rPr>
          <w:rFonts w:ascii="Times New Roman;serif" w:hAnsi="Times New Roman;serif"/>
          <w:b w:val="false"/>
          <w:i/>
          <w:sz w:val="22"/>
        </w:rPr>
        <w:t>Termination for Cause</w:t>
      </w:r>
      <w:r>
        <w:rPr>
          <w:rFonts w:ascii="Times New Roman;serif" w:hAnsi="Times New Roman;serif"/>
          <w:b w:val="false"/>
          <w:sz w:val="22"/>
        </w:rPr>
        <w:t>. The Company may terminate Executive’s employment for Cause, as defined below.</w:t>
      </w:r>
    </w:p>
    <w:p>
      <w:pPr>
        <w:pStyle w:val="TextBody"/>
        <w:spacing w:before="0" w:after="240"/>
        <w:jc w:val="left"/>
        <w:rPr>
          <w:rFonts w:ascii="Times New Roman" w:hAnsi="Times New Roman"/>
          <w:b w:val="false"/>
          <w:sz w:val="22"/>
        </w:rPr>
      </w:pPr>
      <w:r>
        <w:rPr>
          <w:rFonts w:ascii="Times New Roman" w:hAnsi="Times New Roman"/>
          <w:b w:val="false"/>
          <w:sz w:val="22"/>
        </w:rPr>
        <w:t>(iv)</w:t>
      </w:r>
    </w:p>
    <w:p>
      <w:pPr>
        <w:pStyle w:val="TextBody"/>
        <w:spacing w:before="0" w:after="240"/>
        <w:jc w:val="left"/>
        <w:rPr/>
      </w:pPr>
      <w:r>
        <w:rPr>
          <w:rFonts w:ascii="Times New Roman;serif" w:hAnsi="Times New Roman;serif"/>
          <w:b w:val="false"/>
          <w:i/>
          <w:sz w:val="22"/>
        </w:rPr>
        <w:t>Termination without Cause</w:t>
      </w:r>
      <w:r>
        <w:rPr>
          <w:rFonts w:ascii="Times New Roman;serif" w:hAnsi="Times New Roman;serif"/>
          <w:b w:val="false"/>
          <w:sz w:val="22"/>
        </w:rPr>
        <w:t>. The Company may terminate Executive’s employment without Cause.</w:t>
      </w:r>
    </w:p>
    <w:p>
      <w:pPr>
        <w:pStyle w:val="TextBody"/>
        <w:spacing w:before="0" w:after="240"/>
        <w:jc w:val="left"/>
        <w:rPr>
          <w:rFonts w:ascii="Times New Roman" w:hAnsi="Times New Roman"/>
          <w:b w:val="false"/>
          <w:sz w:val="22"/>
        </w:rPr>
      </w:pPr>
      <w:r>
        <w:rPr>
          <w:rFonts w:ascii="Times New Roman" w:hAnsi="Times New Roman"/>
          <w:b w:val="false"/>
          <w:sz w:val="22"/>
        </w:rPr>
        <w:t>(v)</w:t>
      </w:r>
    </w:p>
    <w:p>
      <w:pPr>
        <w:pStyle w:val="TextBody"/>
        <w:spacing w:before="0" w:after="240"/>
        <w:jc w:val="left"/>
        <w:rPr/>
      </w:pPr>
      <w:r>
        <w:rPr>
          <w:rFonts w:ascii="Times New Roman;serif" w:hAnsi="Times New Roman;serif"/>
          <w:b w:val="false"/>
          <w:i/>
          <w:sz w:val="22"/>
        </w:rPr>
        <w:t xml:space="preserve">Resignation from the Company with Good Reason. </w:t>
      </w:r>
      <w:r>
        <w:rPr>
          <w:rFonts w:ascii="Times New Roman;serif" w:hAnsi="Times New Roman;serif"/>
          <w:b w:val="false"/>
          <w:sz w:val="22"/>
        </w:rPr>
        <w:t>Executive may resign Executive’s employment with the Company with Good Reason, as defined below.</w:t>
      </w:r>
    </w:p>
    <w:p>
      <w:pPr>
        <w:pStyle w:val="TextBody"/>
        <w:spacing w:before="0" w:after="240"/>
        <w:jc w:val="left"/>
        <w:rPr>
          <w:rFonts w:ascii="Times New Roman" w:hAnsi="Times New Roman"/>
          <w:b w:val="false"/>
          <w:sz w:val="22"/>
        </w:rPr>
      </w:pPr>
      <w:r>
        <w:rPr>
          <w:rFonts w:ascii="Times New Roman" w:hAnsi="Times New Roman"/>
          <w:b w:val="false"/>
          <w:sz w:val="22"/>
        </w:rPr>
        <w:t>(vi)</w:t>
      </w:r>
    </w:p>
    <w:p>
      <w:pPr>
        <w:pStyle w:val="TextBody"/>
        <w:spacing w:before="0" w:after="240"/>
        <w:jc w:val="left"/>
        <w:rPr/>
      </w:pPr>
      <w:r>
        <w:rPr>
          <w:rFonts w:ascii="Times New Roman;serif" w:hAnsi="Times New Roman;serif"/>
          <w:b w:val="false"/>
          <w:i/>
          <w:sz w:val="22"/>
        </w:rPr>
        <w:t>Resignation from the Company without Good Reason</w:t>
      </w:r>
      <w:r>
        <w:rPr>
          <w:rFonts w:ascii="Times New Roman;serif" w:hAnsi="Times New Roman;serif"/>
          <w:b w:val="false"/>
          <w:sz w:val="22"/>
        </w:rPr>
        <w:t>. Executive may resign Executive’s employment with the Company for any reason other than Good Reason or for no reason.</w:t>
      </w:r>
    </w:p>
    <w:p>
      <w:pPr>
        <w:pStyle w:val="TextBody"/>
        <w:spacing w:before="0" w:after="240"/>
        <w:jc w:val="left"/>
        <w:rPr>
          <w:rFonts w:ascii="Times New Roman" w:hAnsi="Times New Roman"/>
          <w:b w:val="false"/>
          <w:sz w:val="22"/>
        </w:rPr>
      </w:pPr>
      <w:r>
        <w:rPr>
          <w:rFonts w:ascii="Times New Roman" w:hAnsi="Times New Roman"/>
          <w:b w:val="false"/>
          <w:sz w:val="22"/>
        </w:rPr>
        <w:t>(b)</w:t>
      </w:r>
    </w:p>
    <w:p>
      <w:pPr>
        <w:pStyle w:val="TextBody"/>
        <w:spacing w:before="0" w:after="240"/>
        <w:jc w:val="left"/>
        <w:rPr/>
      </w:pPr>
      <w:r>
        <w:rPr>
          <w:rFonts w:ascii="Times New Roman;serif" w:hAnsi="Times New Roman;serif"/>
          <w:b w:val="false"/>
          <w:sz w:val="22"/>
          <w:u w:val="single"/>
        </w:rPr>
        <w:t>Notice of Termination</w:t>
      </w:r>
      <w:r>
        <w:rPr>
          <w:rFonts w:ascii="Times New Roman;serif" w:hAnsi="Times New Roman;serif"/>
          <w:b w:val="false"/>
          <w:sz w:val="22"/>
        </w:rPr>
        <w:t xml:space="preserve">. Any termination of Executive’s employment by the Company or by Executive under this </w:t>
      </w:r>
      <w:r>
        <w:rPr>
          <w:rFonts w:ascii="Times New Roman;serif" w:hAnsi="Times New Roman;serif"/>
          <w:b w:val="false"/>
          <w:sz w:val="22"/>
          <w:u w:val="single"/>
        </w:rPr>
        <w:t>Section 3</w:t>
      </w:r>
      <w:r>
        <w:rPr/>
        <w:t xml:space="preserve"> </w:t>
      </w:r>
      <w:r>
        <w:rPr>
          <w:rFonts w:ascii="Times New Roman;serif" w:hAnsi="Times New Roman;serif"/>
          <w:b w:val="false"/>
          <w:sz w:val="22"/>
        </w:rPr>
        <w:t xml:space="preserve">(other than termination pursuant to </w:t>
      </w:r>
      <w:r>
        <w:rPr>
          <w:rFonts w:ascii="Times New Roman;serif" w:hAnsi="Times New Roman;serif"/>
          <w:b w:val="false"/>
          <w:sz w:val="22"/>
          <w:u w:val="single"/>
        </w:rPr>
        <w:t>Section 3(a)(i))</w:t>
      </w:r>
      <w:r>
        <w:rPr/>
        <w:t xml:space="preserve"> </w:t>
      </w:r>
      <w:r>
        <w:rPr>
          <w:rFonts w:ascii="Times New Roman;serif" w:hAnsi="Times New Roman;serif"/>
          <w:b w:val="false"/>
          <w:sz w:val="22"/>
        </w:rPr>
        <w:t>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Times New Roman;serif" w:hAnsi="Times New Roman;serif"/>
          <w:b w:val="false"/>
          <w:sz w:val="22"/>
          <w:u w:val="single"/>
        </w:rPr>
        <w:t>Notice of Termination</w:t>
      </w:r>
      <w:r>
        <w:rPr/>
        <w:t>”</w:t>
      </w:r>
      <w:r>
        <w:rPr>
          <w:rFonts w:ascii="Times New Roman;serif" w:hAnsi="Times New Roman;serif"/>
          <w:b w:val="false"/>
          <w:sz w:val="22"/>
        </w:rPr>
        <w:t xml:space="preserve">); </w:t>
      </w:r>
      <w:r>
        <w:rPr>
          <w:rFonts w:ascii="Times New Roman;serif" w:hAnsi="Times New Roman;serif"/>
          <w:b w:val="false"/>
          <w:i/>
          <w:sz w:val="22"/>
        </w:rPr>
        <w:t>provided, however</w:t>
      </w:r>
      <w:r>
        <w:rPr>
          <w:rFonts w:ascii="Times New Roman;serif" w:hAnsi="Times New Roman;serif"/>
          <w:b w:val="false"/>
          <w:sz w:val="22"/>
        </w:rPr>
        <w:t xml:space="preserve">,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 </w:t>
      </w:r>
    </w:p>
    <w:p>
      <w:pPr>
        <w:pStyle w:val="TextBody"/>
        <w:spacing w:before="0" w:after="240"/>
        <w:jc w:val="left"/>
        <w:rPr>
          <w:rFonts w:ascii="Times New Roman" w:hAnsi="Times New Roman"/>
          <w:b w:val="false"/>
          <w:sz w:val="22"/>
        </w:rPr>
      </w:pPr>
      <w:r>
        <w:rPr>
          <w:rFonts w:ascii="Times New Roman" w:hAnsi="Times New Roman"/>
          <w:b w:val="false"/>
          <w:sz w:val="22"/>
        </w:rPr>
        <w:t>(c)</w:t>
      </w:r>
    </w:p>
    <w:p>
      <w:pPr>
        <w:pStyle w:val="TextBody"/>
        <w:spacing w:before="0" w:after="240"/>
        <w:jc w:val="left"/>
        <w:rPr/>
      </w:pPr>
      <w:r>
        <w:rPr>
          <w:rFonts w:ascii="Times New Roman;serif" w:hAnsi="Times New Roman;serif"/>
          <w:b w:val="false"/>
          <w:sz w:val="22"/>
          <w:u w:val="single"/>
        </w:rPr>
        <w:t>Company Obligations upon Termination</w:t>
      </w:r>
      <w:r>
        <w:rPr>
          <w:rFonts w:ascii="Times New Roman;serif" w:hAnsi="Times New Roman;serif"/>
          <w:b w:val="false"/>
          <w:sz w:val="22"/>
        </w:rPr>
        <w:t xml:space="preserve">. Upon termination of Executive’s employment pursuant to any of the circumstances listed in this </w:t>
      </w:r>
      <w:r>
        <w:rPr>
          <w:rFonts w:ascii="Times New Roman;serif" w:hAnsi="Times New Roman;serif"/>
          <w:b w:val="false"/>
          <w:sz w:val="22"/>
          <w:u w:val="single"/>
        </w:rPr>
        <w:t>Section 3</w:t>
      </w:r>
      <w:r>
        <w:rPr>
          <w:rFonts w:ascii="Times New Roman;serif" w:hAnsi="Times New Roman;serif"/>
          <w:b w:val="false"/>
          <w:sz w:val="22"/>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Times New Roman;serif" w:hAnsi="Times New Roman;serif"/>
          <w:b w:val="false"/>
          <w:sz w:val="22"/>
          <w:u w:val="single"/>
        </w:rPr>
        <w:t>Section 2(e)</w:t>
      </w:r>
      <w:r>
        <w:rPr>
          <w:rFonts w:ascii="Times New Roman;serif" w:hAnsi="Times New Roman;serif"/>
          <w:b w:val="false"/>
          <w:sz w:val="22"/>
        </w:rPr>
        <w:t xml:space="preserve">; and (iii) any amount accrued and arising from Executive’s participation in, or benefits accrued under any employee benefit plans, programs or arrangements, which amounts shall be payable in accordance with the terms and conditions of such employee benefit plans, programs or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3</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rFonts w:ascii="Times New Roman;serif" w:hAnsi="Times New Roman;serif"/>
          <w:b w:val="false"/>
          <w:sz w:val="22"/>
        </w:rPr>
        <w:t>arrangements (collectively, the “</w:t>
      </w:r>
      <w:r>
        <w:rPr>
          <w:rFonts w:ascii="Times New Roman;serif" w:hAnsi="Times New Roman;serif"/>
          <w:b w:val="false"/>
          <w:sz w:val="22"/>
          <w:u w:val="single"/>
        </w:rPr>
        <w:t>Company Arrangements</w:t>
      </w:r>
      <w:r>
        <w:rPr/>
        <w:t>”</w:t>
      </w:r>
      <w:r>
        <w:rPr>
          <w:rFonts w:ascii="Times New Roman;serif" w:hAnsi="Times New Roman;serif"/>
          <w:b w:val="false"/>
          <w:sz w:val="22"/>
        </w:rPr>
        <w:t>). Except as otherwise expressly required by law (</w:t>
      </w:r>
      <w:r>
        <w:rPr>
          <w:rFonts w:ascii="Times New Roman;serif" w:hAnsi="Times New Roman;serif"/>
          <w:b w:val="false"/>
          <w:sz w:val="22"/>
          <w:u w:val="single"/>
        </w:rPr>
        <w:t>e.g.</w:t>
      </w:r>
      <w:r>
        <w:rPr>
          <w:rFonts w:ascii="Times New Roman;serif" w:hAnsi="Times New Roman;serif"/>
          <w:b w:val="false"/>
          <w:sz w:val="22"/>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Times New Roman;serif" w:hAnsi="Times New Roman;serif"/>
          <w:b w:val="false"/>
          <w:sz w:val="22"/>
          <w:u w:val="single"/>
        </w:rPr>
        <w:t xml:space="preserve">Section 3(c) </w:t>
      </w:r>
      <w:r>
        <w:rPr>
          <w:rFonts w:ascii="Times New Roman;serif" w:hAnsi="Times New Roman;serif"/>
          <w:b w:val="false"/>
          <w:sz w:val="22"/>
        </w:rPr>
        <w:t xml:space="preserve">or </w:t>
      </w:r>
      <w:r>
        <w:rPr>
          <w:rFonts w:ascii="Times New Roman;serif" w:hAnsi="Times New Roman;serif"/>
          <w:b w:val="false"/>
          <w:sz w:val="22"/>
          <w:u w:val="single"/>
        </w:rPr>
        <w:t>Section 4</w:t>
      </w:r>
      <w:r>
        <w:rPr>
          <w:rFonts w:ascii="Times New Roman;serif" w:hAnsi="Times New Roman;serif"/>
          <w:b w:val="false"/>
          <w:sz w:val="22"/>
        </w:rPr>
        <w:t>, as applicable.</w:t>
      </w:r>
      <w:r>
        <w:rPr/>
        <w:t xml:space="preserve"> </w:t>
      </w:r>
    </w:p>
    <w:p>
      <w:pPr>
        <w:pStyle w:val="TextBody"/>
        <w:spacing w:before="0" w:after="240"/>
        <w:jc w:val="left"/>
        <w:rPr>
          <w:rFonts w:ascii="Times New Roman" w:hAnsi="Times New Roman"/>
          <w:b w:val="false"/>
          <w:sz w:val="22"/>
        </w:rPr>
      </w:pPr>
      <w:r>
        <w:rPr>
          <w:rFonts w:ascii="Times New Roman" w:hAnsi="Times New Roman"/>
          <w:b w:val="false"/>
          <w:sz w:val="22"/>
        </w:rPr>
        <w:t>(d)</w:t>
      </w:r>
    </w:p>
    <w:p>
      <w:pPr>
        <w:pStyle w:val="TextBody"/>
        <w:spacing w:before="0" w:after="240"/>
        <w:jc w:val="left"/>
        <w:rPr/>
      </w:pPr>
      <w:r>
        <w:rPr>
          <w:rFonts w:ascii="Times New Roman;serif" w:hAnsi="Times New Roman;serif"/>
          <w:b w:val="false"/>
          <w:sz w:val="22"/>
          <w:u w:val="single"/>
        </w:rPr>
        <w:t>Deemed Resignation</w:t>
      </w:r>
      <w:r>
        <w:rPr>
          <w:rFonts w:ascii="Times New Roman;serif" w:hAnsi="Times New Roman;serif"/>
          <w:b w:val="false"/>
          <w:sz w:val="22"/>
        </w:rPr>
        <w:t>. Upon termination of Executive’s employment for any reason, Executive shall be deemed to have resigned from all offices and directorships, if any, then held with the Company or any of its subsidiaries.</w:t>
      </w:r>
    </w:p>
    <w:p>
      <w:pPr>
        <w:pStyle w:val="TextBody"/>
        <w:spacing w:before="0" w:after="240"/>
        <w:jc w:val="left"/>
        <w:rPr>
          <w:rFonts w:ascii="Times New Roman" w:hAnsi="Times New Roman"/>
          <w:b/>
          <w:sz w:val="24"/>
        </w:rPr>
      </w:pPr>
      <w:r>
        <w:rPr>
          <w:rFonts w:ascii="Times New Roman" w:hAnsi="Times New Roman"/>
          <w:b/>
          <w:sz w:val="24"/>
        </w:rPr>
        <w:t>4.</w:t>
      </w:r>
    </w:p>
    <w:p>
      <w:pPr>
        <w:pStyle w:val="TextBody"/>
        <w:spacing w:before="0" w:after="240"/>
        <w:jc w:val="left"/>
        <w:rPr/>
      </w:pPr>
      <w:r>
        <w:rPr>
          <w:rFonts w:ascii="Times New Roman;serif" w:hAnsi="Times New Roman;serif"/>
          <w:b/>
          <w:sz w:val="22"/>
          <w:u w:val="single"/>
        </w:rPr>
        <w:t>Severance Payments</w:t>
      </w:r>
      <w:r>
        <w:rPr>
          <w:rFonts w:ascii="Times New Roman;serif" w:hAnsi="Times New Roman;serif"/>
          <w:b/>
          <w:sz w:val="22"/>
        </w:rPr>
        <w:t>.</w:t>
      </w:r>
    </w:p>
    <w:p>
      <w:pPr>
        <w:pStyle w:val="TextBody"/>
        <w:spacing w:before="0" w:after="240"/>
        <w:jc w:val="left"/>
        <w:rPr>
          <w:rFonts w:ascii="Times New Roman" w:hAnsi="Times New Roman"/>
          <w:b w:val="false"/>
          <w:sz w:val="22"/>
        </w:rPr>
      </w:pPr>
      <w:r>
        <w:rPr>
          <w:rFonts w:ascii="Times New Roman" w:hAnsi="Times New Roman"/>
          <w:b w:val="false"/>
          <w:sz w:val="22"/>
        </w:rPr>
        <w:t>(a)</w:t>
      </w:r>
    </w:p>
    <w:p>
      <w:pPr>
        <w:pStyle w:val="TextBody"/>
        <w:spacing w:before="0" w:after="240"/>
        <w:jc w:val="left"/>
        <w:rPr/>
      </w:pPr>
      <w:r>
        <w:rPr>
          <w:rFonts w:ascii="Times New Roman;serif" w:hAnsi="Times New Roman;serif"/>
          <w:b w:val="false"/>
          <w:sz w:val="22"/>
          <w:u w:val="single"/>
        </w:rPr>
        <w:t>Termination for Cause, or Termination Upon Death, Disability or Resignation from the Company Without Good Reason</w:t>
      </w:r>
      <w:r>
        <w:rPr>
          <w:rFonts w:ascii="Times New Roman;serif" w:hAnsi="Times New Roman;serif"/>
          <w:b w:val="false"/>
          <w:sz w:val="22"/>
        </w:rPr>
        <w:t xml:space="preserve">. If Executive’s employment shall terminate as a result of Executive’s death pursuant to </w:t>
      </w:r>
      <w:r>
        <w:rPr>
          <w:rFonts w:ascii="Times New Roman;serif" w:hAnsi="Times New Roman;serif"/>
          <w:b w:val="false"/>
          <w:sz w:val="22"/>
          <w:u w:val="single"/>
        </w:rPr>
        <w:t>Section 3(a)(i)</w:t>
      </w:r>
      <w:r>
        <w:rPr/>
        <w:t xml:space="preserve"> </w:t>
      </w:r>
      <w:r>
        <w:rPr>
          <w:rFonts w:ascii="Times New Roman;serif" w:hAnsi="Times New Roman;serif"/>
          <w:b w:val="false"/>
          <w:sz w:val="22"/>
        </w:rPr>
        <w:t xml:space="preserve">or Disability pursuant to </w:t>
      </w:r>
      <w:r>
        <w:rPr>
          <w:rFonts w:ascii="Times New Roman;serif" w:hAnsi="Times New Roman;serif"/>
          <w:b w:val="false"/>
          <w:sz w:val="22"/>
          <w:u w:val="single"/>
        </w:rPr>
        <w:t>Section 3(a)(ii)</w:t>
      </w:r>
      <w:r>
        <w:rPr>
          <w:rFonts w:ascii="Times New Roman;serif" w:hAnsi="Times New Roman;serif"/>
          <w:b w:val="false"/>
          <w:sz w:val="22"/>
        </w:rPr>
        <w:t xml:space="preserve">, pursuant to </w:t>
      </w:r>
      <w:r>
        <w:rPr>
          <w:rFonts w:ascii="Times New Roman;serif" w:hAnsi="Times New Roman;serif"/>
          <w:b w:val="false"/>
          <w:sz w:val="22"/>
          <w:u w:val="single"/>
        </w:rPr>
        <w:t>Section 3(a)(iii)</w:t>
      </w:r>
      <w:r>
        <w:rPr/>
        <w:t xml:space="preserve"> </w:t>
      </w:r>
      <w:r>
        <w:rPr>
          <w:rFonts w:ascii="Times New Roman;serif" w:hAnsi="Times New Roman;serif"/>
          <w:b w:val="false"/>
          <w:sz w:val="22"/>
        </w:rPr>
        <w:t xml:space="preserve">for Cause, or pursuant to </w:t>
      </w:r>
      <w:r>
        <w:rPr>
          <w:rFonts w:ascii="Times New Roman;serif" w:hAnsi="Times New Roman;serif"/>
          <w:b w:val="false"/>
          <w:sz w:val="22"/>
          <w:u w:val="single"/>
        </w:rPr>
        <w:t>Section 3(a)(vi)</w:t>
      </w:r>
      <w:r>
        <w:rPr/>
        <w:t xml:space="preserve"> </w:t>
      </w:r>
      <w:r>
        <w:rPr>
          <w:rFonts w:ascii="Times New Roman;serif" w:hAnsi="Times New Roman;serif"/>
          <w:b w:val="false"/>
          <w:sz w:val="22"/>
        </w:rPr>
        <w:t xml:space="preserve">for Executive’s resignation from the Company without Good Reason, then Executive shall not be entitled to any severance payments or benefits, except as provided in </w:t>
      </w:r>
      <w:r>
        <w:rPr>
          <w:rFonts w:ascii="Times New Roman;serif" w:hAnsi="Times New Roman;serif"/>
          <w:b w:val="false"/>
          <w:sz w:val="22"/>
          <w:u w:val="single"/>
        </w:rPr>
        <w:t>Section 3(c)</w:t>
      </w:r>
      <w:r>
        <w:rPr>
          <w:rFonts w:ascii="Times New Roman;serif" w:hAnsi="Times New Roman;serif"/>
          <w:b w:val="false"/>
          <w:sz w:val="22"/>
        </w:rPr>
        <w:t>.</w:t>
      </w:r>
    </w:p>
    <w:p>
      <w:pPr>
        <w:pStyle w:val="TextBody"/>
        <w:spacing w:before="0" w:after="240"/>
        <w:jc w:val="left"/>
        <w:rPr>
          <w:rFonts w:ascii="Times New Roman" w:hAnsi="Times New Roman"/>
          <w:b w:val="false"/>
          <w:sz w:val="22"/>
        </w:rPr>
      </w:pPr>
      <w:r>
        <w:rPr>
          <w:rFonts w:ascii="Times New Roman" w:hAnsi="Times New Roman"/>
          <w:b w:val="false"/>
          <w:sz w:val="22"/>
        </w:rPr>
        <w:t>(b)</w:t>
      </w:r>
    </w:p>
    <w:p>
      <w:pPr>
        <w:pStyle w:val="TextBody"/>
        <w:spacing w:before="0" w:after="240"/>
        <w:jc w:val="left"/>
        <w:rPr/>
      </w:pPr>
      <w:r>
        <w:rPr>
          <w:rFonts w:ascii="Times New Roman;serif" w:hAnsi="Times New Roman;serif"/>
          <w:b w:val="false"/>
          <w:sz w:val="22"/>
          <w:u w:val="single"/>
        </w:rPr>
        <w:t>Termination without Cause or Resignation from the Company with Good Reason</w:t>
      </w:r>
      <w:r>
        <w:rPr>
          <w:rFonts w:ascii="Times New Roman;serif" w:hAnsi="Times New Roman;serif"/>
          <w:b w:val="false"/>
          <w:sz w:val="22"/>
        </w:rPr>
        <w:t xml:space="preserve">. If Executive’s employment terminates without Cause pursuant to </w:t>
      </w:r>
      <w:r>
        <w:rPr>
          <w:rFonts w:ascii="Times New Roman;serif" w:hAnsi="Times New Roman;serif"/>
          <w:b w:val="false"/>
          <w:sz w:val="22"/>
          <w:u w:val="single"/>
        </w:rPr>
        <w:t>Section 3(a)(iv)</w:t>
      </w:r>
      <w:r>
        <w:rPr>
          <w:rFonts w:ascii="Times New Roman;serif" w:hAnsi="Times New Roman;serif"/>
          <w:b w:val="false"/>
          <w:sz w:val="22"/>
        </w:rPr>
        <w:t xml:space="preserve">, or pursuant to </w:t>
      </w:r>
      <w:r>
        <w:rPr>
          <w:rFonts w:ascii="Times New Roman;serif" w:hAnsi="Times New Roman;serif"/>
          <w:b w:val="false"/>
          <w:sz w:val="22"/>
          <w:u w:val="single"/>
        </w:rPr>
        <w:t>Section 3(a)(v)</w:t>
      </w:r>
      <w:r>
        <w:rPr/>
        <w:t xml:space="preserve"> </w:t>
      </w:r>
      <w:r>
        <w:rPr>
          <w:rFonts w:ascii="Times New Roman;serif" w:hAnsi="Times New Roman;serif"/>
          <w:b w:val="false"/>
          <w:sz w:val="22"/>
        </w:rPr>
        <w:t xml:space="preserve">due to Executive’s resignation with Good Reason, then except as otherwise provided under </w:t>
      </w:r>
      <w:r>
        <w:rPr>
          <w:rFonts w:ascii="Times New Roman;serif" w:hAnsi="Times New Roman;serif"/>
          <w:b w:val="false"/>
          <w:sz w:val="22"/>
          <w:u w:val="single"/>
        </w:rPr>
        <w:t>Section 4(c)</w:t>
      </w:r>
      <w:r>
        <w:rPr/>
        <w:t xml:space="preserve"> </w:t>
      </w:r>
      <w:r>
        <w:rPr>
          <w:rFonts w:ascii="Times New Roman;serif" w:hAnsi="Times New Roman;serif"/>
          <w:b w:val="false"/>
          <w:sz w:val="22"/>
        </w:rPr>
        <w:t xml:space="preserve">and subject to Executive signing on or before the 21st day following Executive’s Separation from Service (as defined below), and not revoking, a release of claims substantially in the form attached as </w:t>
      </w:r>
      <w:r>
        <w:rPr>
          <w:rFonts w:ascii="Times New Roman;serif" w:hAnsi="Times New Roman;serif"/>
          <w:b w:val="false"/>
          <w:sz w:val="22"/>
          <w:u w:val="single"/>
        </w:rPr>
        <w:t>Exhibit A</w:t>
      </w:r>
      <w:r>
        <w:rPr/>
        <w:t xml:space="preserve"> </w:t>
      </w:r>
      <w:r>
        <w:rPr>
          <w:rFonts w:ascii="Times New Roman;serif" w:hAnsi="Times New Roman;serif"/>
          <w:b w:val="false"/>
          <w:sz w:val="22"/>
        </w:rPr>
        <w:t>to this Agreement (the “</w:t>
      </w:r>
      <w:r>
        <w:rPr>
          <w:rFonts w:ascii="Times New Roman;serif" w:hAnsi="Times New Roman;serif"/>
          <w:b w:val="false"/>
          <w:sz w:val="22"/>
          <w:u w:val="single"/>
        </w:rPr>
        <w:t>Release</w:t>
      </w:r>
      <w:r>
        <w:rPr/>
        <w:t>”</w:t>
      </w:r>
      <w:r>
        <w:rPr>
          <w:rFonts w:ascii="Times New Roman;serif" w:hAnsi="Times New Roman;serif"/>
          <w:b w:val="false"/>
          <w:sz w:val="22"/>
        </w:rPr>
        <w:t xml:space="preserve">) and Executive’s continued compliance with </w:t>
      </w:r>
      <w:r>
        <w:rPr>
          <w:rFonts w:ascii="Times New Roman;serif" w:hAnsi="Times New Roman;serif"/>
          <w:b w:val="false"/>
          <w:sz w:val="22"/>
          <w:u w:val="single"/>
        </w:rPr>
        <w:t>Section 5</w:t>
      </w:r>
      <w:r>
        <w:rPr>
          <w:rFonts w:ascii="Times New Roman;serif" w:hAnsi="Times New Roman;serif"/>
          <w:b w:val="false"/>
          <w:sz w:val="22"/>
        </w:rPr>
        <w:t xml:space="preserve">, Executive shall receive, in addition to payments and benefits set forth in </w:t>
      </w:r>
      <w:r>
        <w:rPr>
          <w:rFonts w:ascii="Times New Roman;serif" w:hAnsi="Times New Roman;serif"/>
          <w:b w:val="false"/>
          <w:sz w:val="22"/>
          <w:u w:val="single"/>
        </w:rPr>
        <w:t>Section 3(c)</w:t>
      </w:r>
      <w:r>
        <w:rPr>
          <w:rFonts w:ascii="Times New Roman;serif" w:hAnsi="Times New Roman;serif"/>
          <w:b w:val="false"/>
          <w:sz w:val="22"/>
        </w:rPr>
        <w:t>, the following:</w:t>
      </w:r>
    </w:p>
    <w:p>
      <w:pPr>
        <w:pStyle w:val="TextBody"/>
        <w:spacing w:before="0" w:after="240"/>
        <w:jc w:val="left"/>
        <w:rPr>
          <w:rFonts w:ascii="Times New Roman" w:hAnsi="Times New Roman"/>
          <w:b w:val="false"/>
          <w:sz w:val="22"/>
        </w:rPr>
      </w:pPr>
      <w:r>
        <w:rPr>
          <w:rFonts w:ascii="Times New Roman" w:hAnsi="Times New Roman"/>
          <w:b w:val="false"/>
          <w:sz w:val="22"/>
        </w:rPr>
        <w:t>(i)</w:t>
      </w:r>
    </w:p>
    <w:p>
      <w:pPr>
        <w:pStyle w:val="TextBody"/>
        <w:spacing w:before="0" w:after="240"/>
        <w:jc w:val="left"/>
        <w:rPr/>
      </w:pPr>
      <w:r>
        <w:rPr>
          <w:rFonts w:ascii="Times New Roman;serif" w:hAnsi="Times New Roman;serif"/>
          <w:b w:val="false"/>
          <w:sz w:val="22"/>
        </w:rPr>
        <w:t>an amount in cash equal to 1.0 times the Annual Base Salary, payable in the form of salary continuation in regular installments over the 12 month period following the date of Executive’s Separation from Service (the “</w:t>
      </w:r>
      <w:r>
        <w:rPr>
          <w:rFonts w:ascii="Times New Roman;serif" w:hAnsi="Times New Roman;serif"/>
          <w:b w:val="false"/>
          <w:sz w:val="22"/>
          <w:u w:val="single"/>
        </w:rPr>
        <w:t>Severance Period</w:t>
      </w:r>
      <w:r>
        <w:rPr/>
        <w:t>”</w:t>
      </w:r>
      <w:r>
        <w:rPr>
          <w:rFonts w:ascii="Times New Roman;serif" w:hAnsi="Times New Roman;serif"/>
          <w:b w:val="false"/>
          <w:sz w:val="22"/>
        </w:rPr>
        <w:t>) in accordance with the Company’s normal payroll practices;</w:t>
      </w:r>
    </w:p>
    <w:p>
      <w:pPr>
        <w:pStyle w:val="TextBody"/>
        <w:spacing w:before="0" w:after="240"/>
        <w:jc w:val="left"/>
        <w:rPr>
          <w:rFonts w:ascii="Times New Roman" w:hAnsi="Times New Roman"/>
          <w:b w:val="false"/>
          <w:sz w:val="22"/>
        </w:rPr>
      </w:pPr>
      <w:r>
        <w:rPr>
          <w:rFonts w:ascii="Times New Roman" w:hAnsi="Times New Roman"/>
          <w:b w:val="false"/>
          <w:sz w:val="22"/>
        </w:rPr>
        <w:t>(ii)</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to the extent unpaid as of the Date of Termination, an amount in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pStyle w:val="TextBody"/>
        <w:spacing w:before="0" w:after="240"/>
        <w:jc w:val="left"/>
        <w:rPr>
          <w:rFonts w:ascii="Times New Roman" w:hAnsi="Times New Roman"/>
          <w:b w:val="false"/>
          <w:sz w:val="22"/>
        </w:rPr>
      </w:pPr>
      <w:r>
        <w:rPr>
          <w:rFonts w:ascii="Times New Roman" w:hAnsi="Times New Roman"/>
          <w:b w:val="false"/>
          <w:sz w:val="22"/>
        </w:rPr>
        <w:t>(iii)</w:t>
      </w:r>
    </w:p>
    <w:p>
      <w:pPr>
        <w:pStyle w:val="TextBody"/>
        <w:spacing w:before="0" w:after="240"/>
        <w:jc w:val="left"/>
        <w:rPr/>
      </w:pPr>
      <w:r>
        <w:rPr>
          <w:rFonts w:ascii="Times New Roman;serif" w:hAnsi="Times New Roman;serif"/>
          <w:b w:val="false"/>
          <w:sz w:val="22"/>
        </w:rPr>
        <w:t>if Executive timely elects to receive continued medical, dental or vision coverage under one or more of the Company’s group medical, dental or vision plans pursuant to the Consolidated Omnibus Budget Reconciliation Act of 1985, as amended (“</w:t>
      </w:r>
      <w:r>
        <w:rPr>
          <w:rFonts w:ascii="Times New Roman;serif" w:hAnsi="Times New Roman;serif"/>
          <w:b w:val="false"/>
          <w:sz w:val="22"/>
          <w:u w:val="single"/>
        </w:rPr>
        <w:t>COBRA</w:t>
      </w:r>
      <w:r>
        <w:rPr/>
        <w:t>”</w:t>
      </w:r>
      <w:r>
        <w:rPr>
          <w:rFonts w:ascii="Times New Roman;serif" w:hAnsi="Times New Roman;serif"/>
          <w:b w:val="false"/>
          <w:sz w:val="22"/>
        </w:rPr>
        <w:t xml:space="preserve">),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 (B) the date that Executive and/or Executive’s covered dependents become no longer eligible for COBRA and (C) the date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4</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rFonts w:ascii="Times New Roman;serif" w:hAnsi="Times New Roman;serif"/>
          <w:b w:val="false"/>
          <w:sz w:val="22"/>
        </w:rPr>
        <w:t>Executive becomes eligible to receive medical, dental or vision coverage, as applicable, from a subsequent employer (and Executive agrees to promptly notify the Company of such eligibility) (the “</w:t>
      </w:r>
      <w:r>
        <w:rPr>
          <w:rFonts w:ascii="Times New Roman;serif" w:hAnsi="Times New Roman;serif"/>
          <w:b w:val="false"/>
          <w:sz w:val="22"/>
          <w:u w:val="single"/>
        </w:rPr>
        <w:t>COBRA Continuation Period</w:t>
      </w:r>
      <w:r>
        <w:rPr/>
        <w:t>”</w:t>
      </w:r>
      <w:r>
        <w:rPr>
          <w:rFonts w:ascii="Times New Roman;serif" w:hAnsi="Times New Roman;serif"/>
          <w:b w:val="false"/>
          <w:sz w:val="22"/>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be made for the remainder of the COBRA Continuation Period.</w:t>
      </w:r>
    </w:p>
    <w:p>
      <w:pPr>
        <w:pStyle w:val="TextBody"/>
        <w:spacing w:before="0" w:after="240"/>
        <w:jc w:val="left"/>
        <w:rPr>
          <w:rFonts w:ascii="Times New Roman" w:hAnsi="Times New Roman"/>
          <w:b w:val="false"/>
          <w:sz w:val="22"/>
        </w:rPr>
      </w:pPr>
      <w:r>
        <w:rPr>
          <w:rFonts w:ascii="Times New Roman" w:hAnsi="Times New Roman"/>
          <w:b w:val="false"/>
          <w:sz w:val="22"/>
        </w:rPr>
        <w:t>(c)</w:t>
      </w:r>
    </w:p>
    <w:p>
      <w:pPr>
        <w:pStyle w:val="TextBody"/>
        <w:spacing w:before="0" w:after="240"/>
        <w:jc w:val="left"/>
        <w:rPr/>
      </w:pPr>
      <w:r>
        <w:rPr>
          <w:rFonts w:ascii="Times New Roman;serif" w:hAnsi="Times New Roman;serif"/>
          <w:b w:val="false"/>
          <w:sz w:val="22"/>
          <w:u w:val="single"/>
        </w:rPr>
        <w:t>Change in Control</w:t>
      </w:r>
      <w:r>
        <w:rPr>
          <w:rFonts w:ascii="Times New Roman;serif" w:hAnsi="Times New Roman;serif"/>
          <w:b w:val="false"/>
          <w:sz w:val="22"/>
        </w:rPr>
        <w:t xml:space="preserve">. In lieu of the payments and benefits set forth in </w:t>
      </w:r>
      <w:r>
        <w:rPr>
          <w:rFonts w:ascii="Times New Roman;serif" w:hAnsi="Times New Roman;serif"/>
          <w:b w:val="false"/>
          <w:sz w:val="22"/>
          <w:u w:val="single"/>
        </w:rPr>
        <w:t>Section 4(b)</w:t>
      </w:r>
      <w:r>
        <w:rPr>
          <w:rFonts w:ascii="Times New Roman;serif" w:hAnsi="Times New Roman;serif"/>
          <w:b w:val="false"/>
          <w:sz w:val="22"/>
        </w:rPr>
        <w:t xml:space="preserve">, in the event Executive’s employment terminates without Cause pursuant to </w:t>
      </w:r>
      <w:r>
        <w:rPr>
          <w:rFonts w:ascii="Times New Roman;serif" w:hAnsi="Times New Roman;serif"/>
          <w:b w:val="false"/>
          <w:sz w:val="22"/>
          <w:u w:val="single"/>
        </w:rPr>
        <w:t>Section 3(a)(iv)</w:t>
      </w:r>
      <w:r>
        <w:rPr>
          <w:rFonts w:ascii="Times New Roman;serif" w:hAnsi="Times New Roman;serif"/>
          <w:b w:val="false"/>
          <w:sz w:val="22"/>
        </w:rPr>
        <w:t xml:space="preserve">, or pursuant to </w:t>
      </w:r>
      <w:r>
        <w:rPr>
          <w:rFonts w:ascii="Times New Roman;serif" w:hAnsi="Times New Roman;serif"/>
          <w:b w:val="false"/>
          <w:sz w:val="22"/>
          <w:u w:val="single"/>
        </w:rPr>
        <w:t>Section 3(a)(v)</w:t>
      </w:r>
      <w:r>
        <w:rPr/>
        <w:t xml:space="preserve"> </w:t>
      </w:r>
      <w:r>
        <w:rPr>
          <w:rFonts w:ascii="Times New Roman;serif" w:hAnsi="Times New Roman;serif"/>
          <w:b w:val="false"/>
          <w:sz w:val="22"/>
        </w:rPr>
        <w:t xml:space="preserve">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Times New Roman;serif" w:hAnsi="Times New Roman;serif"/>
          <w:b w:val="false"/>
          <w:sz w:val="22"/>
          <w:u w:val="single"/>
        </w:rPr>
        <w:t>Section 5</w:t>
      </w:r>
      <w:r>
        <w:rPr>
          <w:rFonts w:ascii="Times New Roman;serif" w:hAnsi="Times New Roman;serif"/>
          <w:b w:val="false"/>
          <w:sz w:val="22"/>
        </w:rPr>
        <w:t xml:space="preserve">, Executive shall receive, in addition to the payments and benefits set forth in </w:t>
      </w:r>
      <w:r>
        <w:rPr>
          <w:rFonts w:ascii="Times New Roman;serif" w:hAnsi="Times New Roman;serif"/>
          <w:b w:val="false"/>
          <w:sz w:val="22"/>
          <w:u w:val="single"/>
        </w:rPr>
        <w:t>Section 3(c)</w:t>
      </w:r>
      <w:r>
        <w:rPr>
          <w:rFonts w:ascii="Times New Roman;serif" w:hAnsi="Times New Roman;serif"/>
          <w:b w:val="false"/>
          <w:sz w:val="22"/>
        </w:rPr>
        <w:t>, the following:</w:t>
      </w:r>
    </w:p>
    <w:p>
      <w:pPr>
        <w:pStyle w:val="TextBody"/>
        <w:spacing w:before="0" w:after="240"/>
        <w:jc w:val="left"/>
        <w:rPr>
          <w:rFonts w:ascii="Times New Roman" w:hAnsi="Times New Roman"/>
          <w:b w:val="false"/>
          <w:sz w:val="22"/>
        </w:rPr>
      </w:pPr>
      <w:r>
        <w:rPr>
          <w:rFonts w:ascii="Times New Roman" w:hAnsi="Times New Roman"/>
          <w:b w:val="false"/>
          <w:sz w:val="22"/>
        </w:rPr>
        <w:t>(i)</w:t>
      </w:r>
    </w:p>
    <w:p>
      <w:pPr>
        <w:pStyle w:val="TextBody"/>
        <w:spacing w:before="0" w:after="240"/>
        <w:jc w:val="left"/>
        <w:rPr/>
      </w:pPr>
      <w:r>
        <w:rPr>
          <w:rFonts w:ascii="Times New Roman;serif" w:hAnsi="Times New Roman;serif"/>
          <w:b w:val="false"/>
          <w:sz w:val="22"/>
        </w:rPr>
        <w:t>an amount in cash equal to 1.5 times the Annual Base Salary, payable in equal installments over the 18 month period following the date of Executive’s Separation from Service (the “</w:t>
      </w:r>
      <w:r>
        <w:rPr>
          <w:rFonts w:ascii="Times New Roman;serif" w:hAnsi="Times New Roman;serif"/>
          <w:b w:val="false"/>
          <w:sz w:val="22"/>
          <w:u w:val="single"/>
        </w:rPr>
        <w:t>CIC Severance Period</w:t>
      </w:r>
      <w:r>
        <w:rPr/>
        <w:t>”</w:t>
      </w:r>
      <w:r>
        <w:rPr>
          <w:rFonts w:ascii="Times New Roman;serif" w:hAnsi="Times New Roman;serif"/>
          <w:b w:val="false"/>
          <w:sz w:val="22"/>
        </w:rPr>
        <w:t>) in accordance with the Company’s normal payroll practices;</w:t>
      </w:r>
    </w:p>
    <w:p>
      <w:pPr>
        <w:pStyle w:val="TextBody"/>
        <w:spacing w:before="0" w:after="240"/>
        <w:jc w:val="left"/>
        <w:rPr>
          <w:rFonts w:ascii="Times New Roman" w:hAnsi="Times New Roman"/>
          <w:b w:val="false"/>
          <w:sz w:val="22"/>
        </w:rPr>
      </w:pPr>
      <w:r>
        <w:rPr>
          <w:rFonts w:ascii="Times New Roman" w:hAnsi="Times New Roman"/>
          <w:b w:val="false"/>
          <w:sz w:val="22"/>
        </w:rPr>
        <w:t>(ii)</w:t>
      </w:r>
    </w:p>
    <w:p>
      <w:pPr>
        <w:pStyle w:val="TextBody"/>
        <w:spacing w:before="0" w:after="240"/>
        <w:jc w:val="left"/>
        <w:rPr/>
      </w:pPr>
      <w:r>
        <w:rPr>
          <w:rFonts w:ascii="Times New Roman;serif" w:hAnsi="Times New Roman;serif"/>
          <w:b w:val="false"/>
          <w:sz w:val="22"/>
        </w:rPr>
        <w:t xml:space="preserve">the payment set forth in </w:t>
      </w:r>
      <w:r>
        <w:rPr>
          <w:rFonts w:ascii="Times New Roman;serif" w:hAnsi="Times New Roman;serif"/>
          <w:b w:val="false"/>
          <w:sz w:val="22"/>
          <w:u w:val="single"/>
        </w:rPr>
        <w:t>Section 4(b)(ii)</w:t>
      </w:r>
      <w:r>
        <w:rPr>
          <w:rFonts w:ascii="Times New Roman;serif" w:hAnsi="Times New Roman;serif"/>
          <w:b w:val="false"/>
          <w:sz w:val="22"/>
        </w:rPr>
        <w:t>;</w:t>
      </w:r>
    </w:p>
    <w:p>
      <w:pPr>
        <w:pStyle w:val="TextBody"/>
        <w:spacing w:before="0" w:after="240"/>
        <w:jc w:val="left"/>
        <w:rPr>
          <w:rFonts w:ascii="Times New Roman" w:hAnsi="Times New Roman"/>
          <w:b w:val="false"/>
          <w:sz w:val="22"/>
        </w:rPr>
      </w:pPr>
      <w:r>
        <w:rPr>
          <w:rFonts w:ascii="Times New Roman" w:hAnsi="Times New Roman"/>
          <w:b w:val="false"/>
          <w:sz w:val="22"/>
        </w:rPr>
        <w:t>(iii)</w:t>
      </w:r>
    </w:p>
    <w:p>
      <w:pPr>
        <w:pStyle w:val="TextBody"/>
        <w:spacing w:before="0" w:after="240"/>
        <w:jc w:val="left"/>
        <w:rPr/>
      </w:pPr>
      <w:r>
        <w:rPr>
          <w:rFonts w:ascii="Times New Roman;serif" w:hAnsi="Times New Roman;serif"/>
          <w:b w:val="false"/>
          <w:sz w:val="22"/>
        </w:rPr>
        <w:t xml:space="preserve">the benefits set forth in </w:t>
      </w:r>
      <w:r>
        <w:rPr>
          <w:rFonts w:ascii="Times New Roman;serif" w:hAnsi="Times New Roman;serif"/>
          <w:b w:val="false"/>
          <w:sz w:val="22"/>
          <w:u w:val="single"/>
        </w:rPr>
        <w:t>Section 4(b)(iii)</w:t>
      </w:r>
      <w:r>
        <w:rPr>
          <w:rFonts w:ascii="Times New Roman;serif" w:hAnsi="Times New Roman;serif"/>
          <w:b w:val="false"/>
          <w:sz w:val="22"/>
        </w:rPr>
        <w:t xml:space="preserve">, provided that for this purpose, the “Severance Period” will mean the CIC Severance Period; </w:t>
      </w:r>
    </w:p>
    <w:p>
      <w:pPr>
        <w:pStyle w:val="TextBody"/>
        <w:spacing w:before="0" w:after="240"/>
        <w:jc w:val="left"/>
        <w:rPr>
          <w:rFonts w:ascii="Times New Roman" w:hAnsi="Times New Roman"/>
          <w:b w:val="false"/>
          <w:sz w:val="22"/>
        </w:rPr>
      </w:pPr>
      <w:r>
        <w:rPr>
          <w:rFonts w:ascii="Times New Roman" w:hAnsi="Times New Roman"/>
          <w:b w:val="false"/>
          <w:sz w:val="22"/>
        </w:rPr>
        <w:t>(iv)</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an amount in cash equal to 1.5 times the Target Annual Bonus, payable in a lump sum on the Company’s first ordinary payroll date that occurs after the Date of Termination; and</w:t>
      </w:r>
    </w:p>
    <w:p>
      <w:pPr>
        <w:pStyle w:val="TextBody"/>
        <w:spacing w:before="0" w:after="240"/>
        <w:jc w:val="left"/>
        <w:rPr>
          <w:rFonts w:ascii="Times New Roman" w:hAnsi="Times New Roman"/>
          <w:b w:val="false"/>
          <w:sz w:val="22"/>
        </w:rPr>
      </w:pPr>
      <w:r>
        <w:rPr>
          <w:rFonts w:ascii="Times New Roman" w:hAnsi="Times New Roman"/>
          <w:b w:val="false"/>
          <w:sz w:val="22"/>
        </w:rPr>
        <w:t>(v)</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all unvested equity or equity-based awards held by Executive under any Company equity compensation plans that vest solely based on continued employment or service shall immediately become 100% vested, with any other equity or equity-based awards being governed by the terms of the applicable award agreement.</w:t>
      </w:r>
    </w:p>
    <w:p>
      <w:pPr>
        <w:pStyle w:val="TextBody"/>
        <w:spacing w:before="0" w:after="240"/>
        <w:jc w:val="left"/>
        <w:rPr>
          <w:rFonts w:ascii="Times New Roman" w:hAnsi="Times New Roman"/>
          <w:b w:val="false"/>
          <w:sz w:val="22"/>
        </w:rPr>
      </w:pPr>
      <w:r>
        <w:rPr>
          <w:rFonts w:ascii="Times New Roman" w:hAnsi="Times New Roman"/>
          <w:b w:val="false"/>
          <w:sz w:val="22"/>
        </w:rPr>
        <w:t>(d)</w:t>
      </w:r>
    </w:p>
    <w:p>
      <w:pPr>
        <w:pStyle w:val="TextBody"/>
        <w:spacing w:before="0" w:after="240"/>
        <w:jc w:val="left"/>
        <w:rPr/>
      </w:pPr>
      <w:r>
        <w:rPr>
          <w:rFonts w:ascii="Times New Roman;serif" w:hAnsi="Times New Roman;serif"/>
          <w:b w:val="false"/>
          <w:sz w:val="22"/>
          <w:u w:val="single"/>
        </w:rPr>
        <w:t>Survival</w:t>
      </w:r>
      <w:r>
        <w:rPr>
          <w:rFonts w:ascii="Times New Roman;serif" w:hAnsi="Times New Roman;serif"/>
          <w:b w:val="false"/>
          <w:sz w:val="22"/>
        </w:rPr>
        <w:t xml:space="preserve">. Notwithstanding anything to the contrary in this Agreement, the provisions of </w:t>
      </w:r>
      <w:r>
        <w:rPr>
          <w:rFonts w:ascii="Times New Roman;serif" w:hAnsi="Times New Roman;serif"/>
          <w:b w:val="false"/>
          <w:sz w:val="22"/>
          <w:u w:val="single"/>
        </w:rPr>
        <w:t xml:space="preserve">Sections </w:t>
      </w:r>
      <w:r>
        <w:rPr>
          <w:rFonts w:ascii="Times New Roman;serif" w:hAnsi="Times New Roman;serif"/>
          <w:b w:val="false"/>
          <w:sz w:val="22"/>
        </w:rPr>
        <w:t xml:space="preserve">5 through </w:t>
      </w:r>
      <w:r>
        <w:rPr>
          <w:rFonts w:ascii="Times New Roman;serif" w:hAnsi="Times New Roman;serif"/>
          <w:b w:val="false"/>
          <w:sz w:val="22"/>
          <w:u w:val="single"/>
        </w:rPr>
        <w:t>9</w:t>
      </w:r>
      <w:r>
        <w:rPr/>
        <w:t xml:space="preserve"> </w:t>
      </w:r>
      <w:r>
        <w:rPr>
          <w:rFonts w:ascii="Times New Roman;serif" w:hAnsi="Times New Roman;serif"/>
          <w:b w:val="false"/>
          <w:sz w:val="22"/>
        </w:rPr>
        <w:t>will survive the termination of Executive’s employment and the termination of the Term.</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5</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rFonts w:ascii="Times New Roman" w:hAnsi="Times New Roman"/>
          <w:b/>
          <w:sz w:val="24"/>
        </w:rPr>
      </w:pPr>
      <w:r>
        <w:rPr>
          <w:rFonts w:ascii="Times New Roman" w:hAnsi="Times New Roman"/>
          <w:b/>
          <w:sz w:val="24"/>
        </w:rPr>
        <w:t>5.</w:t>
      </w:r>
    </w:p>
    <w:p>
      <w:pPr>
        <w:pStyle w:val="TextBody"/>
        <w:spacing w:before="0" w:after="240"/>
        <w:jc w:val="left"/>
        <w:rPr/>
      </w:pPr>
      <w:r>
        <w:rPr>
          <w:rFonts w:ascii="Times New Roman;serif" w:hAnsi="Times New Roman;serif"/>
          <w:b/>
          <w:sz w:val="22"/>
          <w:u w:val="single"/>
        </w:rPr>
        <w:t>Restrictive Covenants</w:t>
      </w:r>
      <w:r>
        <w:rPr>
          <w:rFonts w:ascii="Times New Roman;serif" w:hAnsi="Times New Roman;serif"/>
          <w:b/>
          <w:sz w:val="22"/>
        </w:rPr>
        <w:t xml:space="preserve">. </w:t>
      </w:r>
      <w:r>
        <w:rPr>
          <w:rFonts w:ascii="Times New Roman;serif" w:hAnsi="Times New Roman;serif"/>
          <w:b w:val="false"/>
          <w:sz w:val="22"/>
        </w:rPr>
        <w:t>Executive acknowledges that Executive is subject to the terms and provisions of an Employee Proprietary Information and Inventions Assignment Agreement, effective as of April 3, 2023 (the “</w:t>
      </w:r>
      <w:r>
        <w:rPr>
          <w:rFonts w:ascii="Times New Roman;serif" w:hAnsi="Times New Roman;serif"/>
          <w:b w:val="false"/>
          <w:sz w:val="22"/>
          <w:u w:val="single"/>
        </w:rPr>
        <w:t>Restrictive Covenant Agreement</w:t>
      </w:r>
      <w:r>
        <w:rPr/>
        <w:t>”</w:t>
      </w:r>
      <w:r>
        <w:rPr>
          <w:rFonts w:ascii="Times New Roman;serif" w:hAnsi="Times New Roman;serif"/>
          <w:b w:val="false"/>
          <w:sz w:val="22"/>
        </w:rPr>
        <w:t>). Executive agrees to abide by the terms of the Restrictive Covenant Agreement, which is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pStyle w:val="TextBody"/>
        <w:spacing w:before="0" w:after="240"/>
        <w:jc w:val="left"/>
        <w:rPr>
          <w:rFonts w:ascii="Times New Roman" w:hAnsi="Times New Roman"/>
          <w:b/>
          <w:sz w:val="24"/>
        </w:rPr>
      </w:pPr>
      <w:r>
        <w:rPr>
          <w:rFonts w:ascii="Times New Roman" w:hAnsi="Times New Roman"/>
          <w:b/>
          <w:sz w:val="24"/>
        </w:rPr>
        <w:t>6.</w:t>
      </w:r>
    </w:p>
    <w:p>
      <w:pPr>
        <w:pStyle w:val="TextBody"/>
        <w:spacing w:before="0" w:after="240"/>
        <w:jc w:val="left"/>
        <w:rPr/>
      </w:pPr>
      <w:r>
        <w:rPr>
          <w:rFonts w:ascii="Times New Roman;serif" w:hAnsi="Times New Roman;serif"/>
          <w:b/>
          <w:sz w:val="22"/>
          <w:u w:val="single"/>
        </w:rPr>
        <w:t>Assignment and Successors</w:t>
      </w:r>
      <w:r>
        <w:rPr>
          <w:rFonts w:ascii="Times New Roman;serif" w:hAnsi="Times New Roman;serif"/>
          <w:b/>
          <w:sz w:val="22"/>
        </w:rPr>
        <w:t>.</w:t>
      </w:r>
    </w:p>
    <w:p>
      <w:pPr>
        <w:pStyle w:val="TextBody"/>
        <w:spacing w:before="0" w:after="240"/>
        <w:jc w:val="left"/>
        <w:rPr>
          <w:rFonts w:ascii="Times New Roman" w:hAnsi="Times New Roman"/>
          <w:sz w:val="20"/>
        </w:rPr>
      </w:pPr>
      <w:r>
        <w:rPr>
          <w:rFonts w:ascii="Times New Roman;serif" w:hAnsi="Times New Roman;serif"/>
          <w:b w:val="false"/>
          <w:sz w:val="22"/>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r>
        <w:rPr>
          <w:rFonts w:ascii="Times New Roman" w:hAnsi="Times New Roman"/>
          <w:sz w:val="20"/>
        </w:rPr>
        <w:t xml:space="preserve"> </w:t>
      </w:r>
    </w:p>
    <w:p>
      <w:pPr>
        <w:pStyle w:val="TextBody"/>
        <w:spacing w:before="0" w:after="240"/>
        <w:jc w:val="left"/>
        <w:rPr>
          <w:rFonts w:ascii="Times New Roman" w:hAnsi="Times New Roman"/>
          <w:b/>
          <w:sz w:val="24"/>
        </w:rPr>
      </w:pPr>
      <w:r>
        <w:rPr>
          <w:rFonts w:ascii="Times New Roman" w:hAnsi="Times New Roman"/>
          <w:b/>
          <w:sz w:val="24"/>
        </w:rPr>
        <w:t>7.</w:t>
      </w:r>
    </w:p>
    <w:p>
      <w:pPr>
        <w:pStyle w:val="TextBody"/>
        <w:spacing w:before="0" w:after="240"/>
        <w:jc w:val="left"/>
        <w:rPr/>
      </w:pPr>
      <w:r>
        <w:rPr>
          <w:rFonts w:ascii="Times New Roman;serif" w:hAnsi="Times New Roman;serif"/>
          <w:b/>
          <w:sz w:val="22"/>
          <w:u w:val="single"/>
        </w:rPr>
        <w:t>Certain Definitions</w:t>
      </w:r>
      <w:r>
        <w:rPr>
          <w:rFonts w:ascii="Times New Roman;serif" w:hAnsi="Times New Roman;serif"/>
          <w:b/>
          <w:sz w:val="22"/>
        </w:rPr>
        <w:t>.</w:t>
      </w:r>
    </w:p>
    <w:p>
      <w:pPr>
        <w:pStyle w:val="TextBody"/>
        <w:spacing w:before="0" w:after="240"/>
        <w:jc w:val="left"/>
        <w:rPr>
          <w:rFonts w:ascii="Times New Roman" w:hAnsi="Times New Roman"/>
          <w:b w:val="false"/>
          <w:sz w:val="22"/>
        </w:rPr>
      </w:pPr>
      <w:r>
        <w:rPr>
          <w:rFonts w:ascii="Times New Roman" w:hAnsi="Times New Roman"/>
          <w:b w:val="false"/>
          <w:sz w:val="22"/>
        </w:rPr>
        <w:t>(a)</w:t>
      </w:r>
    </w:p>
    <w:p>
      <w:pPr>
        <w:pStyle w:val="TextBody"/>
        <w:spacing w:before="0" w:after="240"/>
        <w:jc w:val="left"/>
        <w:rPr/>
      </w:pPr>
      <w:r>
        <w:rPr>
          <w:rFonts w:ascii="Times New Roman;serif" w:hAnsi="Times New Roman;serif"/>
          <w:b w:val="false"/>
          <w:sz w:val="22"/>
          <w:u w:val="single"/>
        </w:rPr>
        <w:t>Cause</w:t>
      </w:r>
      <w:r>
        <w:rPr>
          <w:rFonts w:ascii="Times New Roman;serif" w:hAnsi="Times New Roman;serif"/>
          <w:b w:val="false"/>
          <w:sz w:val="22"/>
        </w:rPr>
        <w:t>. The Company shall have “Cause” to terminate Executive’s employment hereunder upon:</w:t>
      </w:r>
    </w:p>
    <w:p>
      <w:pPr>
        <w:pStyle w:val="TextBody"/>
        <w:spacing w:before="0" w:after="240"/>
        <w:jc w:val="left"/>
        <w:rPr>
          <w:rFonts w:ascii="Times New Roman" w:hAnsi="Times New Roman"/>
          <w:b w:val="false"/>
          <w:sz w:val="22"/>
        </w:rPr>
      </w:pPr>
      <w:r>
        <w:rPr>
          <w:rFonts w:ascii="Times New Roman" w:hAnsi="Times New Roman"/>
          <w:b w:val="false"/>
          <w:sz w:val="22"/>
        </w:rPr>
        <w:t>(i)</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The Board’s reasonable, good faith determination that Executive has refused to (A) substantially perform the duties associated with Executive’s position with the Company or (B) carry out the reasonable and lawful instructions of the Board concerning duties or actions consistent with the Executive’s position with the Company; </w:t>
      </w:r>
    </w:p>
    <w:p>
      <w:pPr>
        <w:pStyle w:val="TextBody"/>
        <w:spacing w:before="0" w:after="240"/>
        <w:jc w:val="left"/>
        <w:rPr>
          <w:rFonts w:ascii="Times New Roman" w:hAnsi="Times New Roman"/>
          <w:b w:val="false"/>
          <w:sz w:val="22"/>
        </w:rPr>
      </w:pPr>
      <w:r>
        <w:rPr>
          <w:rFonts w:ascii="Times New Roman" w:hAnsi="Times New Roman"/>
          <w:b w:val="false"/>
          <w:sz w:val="22"/>
        </w:rPr>
        <w:t>(ii)</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Executive’s material breach of a Policy, this Agreement or any other material agreement between the Executive and the Company (including, without limitation, the Restrictive Covenant Agreement);</w:t>
      </w:r>
    </w:p>
    <w:p>
      <w:pPr>
        <w:pStyle w:val="TextBody"/>
        <w:spacing w:before="0" w:after="240"/>
        <w:jc w:val="left"/>
        <w:rPr>
          <w:rFonts w:ascii="Times New Roman" w:hAnsi="Times New Roman"/>
          <w:b w:val="false"/>
          <w:sz w:val="22"/>
        </w:rPr>
      </w:pPr>
      <w:r>
        <w:rPr>
          <w:rFonts w:ascii="Times New Roman" w:hAnsi="Times New Roman"/>
          <w:b w:val="false"/>
          <w:sz w:val="22"/>
        </w:rPr>
        <w:t>(iii)</w:t>
      </w:r>
    </w:p>
    <w:p>
      <w:pPr>
        <w:pStyle w:val="TextBody"/>
        <w:spacing w:before="0" w:after="240"/>
        <w:jc w:val="left"/>
        <w:rPr/>
      </w:pPr>
      <w:r>
        <w:rPr>
          <w:rFonts w:ascii="Times New Roman;serif" w:hAnsi="Times New Roman;serif"/>
          <w:b w:val="false"/>
          <w:sz w:val="22"/>
        </w:rPr>
        <w:t xml:space="preserve">Executive’s conviction, plea of no contest, plea of </w:t>
      </w:r>
      <w:r>
        <w:rPr>
          <w:rFonts w:ascii="Times New Roman;serif" w:hAnsi="Times New Roman;serif"/>
          <w:b w:val="false"/>
          <w:i/>
          <w:sz w:val="22"/>
        </w:rPr>
        <w:t>nolo contendere</w:t>
      </w:r>
      <w:r>
        <w:rPr>
          <w:rFonts w:ascii="Times New Roman;serif" w:hAnsi="Times New Roman;serif"/>
          <w:b w:val="false"/>
          <w:sz w:val="22"/>
        </w:rPr>
        <w:t>, or imposition of unadjudicated probation for any felony or crime involving moral turpitude;</w:t>
      </w:r>
    </w:p>
    <w:p>
      <w:pPr>
        <w:pStyle w:val="TextBody"/>
        <w:spacing w:before="0" w:after="240"/>
        <w:jc w:val="left"/>
        <w:rPr>
          <w:rFonts w:ascii="Times New Roman" w:hAnsi="Times New Roman"/>
          <w:b w:val="false"/>
          <w:sz w:val="22"/>
        </w:rPr>
      </w:pPr>
      <w:r>
        <w:rPr>
          <w:rFonts w:ascii="Times New Roman" w:hAnsi="Times New Roman"/>
          <w:b w:val="false"/>
          <w:sz w:val="22"/>
        </w:rPr>
        <w:t>(iv)</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Executive’s unlawful use (including being under the influence) or possession of illegal drugs on the Company’s (or any of its affiliate’s) premises or while performing Executive’s duties and responsibilities under this Agreement; or</w:t>
      </w:r>
    </w:p>
    <w:p>
      <w:pPr>
        <w:pStyle w:val="TextBody"/>
        <w:spacing w:before="0" w:after="240"/>
        <w:jc w:val="left"/>
        <w:rPr>
          <w:rFonts w:ascii="Times New Roman" w:hAnsi="Times New Roman"/>
          <w:b w:val="false"/>
          <w:sz w:val="22"/>
        </w:rPr>
      </w:pPr>
      <w:r>
        <w:rPr>
          <w:rFonts w:ascii="Times New Roman" w:hAnsi="Times New Roman"/>
          <w:b w:val="false"/>
          <w:sz w:val="22"/>
        </w:rPr>
        <w:t>(v)</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Executive’s commission of any act of fraud or material dishonesty, embezzlement, misappropriation, willful misconduct, or breach of fiduciary duty against the Company or any of its affiliates; </w:t>
      </w:r>
    </w:p>
    <w:p>
      <w:pPr>
        <w:pStyle w:val="TextBody"/>
        <w:spacing w:before="0" w:after="240"/>
        <w:jc w:val="left"/>
        <w:rPr>
          <w:rFonts w:ascii="Times New Roman" w:hAnsi="Times New Roman"/>
          <w:sz w:val="20"/>
        </w:rPr>
      </w:pPr>
      <w:r>
        <w:rPr>
          <w:rFonts w:ascii="Times New Roman;serif" w:hAnsi="Times New Roman;serif"/>
          <w:b w:val="false"/>
          <w:sz w:val="22"/>
        </w:rPr>
        <w:t>provided, however, that Executive’s termination will not be considered for Cause unless and until (a) the Company has provided Executive, within 60 days of the Company’s knowledge of the occurrence of the</w:t>
      </w:r>
      <w:r>
        <w:rPr>
          <w:rFonts w:ascii="Times New Roman" w:hAnsi="Times New Roman"/>
          <w:sz w:val="20"/>
        </w:rPr>
        <w:t xml:space="preserve">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6</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rFonts w:ascii="Times New Roman" w:hAnsi="Times New Roman"/>
          <w:sz w:val="20"/>
        </w:rPr>
      </w:pPr>
      <w:r>
        <w:rPr>
          <w:rFonts w:ascii="Times New Roman;serif" w:hAnsi="Times New Roman;serif"/>
          <w:b w:val="false"/>
          <w:sz w:val="22"/>
        </w:rPr>
        <w:t>facts and circumstances underlying the Cause event, written notice stating with reasonable specificity the applicable facts and circumstances underlying such finding of Cause and (b) in the case of alleged Cause under clause (i) or (ii) of the foregoing definition (except with respect to a breach of the Restrictive Covenant Agreement) and to the extent the applicable condition or event is reasonably capable of being cured, Executive shall have failed to cure such condition or event within 30 days after the receipt of such notice, provided that Executive need not have been provided an opportunity to cure more than once in any twelve month period.</w:t>
      </w:r>
      <w:r>
        <w:rPr>
          <w:rFonts w:ascii="Times New Roman" w:hAnsi="Times New Roman"/>
          <w:sz w:val="20"/>
        </w:rPr>
        <w:t xml:space="preserve"> </w:t>
      </w:r>
    </w:p>
    <w:p>
      <w:pPr>
        <w:pStyle w:val="TextBody"/>
        <w:spacing w:before="0" w:after="240"/>
        <w:jc w:val="left"/>
        <w:rPr>
          <w:rFonts w:ascii="Times New Roman" w:hAnsi="Times New Roman"/>
          <w:b w:val="false"/>
          <w:sz w:val="22"/>
        </w:rPr>
      </w:pPr>
      <w:r>
        <w:rPr>
          <w:rFonts w:ascii="Times New Roman" w:hAnsi="Times New Roman"/>
          <w:b w:val="false"/>
          <w:sz w:val="22"/>
        </w:rPr>
        <w:t>(b)</w:t>
      </w:r>
    </w:p>
    <w:p>
      <w:pPr>
        <w:pStyle w:val="TextBody"/>
        <w:spacing w:before="0" w:after="240"/>
        <w:jc w:val="left"/>
        <w:rPr/>
      </w:pPr>
      <w:r>
        <w:rPr>
          <w:rFonts w:ascii="Times New Roman;serif" w:hAnsi="Times New Roman;serif"/>
          <w:b w:val="false"/>
          <w:sz w:val="22"/>
          <w:u w:val="single"/>
        </w:rPr>
        <w:t>Change in Control</w:t>
      </w:r>
      <w:r>
        <w:rPr>
          <w:rFonts w:ascii="Times New Roman;serif" w:hAnsi="Times New Roman;serif"/>
          <w:b w:val="false"/>
          <w:sz w:val="22"/>
        </w:rPr>
        <w:t xml:space="preserve">. “Change in Control” shall have the meaning set forth in the Sight Sciences, Inc. 2021 Incentive Award Plan. </w:t>
      </w:r>
    </w:p>
    <w:p>
      <w:pPr>
        <w:pStyle w:val="TextBody"/>
        <w:spacing w:before="0" w:after="240"/>
        <w:jc w:val="left"/>
        <w:rPr>
          <w:rFonts w:ascii="Times New Roman" w:hAnsi="Times New Roman"/>
          <w:b w:val="false"/>
          <w:sz w:val="22"/>
        </w:rPr>
      </w:pPr>
      <w:r>
        <w:rPr>
          <w:rFonts w:ascii="Times New Roman" w:hAnsi="Times New Roman"/>
          <w:b w:val="false"/>
          <w:sz w:val="22"/>
        </w:rPr>
        <w:t>(c)</w:t>
      </w:r>
    </w:p>
    <w:p>
      <w:pPr>
        <w:pStyle w:val="TextBody"/>
        <w:spacing w:before="0" w:after="240"/>
        <w:jc w:val="left"/>
        <w:rPr/>
      </w:pPr>
      <w:r>
        <w:rPr>
          <w:rFonts w:ascii="Times New Roman;serif" w:hAnsi="Times New Roman;serif"/>
          <w:b w:val="false"/>
          <w:sz w:val="22"/>
          <w:u w:val="single"/>
        </w:rPr>
        <w:t>Code</w:t>
      </w:r>
      <w:r>
        <w:rPr>
          <w:rFonts w:ascii="Times New Roman;serif" w:hAnsi="Times New Roman;serif"/>
          <w:b w:val="false"/>
          <w:sz w:val="22"/>
        </w:rPr>
        <w:t>. “Code” shall mean the Internal Revenue Code of 1986, as amended, and the regulations and guidance promulgated thereunder.</w:t>
      </w:r>
    </w:p>
    <w:p>
      <w:pPr>
        <w:pStyle w:val="TextBody"/>
        <w:spacing w:before="0" w:after="240"/>
        <w:jc w:val="left"/>
        <w:rPr>
          <w:rFonts w:ascii="Times New Roman" w:hAnsi="Times New Roman"/>
          <w:b w:val="false"/>
          <w:sz w:val="22"/>
        </w:rPr>
      </w:pPr>
      <w:r>
        <w:rPr>
          <w:rFonts w:ascii="Times New Roman" w:hAnsi="Times New Roman"/>
          <w:b w:val="false"/>
          <w:sz w:val="22"/>
        </w:rPr>
        <w:t>(d)</w:t>
      </w:r>
    </w:p>
    <w:p>
      <w:pPr>
        <w:pStyle w:val="TextBody"/>
        <w:spacing w:before="0" w:after="240"/>
        <w:jc w:val="left"/>
        <w:rPr/>
      </w:pPr>
      <w:r>
        <w:rPr>
          <w:rFonts w:ascii="Times New Roman;serif" w:hAnsi="Times New Roman;serif"/>
          <w:b w:val="false"/>
          <w:sz w:val="22"/>
          <w:u w:val="single"/>
        </w:rPr>
        <w:t>Date of Termination</w:t>
      </w:r>
      <w:r>
        <w:rPr>
          <w:rFonts w:ascii="Times New Roman;serif" w:hAnsi="Times New Roman;serif"/>
          <w:b w:val="false"/>
          <w:sz w:val="22"/>
        </w:rPr>
        <w:t xml:space="preserve">. “Date of Termination” shall mean (i) if Executive’s employment is terminated by Executive’s death, the date of Executive’s death; or (ii) if Executive’s employment is terminated pursuant to </w:t>
      </w:r>
      <w:r>
        <w:rPr>
          <w:rFonts w:ascii="Times New Roman;serif" w:hAnsi="Times New Roman;serif"/>
          <w:b w:val="false"/>
          <w:sz w:val="22"/>
          <w:u w:val="single"/>
        </w:rPr>
        <w:t>Section 3(a)(ii)</w:t>
      </w:r>
      <w:r>
        <w:rPr/>
        <w:t xml:space="preserve"> – </w:t>
      </w:r>
      <w:r>
        <w:rPr>
          <w:rFonts w:ascii="Times New Roman;serif" w:hAnsi="Times New Roman;serif"/>
          <w:b w:val="false"/>
          <w:sz w:val="22"/>
          <w:u w:val="single"/>
        </w:rPr>
        <w:t>(vi)</w:t>
      </w:r>
      <w:r>
        <w:rPr/>
        <w:t xml:space="preserve"> </w:t>
      </w:r>
      <w:r>
        <w:rPr>
          <w:rFonts w:ascii="Times New Roman;serif" w:hAnsi="Times New Roman;serif"/>
          <w:b w:val="false"/>
          <w:sz w:val="22"/>
        </w:rPr>
        <w:t xml:space="preserve">either the date indicated in the Notice of Termination or the date specified by the Company pursuant to </w:t>
      </w:r>
      <w:r>
        <w:rPr>
          <w:rFonts w:ascii="Times New Roman;serif" w:hAnsi="Times New Roman;serif"/>
          <w:b w:val="false"/>
          <w:sz w:val="22"/>
          <w:u w:val="single"/>
        </w:rPr>
        <w:t>Section 3(b)</w:t>
      </w:r>
      <w:r>
        <w:rPr>
          <w:rFonts w:ascii="Times New Roman;serif" w:hAnsi="Times New Roman;serif"/>
          <w:b w:val="false"/>
          <w:sz w:val="22"/>
        </w:rPr>
        <w:t>, whichever is earlier.</w:t>
      </w:r>
    </w:p>
    <w:p>
      <w:pPr>
        <w:pStyle w:val="TextBody"/>
        <w:spacing w:before="0" w:after="240"/>
        <w:jc w:val="left"/>
        <w:rPr>
          <w:rFonts w:ascii="Times New Roman" w:hAnsi="Times New Roman"/>
          <w:b w:val="false"/>
          <w:sz w:val="22"/>
        </w:rPr>
      </w:pPr>
      <w:r>
        <w:rPr>
          <w:rFonts w:ascii="Times New Roman" w:hAnsi="Times New Roman"/>
          <w:b w:val="false"/>
          <w:sz w:val="22"/>
        </w:rPr>
        <w:t>(e)</w:t>
      </w:r>
    </w:p>
    <w:p>
      <w:pPr>
        <w:pStyle w:val="TextBody"/>
        <w:spacing w:before="0" w:after="240"/>
        <w:jc w:val="left"/>
        <w:rPr/>
      </w:pPr>
      <w:r>
        <w:rPr>
          <w:rFonts w:ascii="Times New Roman;serif" w:hAnsi="Times New Roman;serif"/>
          <w:b w:val="false"/>
          <w:sz w:val="22"/>
          <w:u w:val="single"/>
        </w:rPr>
        <w:t>Disability</w:t>
      </w:r>
      <w:r>
        <w:rPr>
          <w:rFonts w:ascii="Times New Roman;serif" w:hAnsi="Times New Roman;serif"/>
          <w:b w:val="false"/>
          <w:sz w:val="22"/>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serif" w:hAnsi="Times New Roman;serif"/>
          <w:b w:val="false"/>
          <w:i/>
          <w:sz w:val="22"/>
        </w:rPr>
        <w:t>provided, however</w:t>
      </w:r>
      <w:r>
        <w:rPr>
          <w:rFonts w:ascii="Times New Roman;serif" w:hAnsi="Times New Roman;serif"/>
          <w:b w:val="false"/>
          <w:sz w:val="22"/>
        </w:rPr>
        <w:t xml:space="preserve">,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 </w:t>
      </w:r>
    </w:p>
    <w:p>
      <w:pPr>
        <w:pStyle w:val="TextBody"/>
        <w:spacing w:before="0" w:after="240"/>
        <w:jc w:val="left"/>
        <w:rPr>
          <w:rFonts w:ascii="Times New Roman" w:hAnsi="Times New Roman"/>
          <w:b w:val="false"/>
          <w:sz w:val="22"/>
        </w:rPr>
      </w:pPr>
      <w:r>
        <w:rPr>
          <w:rFonts w:ascii="Times New Roman" w:hAnsi="Times New Roman"/>
          <w:b w:val="false"/>
          <w:sz w:val="22"/>
        </w:rPr>
        <w:t>(f)</w:t>
      </w:r>
    </w:p>
    <w:p>
      <w:pPr>
        <w:pStyle w:val="TextBody"/>
        <w:spacing w:before="0" w:after="240"/>
        <w:jc w:val="left"/>
        <w:rPr/>
      </w:pPr>
      <w:r>
        <w:rPr>
          <w:rFonts w:ascii="Times New Roman;serif" w:hAnsi="Times New Roman;serif"/>
          <w:b w:val="false"/>
          <w:sz w:val="22"/>
          <w:u w:val="single"/>
        </w:rPr>
        <w:t>Good Reason</w:t>
      </w:r>
      <w:r>
        <w:rPr>
          <w:rFonts w:ascii="Times New Roman;serif" w:hAnsi="Times New Roman;serif"/>
          <w:b w:val="false"/>
          <w:sz w:val="22"/>
        </w:rPr>
        <w:t xml:space="preserve">. “Good Reason” means the occurrence of any of the following events, unless Executive consents in writing to the applicable event: (i) a reduction in Executive’s Annual Base Salary or Target Annual Bonus (excluding any reduction in Annual Base Salary that is proportionate to a reduction of base salaries affecting substantially all other executive officers of the Company), (ii) a material decrease in Executive’s authority or areas of responsibility as are commensurate with Executive’s title or position with the Company (other than in connection with a Change in Control transaction where the Executive continues to have substantially the same authority and duties with respect to the Company’s business, substantially as such business exists prior to the date of consummation of such corporate transaction, but does not hold such position with respect to the successor or surviving entity (or its ultimate parent), (iii) the relocation of Executive’s primary office to a location more than thirty-five (35) miles from the Executive’s primary office as of the date of this Agreement, (iv) the failure of any successor of all or substantially all of the Company’s assets to assume this Agreement, to the extent such assumption does not occur automatically by operation of law, or (v) the Company’s breach of a material provision of this Agreement or any other material agreement between the Company and the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7</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rFonts w:ascii="Times New Roman;serif" w:hAnsi="Times New Roman;serif"/>
          <w:b w:val="false"/>
          <w:sz w:val="22"/>
        </w:rPr>
        <w:t>Executive. Notwithstanding the foregoing, Executive’s resignation of employment will not be for Good Reason unless and until: (a) Executive has provided the Company, within sixty (60) days of Executive’s knowledge of the occurrence of the facts and circumstances underlying the Good Reason event, written notice stating with reasonable specificity the applicable facts and circumstances underlying such finding of Good Reason; (b) to the extent reasonably capable of cure, the Company has had an opportunity to cure the same for thirty (30) days after the receipt of such notice; (c) the Company shall have failed to so cure within such period; and (d) Executive resigns within 60 days following the end of such cure period.</w:t>
      </w:r>
      <w:r>
        <w:rPr/>
        <w:t xml:space="preserve"> </w:t>
      </w:r>
    </w:p>
    <w:p>
      <w:pPr>
        <w:pStyle w:val="TextBody"/>
        <w:spacing w:before="0" w:after="240"/>
        <w:jc w:val="left"/>
        <w:rPr>
          <w:rFonts w:ascii="Times New Roman" w:hAnsi="Times New Roman"/>
          <w:b/>
          <w:sz w:val="24"/>
        </w:rPr>
      </w:pPr>
      <w:r>
        <w:rPr>
          <w:rFonts w:ascii="Times New Roman" w:hAnsi="Times New Roman"/>
          <w:b/>
          <w:sz w:val="24"/>
        </w:rPr>
        <w:t>8.</w:t>
      </w:r>
    </w:p>
    <w:p>
      <w:pPr>
        <w:pStyle w:val="TextBody"/>
        <w:spacing w:before="0" w:after="240"/>
        <w:jc w:val="left"/>
        <w:rPr/>
      </w:pPr>
      <w:r>
        <w:rPr>
          <w:rFonts w:ascii="Times New Roman;serif" w:hAnsi="Times New Roman;serif"/>
          <w:b/>
          <w:sz w:val="22"/>
          <w:u w:val="single"/>
        </w:rPr>
        <w:t>Parachute Payments</w:t>
      </w:r>
      <w:r>
        <w:rPr>
          <w:rFonts w:ascii="Times New Roman;serif" w:hAnsi="Times New Roman;serif"/>
          <w:b/>
          <w:sz w:val="22"/>
        </w:rPr>
        <w:t>.</w:t>
      </w:r>
    </w:p>
    <w:p>
      <w:pPr>
        <w:pStyle w:val="TextBody"/>
        <w:spacing w:before="0" w:after="240"/>
        <w:jc w:val="left"/>
        <w:rPr>
          <w:rFonts w:ascii="Times New Roman" w:hAnsi="Times New Roman"/>
          <w:b w:val="false"/>
          <w:sz w:val="22"/>
        </w:rPr>
      </w:pPr>
      <w:r>
        <w:rPr>
          <w:rFonts w:ascii="Times New Roman" w:hAnsi="Times New Roman"/>
          <w:b w:val="false"/>
          <w:sz w:val="22"/>
        </w:rPr>
        <w:t>(a)</w:t>
      </w:r>
    </w:p>
    <w:p>
      <w:pPr>
        <w:pStyle w:val="TextBody"/>
        <w:spacing w:before="0" w:after="240"/>
        <w:jc w:val="left"/>
        <w:rPr/>
      </w:pPr>
      <w:r>
        <w:rPr>
          <w:rFonts w:ascii="Times New Roman;serif" w:hAnsi="Times New Roman;serif"/>
          <w:b w:val="false"/>
          <w:sz w:val="22"/>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serif" w:hAnsi="Times New Roman;serif"/>
          <w:b w:val="false"/>
          <w:sz w:val="22"/>
          <w:u w:val="single"/>
        </w:rPr>
        <w:t>Section 4</w:t>
      </w:r>
      <w:r>
        <w:rPr/>
        <w:t xml:space="preserve"> </w:t>
      </w:r>
      <w:r>
        <w:rPr>
          <w:rFonts w:ascii="Times New Roman;serif" w:hAnsi="Times New Roman;serif"/>
          <w:b w:val="false"/>
          <w:sz w:val="22"/>
        </w:rPr>
        <w:t>hereof, being hereinafter referred to as the “</w:t>
      </w:r>
      <w:r>
        <w:rPr>
          <w:rFonts w:ascii="Times New Roman;serif" w:hAnsi="Times New Roman;serif"/>
          <w:b w:val="false"/>
          <w:sz w:val="22"/>
          <w:u w:val="single"/>
        </w:rPr>
        <w:t>Total Payments</w:t>
      </w:r>
      <w:r>
        <w:rPr/>
        <w:t>”</w:t>
      </w:r>
      <w:r>
        <w:rPr>
          <w:rFonts w:ascii="Times New Roman;serif" w:hAnsi="Times New Roman;serif"/>
          <w:b w:val="false"/>
          <w:sz w:val="22"/>
        </w:rPr>
        <w:t>), would be subject (in whole or in part) to the excise tax imposed by Section 4999 of the Code (the “</w:t>
      </w:r>
      <w:r>
        <w:rPr>
          <w:rFonts w:ascii="Times New Roman;serif" w:hAnsi="Times New Roman;serif"/>
          <w:b w:val="false"/>
          <w:sz w:val="22"/>
          <w:u w:val="single"/>
        </w:rPr>
        <w:t>Excise Tax</w:t>
      </w:r>
      <w:r>
        <w:rPr/>
        <w:t>”</w:t>
      </w:r>
      <w:r>
        <w:rPr>
          <w:rFonts w:ascii="Times New Roman;serif" w:hAnsi="Times New Roman;serif"/>
          <w:b w:val="false"/>
          <w:sz w:val="22"/>
        </w:rPr>
        <w:t xml:space="preserve">), then the Total Payments shall be reduced (in the order provided in </w:t>
      </w:r>
      <w:r>
        <w:rPr>
          <w:rFonts w:ascii="Times New Roman;serif" w:hAnsi="Times New Roman;serif"/>
          <w:b w:val="false"/>
          <w:sz w:val="22"/>
          <w:u w:val="single"/>
        </w:rPr>
        <w:t>Section 8(b)</w:t>
      </w:r>
      <w:r>
        <w:rPr>
          <w:rFonts w:ascii="Times New Roman;serif" w:hAnsi="Times New Roman;serif"/>
          <w:b w:val="false"/>
          <w:sz w:val="22"/>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pStyle w:val="TextBody"/>
        <w:spacing w:before="0" w:after="240"/>
        <w:jc w:val="left"/>
        <w:rPr>
          <w:rFonts w:ascii="Times New Roman" w:hAnsi="Times New Roman"/>
          <w:b w:val="false"/>
          <w:sz w:val="22"/>
        </w:rPr>
      </w:pPr>
      <w:r>
        <w:rPr>
          <w:rFonts w:ascii="Times New Roman" w:hAnsi="Times New Roman"/>
          <w:b w:val="false"/>
          <w:sz w:val="22"/>
        </w:rPr>
        <w:t>(b)</w:t>
      </w:r>
    </w:p>
    <w:p>
      <w:pPr>
        <w:pStyle w:val="TextBody"/>
        <w:spacing w:before="0" w:after="240"/>
        <w:jc w:val="left"/>
        <w:rPr/>
      </w:pPr>
      <w:r>
        <w:rPr>
          <w:rFonts w:ascii="Times New Roman;serif" w:hAnsi="Times New Roman;serif"/>
          <w:b w:val="false"/>
          <w:sz w:val="22"/>
        </w:rPr>
        <w:t>The Total Payments shall be reduced in the following order: (i) reduction on a pro rata basis of any cash severance payments that are exempt from Section 409A of the Code (“</w:t>
      </w:r>
      <w:r>
        <w:rPr>
          <w:rFonts w:ascii="Times New Roman;serif" w:hAnsi="Times New Roman;serif"/>
          <w:b w:val="false"/>
          <w:sz w:val="22"/>
          <w:u w:val="single"/>
        </w:rPr>
        <w:t>Section 409A</w:t>
      </w:r>
      <w:r>
        <w:rPr/>
        <w:t>”</w:t>
      </w:r>
      <w:r>
        <w:rPr>
          <w:rFonts w:ascii="Times New Roman;serif" w:hAnsi="Times New Roman;serif"/>
          <w:b w:val="false"/>
          <w:sz w:val="22"/>
        </w:rPr>
        <w:t>), (ii)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pStyle w:val="TextBody"/>
        <w:spacing w:before="0" w:after="240"/>
        <w:jc w:val="left"/>
        <w:rPr>
          <w:rFonts w:ascii="Times New Roman" w:hAnsi="Times New Roman"/>
          <w:b w:val="false"/>
          <w:sz w:val="22"/>
        </w:rPr>
      </w:pPr>
      <w:r>
        <w:rPr>
          <w:rFonts w:ascii="Times New Roman" w:hAnsi="Times New Roman"/>
          <w:b w:val="false"/>
          <w:sz w:val="22"/>
        </w:rPr>
        <w:t>(c)</w:t>
      </w:r>
    </w:p>
    <w:p>
      <w:pPr>
        <w:pStyle w:val="TextBody"/>
        <w:spacing w:before="0" w:after="240"/>
        <w:jc w:val="left"/>
        <w:rPr/>
      </w:pPr>
      <w:r>
        <w:rPr>
          <w:rFonts w:ascii="Times New Roman;serif" w:hAnsi="Times New Roman;serif"/>
          <w:b w:val="false"/>
          <w:sz w:val="22"/>
        </w:rPr>
        <w:t xml:space="preserve">All determinations regarding the application of this </w:t>
      </w:r>
      <w:r>
        <w:rPr>
          <w:rFonts w:ascii="Times New Roman;serif" w:hAnsi="Times New Roman;serif"/>
          <w:b w:val="false"/>
          <w:sz w:val="22"/>
          <w:u w:val="single"/>
        </w:rPr>
        <w:t>Section 8</w:t>
      </w:r>
      <w:r>
        <w:rPr/>
        <w:t xml:space="preserve"> </w:t>
      </w:r>
      <w:r>
        <w:rPr>
          <w:rFonts w:ascii="Times New Roman;serif" w:hAnsi="Times New Roman;serif"/>
          <w:b w:val="false"/>
          <w:sz w:val="22"/>
        </w:rPr>
        <w:t>shall be made by an accounting firm or consulting group with experience in performing calculations regarding the applicability of Section 280G of the Code and the Excise Tax selected by the Company (the “</w:t>
      </w:r>
      <w:r>
        <w:rPr>
          <w:rFonts w:ascii="Times New Roman;serif" w:hAnsi="Times New Roman;serif"/>
          <w:b w:val="false"/>
          <w:sz w:val="22"/>
          <w:u w:val="single"/>
        </w:rPr>
        <w:t>Independent Advisors</w:t>
      </w:r>
      <w:r>
        <w:rPr/>
        <w:t>”</w:t>
      </w:r>
      <w:r>
        <w:rPr>
          <w:rFonts w:ascii="Times New Roman;serif" w:hAnsi="Times New Roman;serif"/>
          <w:b w:val="false"/>
          <w:sz w:val="22"/>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8</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rFonts w:ascii="Times New Roman" w:hAnsi="Times New Roman"/>
          <w:b w:val="false"/>
          <w:sz w:val="22"/>
        </w:rPr>
      </w:pPr>
      <w:r>
        <w:rPr>
          <w:rFonts w:ascii="Times New Roman" w:hAnsi="Times New Roman"/>
          <w:b w:val="false"/>
          <w:sz w:val="22"/>
        </w:rPr>
        <w:t>(d)</w:t>
      </w:r>
    </w:p>
    <w:p>
      <w:pPr>
        <w:pStyle w:val="TextBody"/>
        <w:spacing w:before="0" w:after="240"/>
        <w:jc w:val="left"/>
        <w:rPr/>
      </w:pPr>
      <w:r>
        <w:rPr>
          <w:rFonts w:ascii="Times New Roman;serif" w:hAnsi="Times New Roman;serif"/>
          <w:b w:val="false"/>
          <w:sz w:val="22"/>
        </w:rPr>
        <w:t xml:space="preserve">In the event it is later determined that a greater reduction in the Total Payments should have been made to implement the objective and intent of this </w:t>
      </w:r>
      <w:r>
        <w:rPr>
          <w:rFonts w:ascii="Times New Roman;serif" w:hAnsi="Times New Roman;serif"/>
          <w:b w:val="false"/>
          <w:sz w:val="22"/>
          <w:u w:val="single"/>
        </w:rPr>
        <w:t>Section 8</w:t>
      </w:r>
      <w:r>
        <w:rPr>
          <w:rFonts w:ascii="Times New Roman;serif" w:hAnsi="Times New Roman;serif"/>
          <w:b w:val="false"/>
          <w:sz w:val="22"/>
        </w:rPr>
        <w:t xml:space="preserve">, the excess amount shall be returned promptly by Executive to the Company. </w:t>
      </w:r>
    </w:p>
    <w:p>
      <w:pPr>
        <w:pStyle w:val="TextBody"/>
        <w:spacing w:before="0" w:after="240"/>
        <w:jc w:val="left"/>
        <w:rPr>
          <w:rFonts w:ascii="Times New Roman" w:hAnsi="Times New Roman"/>
          <w:b/>
          <w:sz w:val="24"/>
        </w:rPr>
      </w:pPr>
      <w:r>
        <w:rPr>
          <w:rFonts w:ascii="Times New Roman" w:hAnsi="Times New Roman"/>
          <w:b/>
          <w:sz w:val="24"/>
        </w:rPr>
        <w:t>9.</w:t>
      </w:r>
    </w:p>
    <w:p>
      <w:pPr>
        <w:pStyle w:val="TextBody"/>
        <w:spacing w:before="0" w:after="240"/>
        <w:jc w:val="left"/>
        <w:rPr/>
      </w:pPr>
      <w:r>
        <w:rPr>
          <w:rFonts w:ascii="Times New Roman;serif" w:hAnsi="Times New Roman;serif"/>
          <w:b/>
          <w:sz w:val="22"/>
          <w:u w:val="single"/>
        </w:rPr>
        <w:t>Miscellaneous Provisions</w:t>
      </w:r>
      <w:r>
        <w:rPr>
          <w:rFonts w:ascii="Times New Roman;serif" w:hAnsi="Times New Roman;serif"/>
          <w:b/>
          <w:sz w:val="22"/>
        </w:rPr>
        <w:t>.</w:t>
      </w:r>
    </w:p>
    <w:p>
      <w:pPr>
        <w:pStyle w:val="TextBody"/>
        <w:spacing w:before="0" w:after="240"/>
        <w:jc w:val="left"/>
        <w:rPr>
          <w:rFonts w:ascii="Times New Roman" w:hAnsi="Times New Roman"/>
          <w:b w:val="false"/>
          <w:sz w:val="22"/>
        </w:rPr>
      </w:pPr>
      <w:r>
        <w:rPr>
          <w:rFonts w:ascii="Times New Roman" w:hAnsi="Times New Roman"/>
          <w:b w:val="false"/>
          <w:sz w:val="22"/>
        </w:rPr>
        <w:t>(a)</w:t>
      </w:r>
    </w:p>
    <w:p>
      <w:pPr>
        <w:pStyle w:val="TextBody"/>
        <w:spacing w:before="0" w:after="240"/>
        <w:jc w:val="left"/>
        <w:rPr/>
      </w:pPr>
      <w:r>
        <w:rPr>
          <w:rFonts w:ascii="Times New Roman;serif" w:hAnsi="Times New Roman;serif"/>
          <w:b w:val="false"/>
          <w:sz w:val="22"/>
          <w:u w:val="single"/>
        </w:rPr>
        <w:t>Governing Law</w:t>
      </w:r>
      <w:r>
        <w:rPr>
          <w:rFonts w:ascii="Times New Roman;serif" w:hAnsi="Times New Roman;serif"/>
          <w:b w:val="false"/>
          <w:sz w:val="22"/>
        </w:rPr>
        <w:t xml:space="preserve">. This Agreement shall be governed, construed, interpreted and enforced in accordance with its express terms, and otherwise in accordance with the substantive laws of the State of California without reference to the principles of conflicts of law of the State of California or any other jurisdiction that would result in the application of the laws of a jurisdiction other than the State of California, and where applicable, the laws of the United States. </w:t>
      </w:r>
    </w:p>
    <w:p>
      <w:pPr>
        <w:pStyle w:val="TextBody"/>
        <w:spacing w:before="0" w:after="240"/>
        <w:jc w:val="left"/>
        <w:rPr>
          <w:rFonts w:ascii="Times New Roman" w:hAnsi="Times New Roman"/>
          <w:b w:val="false"/>
          <w:sz w:val="22"/>
        </w:rPr>
      </w:pPr>
      <w:r>
        <w:rPr>
          <w:rFonts w:ascii="Times New Roman" w:hAnsi="Times New Roman"/>
          <w:b w:val="false"/>
          <w:sz w:val="22"/>
        </w:rPr>
        <w:t>(b)</w:t>
      </w:r>
    </w:p>
    <w:p>
      <w:pPr>
        <w:pStyle w:val="TextBody"/>
        <w:spacing w:before="0" w:after="240"/>
        <w:jc w:val="left"/>
        <w:rPr/>
      </w:pPr>
      <w:r>
        <w:rPr>
          <w:rFonts w:ascii="Times New Roman;serif" w:hAnsi="Times New Roman;serif"/>
          <w:b w:val="false"/>
          <w:sz w:val="22"/>
          <w:u w:val="single"/>
        </w:rPr>
        <w:t>Validity</w:t>
      </w:r>
      <w:r>
        <w:rPr>
          <w:rFonts w:ascii="Times New Roman;serif" w:hAnsi="Times New Roman;serif"/>
          <w:b w:val="false"/>
          <w:sz w:val="22"/>
        </w:rPr>
        <w:t xml:space="preserve">. The invalidity or unenforceability of any provision or provisions of this Agreement shall not affect the validity or enforceability of any other provision of this Agreement, which shall remain in full force and effect. </w:t>
      </w:r>
    </w:p>
    <w:p>
      <w:pPr>
        <w:pStyle w:val="TextBody"/>
        <w:spacing w:before="0" w:after="240"/>
        <w:jc w:val="left"/>
        <w:rPr>
          <w:rFonts w:ascii="Times New Roman" w:hAnsi="Times New Roman"/>
          <w:b w:val="false"/>
          <w:sz w:val="22"/>
        </w:rPr>
      </w:pPr>
      <w:r>
        <w:rPr>
          <w:rFonts w:ascii="Times New Roman" w:hAnsi="Times New Roman"/>
          <w:b w:val="false"/>
          <w:sz w:val="22"/>
        </w:rPr>
        <w:t>(c)</w:t>
      </w:r>
    </w:p>
    <w:p>
      <w:pPr>
        <w:pStyle w:val="TextBody"/>
        <w:spacing w:before="0" w:after="240"/>
        <w:jc w:val="left"/>
        <w:rPr/>
      </w:pPr>
      <w:r>
        <w:rPr>
          <w:rFonts w:ascii="Times New Roman;serif" w:hAnsi="Times New Roman;serif"/>
          <w:b w:val="false"/>
          <w:sz w:val="22"/>
          <w:u w:val="single"/>
        </w:rPr>
        <w:t>Notices</w:t>
      </w:r>
      <w:r>
        <w:rPr>
          <w:rFonts w:ascii="Times New Roman;serif" w:hAnsi="Times New Roman;serif"/>
          <w:b w:val="false"/>
          <w:sz w:val="22"/>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pStyle w:val="TextBody"/>
        <w:spacing w:before="0" w:after="240"/>
        <w:jc w:val="left"/>
        <w:rPr>
          <w:rFonts w:ascii="Times New Roman" w:hAnsi="Times New Roman"/>
          <w:b w:val="false"/>
          <w:sz w:val="22"/>
        </w:rPr>
      </w:pPr>
      <w:r>
        <w:rPr>
          <w:rFonts w:ascii="Times New Roman" w:hAnsi="Times New Roman"/>
          <w:b w:val="false"/>
          <w:sz w:val="22"/>
        </w:rPr>
        <w:t>(i)</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If to the Company, to the Chief Executive Officer of the Company at the Company’s headquarters,</w:t>
      </w:r>
    </w:p>
    <w:p>
      <w:pPr>
        <w:pStyle w:val="TextBody"/>
        <w:spacing w:before="0" w:after="240"/>
        <w:jc w:val="left"/>
        <w:rPr>
          <w:rFonts w:ascii="Times New Roman" w:hAnsi="Times New Roman"/>
          <w:b w:val="false"/>
          <w:sz w:val="22"/>
        </w:rPr>
      </w:pPr>
      <w:r>
        <w:rPr>
          <w:rFonts w:ascii="Times New Roman" w:hAnsi="Times New Roman"/>
          <w:b w:val="false"/>
          <w:sz w:val="22"/>
        </w:rPr>
        <w:t>(ii)</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If to Executive, to the last address that the Company has in its personnel records for Executive, or</w:t>
      </w:r>
    </w:p>
    <w:p>
      <w:pPr>
        <w:pStyle w:val="TextBody"/>
        <w:spacing w:before="0" w:after="240"/>
        <w:jc w:val="left"/>
        <w:rPr>
          <w:rFonts w:ascii="Times New Roman" w:hAnsi="Times New Roman"/>
          <w:b w:val="false"/>
          <w:sz w:val="22"/>
        </w:rPr>
      </w:pPr>
      <w:r>
        <w:rPr>
          <w:rFonts w:ascii="Times New Roman" w:hAnsi="Times New Roman"/>
          <w:b w:val="false"/>
          <w:sz w:val="22"/>
        </w:rPr>
        <w:t>(iii)</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At any other address as any Party shall have specified by notice in writing to the other Party.</w:t>
      </w:r>
    </w:p>
    <w:p>
      <w:pPr>
        <w:pStyle w:val="TextBody"/>
        <w:spacing w:before="0" w:after="240"/>
        <w:jc w:val="left"/>
        <w:rPr>
          <w:rFonts w:ascii="Times New Roman" w:hAnsi="Times New Roman"/>
          <w:b w:val="false"/>
          <w:sz w:val="22"/>
        </w:rPr>
      </w:pPr>
      <w:r>
        <w:rPr>
          <w:rFonts w:ascii="Times New Roman" w:hAnsi="Times New Roman"/>
          <w:b w:val="false"/>
          <w:sz w:val="22"/>
        </w:rPr>
        <w:t>(d)</w:t>
      </w:r>
    </w:p>
    <w:p>
      <w:pPr>
        <w:pStyle w:val="TextBody"/>
        <w:spacing w:before="0" w:after="240"/>
        <w:jc w:val="left"/>
        <w:rPr/>
      </w:pPr>
      <w:r>
        <w:rPr>
          <w:rFonts w:ascii="Times New Roman;serif" w:hAnsi="Times New Roman;serif"/>
          <w:b w:val="false"/>
          <w:sz w:val="22"/>
          <w:u w:val="single"/>
        </w:rPr>
        <w:t>Counterparts</w:t>
      </w:r>
      <w:r>
        <w:rPr>
          <w:rFonts w:ascii="Times New Roman;serif" w:hAnsi="Times New Roman;serif"/>
          <w:b w:val="false"/>
          <w:sz w:val="22"/>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pStyle w:val="TextBody"/>
        <w:spacing w:before="0" w:after="240"/>
        <w:jc w:val="left"/>
        <w:rPr>
          <w:rFonts w:ascii="Times New Roman" w:hAnsi="Times New Roman"/>
          <w:b w:val="false"/>
          <w:sz w:val="22"/>
        </w:rPr>
      </w:pPr>
      <w:r>
        <w:rPr>
          <w:rFonts w:ascii="Times New Roman" w:hAnsi="Times New Roman"/>
          <w:b w:val="false"/>
          <w:sz w:val="22"/>
        </w:rPr>
        <w:t>(e)</w:t>
      </w:r>
    </w:p>
    <w:p>
      <w:pPr>
        <w:pStyle w:val="TextBody"/>
        <w:spacing w:before="0" w:after="240"/>
        <w:jc w:val="left"/>
        <w:rPr/>
      </w:pPr>
      <w:r>
        <w:rPr>
          <w:rFonts w:ascii="Times New Roman;serif" w:hAnsi="Times New Roman;serif"/>
          <w:b w:val="false"/>
          <w:sz w:val="22"/>
          <w:u w:val="single"/>
        </w:rPr>
        <w:t>Entire Agreement</w:t>
      </w:r>
      <w:r>
        <w:rPr>
          <w:rFonts w:ascii="Times New Roman;serif" w:hAnsi="Times New Roman;serif"/>
          <w:b w:val="false"/>
          <w:sz w:val="22"/>
        </w:rPr>
        <w:t xml:space="preserve">. The terms of this Agreement, and the Restrictive Covenant Agreement incorporated herein by reference as set forth in </w:t>
      </w:r>
      <w:r>
        <w:rPr>
          <w:rFonts w:ascii="Times New Roman;serif" w:hAnsi="Times New Roman;serif"/>
          <w:b w:val="false"/>
          <w:sz w:val="22"/>
          <w:u w:val="single"/>
        </w:rPr>
        <w:t>Section 5</w:t>
      </w:r>
      <w:r>
        <w:rPr>
          <w:rFonts w:ascii="Times New Roman;serif" w:hAnsi="Times New Roman;serif"/>
          <w:b w:val="false"/>
          <w:sz w:val="22"/>
        </w:rPr>
        <w:t xml:space="preserve">,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 </w:t>
      </w:r>
    </w:p>
    <w:p>
      <w:pPr>
        <w:pStyle w:val="TextBody"/>
        <w:spacing w:before="0" w:after="240"/>
        <w:jc w:val="left"/>
        <w:rPr>
          <w:rFonts w:ascii="Times New Roman" w:hAnsi="Times New Roman"/>
          <w:b w:val="false"/>
          <w:sz w:val="22"/>
        </w:rPr>
      </w:pPr>
      <w:r>
        <w:rPr>
          <w:rFonts w:ascii="Times New Roman" w:hAnsi="Times New Roman"/>
          <w:b w:val="false"/>
          <w:sz w:val="22"/>
        </w:rPr>
        <w:t>(f)</w:t>
      </w:r>
    </w:p>
    <w:p>
      <w:pPr>
        <w:pStyle w:val="TextBody"/>
        <w:spacing w:before="0" w:after="240"/>
        <w:jc w:val="left"/>
        <w:rPr/>
      </w:pPr>
      <w:r>
        <w:rPr>
          <w:rFonts w:ascii="Times New Roman;serif" w:hAnsi="Times New Roman;serif"/>
          <w:b w:val="false"/>
          <w:sz w:val="22"/>
          <w:u w:val="single"/>
        </w:rPr>
        <w:t>Amendments; Waivers</w:t>
      </w:r>
      <w:r>
        <w:rPr>
          <w:rFonts w:ascii="Times New Roman;serif" w:hAnsi="Times New Roman;serif"/>
          <w:b w:val="false"/>
          <w:sz w:val="22"/>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xml:space="preserve">, that such waiver shall not operate as a waiver of, or estoppel with respect to, any other or subsequent failure. No failure to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9</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rFonts w:ascii="Times New Roman;serif" w:hAnsi="Times New Roman;serif"/>
          <w:b w:val="false"/>
          <w:sz w:val="22"/>
        </w:rPr>
        <w:t>exercise and no delay in exercising any right, remedy, or power hereunder will preclude any other or further exercise of any other right, remedy, or power provided herein or by law or in equity.</w:t>
      </w:r>
      <w:r>
        <w:rPr/>
        <w:t xml:space="preserve"> </w:t>
      </w:r>
    </w:p>
    <w:p>
      <w:pPr>
        <w:pStyle w:val="TextBody"/>
        <w:spacing w:before="0" w:after="240"/>
        <w:jc w:val="left"/>
        <w:rPr>
          <w:rFonts w:ascii="Times New Roman" w:hAnsi="Times New Roman"/>
          <w:b w:val="false"/>
          <w:sz w:val="22"/>
        </w:rPr>
      </w:pPr>
      <w:r>
        <w:rPr>
          <w:rFonts w:ascii="Times New Roman" w:hAnsi="Times New Roman"/>
          <w:b w:val="false"/>
          <w:sz w:val="22"/>
        </w:rPr>
        <w:t>(g)</w:t>
      </w:r>
    </w:p>
    <w:p>
      <w:pPr>
        <w:pStyle w:val="TextBody"/>
        <w:spacing w:before="0" w:after="240"/>
        <w:jc w:val="left"/>
        <w:rPr/>
      </w:pPr>
      <w:r>
        <w:rPr>
          <w:rFonts w:ascii="Times New Roman;serif" w:hAnsi="Times New Roman;serif"/>
          <w:b w:val="false"/>
          <w:sz w:val="22"/>
          <w:u w:val="single"/>
        </w:rPr>
        <w:t>Construction</w:t>
      </w:r>
      <w:r>
        <w:rPr>
          <w:rFonts w:ascii="Times New Roman;serif" w:hAnsi="Times New Roman;serif"/>
          <w:b w:val="false"/>
          <w:sz w:val="22"/>
        </w:rPr>
        <w:t xml:space="preserve">.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 </w:t>
      </w:r>
    </w:p>
    <w:p>
      <w:pPr>
        <w:pStyle w:val="TextBody"/>
        <w:spacing w:before="0" w:after="240"/>
        <w:jc w:val="left"/>
        <w:rPr>
          <w:rFonts w:ascii="Times New Roman" w:hAnsi="Times New Roman"/>
          <w:b w:val="false"/>
          <w:sz w:val="22"/>
        </w:rPr>
      </w:pPr>
      <w:r>
        <w:rPr>
          <w:rFonts w:ascii="Times New Roman" w:hAnsi="Times New Roman"/>
          <w:b w:val="false"/>
          <w:sz w:val="22"/>
        </w:rPr>
        <w:t>(h)</w:t>
      </w:r>
    </w:p>
    <w:p>
      <w:pPr>
        <w:pStyle w:val="TextBody"/>
        <w:spacing w:before="0" w:after="240"/>
        <w:jc w:val="left"/>
        <w:rPr/>
      </w:pPr>
      <w:r>
        <w:rPr>
          <w:rFonts w:ascii="Times New Roman;serif" w:hAnsi="Times New Roman;serif"/>
          <w:b w:val="false"/>
          <w:sz w:val="22"/>
          <w:u w:val="single"/>
        </w:rPr>
        <w:t>Arbitration</w:t>
      </w:r>
      <w:r>
        <w:rPr>
          <w:rFonts w:ascii="Times New Roman;serif" w:hAnsi="Times New Roman;serif"/>
          <w:b w:val="false"/>
          <w:sz w:val="22"/>
        </w:rPr>
        <w:t>. Any controversy, claim or dispute arising out of or relating to this Agreement, shall be settled solely and exclusively by a binding arbitration process administered by JAMS/Endispute in San Jose, California. Such arbitration shall be conducted in accordance with the then-existing JAMS/Endispute Rules of Practice and Procedure, with the following exceptions if in conflict: (i) one arbitrator who is a retired judge shall be chosen by JAMS/Endispute; (ii) all fees and costs unique to arbitration, including all fees charged by the arbitrator, shall be paid by the Company; and (iii) arbitration may proceed in the absence of any Party if written notice (pursuant to the JAMS/Endispute rules and regulations) of the proceedings has been given to such Party. Each Party shall bear its own attorney’s fees and expenses; provided that the arbitrator may award the prevailing Party its attorney’s fees and costs to the extent permitted by applicable law.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serif" w:hAnsi="Times New Roman;serif"/>
          <w:b w:val="false"/>
          <w:sz w:val="22"/>
          <w:u w:val="single"/>
        </w:rPr>
        <w:t>AAA</w:t>
      </w:r>
      <w:r>
        <w:rPr/>
        <w:t>”</w:t>
      </w:r>
      <w:r>
        <w:rPr>
          <w:rFonts w:ascii="Times New Roman;serif" w:hAnsi="Times New Roman;serif"/>
          <w:b w:val="false"/>
          <w:sz w:val="22"/>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pStyle w:val="TextBody"/>
        <w:spacing w:before="0" w:after="240"/>
        <w:jc w:val="left"/>
        <w:rPr>
          <w:rFonts w:ascii="Times New Roman" w:hAnsi="Times New Roman"/>
          <w:b w:val="false"/>
          <w:sz w:val="22"/>
        </w:rPr>
      </w:pPr>
      <w:r>
        <w:rPr>
          <w:rFonts w:ascii="Times New Roman" w:hAnsi="Times New Roman"/>
          <w:b w:val="false"/>
          <w:sz w:val="22"/>
        </w:rPr>
        <w:t>(i)</w:t>
      </w:r>
    </w:p>
    <w:p>
      <w:pPr>
        <w:pStyle w:val="TextBody"/>
        <w:spacing w:before="0" w:after="240"/>
        <w:jc w:val="left"/>
        <w:rPr/>
      </w:pPr>
      <w:r>
        <w:rPr>
          <w:rFonts w:ascii="Times New Roman;serif" w:hAnsi="Times New Roman;serif"/>
          <w:b w:val="false"/>
          <w:sz w:val="22"/>
          <w:u w:val="single"/>
        </w:rPr>
        <w:t>Enforcement</w:t>
      </w:r>
      <w:r>
        <w:rPr>
          <w:rFonts w:ascii="Times New Roman;serif" w:hAnsi="Times New Roman;serif"/>
          <w:b w:val="false"/>
          <w:sz w:val="22"/>
        </w:rPr>
        <w:t xml:space="preserve">.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10</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rFonts w:ascii="Times New Roman;serif" w:hAnsi="Times New Roman;serif"/>
          <w:b w:val="false"/>
          <w:sz w:val="22"/>
        </w:rPr>
      </w:pPr>
      <w:r>
        <w:rPr>
          <w:rFonts w:ascii="Times New Roman;serif" w:hAnsi="Times New Roman;serif"/>
          <w:b w:val="false"/>
          <w:sz w:val="22"/>
        </w:rPr>
        <w:t>provision there shall be added automatically as part of this Agreement a provision as similar in terms to such illegal, invalid or unenforceable provision as may be possible and be legal, valid and enforceable.</w:t>
      </w:r>
    </w:p>
    <w:p>
      <w:pPr>
        <w:pStyle w:val="TextBody"/>
        <w:spacing w:before="0" w:after="240"/>
        <w:jc w:val="left"/>
        <w:rPr>
          <w:rFonts w:ascii="Times New Roman" w:hAnsi="Times New Roman"/>
          <w:b w:val="false"/>
          <w:sz w:val="22"/>
        </w:rPr>
      </w:pPr>
      <w:r>
        <w:rPr>
          <w:rFonts w:ascii="Times New Roman" w:hAnsi="Times New Roman"/>
          <w:b w:val="false"/>
          <w:sz w:val="22"/>
        </w:rPr>
        <w:t>(j)</w:t>
      </w:r>
    </w:p>
    <w:p>
      <w:pPr>
        <w:pStyle w:val="TextBody"/>
        <w:spacing w:before="0" w:after="240"/>
        <w:jc w:val="left"/>
        <w:rPr/>
      </w:pPr>
      <w:r>
        <w:rPr>
          <w:rFonts w:ascii="Times New Roman;serif" w:hAnsi="Times New Roman;serif"/>
          <w:b w:val="false"/>
          <w:sz w:val="22"/>
          <w:u w:val="single"/>
        </w:rPr>
        <w:t>Withholding</w:t>
      </w:r>
      <w:r>
        <w:rPr>
          <w:rFonts w:ascii="Times New Roman;serif" w:hAnsi="Times New Roman;serif"/>
          <w:b w:val="false"/>
          <w:sz w:val="22"/>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pStyle w:val="TextBody"/>
        <w:spacing w:before="0" w:after="240"/>
        <w:jc w:val="left"/>
        <w:rPr>
          <w:rFonts w:ascii="Times New Roman" w:hAnsi="Times New Roman"/>
          <w:b w:val="false"/>
          <w:sz w:val="22"/>
        </w:rPr>
      </w:pPr>
      <w:r>
        <w:rPr>
          <w:rFonts w:ascii="Times New Roman" w:hAnsi="Times New Roman"/>
          <w:b w:val="false"/>
          <w:sz w:val="22"/>
        </w:rPr>
        <w:t>(k)</w:t>
      </w:r>
    </w:p>
    <w:p>
      <w:pPr>
        <w:pStyle w:val="TextBody"/>
        <w:spacing w:before="0" w:after="240"/>
        <w:jc w:val="left"/>
        <w:rPr/>
      </w:pPr>
      <w:r>
        <w:rPr>
          <w:rFonts w:ascii="Times New Roman;serif" w:hAnsi="Times New Roman;serif"/>
          <w:b w:val="false"/>
          <w:sz w:val="22"/>
          <w:u w:val="single"/>
        </w:rPr>
        <w:t>Section 409A</w:t>
      </w:r>
      <w:r>
        <w:rPr>
          <w:rFonts w:ascii="Times New Roman;serif" w:hAnsi="Times New Roman;serif"/>
          <w:b w:val="false"/>
          <w:sz w:val="22"/>
        </w:rPr>
        <w:t>.</w:t>
      </w:r>
    </w:p>
    <w:p>
      <w:pPr>
        <w:pStyle w:val="TextBody"/>
        <w:spacing w:before="0" w:after="240"/>
        <w:jc w:val="left"/>
        <w:rPr>
          <w:rFonts w:ascii="Times New Roman" w:hAnsi="Times New Roman"/>
          <w:b w:val="false"/>
          <w:sz w:val="22"/>
        </w:rPr>
      </w:pPr>
      <w:r>
        <w:rPr>
          <w:rFonts w:ascii="Times New Roman" w:hAnsi="Times New Roman"/>
          <w:b w:val="false"/>
          <w:sz w:val="22"/>
        </w:rPr>
        <w:t>(i)</w:t>
      </w:r>
    </w:p>
    <w:p>
      <w:pPr>
        <w:pStyle w:val="TextBody"/>
        <w:spacing w:before="0" w:after="240"/>
        <w:jc w:val="left"/>
        <w:rPr/>
      </w:pPr>
      <w:r>
        <w:rPr>
          <w:rFonts w:ascii="Times New Roman;serif" w:hAnsi="Times New Roman;serif"/>
          <w:b w:val="false"/>
          <w:i/>
          <w:sz w:val="22"/>
        </w:rPr>
        <w:t>General.</w:t>
      </w:r>
      <w:r>
        <w:rPr/>
        <w:t xml:space="preserve"> </w:t>
      </w:r>
      <w:r>
        <w:rPr>
          <w:rFonts w:ascii="Times New Roman;serif" w:hAnsi="Times New Roman;serif"/>
          <w:b w:val="false"/>
          <w:sz w:val="22"/>
        </w:rPr>
        <w:t xml:space="preserve">The intent of the Parties is that the payments and benefits under this Agreement comply with or be exempt from Section 409A and, accordingly, to the maximum extent permitted, this Agreement shall be interpreted to be in compliance therewith. </w:t>
      </w:r>
    </w:p>
    <w:p>
      <w:pPr>
        <w:pStyle w:val="TextBody"/>
        <w:spacing w:before="0" w:after="240"/>
        <w:jc w:val="left"/>
        <w:rPr>
          <w:rFonts w:ascii="Times New Roman" w:hAnsi="Times New Roman"/>
          <w:b w:val="false"/>
          <w:sz w:val="22"/>
        </w:rPr>
      </w:pPr>
      <w:r>
        <w:rPr>
          <w:rFonts w:ascii="Times New Roman" w:hAnsi="Times New Roman"/>
          <w:b w:val="false"/>
          <w:sz w:val="22"/>
        </w:rPr>
        <w:t>(ii)</w:t>
      </w:r>
    </w:p>
    <w:p>
      <w:pPr>
        <w:pStyle w:val="TextBody"/>
        <w:spacing w:before="0" w:after="240"/>
        <w:jc w:val="left"/>
        <w:rPr/>
      </w:pPr>
      <w:r>
        <w:rPr>
          <w:rFonts w:ascii="Times New Roman;serif" w:hAnsi="Times New Roman;serif"/>
          <w:b w:val="false"/>
          <w:i/>
          <w:sz w:val="22"/>
        </w:rPr>
        <w:t xml:space="preserve">Separation from Service. </w:t>
      </w:r>
      <w:r>
        <w:rPr>
          <w:rFonts w:ascii="Times New Roman;serif" w:hAnsi="Times New Roman;serif"/>
          <w:b w:val="false"/>
          <w:sz w:val="22"/>
        </w:rPr>
        <w:t>Notwithstanding anything in this Agreement to the contrary, any compensation or benefits payable under this Agreement that is designated under this Agreement as payable upon Executive’s termination of employment shall be payable only upon Executive’s “separation from service” with the Company within the meaning of Section 409A (a “</w:t>
      </w:r>
      <w:r>
        <w:rPr>
          <w:rFonts w:ascii="Times New Roman;serif" w:hAnsi="Times New Roman;serif"/>
          <w:b w:val="false"/>
          <w:sz w:val="22"/>
          <w:u w:val="single"/>
        </w:rPr>
        <w:t>Separation from Service</w:t>
      </w:r>
      <w:r>
        <w:rPr/>
        <w:t>”</w:t>
      </w:r>
      <w:r>
        <w:rPr>
          <w:rFonts w:ascii="Times New Roman;serif" w:hAnsi="Times New Roman;serif"/>
          <w:b w:val="false"/>
          <w:sz w:val="22"/>
        </w:rPr>
        <w:t xml:space="preserve">) and, except as provided below, any such compensation or benefits described in </w:t>
      </w:r>
      <w:r>
        <w:rPr>
          <w:rFonts w:ascii="Times New Roman;serif" w:hAnsi="Times New Roman;serif"/>
          <w:b w:val="false"/>
          <w:sz w:val="22"/>
          <w:u w:val="single"/>
        </w:rPr>
        <w:t xml:space="preserve">Section </w:t>
      </w:r>
      <w:r>
        <w:rPr>
          <w:rFonts w:ascii="Times New Roman;serif" w:hAnsi="Times New Roman;serif"/>
          <w:b w:val="false"/>
          <w:sz w:val="22"/>
        </w:rPr>
        <w:t>shall not be paid, or, in the case of installments, shall not commence payment, until the thirtieth (30th) day following Executive’s Separation from Service (the “</w:t>
      </w:r>
      <w:r>
        <w:rPr>
          <w:rFonts w:ascii="Times New Roman;serif" w:hAnsi="Times New Roman;serif"/>
          <w:b w:val="false"/>
          <w:sz w:val="22"/>
          <w:u w:val="single"/>
        </w:rPr>
        <w:t>First Payment Date</w:t>
      </w:r>
      <w:r>
        <w:rPr/>
        <w:t>”</w:t>
      </w:r>
      <w:r>
        <w:rPr>
          <w:rFonts w:ascii="Times New Roman;serif" w:hAnsi="Times New Roman;serif"/>
          <w:b w:val="false"/>
          <w:sz w:val="22"/>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pStyle w:val="TextBody"/>
        <w:spacing w:before="0" w:after="240"/>
        <w:jc w:val="left"/>
        <w:rPr>
          <w:rFonts w:ascii="Times New Roman" w:hAnsi="Times New Roman"/>
          <w:b w:val="false"/>
          <w:sz w:val="22"/>
        </w:rPr>
      </w:pPr>
      <w:r>
        <w:rPr>
          <w:rFonts w:ascii="Times New Roman" w:hAnsi="Times New Roman"/>
          <w:b w:val="false"/>
          <w:sz w:val="22"/>
        </w:rPr>
        <w:t>(iii)</w:t>
      </w:r>
    </w:p>
    <w:p>
      <w:pPr>
        <w:pStyle w:val="TextBody"/>
        <w:spacing w:before="0" w:after="240"/>
        <w:jc w:val="left"/>
        <w:rPr/>
      </w:pPr>
      <w:r>
        <w:rPr>
          <w:rFonts w:ascii="Times New Roman;serif" w:hAnsi="Times New Roman;serif"/>
          <w:b w:val="false"/>
          <w:i/>
          <w:sz w:val="22"/>
        </w:rPr>
        <w:t>Specified Employee.</w:t>
      </w:r>
      <w:r>
        <w:rPr/>
        <w:t xml:space="preserve"> </w:t>
      </w:r>
      <w:r>
        <w:rPr>
          <w:rFonts w:ascii="Times New Roman;serif" w:hAnsi="Times New Roman;serif"/>
          <w:b w:val="false"/>
          <w:sz w:val="22"/>
        </w:rPr>
        <w:t xml:space="preserve">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 </w:t>
      </w:r>
    </w:p>
    <w:p>
      <w:pPr>
        <w:pStyle w:val="TextBody"/>
        <w:spacing w:before="0" w:after="240"/>
        <w:jc w:val="left"/>
        <w:rPr>
          <w:rFonts w:ascii="Times New Roman" w:hAnsi="Times New Roman"/>
          <w:b w:val="false"/>
          <w:sz w:val="22"/>
        </w:rPr>
      </w:pPr>
      <w:r>
        <w:rPr>
          <w:rFonts w:ascii="Times New Roman" w:hAnsi="Times New Roman"/>
          <w:b w:val="false"/>
          <w:sz w:val="22"/>
        </w:rPr>
        <w:t>(iv)</w:t>
      </w:r>
    </w:p>
    <w:p>
      <w:pPr>
        <w:pStyle w:val="TextBody"/>
        <w:spacing w:before="0" w:after="240"/>
        <w:jc w:val="left"/>
        <w:rPr/>
      </w:pPr>
      <w:r>
        <w:rPr>
          <w:rFonts w:ascii="Times New Roman;serif" w:hAnsi="Times New Roman;serif"/>
          <w:b w:val="false"/>
          <w:i/>
          <w:sz w:val="22"/>
        </w:rPr>
        <w:t xml:space="preserve">Expense Reimbursements. </w:t>
      </w:r>
      <w:r>
        <w:rPr>
          <w:rFonts w:ascii="Times New Roman;serif" w:hAnsi="Times New Roman;serif"/>
          <w:b w:val="false"/>
          <w:sz w:val="22"/>
        </w:rPr>
        <w:t>To the extent that any reimbursements under this Agreement are subject to Section 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pStyle w:val="TextBody"/>
        <w:spacing w:before="0" w:after="240"/>
        <w:jc w:val="left"/>
        <w:rPr>
          <w:rFonts w:ascii="Times New Roman" w:hAnsi="Times New Roman"/>
          <w:b w:val="false"/>
          <w:sz w:val="22"/>
        </w:rPr>
      </w:pPr>
      <w:r>
        <w:rPr>
          <w:rFonts w:ascii="Times New Roman" w:hAnsi="Times New Roman"/>
          <w:b w:val="false"/>
          <w:sz w:val="22"/>
        </w:rPr>
        <w:t>(v)</w:t>
      </w:r>
    </w:p>
    <w:p>
      <w:pPr>
        <w:pStyle w:val="TextBody"/>
        <w:spacing w:before="0" w:after="240"/>
        <w:jc w:val="left"/>
        <w:rPr/>
      </w:pPr>
      <w:r>
        <w:rPr>
          <w:rFonts w:ascii="Times New Roman;serif" w:hAnsi="Times New Roman;serif"/>
          <w:b w:val="false"/>
          <w:i/>
          <w:sz w:val="22"/>
        </w:rPr>
        <w:t>Installments.</w:t>
      </w:r>
      <w:r>
        <w:rPr/>
        <w:t xml:space="preserve"> </w:t>
      </w:r>
      <w:r>
        <w:rPr>
          <w:rFonts w:ascii="Times New Roman;serif" w:hAnsi="Times New Roman;serif"/>
          <w:b w:val="false"/>
          <w:sz w:val="22"/>
        </w:rPr>
        <w:t xml:space="preserve">Executive’s right to receive any installment payments under this Agreement, including without limitation any continuation salary payments that are payable on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11</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rFonts w:ascii="Times New Roman;serif" w:hAnsi="Times New Roman;serif"/>
          <w:b w:val="false"/>
          <w:sz w:val="22"/>
        </w:rPr>
      </w:pPr>
      <w:r>
        <w:rPr>
          <w:rFonts w:ascii="Times New Roman;serif" w:hAnsi="Times New Roman;serif"/>
          <w:b w:val="false"/>
          <w:sz w:val="22"/>
        </w:rPr>
        <w:t>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pStyle w:val="TextBody"/>
        <w:spacing w:before="0" w:after="240"/>
        <w:jc w:val="left"/>
        <w:rPr>
          <w:rFonts w:ascii="Times New Roman" w:hAnsi="Times New Roman"/>
          <w:b/>
          <w:sz w:val="24"/>
        </w:rPr>
      </w:pPr>
      <w:r>
        <w:rPr>
          <w:rFonts w:ascii="Times New Roman" w:hAnsi="Times New Roman"/>
          <w:b/>
          <w:sz w:val="24"/>
        </w:rPr>
        <w:t>10.</w:t>
      </w:r>
    </w:p>
    <w:p>
      <w:pPr>
        <w:pStyle w:val="TextBody"/>
        <w:spacing w:before="0" w:after="240"/>
        <w:jc w:val="left"/>
        <w:rPr/>
      </w:pPr>
      <w:r>
        <w:rPr>
          <w:rFonts w:ascii="Times New Roman;serif" w:hAnsi="Times New Roman;serif"/>
          <w:b/>
          <w:sz w:val="22"/>
          <w:u w:val="single"/>
        </w:rPr>
        <w:t>Executive Acknowledgement</w:t>
      </w:r>
      <w:r>
        <w:rPr>
          <w:rFonts w:ascii="Times New Roman;serif" w:hAnsi="Times New Roman;serif"/>
          <w:b/>
          <w:sz w:val="22"/>
        </w:rPr>
        <w:t>.</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pStyle w:val="TextBody"/>
        <w:spacing w:before="0" w:after="240"/>
        <w:jc w:val="center"/>
        <w:rPr>
          <w:rFonts w:ascii="Times New Roman" w:hAnsi="Times New Roman"/>
          <w:sz w:val="20"/>
        </w:rPr>
      </w:pPr>
      <w:r>
        <w:rPr>
          <w:rFonts w:ascii="Times New Roman;serif" w:hAnsi="Times New Roman;serif"/>
          <w:b w:val="false"/>
          <w:sz w:val="22"/>
        </w:rPr>
        <w:t>[</w:t>
      </w:r>
      <w:r>
        <w:rPr>
          <w:rFonts w:ascii="Times New Roman;serif" w:hAnsi="Times New Roman;serif"/>
          <w:b w:val="false"/>
          <w:i/>
          <w:sz w:val="22"/>
        </w:rPr>
        <w:t>Signature Page Follows</w:t>
      </w:r>
      <w:r>
        <w:rPr>
          <w:rFonts w:ascii="Times New Roman;serif" w:hAnsi="Times New Roman;serif"/>
          <w:b w:val="false"/>
          <w:sz w:val="22"/>
        </w:rPr>
        <w:t>]</w:t>
      </w:r>
    </w:p>
    <w:p>
      <w:pPr>
        <w:pStyle w:val="TextBody"/>
        <w:spacing w:before="0" w:after="240"/>
        <w:jc w:val="center"/>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12</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IN WITNESS WHEREOF, the Parties have executed this Agreement on the date and year first above written. </w:t>
      </w:r>
    </w:p>
    <w:p>
      <w:pPr>
        <w:pStyle w:val="TextBody"/>
        <w:spacing w:before="0" w:after="240"/>
        <w:jc w:val="left"/>
        <w:rPr>
          <w:rFonts w:ascii="Times New Roman;serif" w:hAnsi="Times New Roman;serif"/>
          <w:b/>
          <w:sz w:val="22"/>
        </w:rPr>
      </w:pPr>
      <w:r>
        <w:rPr>
          <w:rFonts w:ascii="Times New Roman;serif" w:hAnsi="Times New Roman;serif"/>
          <w:b/>
          <w:sz w:val="22"/>
        </w:rPr>
        <w:t>SIGHT SCIENCES, INC.</w:t>
      </w:r>
    </w:p>
    <w:p>
      <w:pPr>
        <w:pStyle w:val="TextBody"/>
        <w:spacing w:before="0" w:after="0"/>
        <w:jc w:val="left"/>
        <w:rPr>
          <w:rFonts w:ascii="Times New Roman;serif" w:hAnsi="Times New Roman;serif"/>
          <w:b w:val="false"/>
          <w:sz w:val="22"/>
        </w:rPr>
      </w:pPr>
      <w:r>
        <w:rPr>
          <w:rFonts w:ascii="Times New Roman;serif" w:hAnsi="Times New Roman;serif"/>
          <w:b w:val="false"/>
          <w:sz w:val="22"/>
        </w:rPr>
        <w:t>By:_/s/Paul Badawi________</w:t>
      </w:r>
    </w:p>
    <w:p>
      <w:pPr>
        <w:pStyle w:val="TextBody"/>
        <w:spacing w:before="0" w:after="0"/>
        <w:jc w:val="left"/>
        <w:rPr>
          <w:rFonts w:ascii="Times New Roman" w:hAnsi="Times New Roman"/>
          <w:sz w:val="20"/>
        </w:rPr>
      </w:pPr>
      <w:r>
        <w:rPr>
          <w:rFonts w:ascii="Times New Roman;serif" w:hAnsi="Times New Roman;serif"/>
          <w:b w:val="false"/>
          <w:sz w:val="22"/>
        </w:rPr>
        <w:t>Name: Paul Badawi</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2"/>
        </w:rPr>
        <w:t>Title: CEO</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240"/>
        <w:jc w:val="left"/>
        <w:rPr>
          <w:rFonts w:ascii="Times New Roman;serif" w:hAnsi="Times New Roman;serif"/>
          <w:b/>
          <w:sz w:val="22"/>
        </w:rPr>
      </w:pPr>
      <w:r>
        <w:rPr>
          <w:rFonts w:ascii="Times New Roman;serif" w:hAnsi="Times New Roman;serif"/>
          <w:b/>
          <w:sz w:val="22"/>
        </w:rPr>
        <w:t>EXECUTIVE</w:t>
      </w:r>
    </w:p>
    <w:p>
      <w:pPr>
        <w:pStyle w:val="TextBody"/>
        <w:spacing w:before="0" w:after="0"/>
        <w:jc w:val="left"/>
        <w:rPr>
          <w:rFonts w:ascii="Times New Roman;serif" w:hAnsi="Times New Roman;serif"/>
          <w:b w:val="false"/>
          <w:sz w:val="22"/>
        </w:rPr>
      </w:pPr>
      <w:r>
        <w:rPr>
          <w:rFonts w:ascii="Times New Roman;serif" w:hAnsi="Times New Roman;serif"/>
          <w:b w:val="false"/>
          <w:sz w:val="22"/>
        </w:rPr>
        <w:t>_/s/Alison Bauerlein________</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Alison Bauerlein</w:t>
      </w:r>
    </w:p>
    <w:p>
      <w:pPr>
        <w:pStyle w:val="TextBody"/>
        <w:spacing w:before="0" w:after="240"/>
        <w:jc w:val="left"/>
        <w:rPr/>
      </w:pPr>
      <w:r>
        <w:rPr/>
        <w:t> </w:t>
      </w:r>
    </w:p>
    <w:p>
      <w:pPr>
        <w:pStyle w:val="TextBody"/>
        <w:spacing w:before="0" w:after="240"/>
        <w:jc w:val="center"/>
        <w:rPr/>
      </w:pPr>
      <w:r>
        <w:rPr/>
        <w:t> </w:t>
      </w:r>
    </w:p>
    <w:p>
      <w:pPr>
        <w:pStyle w:val="TextBody"/>
        <w:spacing w:before="0" w:after="240"/>
        <w:jc w:val="left"/>
        <w:rPr>
          <w:rFonts w:ascii="Times New Roman;serif" w:hAnsi="Times New Roman;serif"/>
          <w:b w:val="false"/>
          <w:i/>
          <w:sz w:val="20"/>
        </w:rPr>
      </w:pPr>
      <w:r>
        <w:rPr>
          <w:rFonts w:ascii="Times New Roman;serif" w:hAnsi="Times New Roman;serif"/>
          <w:b w:val="false"/>
          <w:i/>
          <w:sz w:val="20"/>
        </w:rPr>
        <w:t>[Signature Page to Employment Agreement]</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t> </w:t>
      </w:r>
    </w:p>
    <w:p>
      <w:pPr>
        <w:pStyle w:val="TextBody"/>
        <w:spacing w:before="0" w:after="240"/>
        <w:jc w:val="center"/>
        <w:rPr>
          <w:rFonts w:ascii="Times New Roman;serif" w:hAnsi="Times New Roman;serif"/>
          <w:b/>
          <w:sz w:val="22"/>
          <w:u w:val="single"/>
        </w:rPr>
      </w:pPr>
      <w:r>
        <w:rPr>
          <w:rFonts w:ascii="Times New Roman;serif" w:hAnsi="Times New Roman;serif"/>
          <w:b/>
          <w:sz w:val="22"/>
          <w:u w:val="single"/>
        </w:rPr>
        <w:t>EXHIBIT A</w:t>
      </w:r>
    </w:p>
    <w:p>
      <w:pPr>
        <w:pStyle w:val="TextBody"/>
        <w:spacing w:before="0" w:after="240"/>
        <w:jc w:val="center"/>
        <w:rPr>
          <w:rFonts w:ascii="Times New Roman;serif" w:hAnsi="Times New Roman;serif"/>
          <w:b/>
          <w:sz w:val="22"/>
        </w:rPr>
      </w:pPr>
      <w:r>
        <w:rPr>
          <w:rFonts w:ascii="Times New Roman;serif" w:hAnsi="Times New Roman;serif"/>
          <w:b/>
          <w:sz w:val="22"/>
        </w:rPr>
        <w:t>Separation Agreement and Release</w:t>
      </w:r>
    </w:p>
    <w:p>
      <w:pPr>
        <w:pStyle w:val="TextBody"/>
        <w:spacing w:before="0" w:after="120"/>
        <w:jc w:val="left"/>
        <w:rPr>
          <w:rFonts w:ascii="Times New Roman" w:hAnsi="Times New Roman"/>
          <w:sz w:val="20"/>
        </w:rPr>
      </w:pPr>
      <w:r>
        <w:rPr>
          <w:rFonts w:ascii="Times New Roman;serif" w:hAnsi="Times New Roman;serif"/>
          <w:b w:val="false"/>
          <w:sz w:val="22"/>
        </w:rPr>
        <w:t>This Separation Agreement and Release (“</w:t>
      </w:r>
      <w:r>
        <w:rPr>
          <w:rFonts w:ascii="Times New Roman;serif" w:hAnsi="Times New Roman;serif"/>
          <w:b w:val="false"/>
          <w:sz w:val="22"/>
          <w:u w:val="single"/>
        </w:rPr>
        <w:t>Agreement</w:t>
      </w:r>
      <w:r>
        <w:rPr>
          <w:rFonts w:ascii="Times New Roman" w:hAnsi="Times New Roman"/>
          <w:sz w:val="20"/>
        </w:rPr>
        <w:t>”</w:t>
      </w:r>
      <w:r>
        <w:rPr>
          <w:rFonts w:ascii="Times New Roman;serif" w:hAnsi="Times New Roman;serif"/>
          <w:b w:val="false"/>
          <w:sz w:val="22"/>
        </w:rPr>
        <w:t>) is made by and between Alison Bauerlein (“</w:t>
      </w:r>
      <w:r>
        <w:rPr>
          <w:rFonts w:ascii="Times New Roman;serif" w:hAnsi="Times New Roman;serif"/>
          <w:b w:val="false"/>
          <w:sz w:val="22"/>
          <w:u w:val="single"/>
        </w:rPr>
        <w:t>Executive</w:t>
      </w:r>
      <w:r>
        <w:rPr>
          <w:rFonts w:ascii="Times New Roman" w:hAnsi="Times New Roman"/>
          <w:sz w:val="20"/>
        </w:rPr>
        <w:t>”</w:t>
      </w:r>
      <w:r>
        <w:rPr>
          <w:rFonts w:ascii="Times New Roman;serif" w:hAnsi="Times New Roman;serif"/>
          <w:b w:val="false"/>
          <w:sz w:val="22"/>
        </w:rPr>
        <w:t>) and Sight Sciences, Inc.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(collectively referred to as the “Parties” or individually referred to as a “Party”). Capitalized terms used but not defined in this Agreement shall have the meanings set forth in the Employment Agreement (as defined below).</w:t>
      </w:r>
    </w:p>
    <w:p>
      <w:pPr>
        <w:pStyle w:val="TextBody"/>
        <w:spacing w:before="0" w:after="120"/>
        <w:jc w:val="left"/>
        <w:rPr>
          <w:rFonts w:ascii="Times New Roman" w:hAnsi="Times New Roman"/>
          <w:sz w:val="20"/>
        </w:rPr>
      </w:pPr>
      <w:r>
        <w:rPr>
          <w:rFonts w:ascii="Times New Roman;serif" w:hAnsi="Times New Roman;serif"/>
          <w:b w:val="false"/>
          <w:sz w:val="22"/>
        </w:rPr>
        <w:t>WHEREAS, the Parties have previously entered into that certain Employment Agreement, dated as of April 3, 2023 (the “</w:t>
      </w:r>
      <w:r>
        <w:rPr>
          <w:rFonts w:ascii="Times New Roman;serif" w:hAnsi="Times New Roman;serif"/>
          <w:b w:val="false"/>
          <w:sz w:val="22"/>
          <w:u w:val="single"/>
        </w:rPr>
        <w:t>Employment Agreement</w:t>
      </w:r>
      <w:r>
        <w:rPr>
          <w:rFonts w:ascii="Times New Roman" w:hAnsi="Times New Roman"/>
          <w:sz w:val="20"/>
        </w:rPr>
        <w:t>”</w:t>
      </w:r>
      <w:r>
        <w:rPr>
          <w:rFonts w:ascii="Times New Roman;serif" w:hAnsi="Times New Roman;serif"/>
          <w:b w:val="false"/>
          <w:sz w:val="22"/>
        </w:rPr>
        <w:t>), and that certain Employee Proprietary Information and Inventions Assignment Agreement, dated as of April 3, 2023 (the “</w:t>
      </w:r>
      <w:r>
        <w:rPr>
          <w:rFonts w:ascii="Times New Roman;serif" w:hAnsi="Times New Roman;serif"/>
          <w:b w:val="false"/>
          <w:sz w:val="22"/>
          <w:u w:val="single"/>
        </w:rPr>
        <w:t>Restrictive Covenant Agreement</w:t>
      </w:r>
      <w:r>
        <w:rPr>
          <w:rFonts w:ascii="Times New Roman" w:hAnsi="Times New Roman"/>
          <w:sz w:val="20"/>
        </w:rPr>
        <w:t>”</w:t>
      </w:r>
      <w:r>
        <w:rPr>
          <w:rFonts w:ascii="Times New Roman;serif" w:hAnsi="Times New Roman;serif"/>
          <w:b w:val="false"/>
          <w:sz w:val="22"/>
        </w:rPr>
        <w:t>); and</w:t>
      </w:r>
      <w:r>
        <w:rPr>
          <w:rFonts w:ascii="Times New Roman" w:hAnsi="Times New Roman"/>
          <w:sz w:val="20"/>
        </w:rPr>
        <w:t xml:space="preserve"> </w:t>
      </w:r>
    </w:p>
    <w:p>
      <w:pPr>
        <w:pStyle w:val="TextBody"/>
        <w:spacing w:before="0" w:after="120"/>
        <w:jc w:val="left"/>
        <w:rPr>
          <w:rFonts w:ascii="Times New Roman" w:hAnsi="Times New Roman"/>
          <w:sz w:val="20"/>
        </w:rPr>
      </w:pPr>
      <w:r>
        <w:rPr>
          <w:rFonts w:ascii="Times New Roman;serif" w:hAnsi="Times New Roman;serif"/>
          <w:b w:val="false"/>
          <w:sz w:val="22"/>
        </w:rPr>
        <w:t>WHEREAS, in connection with Executive’s termination of employment with the Company or a subsidiary or affiliate of the Company effective ________, 20__,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Times New Roman;serif" w:hAnsi="Times New Roman;serif"/>
          <w:b w:val="false"/>
          <w:sz w:val="22"/>
          <w:u w:val="single"/>
        </w:rPr>
        <w:t>Retained Claims</w:t>
      </w:r>
      <w:r>
        <w:rPr>
          <w:rFonts w:ascii="Times New Roman" w:hAnsi="Times New Roman"/>
          <w:sz w:val="20"/>
        </w:rPr>
        <w:t>”</w:t>
      </w:r>
      <w:r>
        <w:rPr>
          <w:rFonts w:ascii="Times New Roman;serif" w:hAnsi="Times New Roman;serif"/>
          <w:b w:val="false"/>
          <w:sz w:val="22"/>
        </w:rPr>
        <w:t>).</w:t>
      </w:r>
      <w:r>
        <w:rPr>
          <w:rFonts w:ascii="Times New Roman" w:hAnsi="Times New Roman"/>
          <w:sz w:val="20"/>
        </w:rPr>
        <w:t xml:space="preserve"> </w:t>
      </w:r>
    </w:p>
    <w:p>
      <w:pPr>
        <w:pStyle w:val="TextBody"/>
        <w:spacing w:before="0" w:after="120"/>
        <w:jc w:val="left"/>
        <w:rPr>
          <w:rFonts w:ascii="Times New Roman;serif" w:hAnsi="Times New Roman;serif"/>
          <w:b w:val="false"/>
          <w:sz w:val="22"/>
        </w:rPr>
      </w:pPr>
      <w:r>
        <w:rPr>
          <w:rFonts w:ascii="Times New Roman;serif" w:hAnsi="Times New Roman;serif"/>
          <w:b w:val="false"/>
          <w:sz w:val="22"/>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pStyle w:val="TextBody"/>
        <w:spacing w:before="0" w:after="240"/>
        <w:jc w:val="left"/>
        <w:rPr>
          <w:rFonts w:ascii="Times New Roman" w:hAnsi="Times New Roman"/>
          <w:sz w:val="20"/>
        </w:rPr>
      </w:pPr>
      <w:r>
        <w:rPr>
          <w:rFonts w:ascii="Times New Roman;serif" w:hAnsi="Times New Roman;serif"/>
          <w:b w:val="false"/>
          <w:sz w:val="22"/>
        </w:rPr>
        <w:t xml:space="preserve">1. </w:t>
      </w:r>
      <w:r>
        <w:rPr>
          <w:rFonts w:ascii="Times New Roman;serif" w:hAnsi="Times New Roman;serif"/>
          <w:b w:val="false"/>
          <w:sz w:val="22"/>
          <w:u w:val="single"/>
        </w:rPr>
        <w:t>Severance Payments and Benefits; Salary and Benefits</w:t>
      </w:r>
      <w:r>
        <w:rPr>
          <w:rFonts w:ascii="Times New Roman;serif" w:hAnsi="Times New Roman;serif"/>
          <w:b w:val="false"/>
          <w:sz w:val="22"/>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Times New Roman;serif" w:hAnsi="Times New Roman;serif"/>
          <w:b w:val="false"/>
          <w:sz w:val="22"/>
          <w:u w:val="single"/>
        </w:rPr>
        <w:t>3(c)</w:t>
      </w:r>
      <w:r>
        <w:rPr>
          <w:rFonts w:ascii="Times New Roman" w:hAnsi="Times New Roman"/>
          <w:sz w:val="20"/>
        </w:rPr>
        <w:t xml:space="preserve"> </w:t>
      </w:r>
      <w:r>
        <w:rPr>
          <w:rFonts w:ascii="Times New Roman;serif" w:hAnsi="Times New Roman;serif"/>
          <w:b w:val="false"/>
          <w:sz w:val="22"/>
        </w:rPr>
        <w:t>of the Employment Agreement, subject to and in accordance with the terms thereof.</w:t>
      </w:r>
    </w:p>
    <w:p>
      <w:pPr>
        <w:pStyle w:val="TextBody"/>
        <w:spacing w:before="0" w:after="240"/>
        <w:jc w:val="left"/>
        <w:rPr>
          <w:rFonts w:ascii="Times New Roman" w:hAnsi="Times New Roman"/>
          <w:sz w:val="20"/>
        </w:rPr>
      </w:pPr>
      <w:r>
        <w:rPr>
          <w:rFonts w:ascii="Times New Roman;serif" w:hAnsi="Times New Roman;serif"/>
          <w:b w:val="false"/>
          <w:sz w:val="22"/>
        </w:rPr>
        <w:t xml:space="preserve">2. </w:t>
      </w:r>
      <w:r>
        <w:rPr>
          <w:rFonts w:ascii="Times New Roman;serif" w:hAnsi="Times New Roman;serif"/>
          <w:b w:val="false"/>
          <w:sz w:val="22"/>
          <w:u w:val="single"/>
        </w:rPr>
        <w:t>Release of Claims</w:t>
      </w:r>
      <w:r>
        <w:rPr>
          <w:rFonts w:ascii="Times New Roman;serif" w:hAnsi="Times New Roman;serif"/>
          <w:b w:val="false"/>
          <w:sz w:val="22"/>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serif" w:hAnsi="Times New Roman;serif"/>
          <w:b w:val="false"/>
          <w:sz w:val="22"/>
          <w:u w:val="single"/>
        </w:rPr>
        <w:t>Releasees</w:t>
      </w:r>
      <w:r>
        <w:rPr>
          <w:rFonts w:ascii="Times New Roman" w:hAnsi="Times New Roman"/>
          <w:sz w:val="20"/>
        </w:rPr>
        <w:t>”</w:t>
      </w:r>
      <w:r>
        <w:rPr>
          <w:rFonts w:ascii="Times New Roman;serif" w:hAnsi="Times New Roman;serif"/>
          <w:b w:val="false"/>
          <w:sz w:val="22"/>
        </w:rPr>
        <w:t>).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w:t>
      </w:r>
      <w:r>
        <w:rPr>
          <w:rFonts w:ascii="Times New Roman" w:hAnsi="Times New Roman"/>
          <w:sz w:val="20"/>
        </w:rPr>
        <w:t xml:space="preserve"> </w:t>
      </w:r>
    </w:p>
    <w:p>
      <w:pPr>
        <w:pStyle w:val="TextBody"/>
        <w:spacing w:before="0" w:after="240"/>
        <w:jc w:val="left"/>
        <w:rPr/>
      </w:pPr>
      <w:r>
        <w:rPr/>
        <w:t> </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facts, or damages that have occurred up until and including the date Executive signs this Agreement, including, without limitation:</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(a) any and all claims relating to or arising from Executive’s employment or service relationship with the Company or any of its direct or indirect subsidiaries or affiliates and the termination of that relationship;</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(b) 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Worker Adjustment and Retraining Notification Act; the California Fair Employment and Housing Act; the California Family Rights Act; the California Paid Family Leave Act; the California Consumer Credit Reporting Agencies Act; the California Military and Veterans Code; California Business &amp; Professions Code Section 17200; and the California Labor Code;</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(e) any and all claims for violation of the federal or any state constitution;</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(f) any and all claims arising out of any other laws and regulations relating to employment or employment discrimination;</w:t>
      </w:r>
    </w:p>
    <w:p>
      <w:pPr>
        <w:pStyle w:val="TextBody"/>
        <w:spacing w:before="0" w:after="240"/>
        <w:jc w:val="left"/>
        <w:rPr>
          <w:rFonts w:ascii="Times New Roman" w:hAnsi="Times New Roman"/>
          <w:sz w:val="20"/>
        </w:rPr>
      </w:pPr>
      <w:r>
        <w:rPr>
          <w:rFonts w:ascii="Times New Roman;serif" w:hAnsi="Times New Roman;serif"/>
          <w:b w:val="false"/>
          <w:sz w:val="22"/>
        </w:rPr>
        <w:t>(g) any claim for any loss, cost, damage, or expense arising out of any dispute over the non-withholding or other tax treatment of any of the proceeds received by Executive as a result of this Agreement;</w:t>
      </w:r>
      <w:r>
        <w:rPr>
          <w:rFonts w:ascii="Times New Roman" w:hAnsi="Times New Roman"/>
          <w:sz w:val="20"/>
        </w:rPr>
        <w:t xml:space="preserve">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(h) any and all claims arising out of the wage and hour and wage payments laws and regulations of the state or states in which Executive has provided service to the Company or any of its affiliates; and</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(i) any and all claims for attorneys’ fees and costs.</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Executive acknowledges that Executive has been advised of and is familiar with the provisions of California Civil Code Section 1542, which states:</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A-2</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spacing w:before="0" w:after="240"/>
        <w:jc w:val="left"/>
        <w:rPr>
          <w:rFonts w:ascii="Times New Roman" w:hAnsi="Times New Roman"/>
          <w:sz w:val="20"/>
        </w:rPr>
      </w:pPr>
      <w:r>
        <w:rPr>
          <w:rFonts w:ascii="Times New Roman;serif" w:hAnsi="Times New Roman;serif"/>
          <w:b w:val="false"/>
          <w:sz w:val="22"/>
        </w:rPr>
        <w:t>Being aware of said code section, Executive expressly waives all rights Executive may have thereunder, as well as under any other law, including under common law principles of similar effect.</w:t>
      </w:r>
      <w:r>
        <w:rPr>
          <w:rFonts w:ascii="Times New Roman" w:hAnsi="Times New Roman"/>
          <w:sz w:val="20"/>
        </w:rPr>
        <w:t xml:space="preserve">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pStyle w:val="TextBody"/>
        <w:spacing w:before="0" w:after="240"/>
        <w:jc w:val="left"/>
        <w:rPr>
          <w:rFonts w:ascii="Times New Roman" w:hAnsi="Times New Roman"/>
          <w:sz w:val="20"/>
        </w:rPr>
      </w:pPr>
      <w:r>
        <w:rPr>
          <w:rFonts w:ascii="Times New Roman;serif" w:hAnsi="Times New Roman;serif"/>
          <w:b w:val="false"/>
          <w:sz w:val="22"/>
        </w:rPr>
        <w:t xml:space="preserve">3. </w:t>
      </w:r>
      <w:r>
        <w:rPr>
          <w:rFonts w:ascii="Times New Roman;serif" w:hAnsi="Times New Roman;serif"/>
          <w:b w:val="false"/>
          <w:sz w:val="22"/>
          <w:u w:val="single"/>
        </w:rPr>
        <w:t>Acknowledgment of Waiver of Claims under ADEA</w:t>
      </w:r>
      <w:r>
        <w:rPr>
          <w:rFonts w:ascii="Times New Roman;serif" w:hAnsi="Times New Roman;serif"/>
          <w:b w:val="false"/>
          <w:sz w:val="22"/>
        </w:rPr>
        <w:t>. Executive understands and acknowledges that Executive is waiving and releasing any rights Executive may have under the Age Discrimination in Employment Act of 1967 (“</w:t>
      </w:r>
      <w:r>
        <w:rPr>
          <w:rFonts w:ascii="Times New Roman;serif" w:hAnsi="Times New Roman;serif"/>
          <w:b w:val="false"/>
          <w:sz w:val="22"/>
          <w:u w:val="single"/>
        </w:rPr>
        <w:t>ADEA</w:t>
      </w:r>
      <w:r>
        <w:rPr>
          <w:rFonts w:ascii="Times New Roman" w:hAnsi="Times New Roman"/>
          <w:sz w:val="20"/>
        </w:rPr>
        <w:t>”</w:t>
      </w:r>
      <w:r>
        <w:rPr>
          <w:rFonts w:ascii="Times New Roman;serif" w:hAnsi="Times New Roman;serif"/>
          <w:b w:val="false"/>
          <w:sz w:val="22"/>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 any material or immaterial changes to this Agreement; (c) Executive has seven days following Executive’s execution of this Agreement to revoke this Agreement pursuant to written notice to the Chief Financial Officer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A-3</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t> </w:t>
      </w:r>
    </w:p>
    <w:p>
      <w:pPr>
        <w:pStyle w:val="TextBody"/>
        <w:spacing w:before="0" w:after="240"/>
        <w:jc w:val="left"/>
        <w:rPr>
          <w:rFonts w:ascii="Times New Roman" w:hAnsi="Times New Roman"/>
          <w:sz w:val="20"/>
        </w:rPr>
      </w:pPr>
      <w:r>
        <w:rPr>
          <w:rFonts w:ascii="Times New Roman;serif" w:hAnsi="Times New Roman;serif"/>
          <w:b w:val="false"/>
          <w:sz w:val="22"/>
        </w:rPr>
        <w:t xml:space="preserve">4. </w:t>
      </w:r>
      <w:r>
        <w:rPr>
          <w:rFonts w:ascii="Times New Roman;serif" w:hAnsi="Times New Roman;serif"/>
          <w:b w:val="false"/>
          <w:sz w:val="22"/>
          <w:u w:val="single"/>
        </w:rPr>
        <w:t>Restrictive Covenants</w:t>
      </w:r>
      <w:r>
        <w:rPr>
          <w:rFonts w:ascii="Times New Roman;serif" w:hAnsi="Times New Roman;serif"/>
          <w:b w:val="false"/>
          <w:sz w:val="22"/>
        </w:rPr>
        <w:t>.</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(a) Executive acknowledges and agrees that the post-termination obligations set forth in the Restrictive Covenant Agreement, including without limitation Executive’s obligations relating to confidentiality, non-use and non-disclosure of Proprietary Information (as defined in the Restrictive Covenant Agreement), cooperation, and return of property, are hereby incorporated by reference and shall remain in full force and effect pursuant to their terms to the maximum extent permitted by applicable law. Executive represents and warrants that Executive has complied with all provisions of the Restrictive Covenant Agreement at all times through the Effective Date (as defined below). However, nothing in this Agreement prevents Executive from engaging in communications protected by the National Labor Relations Act or discussing or disclosing information about unlawful acts in the workplace, such as harassment or discrimination or any other conduct that Executive has reason to believe is unlawful.</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(b) Executive’s continued compliance with the terms of the Restrictive Covenant Agreement is a material condition to receipt of the severance payments and benefits set forth in Section 1 of this Agreement. In the event Executive breaches the Restrictive Covenant Agreement, then, in addition to any remedies and enforcement mechanisms set forth in the Restrictive Covenant Agreement, the Employment Agreement and this Agreement, and any other remedies available to the Company (including equitable and injunctive remedies), Executive shall forfeit any additional consideration owing and shall be obligated to promptly return to the Company (within fifteen (15) business days of any breach) the full gross amount of all severance payments and benefits provided.</w:t>
      </w:r>
    </w:p>
    <w:p>
      <w:pPr>
        <w:pStyle w:val="TextBody"/>
        <w:spacing w:before="0" w:after="240"/>
        <w:jc w:val="left"/>
        <w:rPr>
          <w:rFonts w:ascii="Times New Roman" w:hAnsi="Times New Roman"/>
          <w:sz w:val="20"/>
        </w:rPr>
      </w:pPr>
      <w:r>
        <w:rPr>
          <w:rFonts w:ascii="Times New Roman;serif" w:hAnsi="Times New Roman;serif"/>
          <w:b w:val="false"/>
          <w:sz w:val="22"/>
        </w:rPr>
        <w:t xml:space="preserve">5. </w:t>
      </w:r>
      <w:r>
        <w:rPr>
          <w:rFonts w:ascii="Times New Roman;serif" w:hAnsi="Times New Roman;serif"/>
          <w:b w:val="false"/>
          <w:sz w:val="22"/>
          <w:u w:val="single"/>
        </w:rPr>
        <w:t>Severability</w:t>
      </w:r>
      <w:r>
        <w:rPr>
          <w:rFonts w:ascii="Times New Roman;serif" w:hAnsi="Times New Roman;serif"/>
          <w:b w:val="false"/>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spacing w:before="0" w:after="240"/>
        <w:jc w:val="left"/>
        <w:rPr>
          <w:rFonts w:ascii="Times New Roman" w:hAnsi="Times New Roman"/>
          <w:sz w:val="20"/>
        </w:rPr>
      </w:pPr>
      <w:r>
        <w:rPr>
          <w:rFonts w:ascii="Times New Roman;serif" w:hAnsi="Times New Roman;serif"/>
          <w:b w:val="false"/>
          <w:sz w:val="22"/>
        </w:rPr>
        <w:t xml:space="preserve">6. </w:t>
      </w:r>
      <w:r>
        <w:rPr>
          <w:rFonts w:ascii="Times New Roman;serif" w:hAnsi="Times New Roman;serif"/>
          <w:b w:val="false"/>
          <w:sz w:val="22"/>
          <w:u w:val="single"/>
        </w:rPr>
        <w:t>No Oral Modification</w:t>
      </w:r>
      <w:r>
        <w:rPr>
          <w:rFonts w:ascii="Times New Roman;serif" w:hAnsi="Times New Roman;serif"/>
          <w:b w:val="false"/>
          <w:sz w:val="22"/>
        </w:rPr>
        <w:t>. This Agreement may only be amended in a writing signed by Executive and a duly authorized officer of the Company.</w:t>
      </w:r>
    </w:p>
    <w:p>
      <w:pPr>
        <w:pStyle w:val="TextBody"/>
        <w:spacing w:before="0" w:after="240"/>
        <w:jc w:val="left"/>
        <w:rPr>
          <w:rFonts w:ascii="Times New Roman" w:hAnsi="Times New Roman"/>
          <w:sz w:val="20"/>
        </w:rPr>
      </w:pPr>
      <w:r>
        <w:rPr>
          <w:rFonts w:ascii="Times New Roman;serif" w:hAnsi="Times New Roman;serif"/>
          <w:b w:val="false"/>
          <w:sz w:val="22"/>
        </w:rPr>
        <w:t xml:space="preserve">7. </w:t>
      </w:r>
      <w:r>
        <w:rPr>
          <w:rFonts w:ascii="Times New Roman;serif" w:hAnsi="Times New Roman;serif"/>
          <w:b w:val="false"/>
          <w:sz w:val="22"/>
          <w:u w:val="single"/>
        </w:rPr>
        <w:t>Governing Law; Dispute Resolution</w:t>
      </w:r>
      <w:r>
        <w:rPr>
          <w:rFonts w:ascii="Times New Roman;serif" w:hAnsi="Times New Roman;serif"/>
          <w:b w:val="false"/>
          <w:sz w:val="22"/>
        </w:rPr>
        <w:t>. This Agreement shall be subject to the provisions of Sections 9(a), 9(c), and 9(h) of the Employment Agreement.</w:t>
      </w:r>
    </w:p>
    <w:p>
      <w:pPr>
        <w:pStyle w:val="TextBody"/>
        <w:spacing w:before="0" w:after="240"/>
        <w:jc w:val="left"/>
        <w:rPr>
          <w:rFonts w:ascii="Times New Roman" w:hAnsi="Times New Roman"/>
          <w:sz w:val="20"/>
        </w:rPr>
      </w:pPr>
      <w:r>
        <w:rPr>
          <w:rFonts w:ascii="Times New Roman;serif" w:hAnsi="Times New Roman;serif"/>
          <w:b w:val="false"/>
          <w:sz w:val="22"/>
        </w:rPr>
        <w:t xml:space="preserve">8. </w:t>
      </w:r>
      <w:r>
        <w:rPr>
          <w:rFonts w:ascii="Times New Roman;serif" w:hAnsi="Times New Roman;serif"/>
          <w:b w:val="false"/>
          <w:sz w:val="22"/>
          <w:u w:val="single"/>
        </w:rPr>
        <w:t>Effective Date</w:t>
      </w:r>
      <w:r>
        <w:rPr>
          <w:rFonts w:ascii="Times New Roman;serif" w:hAnsi="Times New Roman;serif"/>
          <w:b w:val="false"/>
          <w:sz w:val="22"/>
        </w:rPr>
        <w:t>. Executive has seven days after Executive signs this Agreement to revoke it and this Agreement will become effective on the eighth day following the date Executive signed this Agreement (the “</w:t>
      </w:r>
      <w:r>
        <w:rPr>
          <w:rFonts w:ascii="Times New Roman;serif" w:hAnsi="Times New Roman;serif"/>
          <w:b w:val="false"/>
          <w:sz w:val="22"/>
          <w:u w:val="single"/>
        </w:rPr>
        <w:t>Effective Date</w:t>
      </w:r>
      <w:r>
        <w:rPr>
          <w:rFonts w:ascii="Times New Roman" w:hAnsi="Times New Roman"/>
          <w:sz w:val="20"/>
        </w:rPr>
        <w:t>”</w:t>
      </w:r>
      <w:r>
        <w:rPr>
          <w:rFonts w:ascii="Times New Roman;serif" w:hAnsi="Times New Roman;serif"/>
          <w:b w:val="false"/>
          <w:sz w:val="22"/>
        </w:rPr>
        <w:t>).</w:t>
      </w:r>
    </w:p>
    <w:p>
      <w:pPr>
        <w:pStyle w:val="TextBody"/>
        <w:spacing w:before="0" w:after="240"/>
        <w:jc w:val="left"/>
        <w:rPr>
          <w:rFonts w:ascii="Times New Roman" w:hAnsi="Times New Roman"/>
          <w:sz w:val="20"/>
        </w:rPr>
      </w:pPr>
      <w:r>
        <w:rPr>
          <w:rFonts w:ascii="Times New Roman;serif" w:hAnsi="Times New Roman;serif"/>
          <w:b w:val="false"/>
          <w:sz w:val="22"/>
        </w:rPr>
        <w:t xml:space="preserve">9. </w:t>
      </w:r>
      <w:r>
        <w:rPr>
          <w:rFonts w:ascii="Times New Roman;serif" w:hAnsi="Times New Roman;serif"/>
          <w:b w:val="false"/>
          <w:sz w:val="22"/>
          <w:u w:val="single"/>
        </w:rPr>
        <w:t>Voluntary Execution of Agreement</w:t>
      </w:r>
      <w:r>
        <w:rPr>
          <w:rFonts w:ascii="Times New Roman;serif" w:hAnsi="Times New Roman;serif"/>
          <w:b w:val="false"/>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A-4</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t> </w:t>
      </w:r>
    </w:p>
    <w:p>
      <w:pPr>
        <w:pStyle w:val="TextBody"/>
        <w:spacing w:before="0" w:after="240"/>
        <w:jc w:val="center"/>
        <w:rPr>
          <w:rFonts w:ascii="Times New Roman" w:hAnsi="Times New Roman"/>
          <w:sz w:val="20"/>
        </w:rPr>
      </w:pPr>
      <w:r>
        <w:rPr>
          <w:rFonts w:ascii="Times New Roman;serif" w:hAnsi="Times New Roman;serif"/>
          <w:b w:val="false"/>
          <w:sz w:val="22"/>
        </w:rPr>
        <w:t>[</w:t>
      </w:r>
      <w:r>
        <w:rPr>
          <w:rFonts w:ascii="Times New Roman;serif" w:hAnsi="Times New Roman;serif"/>
          <w:b w:val="false"/>
          <w:i/>
          <w:sz w:val="22"/>
        </w:rPr>
        <w:t>Signature Page Follows</w:t>
      </w:r>
      <w:r>
        <w:rPr>
          <w:rFonts w:ascii="Times New Roman;serif" w:hAnsi="Times New Roman;serif"/>
          <w:b w:val="false"/>
          <w:sz w:val="22"/>
        </w:rPr>
        <w:t>]</w:t>
      </w:r>
    </w:p>
    <w:p>
      <w:pPr>
        <w:pStyle w:val="TextBody"/>
        <w:spacing w:before="0" w:after="0"/>
        <w:jc w:val="left"/>
        <w:rPr/>
      </w:pPr>
      <w:r>
        <w:rPr/>
        <w:t> </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A-5</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p>
    <w:p>
      <w:pPr>
        <w:pStyle w:val="TextBody"/>
        <w:spacing w:before="0" w:after="240"/>
        <w:jc w:val="left"/>
        <w:rPr/>
      </w:pPr>
      <w:r>
        <w:rPr/>
        <w:t> </w:t>
      </w:r>
    </w:p>
    <w:p>
      <w:pPr>
        <w:pStyle w:val="TextBody"/>
        <w:spacing w:before="0" w:after="240"/>
        <w:jc w:val="left"/>
        <w:rPr>
          <w:rFonts w:ascii="Times New Roman" w:hAnsi="Times New Roman"/>
          <w:sz w:val="20"/>
        </w:rPr>
      </w:pPr>
      <w:r>
        <w:rPr>
          <w:rFonts w:ascii="Times New Roman;serif" w:hAnsi="Times New Roman;serif"/>
          <w:b w:val="false"/>
          <w:sz w:val="22"/>
        </w:rPr>
        <w:t>IN WITNESS WHEREOF, the Parties have executed this Agreement on the respective dates set forth below.</w:t>
      </w:r>
      <w:r>
        <w:rPr>
          <w:rFonts w:ascii="Times New Roman" w:hAnsi="Times New Roman"/>
          <w:sz w:val="20"/>
        </w:rPr>
        <w:t xml:space="preserve"> </w:t>
      </w:r>
    </w:p>
    <w:tbl>
      <w:tblPr>
        <w:tblW w:w="3452" w:type="dxa"/>
        <w:jc w:val="left"/>
        <w:tblInd w:w="0" w:type="dxa"/>
        <w:tblCellMar>
          <w:top w:w="28" w:type="dxa"/>
          <w:left w:w="28" w:type="dxa"/>
          <w:bottom w:w="28" w:type="dxa"/>
          <w:right w:w="28" w:type="dxa"/>
        </w:tblCellMar>
      </w:tblPr>
      <w:tblGrid>
        <w:gridCol w:w="796"/>
        <w:gridCol w:w="2656"/>
      </w:tblGrid>
      <w:tr>
        <w:trPr/>
        <w:tc>
          <w:tcPr>
            <w:tcW w:w="796" w:type="dxa"/>
            <w:tcBorders/>
            <w:shd w:fill="auto" w:val="clear"/>
            <w:vAlign w:val="center"/>
          </w:tcPr>
          <w:p>
            <w:pPr>
              <w:pStyle w:val="TableContents"/>
              <w:spacing w:before="0" w:after="283"/>
              <w:rPr>
                <w:sz w:val="4"/>
                <w:szCs w:val="4"/>
              </w:rPr>
            </w:pPr>
            <w:r>
              <w:rPr>
                <w:sz w:val="4"/>
                <w:szCs w:val="4"/>
              </w:rPr>
            </w:r>
          </w:p>
        </w:tc>
        <w:tc>
          <w:tcPr>
            <w:tcW w:w="2656" w:type="dxa"/>
            <w:tcBorders/>
            <w:shd w:fill="auto" w:val="clear"/>
            <w:vAlign w:val="center"/>
          </w:tcPr>
          <w:p>
            <w:pPr>
              <w:pStyle w:val="TableContents"/>
              <w:spacing w:before="0" w:after="283"/>
              <w:rPr>
                <w:sz w:val="4"/>
                <w:szCs w:val="4"/>
              </w:rPr>
            </w:pPr>
            <w:r>
              <w:rPr>
                <w:sz w:val="4"/>
                <w:szCs w:val="4"/>
              </w:rPr>
            </w:r>
          </w:p>
        </w:tc>
      </w:tr>
      <w:tr>
        <w:trPr/>
        <w:tc>
          <w:tcPr>
            <w:tcW w:w="796"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p>
          <w:p>
            <w:pPr>
              <w:pStyle w:val="TableContents"/>
              <w:spacing w:before="0" w:after="240"/>
              <w:ind w:left="0" w:right="0" w:hanging="0"/>
              <w:jc w:val="left"/>
              <w:rPr/>
            </w:pPr>
            <w:r>
              <w:rPr/>
              <w:t> </w:t>
            </w:r>
          </w:p>
        </w:tc>
        <w:tc>
          <w:tcPr>
            <w:tcW w:w="2656"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sz w:val="22"/>
              </w:rPr>
            </w:pPr>
            <w:r>
              <w:rPr>
                <w:rFonts w:ascii="Times New Roman;serif" w:hAnsi="Times New Roman;serif"/>
                <w:b/>
                <w:sz w:val="22"/>
              </w:rPr>
              <w:t>EXECUTIVE</w:t>
            </w:r>
          </w:p>
        </w:tc>
      </w:tr>
      <w:tr>
        <w:trPr/>
        <w:tc>
          <w:tcPr>
            <w:tcW w:w="796"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 w:hAnsi="Times New Roman"/>
                <w:sz w:val="22"/>
              </w:rPr>
            </w:pPr>
            <w:r>
              <w:rPr>
                <w:rFonts w:ascii="Times New Roman;serif" w:hAnsi="Times New Roman;serif"/>
                <w:b w:val="false"/>
                <w:sz w:val="22"/>
              </w:rPr>
              <w:t>Dated:</w:t>
            </w:r>
            <w:r>
              <w:rPr>
                <w:rFonts w:ascii="Times New Roman" w:hAnsi="Times New Roman"/>
                <w:sz w:val="22"/>
              </w:rPr>
              <w:t xml:space="preserve"> </w:t>
            </w:r>
          </w:p>
        </w:tc>
        <w:tc>
          <w:tcPr>
            <w:tcW w:w="2656"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val="false"/>
                <w:sz w:val="22"/>
              </w:rPr>
            </w:pPr>
            <w:r>
              <w:rPr>
                <w:rFonts w:ascii="Times New Roman;serif" w:hAnsi="Times New Roman;serif"/>
                <w:b w:val="false"/>
                <w:sz w:val="22"/>
              </w:rPr>
              <w:br/>
              <w:t>Alison Bauerlein</w:t>
            </w:r>
          </w:p>
        </w:tc>
      </w:tr>
      <w:tr>
        <w:trPr/>
        <w:tc>
          <w:tcPr>
            <w:tcW w:w="796"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p>
        </w:tc>
        <w:tc>
          <w:tcPr>
            <w:tcW w:w="2656"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p>
        </w:tc>
      </w:tr>
      <w:tr>
        <w:trPr/>
        <w:tc>
          <w:tcPr>
            <w:tcW w:w="796" w:type="dxa"/>
            <w:tcBorders/>
            <w:shd w:fill="auto" w:val="clear"/>
            <w:tcMar>
              <w:top w:w="0" w:type="dxa"/>
              <w:left w:w="0" w:type="dxa"/>
              <w:bottom w:w="0" w:type="dxa"/>
              <w:right w:w="0" w:type="dxa"/>
            </w:tcMar>
            <w:vAlign w:val="center"/>
          </w:tcPr>
          <w:p>
            <w:pPr>
              <w:pStyle w:val="TableContents"/>
              <w:spacing w:before="0" w:after="240"/>
              <w:ind w:left="0" w:right="0" w:hanging="0"/>
              <w:jc w:val="left"/>
              <w:rPr/>
            </w:pPr>
            <w:r>
              <w:rPr/>
              <w:t> </w:t>
            </w:r>
          </w:p>
        </w:tc>
        <w:tc>
          <w:tcPr>
            <w:tcW w:w="2656"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sz w:val="22"/>
              </w:rPr>
            </w:pPr>
            <w:r>
              <w:rPr>
                <w:rFonts w:ascii="Times New Roman;serif" w:hAnsi="Times New Roman;serif"/>
                <w:b/>
                <w:sz w:val="22"/>
              </w:rPr>
              <w:t>SIGHT SCIENCES, INC.</w:t>
            </w:r>
          </w:p>
        </w:tc>
      </w:tr>
      <w:tr>
        <w:trPr/>
        <w:tc>
          <w:tcPr>
            <w:tcW w:w="796"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serif" w:hAnsi="Times New Roman;serif"/>
                <w:b w:val="false"/>
                <w:sz w:val="22"/>
              </w:rPr>
            </w:pPr>
            <w:r>
              <w:rPr>
                <w:rFonts w:ascii="Times New Roman;serif" w:hAnsi="Times New Roman;serif"/>
                <w:b w:val="false"/>
                <w:sz w:val="22"/>
              </w:rPr>
              <w:t>Dated:</w:t>
            </w:r>
          </w:p>
        </w:tc>
        <w:tc>
          <w:tcPr>
            <w:tcW w:w="2656" w:type="dxa"/>
            <w:tcBorders/>
            <w:shd w:fill="auto" w:val="clear"/>
            <w:tcMar>
              <w:top w:w="0" w:type="dxa"/>
              <w:left w:w="0" w:type="dxa"/>
              <w:bottom w:w="0" w:type="dxa"/>
              <w:right w:w="0" w:type="dxa"/>
            </w:tcMar>
            <w:vAlign w:val="center"/>
          </w:tcPr>
          <w:p>
            <w:pPr>
              <w:pStyle w:val="TableContents"/>
              <w:spacing w:before="0" w:after="240"/>
              <w:ind w:left="0" w:right="0" w:hanging="0"/>
              <w:jc w:val="left"/>
              <w:rPr>
                <w:rFonts w:ascii="Times New Roman" w:hAnsi="Times New Roman"/>
                <w:sz w:val="22"/>
              </w:rPr>
            </w:pPr>
            <w:r>
              <w:rPr>
                <w:rFonts w:ascii="Times New Roman;serif" w:hAnsi="Times New Roman;serif"/>
                <w:b w:val="false"/>
                <w:sz w:val="22"/>
              </w:rPr>
              <w:t>By:</w:t>
            </w:r>
            <w:r>
              <w:rPr>
                <w:rFonts w:ascii="Times New Roman" w:hAnsi="Times New Roman"/>
                <w:sz w:val="22"/>
                <w:u w:val="single"/>
              </w:rPr>
              <w:t xml:space="preserve"> </w:t>
            </w:r>
            <w:r>
              <w:rPr>
                <w:rFonts w:ascii="Times New Roman;serif" w:hAnsi="Times New Roman;serif"/>
                <w:b w:val="false"/>
                <w:sz w:val="22"/>
                <w:u w:val="single"/>
              </w:rPr>
              <w:br/>
            </w:r>
            <w:r>
              <w:rPr>
                <w:rFonts w:ascii="Times New Roman;serif" w:hAnsi="Times New Roman;serif"/>
                <w:b w:val="false"/>
                <w:sz w:val="22"/>
              </w:rPr>
              <w:t>Name:</w:t>
              <w:br/>
              <w:t>Title:</w:t>
            </w:r>
          </w:p>
        </w:tc>
      </w:tr>
    </w:tbl>
    <w:p>
      <w:pPr>
        <w:pStyle w:val="TextBody"/>
        <w:spacing w:before="0" w:after="240"/>
        <w:jc w:val="center"/>
        <w:rPr/>
      </w:pPr>
      <w:r>
        <w:rPr/>
        <w:t> </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A-6</w:t>
      </w:r>
    </w:p>
    <w:p>
      <w:pPr>
        <w:pStyle w:val="TextBody"/>
        <w:spacing w:before="0" w:after="240"/>
        <w:jc w:val="left"/>
        <w:rPr/>
      </w:pPr>
      <w:r>
        <w:rPr/>
        <w:t> </w:t>
      </w:r>
    </w:p>
    <w:p>
      <w:pPr>
        <w:pStyle w:val="TextBody"/>
        <w:spacing w:before="0" w:after="240"/>
        <w:jc w:val="left"/>
        <w:rPr>
          <w:rFonts w:ascii="Times New Roman;serif" w:hAnsi="Times New Roman;serif"/>
          <w:b w:val="false"/>
          <w:sz w:val="16"/>
        </w:rPr>
      </w:pPr>
      <w:r>
        <w:rPr>
          <w:rFonts w:ascii="Times New Roman;serif" w:hAnsi="Times New Roman;serif"/>
          <w:b w:val="false"/>
          <w:sz w:val="16"/>
        </w:rPr>
        <w:t>|US-DOCS\124478299.1||</w:t>
      </w:r>
    </w:p>
    <w:p>
      <w:pPr>
        <w:pStyle w:val="HorizontalLine"/>
        <w:rPr/>
      </w:pPr>
      <w:r>
        <w:rPr/>
      </w:r>
      <w:r>
        <w:br w:type="page"/>
      </w:r>
    </w:p>
    <w:p>
      <w:pPr>
        <w:pStyle w:val="TextBody"/>
        <w:spacing w:before="0" w:after="0"/>
        <w:jc w:val="left"/>
        <w:rPr/>
      </w:pPr>
      <w:bookmarkStart w:id="25" w:name="sght-ex31_1.htm"/>
      <w:bookmarkStart w:id="26" w:name="kssghtex31_1"/>
      <w:bookmarkEnd w:id="25"/>
      <w:bookmarkEnd w:id="26"/>
      <w:r>
        <w:rPr/>
        <w:t> </w:t>
      </w:r>
    </w:p>
    <w:p>
      <w:pPr>
        <w:pStyle w:val="TextBody"/>
        <w:spacing w:before="0" w:after="0"/>
        <w:jc w:val="right"/>
        <w:rPr/>
      </w:pPr>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0" w:after="0"/>
        <w:jc w:val="center"/>
        <w:rPr>
          <w:rFonts w:ascii="Times New Roman;serif" w:hAnsi="Times New Roman;serif"/>
          <w:b/>
          <w:sz w:val="20"/>
        </w:rPr>
      </w:pPr>
      <w:r>
        <w:rPr>
          <w:rFonts w:ascii="Times New Roman;serif" w:hAnsi="Times New Roman;serif"/>
          <w:b/>
          <w:sz w:val="20"/>
        </w:rPr>
        <w:t>Certification</w:t>
      </w:r>
    </w:p>
    <w:p>
      <w:pPr>
        <w:pStyle w:val="TextBody"/>
        <w:spacing w:before="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Paul Badawi, certify that: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b w:val="false"/>
          <w:sz w:val="20"/>
        </w:rPr>
      </w:pPr>
      <w:r>
        <w:rPr>
          <w:rFonts w:ascii="Times New Roman;serif" w:hAnsi="Times New Roman;serif"/>
          <w:b w:val="false"/>
          <w:sz w:val="20"/>
        </w:rPr>
        <w:t>I have reviewed this Quarterly Report on Form 10-Q for the quarter period ended March 31, 2023 of Sight Sciences, Inc.;</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rFonts w:ascii="Times New Roman" w:hAnsi="Times New Roman"/>
          <w:b w:val="false"/>
          <w:sz w:val="20"/>
        </w:rPr>
      </w:pPr>
      <w:r>
        <w:rPr>
          <w:rFonts w:ascii="Times New Roman" w:hAnsi="Times New Roman"/>
          <w:b w:val="false"/>
          <w:sz w:val="20"/>
        </w:rPr>
        <w:t>d)</w:t>
      </w:r>
    </w:p>
    <w:p>
      <w:pPr>
        <w:pStyle w:val="TextBody"/>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243" w:type="dxa"/>
        <w:jc w:val="left"/>
        <w:tblInd w:w="0" w:type="dxa"/>
        <w:tblCellMar>
          <w:top w:w="28" w:type="dxa"/>
          <w:left w:w="28" w:type="dxa"/>
          <w:bottom w:w="28" w:type="dxa"/>
          <w:right w:w="28" w:type="dxa"/>
        </w:tblCellMar>
      </w:tblPr>
      <w:tblGrid>
        <w:gridCol w:w="1636"/>
        <w:gridCol w:w="2416"/>
        <w:gridCol w:w="191"/>
      </w:tblGrid>
      <w:tr>
        <w:trPr/>
        <w:tc>
          <w:tcPr>
            <w:tcW w:w="1636"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241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2416" w:type="dxa"/>
            <w:tcBorders/>
            <w:shd w:fill="auto" w:val="clear"/>
            <w:vAlign w:val="center"/>
          </w:tcPr>
          <w:p>
            <w:pPr>
              <w:pStyle w:val="TableContents"/>
              <w:spacing w:before="0" w:after="0"/>
              <w:ind w:left="0" w:right="0" w:hanging="0"/>
              <w:jc w:val="right"/>
              <w:rPr>
                <w:rFonts w:ascii="Times New Roman;serif" w:hAnsi="Times New Roman;serif"/>
                <w:b w:val="false"/>
                <w:sz w:val="20"/>
                <w:u w:val="single"/>
              </w:rPr>
            </w:pPr>
            <w:r>
              <w:rPr>
                <w:rFonts w:ascii="Times New Roman;serif" w:hAnsi="Times New Roman;serif"/>
                <w:b w:val="false"/>
                <w:sz w:val="20"/>
                <w:u w:val="single"/>
              </w:rPr>
              <w:t>/s/ Paul Badawi</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241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Paul Badawi</w:t>
            </w:r>
          </w:p>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Chief Executive Officer</w:t>
            </w:r>
          </w:p>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(Principal ExecutiveOfficer)</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16"/>
        </w:rPr>
      </w:pPr>
      <w:r>
        <w:rPr>
          <w:rFonts w:ascii="Times New Roman;serif" w:hAnsi="Times New Roman;serif"/>
          <w:b w:val="false"/>
          <w:sz w:val="16"/>
        </w:rPr>
        <w:t>|</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16"/>
        </w:rPr>
      </w:pPr>
      <w:r>
        <w:rPr>
          <w:rFonts w:ascii="Times New Roman;serif" w:hAnsi="Times New Roman;serif"/>
          <w:b w:val="false"/>
          <w:sz w:val="16"/>
        </w:rPr>
        <w:t>|</w:t>
      </w:r>
    </w:p>
    <w:p>
      <w:pPr>
        <w:pStyle w:val="HorizontalLine"/>
        <w:rPr/>
      </w:pPr>
      <w:r>
        <w:rPr/>
      </w:r>
      <w:r>
        <w:br w:type="page"/>
      </w:r>
    </w:p>
    <w:p>
      <w:pPr>
        <w:pStyle w:val="TextBody"/>
        <w:spacing w:before="0" w:after="0"/>
        <w:jc w:val="left"/>
        <w:rPr/>
      </w:pPr>
      <w:bookmarkStart w:id="27" w:name="sght-ex31_2.htm"/>
      <w:bookmarkStart w:id="28" w:name="kssghtex31_2"/>
      <w:bookmarkEnd w:id="27"/>
      <w:bookmarkEnd w:id="2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0" w:after="0"/>
        <w:jc w:val="center"/>
        <w:rPr>
          <w:rFonts w:ascii="Times New Roman;serif" w:hAnsi="Times New Roman;serif"/>
          <w:b/>
          <w:sz w:val="20"/>
        </w:rPr>
      </w:pPr>
      <w:r>
        <w:rPr>
          <w:rFonts w:ascii="Times New Roman;serif" w:hAnsi="Times New Roman;serif"/>
          <w:b/>
          <w:sz w:val="20"/>
        </w:rPr>
        <w:t>Certification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Alison Bauerlein, certify that: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b w:val="false"/>
          <w:sz w:val="20"/>
        </w:rPr>
      </w:pPr>
      <w:r>
        <w:rPr>
          <w:rFonts w:ascii="Times New Roman;serif" w:hAnsi="Times New Roman;serif"/>
          <w:b w:val="false"/>
          <w:sz w:val="20"/>
        </w:rPr>
        <w:t>I have reviewed this Quarterly Report on Form 10-Q for the quarter period ended March 31, 2023 of Sight Sciences, Inc.;</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rFonts w:ascii="Times New Roman" w:hAnsi="Times New Roman"/>
          <w:b w:val="false"/>
          <w:sz w:val="20"/>
        </w:rPr>
      </w:pPr>
      <w:r>
        <w:rPr>
          <w:rFonts w:ascii="Times New Roman" w:hAnsi="Times New Roman"/>
          <w:b w:val="false"/>
          <w:sz w:val="20"/>
        </w:rPr>
        <w:t>d.</w:t>
      </w:r>
    </w:p>
    <w:p>
      <w:pPr>
        <w:pStyle w:val="TextBody"/>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303" w:type="dxa"/>
        <w:jc w:val="left"/>
        <w:tblInd w:w="0" w:type="dxa"/>
        <w:tblCellMar>
          <w:top w:w="28" w:type="dxa"/>
          <w:left w:w="28" w:type="dxa"/>
          <w:bottom w:w="28" w:type="dxa"/>
          <w:right w:w="28" w:type="dxa"/>
        </w:tblCellMar>
      </w:tblPr>
      <w:tblGrid>
        <w:gridCol w:w="1636"/>
        <w:gridCol w:w="2476"/>
        <w:gridCol w:w="191"/>
      </w:tblGrid>
      <w:tr>
        <w:trPr/>
        <w:tc>
          <w:tcPr>
            <w:tcW w:w="163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247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2476" w:type="dxa"/>
            <w:tcBorders/>
            <w:shd w:fill="auto" w:val="clear"/>
            <w:vAlign w:val="center"/>
          </w:tcPr>
          <w:p>
            <w:pPr>
              <w:pStyle w:val="TableContents"/>
              <w:spacing w:before="0" w:after="0"/>
              <w:ind w:left="0" w:right="0" w:hanging="0"/>
              <w:jc w:val="right"/>
              <w:rPr>
                <w:rFonts w:ascii="Times New Roman;serif" w:hAnsi="Times New Roman;serif"/>
                <w:b w:val="false"/>
                <w:sz w:val="20"/>
                <w:u w:val="single"/>
              </w:rPr>
            </w:pPr>
            <w:r>
              <w:rPr>
                <w:rFonts w:ascii="Times New Roman;serif" w:hAnsi="Times New Roman;serif"/>
                <w:b w:val="false"/>
                <w:sz w:val="20"/>
                <w:u w:val="single"/>
              </w:rPr>
              <w:t>/s/ Alison Bauerlein</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247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Alison Bauerlein</w:t>
              <w:br/>
              <w:t>Chief Financial Officer</w:t>
            </w:r>
          </w:p>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(Principal Financial Officer)</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16"/>
        </w:rPr>
      </w:pPr>
      <w:r>
        <w:rPr>
          <w:rFonts w:ascii="Times New Roman;serif" w:hAnsi="Times New Roman;serif"/>
          <w:b w:val="false"/>
          <w:sz w:val="16"/>
        </w:rPr>
        <w:t>|</w:t>
      </w:r>
    </w:p>
    <w:p>
      <w:pPr>
        <w:pStyle w:val="HorizontalLine"/>
        <w:rPr/>
      </w:pPr>
      <w:r>
        <w:rPr/>
      </w:r>
      <w:r>
        <w:br w:type="page"/>
      </w:r>
    </w:p>
    <w:p>
      <w:pPr>
        <w:pStyle w:val="TextBody"/>
        <w:spacing w:before="0" w:after="0"/>
        <w:jc w:val="both"/>
        <w:rPr/>
      </w:pPr>
      <w:bookmarkStart w:id="29" w:name="sght-ex32_1.htm"/>
      <w:bookmarkStart w:id="30" w:name="kssghtex32_1"/>
      <w:bookmarkEnd w:id="29"/>
      <w:bookmarkEnd w:id="30"/>
      <w:r>
        <w:rPr/>
        <w:t> </w:t>
      </w:r>
    </w:p>
    <w:p>
      <w:pPr>
        <w:pStyle w:val="TextBody"/>
        <w:spacing w:before="0" w:after="0"/>
        <w:jc w:val="both"/>
        <w:rPr/>
      </w:pPr>
      <w:r>
        <w:rPr/>
        <w:t> </w:t>
      </w:r>
    </w:p>
    <w:p>
      <w:pPr>
        <w:pStyle w:val="TextBody"/>
        <w:spacing w:before="0" w:after="0"/>
        <w:jc w:val="right"/>
        <w:rPr>
          <w:rFonts w:ascii="Times New Roman;serif" w:hAnsi="Times New Roman;serif"/>
          <w:b/>
          <w:sz w:val="24"/>
        </w:rPr>
      </w:pPr>
      <w:r>
        <w:rPr>
          <w:rFonts w:ascii="Times New Roman;serif" w:hAnsi="Times New Roman;serif"/>
          <w:b/>
          <w:sz w:val="24"/>
        </w:rPr>
        <w:t>Exhibit 32.1</w:t>
      </w:r>
    </w:p>
    <w:p>
      <w:pPr>
        <w:pStyle w:val="TextBody"/>
        <w:spacing w:before="0" w:after="0"/>
        <w:jc w:val="center"/>
        <w:rPr>
          <w:rFonts w:ascii="Times New Roman;serif" w:hAnsi="Times New Roman;serif"/>
          <w:b/>
          <w:sz w:val="24"/>
        </w:rPr>
      </w:pPr>
      <w:r>
        <w:rPr>
          <w:rFonts w:ascii="Times New Roman;serif" w:hAnsi="Times New Roman;serif"/>
          <w:b/>
          <w:sz w:val="24"/>
        </w:rPr>
        <w:t>Certification of Chief Executive Officer</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4"/>
        </w:rPr>
        <w:t>Pursuant to 18 U.S.C. § 1350, as created by Section 906 of the Sarbanes-Oxley Act of 2002, the undersigned officer of Sight Sciences, Inc. (the “</w:t>
      </w:r>
      <w:r>
        <w:rPr>
          <w:rFonts w:ascii="Times New Roman;serif" w:hAnsi="Times New Roman;serif"/>
          <w:b w:val="false"/>
          <w:sz w:val="24"/>
          <w:u w:val="single"/>
        </w:rPr>
        <w:t>Company</w:t>
      </w:r>
      <w:r>
        <w:rPr>
          <w:rFonts w:ascii="Times New Roman" w:hAnsi="Times New Roman"/>
          <w:sz w:val="20"/>
        </w:rPr>
        <w:t>”</w:t>
      </w:r>
      <w:r>
        <w:rPr>
          <w:rFonts w:ascii="Times New Roman;serif" w:hAnsi="Times New Roman;serif"/>
          <w:b w:val="false"/>
          <w:sz w:val="24"/>
        </w:rPr>
        <w:t>) hereby certifies that, to his knowledge:</w:t>
      </w:r>
    </w:p>
    <w:p>
      <w:pPr>
        <w:pStyle w:val="TextBody"/>
        <w:spacing w:before="0" w:after="0"/>
        <w:jc w:val="both"/>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1.</w:t>
      </w:r>
    </w:p>
    <w:p>
      <w:pPr>
        <w:pStyle w:val="TextBody"/>
        <w:jc w:val="left"/>
        <w:rPr/>
      </w:pPr>
      <w:r>
        <w:rPr>
          <w:rFonts w:ascii="Times New Roman;serif" w:hAnsi="Times New Roman;serif"/>
          <w:b w:val="false"/>
          <w:sz w:val="24"/>
        </w:rPr>
        <w:t>the Quarterly Report on Form 10-Q of the Company for the quarterly period ended March 31, 2023 (the “</w:t>
      </w:r>
      <w:r>
        <w:rPr>
          <w:rFonts w:ascii="Times New Roman;serif" w:hAnsi="Times New Roman;serif"/>
          <w:b w:val="false"/>
          <w:sz w:val="24"/>
          <w:u w:val="single"/>
        </w:rPr>
        <w:t>Report</w:t>
      </w:r>
      <w:r>
        <w:rPr/>
        <w:t>”</w:t>
      </w:r>
      <w:r>
        <w:rPr>
          <w:rFonts w:ascii="Times New Roman;serif" w:hAnsi="Times New Roman;serif"/>
          <w:b w:val="false"/>
          <w:sz w:val="24"/>
        </w:rPr>
        <w:t>) fully complies with the requirements of Section 13(a) or Section 15(d), as applicable, of the Securities Exchange Act of 1934, as amended; and</w:t>
      </w:r>
    </w:p>
    <w:p>
      <w:pPr>
        <w:pStyle w:val="TextBody"/>
        <w:spacing w:before="0" w:after="0"/>
        <w:jc w:val="left"/>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2.</w:t>
      </w:r>
    </w:p>
    <w:p>
      <w:pPr>
        <w:pStyle w:val="TextBody"/>
        <w:jc w:val="left"/>
        <w:rPr>
          <w:rFonts w:ascii="Times New Roman;serif" w:hAnsi="Times New Roman;serif"/>
          <w:b w:val="false"/>
          <w:sz w:val="24"/>
        </w:rPr>
      </w:pPr>
      <w:r>
        <w:rPr>
          <w:rFonts w:ascii="Times New Roman;serif" w:hAnsi="Times New Roman;serif"/>
          <w:b w:val="false"/>
          <w:sz w:val="24"/>
        </w:rPr>
        <w:t>the information contained in the Report fairly presents, in all material respects, the financial condition and results of operations of the Company.</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tbl>
      <w:tblPr>
        <w:tblW w:w="4442" w:type="dxa"/>
        <w:jc w:val="left"/>
        <w:tblInd w:w="0" w:type="dxa"/>
        <w:tblCellMar>
          <w:top w:w="28" w:type="dxa"/>
          <w:left w:w="28" w:type="dxa"/>
          <w:bottom w:w="28" w:type="dxa"/>
          <w:right w:w="28" w:type="dxa"/>
        </w:tblCellMar>
      </w:tblPr>
      <w:tblGrid>
        <w:gridCol w:w="2026"/>
        <w:gridCol w:w="2416"/>
      </w:tblGrid>
      <w:tr>
        <w:trPr/>
        <w:tc>
          <w:tcPr>
            <w:tcW w:w="2026"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Dated: May 8, 2023</w:t>
            </w:r>
          </w:p>
        </w:tc>
        <w:tc>
          <w:tcPr>
            <w:tcW w:w="2416" w:type="dxa"/>
            <w:tcBorders/>
            <w:shd w:fill="auto" w:val="clear"/>
            <w:vAlign w:val="center"/>
          </w:tcPr>
          <w:p>
            <w:pPr>
              <w:pStyle w:val="TableContents"/>
              <w:spacing w:before="0" w:after="0"/>
              <w:ind w:left="0" w:right="0" w:hanging="0"/>
              <w:jc w:val="right"/>
              <w:rPr>
                <w:rFonts w:ascii="Times New Roman;serif" w:hAnsi="Times New Roman;serif"/>
                <w:b w:val="false"/>
                <w:sz w:val="24"/>
                <w:u w:val="single"/>
              </w:rPr>
            </w:pPr>
            <w:r>
              <w:rPr>
                <w:rFonts w:ascii="Times New Roman;serif" w:hAnsi="Times New Roman;serif"/>
                <w:b w:val="false"/>
                <w:sz w:val="24"/>
                <w:u w:val="single"/>
              </w:rPr>
              <w:t>/s/ Paul Badawi</w:t>
            </w:r>
          </w:p>
        </w:tc>
      </w:tr>
      <w:tr>
        <w:trPr/>
        <w:tc>
          <w:tcPr>
            <w:tcW w:w="2026" w:type="dxa"/>
            <w:tcBorders/>
            <w:shd w:fill="auto" w:val="clear"/>
            <w:vAlign w:val="center"/>
          </w:tcPr>
          <w:p>
            <w:pPr>
              <w:pStyle w:val="TableContents"/>
              <w:spacing w:before="0" w:after="283"/>
              <w:ind w:left="0" w:right="0" w:hanging="0"/>
              <w:rPr>
                <w:sz w:val="4"/>
                <w:szCs w:val="4"/>
              </w:rPr>
            </w:pPr>
            <w:r>
              <w:rPr>
                <w:sz w:val="4"/>
                <w:szCs w:val="4"/>
              </w:rPr>
            </w:r>
          </w:p>
        </w:tc>
        <w:tc>
          <w:tcPr>
            <w:tcW w:w="2416" w:type="dxa"/>
            <w:tcBorders/>
            <w:shd w:fill="auto" w:val="clear"/>
            <w:vAlign w:val="center"/>
          </w:tcPr>
          <w:p>
            <w:pPr>
              <w:pStyle w:val="TableContents"/>
              <w:spacing w:before="0" w:after="0"/>
              <w:ind w:left="0" w:right="0" w:hanging="0"/>
              <w:jc w:val="right"/>
              <w:rPr>
                <w:rFonts w:ascii="Times New Roman;serif" w:hAnsi="Times New Roman;serif"/>
                <w:b w:val="false"/>
                <w:sz w:val="24"/>
              </w:rPr>
            </w:pPr>
            <w:r>
              <w:rPr>
                <w:rFonts w:ascii="Times New Roman;serif" w:hAnsi="Times New Roman;serif"/>
                <w:b w:val="false"/>
                <w:sz w:val="24"/>
              </w:rPr>
              <w:t>Paul Badawi</w:t>
            </w:r>
          </w:p>
        </w:tc>
      </w:tr>
      <w:tr>
        <w:trPr/>
        <w:tc>
          <w:tcPr>
            <w:tcW w:w="2026" w:type="dxa"/>
            <w:tcBorders/>
            <w:shd w:fill="auto" w:val="clear"/>
            <w:vAlign w:val="center"/>
          </w:tcPr>
          <w:p>
            <w:pPr>
              <w:pStyle w:val="TableContents"/>
              <w:spacing w:before="0" w:after="283"/>
              <w:ind w:left="0" w:right="0" w:hanging="0"/>
              <w:rPr>
                <w:sz w:val="4"/>
                <w:szCs w:val="4"/>
              </w:rPr>
            </w:pPr>
            <w:r>
              <w:rPr>
                <w:sz w:val="4"/>
                <w:szCs w:val="4"/>
              </w:rPr>
            </w:r>
          </w:p>
        </w:tc>
        <w:tc>
          <w:tcPr>
            <w:tcW w:w="2416" w:type="dxa"/>
            <w:tcBorders/>
            <w:shd w:fill="auto" w:val="clear"/>
            <w:vAlign w:val="center"/>
          </w:tcPr>
          <w:p>
            <w:pPr>
              <w:pStyle w:val="TableContents"/>
              <w:spacing w:before="0" w:after="0"/>
              <w:ind w:left="0" w:right="0" w:hanging="0"/>
              <w:jc w:val="right"/>
              <w:rPr>
                <w:rFonts w:ascii="Times New Roman;serif" w:hAnsi="Times New Roman;serif"/>
                <w:b w:val="false"/>
                <w:sz w:val="24"/>
              </w:rPr>
            </w:pPr>
            <w:r>
              <w:rPr>
                <w:rFonts w:ascii="Times New Roman;serif" w:hAnsi="Times New Roman;serif"/>
                <w:b w:val="false"/>
                <w:sz w:val="24"/>
              </w:rPr>
              <w:t>Chief Executive Officer</w:t>
            </w:r>
          </w:p>
        </w:tc>
      </w:tr>
    </w:tbl>
    <w:p>
      <w:pPr>
        <w:pStyle w:val="TextBody"/>
        <w:spacing w:before="0" w:after="0"/>
        <w:jc w:val="both"/>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spacing w:before="0" w:after="0"/>
        <w:jc w:val="both"/>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both"/>
        <w:rPr/>
      </w:pPr>
      <w:bookmarkStart w:id="31" w:name="sght-ex32_2.htm"/>
      <w:bookmarkStart w:id="32" w:name="kssghtex32_2"/>
      <w:bookmarkEnd w:id="31"/>
      <w:bookmarkEnd w:id="32"/>
      <w:r>
        <w:rPr/>
        <w:t> </w:t>
      </w:r>
    </w:p>
    <w:p>
      <w:pPr>
        <w:pStyle w:val="TextBody"/>
        <w:spacing w:before="0" w:after="0"/>
        <w:jc w:val="both"/>
        <w:rPr/>
      </w:pPr>
      <w:r>
        <w:rPr/>
        <w:t> </w:t>
      </w:r>
    </w:p>
    <w:p>
      <w:pPr>
        <w:pStyle w:val="TextBody"/>
        <w:spacing w:before="0" w:after="0"/>
        <w:jc w:val="right"/>
        <w:rPr>
          <w:rFonts w:ascii="Times New Roman;serif" w:hAnsi="Times New Roman;serif"/>
          <w:b/>
          <w:sz w:val="24"/>
        </w:rPr>
      </w:pPr>
      <w:r>
        <w:rPr>
          <w:rFonts w:ascii="Times New Roman;serif" w:hAnsi="Times New Roman;serif"/>
          <w:b/>
          <w:sz w:val="24"/>
        </w:rPr>
        <w:t>Exhibit 32.2</w:t>
      </w:r>
    </w:p>
    <w:p>
      <w:pPr>
        <w:pStyle w:val="TextBody"/>
        <w:spacing w:before="0" w:after="0"/>
        <w:jc w:val="center"/>
        <w:rPr>
          <w:rFonts w:ascii="Times New Roman;serif" w:hAnsi="Times New Roman;serif"/>
          <w:b/>
          <w:sz w:val="24"/>
        </w:rPr>
      </w:pPr>
      <w:r>
        <w:rPr>
          <w:rFonts w:ascii="Times New Roman;serif" w:hAnsi="Times New Roman;serif"/>
          <w:b/>
          <w:sz w:val="24"/>
        </w:rPr>
        <w:t>Certification of Chief Financial Officer</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4"/>
        </w:rPr>
        <w:t>Pursuant to 18 U.S.C. § 1350, as created by Section 906 of the Sarbanes-Oxley Act of 2002, the undersigned officer of Sight Sciences, Inc. (the “</w:t>
      </w:r>
      <w:r>
        <w:rPr>
          <w:rFonts w:ascii="Times New Roman;serif" w:hAnsi="Times New Roman;serif"/>
          <w:b w:val="false"/>
          <w:sz w:val="24"/>
          <w:u w:val="single"/>
        </w:rPr>
        <w:t>Company</w:t>
      </w:r>
      <w:r>
        <w:rPr>
          <w:rFonts w:ascii="Times New Roman" w:hAnsi="Times New Roman"/>
          <w:sz w:val="20"/>
        </w:rPr>
        <w:t>”</w:t>
      </w:r>
      <w:r>
        <w:rPr>
          <w:rFonts w:ascii="Times New Roman;serif" w:hAnsi="Times New Roman;serif"/>
          <w:b w:val="false"/>
          <w:sz w:val="24"/>
        </w:rPr>
        <w:t>) hereby certifies that, to her knowledge:</w:t>
      </w:r>
    </w:p>
    <w:p>
      <w:pPr>
        <w:pStyle w:val="TextBody"/>
        <w:spacing w:before="0" w:after="0"/>
        <w:jc w:val="both"/>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1.</w:t>
      </w:r>
    </w:p>
    <w:p>
      <w:pPr>
        <w:pStyle w:val="TextBody"/>
        <w:jc w:val="left"/>
        <w:rPr/>
      </w:pPr>
      <w:r>
        <w:rPr>
          <w:rFonts w:ascii="Times New Roman;serif" w:hAnsi="Times New Roman;serif"/>
          <w:b w:val="false"/>
          <w:sz w:val="24"/>
        </w:rPr>
        <w:t>the Quarterly Report on Form 10-Q of the Company for the quarterly period ended March 31, 2023 (the “</w:t>
      </w:r>
      <w:r>
        <w:rPr>
          <w:rFonts w:ascii="Times New Roman;serif" w:hAnsi="Times New Roman;serif"/>
          <w:b w:val="false"/>
          <w:sz w:val="24"/>
          <w:u w:val="single"/>
        </w:rPr>
        <w:t>Report</w:t>
      </w:r>
      <w:r>
        <w:rPr/>
        <w:t>”</w:t>
      </w:r>
      <w:r>
        <w:rPr>
          <w:rFonts w:ascii="Times New Roman;serif" w:hAnsi="Times New Roman;serif"/>
          <w:b w:val="false"/>
          <w:sz w:val="24"/>
        </w:rPr>
        <w:t>) fully complies with the requirements of Section 13(a) or Section 15(d), as applicable, of the Securities Exchange Act of 1934, as amended; and</w:t>
      </w:r>
    </w:p>
    <w:p>
      <w:pPr>
        <w:pStyle w:val="TextBody"/>
        <w:spacing w:before="0" w:after="0"/>
        <w:jc w:val="left"/>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2.</w:t>
      </w:r>
    </w:p>
    <w:p>
      <w:pPr>
        <w:pStyle w:val="TextBody"/>
        <w:jc w:val="left"/>
        <w:rPr>
          <w:rFonts w:ascii="Times New Roman;serif" w:hAnsi="Times New Roman;serif"/>
          <w:b w:val="false"/>
          <w:sz w:val="24"/>
        </w:rPr>
      </w:pPr>
      <w:r>
        <w:rPr>
          <w:rFonts w:ascii="Times New Roman;serif" w:hAnsi="Times New Roman;serif"/>
          <w:b w:val="false"/>
          <w:sz w:val="24"/>
        </w:rPr>
        <w:t>the information contained in the Report fairly presents, in all material respects, the financial condition and results of operations of the Company.</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tbl>
      <w:tblPr>
        <w:tblW w:w="4367" w:type="dxa"/>
        <w:jc w:val="left"/>
        <w:tblInd w:w="0" w:type="dxa"/>
        <w:tblCellMar>
          <w:top w:w="28" w:type="dxa"/>
          <w:left w:w="28" w:type="dxa"/>
          <w:bottom w:w="28" w:type="dxa"/>
          <w:right w:w="28" w:type="dxa"/>
        </w:tblCellMar>
      </w:tblPr>
      <w:tblGrid>
        <w:gridCol w:w="2026"/>
        <w:gridCol w:w="2341"/>
      </w:tblGrid>
      <w:tr>
        <w:trPr/>
        <w:tc>
          <w:tcPr>
            <w:tcW w:w="2026"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r>
      <w:tr>
        <w:trPr/>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Dated: May 8, 2023</w:t>
            </w:r>
          </w:p>
        </w:tc>
        <w:tc>
          <w:tcPr>
            <w:tcW w:w="2341" w:type="dxa"/>
            <w:tcBorders/>
            <w:shd w:fill="auto" w:val="clear"/>
            <w:vAlign w:val="center"/>
          </w:tcPr>
          <w:p>
            <w:pPr>
              <w:pStyle w:val="TableContents"/>
              <w:spacing w:before="0" w:after="0"/>
              <w:ind w:left="0" w:right="0" w:hanging="0"/>
              <w:jc w:val="right"/>
              <w:rPr>
                <w:rFonts w:ascii="Times New Roman;serif" w:hAnsi="Times New Roman;serif"/>
                <w:b w:val="false"/>
                <w:sz w:val="24"/>
                <w:u w:val="single"/>
              </w:rPr>
            </w:pPr>
            <w:r>
              <w:rPr>
                <w:rFonts w:ascii="Times New Roman;serif" w:hAnsi="Times New Roman;serif"/>
                <w:b w:val="false"/>
                <w:sz w:val="24"/>
                <w:u w:val="single"/>
              </w:rPr>
              <w:t>/s/ Alison Bauerlein</w:t>
            </w:r>
          </w:p>
        </w:tc>
      </w:tr>
      <w:tr>
        <w:trPr/>
        <w:tc>
          <w:tcPr>
            <w:tcW w:w="2026" w:type="dxa"/>
            <w:tcBorders/>
            <w:shd w:fill="auto" w:val="clear"/>
            <w:vAlign w:val="center"/>
          </w:tcPr>
          <w:p>
            <w:pPr>
              <w:pStyle w:val="TableContents"/>
              <w:spacing w:before="0" w:after="283"/>
              <w:ind w:left="0" w:right="0" w:hanging="0"/>
              <w:rPr>
                <w:sz w:val="4"/>
                <w:szCs w:val="4"/>
              </w:rPr>
            </w:pPr>
            <w:r>
              <w:rPr>
                <w:sz w:val="4"/>
                <w:szCs w:val="4"/>
              </w:rPr>
            </w:r>
          </w:p>
        </w:tc>
        <w:tc>
          <w:tcPr>
            <w:tcW w:w="2341" w:type="dxa"/>
            <w:tcBorders/>
            <w:shd w:fill="auto" w:val="clear"/>
            <w:vAlign w:val="center"/>
          </w:tcPr>
          <w:p>
            <w:pPr>
              <w:pStyle w:val="TableContents"/>
              <w:spacing w:before="0" w:after="0"/>
              <w:ind w:left="0" w:right="0" w:hanging="0"/>
              <w:jc w:val="right"/>
              <w:rPr>
                <w:rFonts w:ascii="Times New Roman;serif" w:hAnsi="Times New Roman;serif"/>
                <w:b w:val="false"/>
                <w:sz w:val="24"/>
              </w:rPr>
            </w:pPr>
            <w:r>
              <w:rPr>
                <w:rFonts w:ascii="Times New Roman;serif" w:hAnsi="Times New Roman;serif"/>
                <w:b w:val="false"/>
                <w:sz w:val="24"/>
              </w:rPr>
              <w:t>Alison Bauerlein</w:t>
            </w:r>
          </w:p>
        </w:tc>
      </w:tr>
      <w:tr>
        <w:trPr/>
        <w:tc>
          <w:tcPr>
            <w:tcW w:w="2026" w:type="dxa"/>
            <w:tcBorders/>
            <w:shd w:fill="auto" w:val="clear"/>
            <w:vAlign w:val="center"/>
          </w:tcPr>
          <w:p>
            <w:pPr>
              <w:pStyle w:val="TableContents"/>
              <w:spacing w:before="0" w:after="283"/>
              <w:ind w:left="0" w:right="0" w:hanging="0"/>
              <w:rPr>
                <w:sz w:val="4"/>
                <w:szCs w:val="4"/>
              </w:rPr>
            </w:pPr>
            <w:r>
              <w:rPr>
                <w:sz w:val="4"/>
                <w:szCs w:val="4"/>
              </w:rPr>
            </w:r>
          </w:p>
        </w:tc>
        <w:tc>
          <w:tcPr>
            <w:tcW w:w="2341" w:type="dxa"/>
            <w:tcBorders/>
            <w:shd w:fill="auto" w:val="clear"/>
            <w:vAlign w:val="center"/>
          </w:tcPr>
          <w:p>
            <w:pPr>
              <w:pStyle w:val="TableContents"/>
              <w:spacing w:before="0" w:after="0"/>
              <w:ind w:left="0" w:right="0" w:hanging="0"/>
              <w:jc w:val="right"/>
              <w:rPr>
                <w:rFonts w:ascii="Times New Roman;serif" w:hAnsi="Times New Roman;serif"/>
                <w:b w:val="false"/>
                <w:sz w:val="24"/>
              </w:rPr>
            </w:pPr>
            <w:r>
              <w:rPr>
                <w:rFonts w:ascii="Times New Roman;serif" w:hAnsi="Times New Roman;serif"/>
                <w:b w:val="false"/>
                <w:sz w:val="24"/>
              </w:rPr>
              <w:t>Chief Financial Officer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23370</Words>
  <CharactersWithSpaces>152865</CharactersWithSpaces>
  <Paragraphs>3833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