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0001596080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Bauerlein Alison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25260</w:t>
            </w:r>
          </w:p>
        </w:tc>
        <w:tc>
          <w:tcPr>
            <w:tcW w:w="1377" w:type="dxa"/>
            <w:tcBorders/>
            <w:vAlign w:val="center"/>
          </w:tcPr>
          <w:p>
            <w:pPr>
              <w:pStyle w:val="TableContents"/>
              <w:bidi w:val="0"/>
              <w:spacing w:before="0" w:after="283"/>
              <w:jc w:val="left"/>
              <w:rPr/>
            </w:pPr>
            <w:r>
              <w:rPr/>
              <w:t>223631.83</w:t>
            </w:r>
          </w:p>
        </w:tc>
        <w:tc>
          <w:tcPr>
            <w:tcW w:w="1552" w:type="dxa"/>
            <w:tcBorders/>
            <w:vAlign w:val="center"/>
          </w:tcPr>
          <w:p>
            <w:pPr>
              <w:pStyle w:val="TableContents"/>
              <w:bidi w:val="0"/>
              <w:spacing w:before="0" w:after="283"/>
              <w:jc w:val="left"/>
              <w:rPr/>
            </w:pPr>
            <w:r>
              <w:rPr/>
              <w:t>55087990</w:t>
            </w:r>
          </w:p>
        </w:tc>
        <w:tc>
          <w:tcPr>
            <w:tcW w:w="1567" w:type="dxa"/>
            <w:tcBorders/>
            <w:vAlign w:val="center"/>
          </w:tcPr>
          <w:p>
            <w:pPr>
              <w:pStyle w:val="TableContents"/>
              <w:bidi w:val="0"/>
              <w:spacing w:before="0" w:after="283"/>
              <w:jc w:val="left"/>
              <w:rPr/>
            </w:pPr>
            <w:r>
              <w:rPr/>
              <w:t>10/02/2026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09/30/2026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25260</w:t>
            </w:r>
          </w:p>
        </w:tc>
        <w:tc>
          <w:tcPr>
            <w:tcW w:w="1046" w:type="dxa"/>
            <w:tcBorders/>
            <w:vAlign w:val="center"/>
          </w:tcPr>
          <w:p>
            <w:pPr>
              <w:pStyle w:val="TableContents"/>
              <w:bidi w:val="0"/>
              <w:spacing w:before="0" w:after="283"/>
              <w:jc w:val="left"/>
              <w:rPr/>
            </w:pPr>
            <w:r>
              <w:rPr/>
              <w:t>09/30/2026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Alison Bauerlein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07/02/2026</w:t>
            </w:r>
          </w:p>
        </w:tc>
        <w:tc>
          <w:tcPr>
            <w:tcW w:w="1570" w:type="dxa"/>
            <w:tcBorders/>
            <w:vAlign w:val="center"/>
          </w:tcPr>
          <w:p>
            <w:pPr>
              <w:pStyle w:val="TableContents"/>
              <w:bidi w:val="0"/>
              <w:spacing w:before="0" w:after="283"/>
              <w:jc w:val="left"/>
              <w:rPr/>
            </w:pPr>
            <w:r>
              <w:rPr/>
              <w:t>24184</w:t>
            </w:r>
          </w:p>
        </w:tc>
        <w:tc>
          <w:tcPr>
            <w:tcW w:w="1770" w:type="dxa"/>
            <w:tcBorders/>
            <w:vAlign w:val="center"/>
          </w:tcPr>
          <w:p>
            <w:pPr>
              <w:pStyle w:val="TableContents"/>
              <w:bidi w:val="0"/>
              <w:spacing w:before="0" w:after="283"/>
              <w:jc w:val="left"/>
              <w:rPr/>
            </w:pPr>
            <w:r>
              <w:rPr/>
              <w:t>129502.91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7"/>
        <w:gridCol w:w="8468"/>
      </w:tblGrid>
      <w:tr>
        <w:trPr/>
        <w:tc>
          <w:tcPr>
            <w:tcW w:w="1737" w:type="dxa"/>
            <w:tcBorders/>
            <w:vAlign w:val="center"/>
          </w:tcPr>
          <w:p>
            <w:pPr>
              <w:pStyle w:val="TableContents"/>
              <w:bidi w:val="0"/>
              <w:spacing w:before="0" w:after="283"/>
              <w:jc w:val="left"/>
              <w:rPr/>
            </w:pPr>
            <w:r>
              <w:rPr/>
              <w:t>Remarks</w:t>
            </w:r>
          </w:p>
        </w:tc>
        <w:tc>
          <w:tcPr>
            <w:tcW w:w="846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7" w:type="dxa"/>
            <w:tcBorders/>
            <w:vAlign w:val="center"/>
          </w:tcPr>
          <w:p>
            <w:pPr>
              <w:pStyle w:val="TableContents"/>
              <w:bidi w:val="0"/>
              <w:spacing w:before="0" w:after="283"/>
              <w:jc w:val="left"/>
              <w:rPr/>
            </w:pPr>
            <w:r>
              <w:rPr/>
              <w:t>Date of Notice</w:t>
            </w:r>
          </w:p>
        </w:tc>
        <w:tc>
          <w:tcPr>
            <w:tcW w:w="8468"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7" w:type="dxa"/>
            <w:tcBorders/>
            <w:vAlign w:val="center"/>
          </w:tcPr>
          <w:p>
            <w:pPr>
              <w:pStyle w:val="TableContents"/>
              <w:bidi w:val="0"/>
              <w:spacing w:before="0" w:after="283"/>
              <w:jc w:val="left"/>
              <w:rPr/>
            </w:pPr>
            <w:r>
              <w:rPr/>
              <w:t>Signature</w:t>
            </w:r>
          </w:p>
        </w:tc>
        <w:tc>
          <w:tcPr>
            <w:tcW w:w="8468" w:type="dxa"/>
            <w:tcBorders/>
            <w:vAlign w:val="center"/>
          </w:tcPr>
          <w:p>
            <w:pPr>
              <w:pStyle w:val="TableContents"/>
              <w:bidi w:val="0"/>
              <w:spacing w:before="0" w:after="0"/>
              <w:jc w:val="left"/>
              <w:rPr/>
            </w:pPr>
            <w:r>
              <w:rPr/>
              <w:t>/s/ Joshua Schmitt, as a duly authorized representative of Fidelity Brokerage Services LLC, as attorney-in-fact for Alison Bauerlein.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3263</Characters>
  <CharactersWithSpaces>3840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