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50331.htm"/>
      <w:bookmarkStart w:id="1" w:name="kssght20250331"/>
      <w:bookmarkEnd w:id="0"/>
      <w:bookmarkEnd w:id="1"/>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(877) 266-1144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the close of business on May 2, 2025, the registrant had</w:t>
      </w:r>
      <w:r>
        <w:rPr>
          <w:rFonts w:ascii="Times New Roman" w:hAnsi="Times New Roman"/>
          <w:color w:val="000000"/>
          <w:sz w:val="20"/>
        </w:rPr>
        <w:t xml:space="preserve"> </w:t>
      </w:r>
      <w:r>
        <w:rPr>
          <w:rFonts w:ascii="Times New Roman" w:hAnsi="Times New Roman"/>
          <w:color w:val="000000"/>
          <w:sz w:val="16"/>
        </w:rPr>
        <w:t>51,702,088</w:t>
      </w:r>
      <w:r>
        <w:rPr>
          <w:rFonts w:ascii="Times New Roman" w:hAnsi="Times New Roman"/>
          <w:color w:val="000000"/>
          <w:sz w:val="20"/>
        </w:rPr>
        <w:t xml:space="preserve"> </w:t>
      </w:r>
      <w:r>
        <w:rPr>
          <w:rFonts w:ascii="Times New Roman" w:hAnsi="Times New Roman"/>
          <w:color w:val="000000"/>
          <w:sz w:val="16"/>
        </w:rPr>
        <w:t>shares of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563C1"/>
                  <w:sz w:val="20"/>
                  <w:u w:val="single"/>
                </w:rPr>
                <w:t>Special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563C1"/>
                  <w:sz w:val="20"/>
                  <w:u w:val="single"/>
                </w:rPr>
                <w:t>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_loss">
              <w:r>
                <w:rPr>
                  <w:rStyle w:val="InternetLink"/>
                  <w:rFonts w:ascii="Times New Roman" w:hAnsi="Times New Roman"/>
                  <w:color w:val="0563C1"/>
                  <w:sz w:val="20"/>
                  <w:u w:val="single"/>
                </w:rPr>
                <w:t>Condensed Consolidated Statements of Operations and Comprehensive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references in this Quarterly Report on Form 10-Q to the “Company,” “Sight Sciences,” “we,” “us” and “our” refer to Sight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for the fiscal period ended March 31, 2025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successfully protect reimbursement for our Surgical Glaucoma products and establish sufficient reimbursement for our Dry Eye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manage and grow our business by maintaining and expanding our sales to existing customers or introducing our products to new customers;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estimates of our total addressable market, future revenue, expenses, margins, capital requirements, and our needs for additional financing;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compliance with, and retain favorable payment terms under our current secured credit facility;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geopolitical tensions, including with respect to trade policies, government regulations and tariffs, and the related impacts on the cost of our products and gross margins;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evaluation of additional manufacturing locations, and the related costs and impacts on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claims of infringement;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protect and scale our intellectual property portfolio;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financing in future offerings;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(the "JOBS Act") or a smaller reporting company under applicable Securities and Exchange Commission ("SEC") rules;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jc w:val="left"/>
        <w:rPr>
          <w:rFonts w:ascii="Times New Roman" w:hAnsi="Times New Roman"/>
          <w:color w:val="000000"/>
          <w:sz w:val="20"/>
        </w:rPr>
      </w:pPr>
      <w:r>
        <w:rPr>
          <w:rFonts w:ascii="Times New Roman" w:hAnsi="Times New Roman"/>
          <w:color w:val="000000"/>
          <w:sz w:val="20"/>
        </w:rPr>
        <w:t xml:space="preserve">Actual events or results may differ from those expressed in or implied by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outcomes of the events described in these forward-looking statements are subject to risks, uncertainties, assumptions, and other factors described in the section titled “Risk Factors” in our Annual Report 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10-K for the year ended December 31, 2024 filed with the SEC on March 8, 2025 (our "Annual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1. FINANCIAL INFORMATION</w:t>
      </w:r>
    </w:p>
    <w:p>
      <w:pPr>
        <w:pStyle w:val="TextBody"/>
        <w:bidi w:val="0"/>
        <w:jc w:val="left"/>
        <w:rPr/>
      </w:pPr>
      <w:r>
        <w:rPr/>
        <w:t> </w:t>
      </w:r>
    </w:p>
    <w:p>
      <w:pPr>
        <w:pStyle w:val="TextBody"/>
        <w:bidi w:val="0"/>
        <w:jc w:val="left"/>
        <w:rPr>
          <w:rFonts w:ascii="Times New Roman" w:hAnsi="Times New Roman"/>
          <w:sz w:val="20"/>
        </w:rPr>
      </w:pPr>
      <w:bookmarkStart w:id="4" w:name="condensed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11"/>
        <w:gridCol w:w="841"/>
        <w:gridCol w:w="166"/>
        <w:gridCol w:w="146"/>
        <w:gridCol w:w="213"/>
        <w:gridCol w:w="853"/>
        <w:gridCol w:w="613"/>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$629 and $1,186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51,376,751 and 50,937,999 shares issued and outstanding as of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6" w:name="statements_of_operations_and_comp_loss"/>
      <w:bookmarkEnd w:id="6"/>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6"/>
        <w:gridCol w:w="146"/>
        <w:gridCol w:w="211"/>
        <w:gridCol w:w="1036"/>
        <w:gridCol w:w="166"/>
        <w:gridCol w:w="146"/>
        <w:gridCol w:w="211"/>
        <w:gridCol w:w="1036"/>
        <w:gridCol w:w="166"/>
        <w:gridCol w:w="5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51,290,665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49,486,263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7" w:name="stockholders_deficit"/>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37"/>
        <w:gridCol w:w="832"/>
        <w:gridCol w:w="212"/>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50,937,999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51,376,751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2"/>
        <w:gridCol w:w="146"/>
        <w:gridCol w:w="146"/>
        <w:gridCol w:w="1036"/>
        <w:gridCol w:w="146"/>
        <w:gridCol w:w="146"/>
        <w:gridCol w:w="261"/>
        <w:gridCol w:w="430"/>
        <w:gridCol w:w="146"/>
        <w:gridCol w:w="146"/>
        <w:gridCol w:w="211"/>
        <w:gridCol w:w="781"/>
        <w:gridCol w:w="166"/>
        <w:gridCol w:w="146"/>
        <w:gridCol w:w="211"/>
        <w:gridCol w:w="841"/>
        <w:gridCol w:w="166"/>
        <w:gridCol w:w="146"/>
        <w:gridCol w:w="227"/>
        <w:gridCol w:w="843"/>
        <w:gridCol w:w="212"/>
      </w:tblGrid>
      <w:tr>
        <w:trPr/>
        <w:tc>
          <w:tcPr>
            <w:tcW w:w="3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49,131,363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49,565,200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excess and obsolete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 from Hercules Loan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Prior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 of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upon execution of Hercules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 Company and Nature of Business</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portfolio aligns with its two reportable operating segments: Surgical Glaucoma and Dry Eye. The products for the Surgical Glaucoma segment include the OMNI® Surgical System ("OMNI"), which is an implant-free, handheld, single-use, therapeutic technology that enables ophthalmic surgeons to perform a comprehensive procedure (i) indicated in the United States to reduce intraocular pressure in adult patients with primary open-angle glaucoma, and (ii) CE Marked for the catheterization and transluminal viscodilation of Schlemm’s canal and cutting of the trabecular meshwork to reduce intraocular pressure in adult patients with open-angle glaucoma; and the SION® Surgical Instrument ("SION"), a bladeless, manually operated device used in ophthalmic surgical procedures to excise trabecular meshwork. The product portfolio for the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Liquidity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losses and negative cash flows from operations. As of March 31, 2025, the Company had an accumulated deficit of $360.5 million and recorded a net loss of $14.2 million for the three months then ended and expects to incur additional losses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its cash and cash equivalents balance, and other existing sources of liquidity will satisfy its working capital and capital resource requirements for at least 12 months from the date of issuance of its consolidated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If the Company is unable to improve its financial performance, or to secure additional funding when desired, it may need to delay the development of its products, reduce research and development activities, modify or abandon planned future expenditures, or reduce operating costs. Any of these actions could harm the Company’s business, requiring it to change its business strategy, scale back its operations, or limit its ability to achieve its strategic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accompanying notes thereto are unaudited and have been prepared in accordance with accounting principles generally accepted in the United States of America ("US GAAP") applicable to interim periods and pursuant to the instructions to Form 10-Q and Article 10 of Regulation S-X. The Company’s condensed consolidated financial statements include the accounts of the Company and its wholly owned subsidiaries, Sight Sciences UK, Ltd and Sight Sciences GmbH.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presentation of the Company's financial information contained herein. The condensed consolidated balance sheet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December 31, 2024 is derived from the Company's consolidated audited financial statements as of that date. These interim condensed consolidated financial statements do not include all disclosures required by US GAAP and should be read in conjunction with the Company's audited consolidated financial statements and the accompanying notes thereto for the fiscal year ended December 31, 2024, which are contained in the Annual Report. The Company's results of operations for the three months ended March 31, 2025 are not necessarily indicative of the results to be expected for the year ending December 31, 2025 or for any other interim period.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the unaudited condensed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 to the allowance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 assessment of current and anticipated future macroeconomic conditions, authoritative accounting guidance, and other factors management believes to be reasonable, and makes adjustments when facts and circumstances dictate. These estimates are based on information available as of the date of the financial statements. To the extent there are differences between these estimates and actual results it could result in a material effect on the Company’s financial condition, results of operations and liquidity.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Recently Adopted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During the three-month period ended March 31, 2025, there were no significant Accounting Standard Updates ("ASUs") issued that were adopted. </w:t>
      </w:r>
    </w:p>
    <w:p>
      <w:pPr>
        <w:pStyle w:val="TextBody"/>
        <w:bidi w:val="0"/>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is currently evaluating the impact of adopting this ASU on its related disclosures in the consolidated financial statements.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w:t>
      </w:r>
      <w:r>
        <w:rPr>
          <w:rFonts w:ascii="Times New Roman" w:hAnsi="Times New Roman"/>
          <w:color w:val="000000"/>
          <w:sz w:val="20"/>
        </w:rPr>
        <w:t xml:space="preserve">. The ASU requires additional disclosure in the notes to the consolidated financial statements about certain expenses such as purchases of inventory, employee compensation, depreciation, intangible asset amortization, and other expenses which are presented on the face of the income statement within continuing operations. This ASU is effective for annual periods beginning after December 15, 2026, and interim periods within annual periods beginning after December 15, 2027, with early adoption permitted. The Company is currently evaluating the impact this new standard will have on the related disclosures in the consolidated financial statements.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March 31, 2025, there are no additional ASUs issued and not yet adopted that are expected to have a material impact on the Company's financial statements and related disclosures.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Company's cash and cash equivalents included Level 1 investments in U.S. treasury securities and money market funds. The Company had investments in money market funds of $29.4 million and $6.4 million as of March 31, 2025 and December 31, 2024, respectively. In addition, the Company had investments in U.S. treasury securities of $72.7 and $106.5 million as of March 31, 2025 and December 31, 2024, respectively. These U.S. treasury securities are classified as held-to-maturity and all have been purchased with original maturities of 90 days or less. Held-to-maturity debt securities are recorded at amortized cost in the financial statements. </w:t>
      </w:r>
    </w:p>
    <w:tbl>
      <w:tblPr>
        <w:tblW w:w="8834" w:type="dxa"/>
        <w:jc w:val="left"/>
        <w:tblInd w:w="0" w:type="dxa"/>
        <w:tblLayout w:type="fixed"/>
        <w:tblCellMar>
          <w:top w:w="28" w:type="dxa"/>
          <w:left w:w="28" w:type="dxa"/>
          <w:bottom w:w="28" w:type="dxa"/>
          <w:right w:w="28" w:type="dxa"/>
        </w:tblCellMar>
      </w:tblPr>
      <w:tblGrid>
        <w:gridCol w:w="1951"/>
        <w:gridCol w:w="146"/>
        <w:gridCol w:w="296"/>
        <w:gridCol w:w="949"/>
        <w:gridCol w:w="146"/>
        <w:gridCol w:w="146"/>
        <w:gridCol w:w="675"/>
        <w:gridCol w:w="675"/>
        <w:gridCol w:w="146"/>
        <w:gridCol w:w="146"/>
        <w:gridCol w:w="522"/>
        <w:gridCol w:w="858"/>
        <w:gridCol w:w="146"/>
        <w:gridCol w:w="146"/>
        <w:gridCol w:w="403"/>
        <w:gridCol w:w="1292"/>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65"/>
        <w:gridCol w:w="980"/>
        <w:gridCol w:w="146"/>
        <w:gridCol w:w="146"/>
        <w:gridCol w:w="539"/>
        <w:gridCol w:w="811"/>
        <w:gridCol w:w="146"/>
        <w:gridCol w:w="146"/>
        <w:gridCol w:w="522"/>
        <w:gridCol w:w="858"/>
        <w:gridCol w:w="146"/>
        <w:gridCol w:w="146"/>
        <w:gridCol w:w="360"/>
        <w:gridCol w:w="133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March 31, 2025 and December 31, 2024, total debt of $39.6 million and $39.4 million is reported at amortized cost, respectively. This outstanding debt is classified as Level 2 as it is not actively traded. The amortized cost of the outstanding debt approximates the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measures the fair value of the unissued common stock warrants that may be issued pursuant to the Hercules Loan Agreement (as defined in Note 5, Debt) using the Black-Scholes option pricing method. These warrants are classified as Level 3 liabilities. As of March 31, 2025 and December 31, 2024, respectively the fair value of these warrants was less than $0.1 million. These warrants are remeasured at each reporting date following execution of the Hercules Loan Agreement. See Note 5, Debt, and Note 7, Stockholders' Equity, for additional information regarding the common stock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as of March 31, 2025 and December 31, 2024 do not include any assets or liabilities that are measured at fair value on a nonrecurring basis.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tbl>
      <w:tblPr>
        <w:tblW w:w="6570" w:type="dxa"/>
        <w:jc w:val="left"/>
        <w:tblInd w:w="0" w:type="dxa"/>
        <w:tblLayout w:type="fixed"/>
        <w:tblCellMar>
          <w:top w:w="28" w:type="dxa"/>
          <w:left w:w="28" w:type="dxa"/>
          <w:bottom w:w="28" w:type="dxa"/>
          <w:right w:w="28" w:type="dxa"/>
        </w:tblCellMar>
      </w:tblPr>
      <w:tblGrid>
        <w:gridCol w:w="2911"/>
        <w:gridCol w:w="146"/>
        <w:gridCol w:w="319"/>
        <w:gridCol w:w="956"/>
        <w:gridCol w:w="166"/>
        <w:gridCol w:w="146"/>
        <w:gridCol w:w="379"/>
        <w:gridCol w:w="113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$0.1 million for both the three months ended March 31, 2025 and 2024, respectively.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tbl>
      <w:tblPr>
        <w:tblW w:w="7300" w:type="dxa"/>
        <w:jc w:val="left"/>
        <w:tblInd w:w="0" w:type="dxa"/>
        <w:tblLayout w:type="fixed"/>
        <w:tblCellMar>
          <w:top w:w="28" w:type="dxa"/>
          <w:left w:w="28" w:type="dxa"/>
          <w:bottom w:w="28" w:type="dxa"/>
          <w:right w:w="28" w:type="dxa"/>
        </w:tblCellMar>
      </w:tblPr>
      <w:tblGrid>
        <w:gridCol w:w="3681"/>
        <w:gridCol w:w="146"/>
        <w:gridCol w:w="344"/>
        <w:gridCol w:w="931"/>
        <w:gridCol w:w="146"/>
        <w:gridCol w:w="146"/>
        <w:gridCol w:w="407"/>
        <w:gridCol w:w="1108"/>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tbl>
      <w:tblPr>
        <w:tblW w:w="6785" w:type="dxa"/>
        <w:jc w:val="left"/>
        <w:tblInd w:w="0" w:type="dxa"/>
        <w:tblLayout w:type="fixed"/>
        <w:tblCellMar>
          <w:top w:w="28" w:type="dxa"/>
          <w:left w:w="28" w:type="dxa"/>
          <w:bottom w:w="28" w:type="dxa"/>
          <w:right w:w="28" w:type="dxa"/>
        </w:tblCellMar>
      </w:tblPr>
      <w:tblGrid>
        <w:gridCol w:w="3166"/>
        <w:gridCol w:w="146"/>
        <w:gridCol w:w="426"/>
        <w:gridCol w:w="849"/>
        <w:gridCol w:w="146"/>
        <w:gridCol w:w="146"/>
        <w:gridCol w:w="504"/>
        <w:gridCol w:w="101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entered into a Loan and Security Agreement (the "Hercules Loan Agreement") with Hercules Capital, Inc ("Hercules") and certain of its affiliates (collectively with Hercules, the "Lenders"), which provides for a maximum $65.0 million credit facility. An initial tranche of $35.0 million (the “Initial Loan”) was funded under the Hercules Loan Agreement on January 22, 2024, which was used to discharge the Company's indebtedness under its prior secured credit facility (the "Prior Loan Agreement") with its prior lenders (the "Prior Lenders"). On December 10, 2024, the Company consummated the drawdown of the $5.0 million Tranche I(b) Term Loan Advance (the "Tranche I(b) Loan") under the Hercules Loan Agreement. Upon consummation of the Tranche I(b) Loan,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Initial Loan and the Tranche 1(b) Loan, the Hercules Loan Agreement provides additional tranches available to the Company (the “Tranche Loans,” and together with the Initial Loan and the Tranche I(b) Loan, the “Term Loans"). Tranche 2 consists of $10.0 million available to draw through September 15, 2025,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upon the achievement of certain performance milestones prior to June 30, 2025. The Company does not currently anticipate achieving these milestones prior to the performance deadline. Tranche 3 consists of $15.0 million available to draw through the interest 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provides for a maturity date of July 1, 2028, with an interest only period running for the first 30 months of the agreement term, extendable for an additional six months for a total of 36 months upon the achievement of certain milestones. The Term Loans accrue interest at a floating annual rate equal to the greater of 10.35% or the Wall Street Journal prime rate plus 2.35%, with the interest rate equal to 10.35% at March 31, 2025. The final payment fee is set at 5.95% of the funded balance, which is recognized as a debt discount and is being accreted into the amortization of debt issuance costs using the effective interest rate method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Loan, the Company issued warrants to the Lenders to purchase up to an aggregate of 135,686 shares of its common stock at an exercise price of $5.159 per share, which were recorded and classified as equity. On December 10, 2024, upon the funding of the Tranche I(b) Loan, the Company issued additional warrants to the Lenders to purchase 26,095 shares of its common stock at an exercise price of $3.83 per share. Each warrant is exercisable for a period of seven years from the date of issuance. If the additional Term Loans are funded, the Company will be obligated to issue to the Lenders additional warrants to purchase common stock in an amount equal to 2.0% of the funded balance of each tranche loan under the Hercules Loan Agreement, divided by the exercise price on the date the Company draws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March 31, 2025.</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the Company is required to use commercially reasonable efforts to grant to the Lenders the option to invest up to $3.0 million in the Company’s next round of equity financing, if any, that is broadly marketed to multiple investors on the same terms, conditions and pricing offered to investors in such subsequent equity financing.</w:t>
      </w:r>
    </w:p>
    <w:p>
      <w:pPr>
        <w:pStyle w:val="TextBody"/>
        <w:bidi w:val="0"/>
        <w:jc w:val="left"/>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Long-term and short-term debt as of March 31, 2025 and December 31, 2024, respectively, was as follows (in thousands):</w:t>
      </w:r>
    </w:p>
    <w:tbl>
      <w:tblPr>
        <w:tblW w:w="7750" w:type="dxa"/>
        <w:jc w:val="left"/>
        <w:tblInd w:w="0" w:type="dxa"/>
        <w:tblLayout w:type="fixed"/>
        <w:tblCellMar>
          <w:top w:w="28" w:type="dxa"/>
          <w:left w:w="28" w:type="dxa"/>
          <w:bottom w:w="28" w:type="dxa"/>
          <w:right w:w="28" w:type="dxa"/>
        </w:tblCellMar>
      </w:tblPr>
      <w:tblGrid>
        <w:gridCol w:w="4291"/>
        <w:gridCol w:w="146"/>
        <w:gridCol w:w="303"/>
        <w:gridCol w:w="972"/>
        <w:gridCol w:w="166"/>
        <w:gridCol w:w="146"/>
        <w:gridCol w:w="360"/>
        <w:gridCol w:w="1155"/>
        <w:gridCol w:w="2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repayment schedule relating to the Term Loans as of March 31, 2025, is as follows (in thousands):</w:t>
      </w:r>
    </w:p>
    <w:tbl>
      <w:tblPr>
        <w:tblW w:w="3585" w:type="dxa"/>
        <w:jc w:val="left"/>
        <w:tblInd w:w="0" w:type="dxa"/>
        <w:tblLayout w:type="fixed"/>
        <w:tblCellMar>
          <w:top w:w="28" w:type="dxa"/>
          <w:left w:w="28" w:type="dxa"/>
          <w:bottom w:w="28" w:type="dxa"/>
          <w:right w:w="28" w:type="dxa"/>
        </w:tblCellMar>
      </w:tblPr>
      <w:tblGrid>
        <w:gridCol w:w="2261"/>
        <w:gridCol w:w="146"/>
        <w:gridCol w:w="211"/>
        <w:gridCol w:w="676"/>
        <w:gridCol w:w="291"/>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Final fee due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Obligations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various operating leases, which include facility leases and equipment leases. Operating leases are recorded on the consolidated balance sheets as both a right-of-use asset ("ROU asset") and lease liability.</w:t>
      </w:r>
      <w:r>
        <w:rPr>
          <w:rFonts w:ascii="Times New Roman" w:hAnsi="Times New Roman"/>
          <w:color w:val="231F20"/>
          <w:sz w:val="20"/>
        </w:rPr>
        <w:t xml:space="preserve"> which are recognized based on the present value of the future minimum lease payments over the lease term. </w:t>
      </w:r>
      <w:r>
        <w:rPr>
          <w:rFonts w:ascii="Times New Roman" w:hAnsi="Times New Roman"/>
          <w:color w:val="000000"/>
          <w:sz w:val="20"/>
        </w:rPr>
        <w:t>In determining the present value of these lease payments, the Company uses its incremental borrowing rate ("IBR") based on the information available at the lease commencement date if the rate implicit in the lease is not readily determinable. The Company</w:t>
      </w:r>
      <w:r>
        <w:rPr>
          <w:rFonts w:ascii="Times New Roman" w:hAnsi="Times New Roman"/>
          <w:color w:val="231F20"/>
          <w:sz w:val="20"/>
        </w:rPr>
        <w:t>’s IBR represents the interest rate that the Company would expect to incur at lease commencement to borrow an amount equal to the lease payments on a collateralized basis with similar terms and payments, in an economic environment where the leased asset is located.</w:t>
      </w:r>
      <w:r>
        <w:rPr>
          <w:rFonts w:ascii="Times New Roman" w:hAnsi="Times New Roman"/>
          <w:color w:val="000000"/>
          <w:sz w:val="20"/>
        </w:rPr>
        <w:t xml:space="preserve"> In determining the lease term, the Company includes all renewal options that are reasonably probable to be executed.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its corporate headquarters in Menlo Park, California. The lease commenced in August 2021 and was originally for a term of 37 months from the commencement date. In December 2023, the Company entered into an amendment to the lease, extending the lease term an additional 26 months. Upon signing the amendment, the Company recorded an aggregate lease ROU asset and lease liability of $1.2 million. The lease ROU asset and corresponding lease liability were estimated using a weighted-average IBR of 11.40%. Total base rent for the amended 34 months under the amended lease agreement is approximately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rent expense on a straight-line basis over the noncancelable lease term. The Company’s rent expense was $0.1 million and $0.2 million for the three months ended March 31, 2025 and 2024, respectively. As of March 31, 2025, the weighted average remaining lease term for the leases was 2.0 years.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Operating lease expense and supplemental cash flow information related to operating leases for the three months ended March 31, 2025 and 2024 were as follows (in thousands):</w:t>
      </w:r>
    </w:p>
    <w:tbl>
      <w:tblPr>
        <w:tblW w:w="4680" w:type="dxa"/>
        <w:jc w:val="left"/>
        <w:tblInd w:w="0" w:type="dxa"/>
        <w:tblLayout w:type="fixed"/>
        <w:tblCellMar>
          <w:top w:w="28" w:type="dxa"/>
          <w:left w:w="28" w:type="dxa"/>
          <w:bottom w:w="28" w:type="dxa"/>
          <w:right w:w="28" w:type="dxa"/>
        </w:tblCellMar>
      </w:tblPr>
      <w:tblGrid>
        <w:gridCol w:w="2551"/>
        <w:gridCol w:w="146"/>
        <w:gridCol w:w="223"/>
        <w:gridCol w:w="446"/>
        <w:gridCol w:w="154"/>
        <w:gridCol w:w="154"/>
        <w:gridCol w:w="223"/>
        <w:gridCol w:w="446"/>
        <w:gridCol w:w="14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Aggregate future minimum lease payments as of March 31, 2025, under these noncancelable operating leases were as follows (in thousands):</w:t>
      </w:r>
    </w:p>
    <w:tbl>
      <w:tblPr>
        <w:tblW w:w="5814" w:type="dxa"/>
        <w:jc w:val="left"/>
        <w:tblInd w:w="0" w:type="dxa"/>
        <w:tblLayout w:type="fixed"/>
        <w:tblCellMar>
          <w:top w:w="28" w:type="dxa"/>
          <w:left w:w="28" w:type="dxa"/>
          <w:bottom w:w="28" w:type="dxa"/>
          <w:right w:w="28" w:type="dxa"/>
        </w:tblCellMar>
      </w:tblPr>
      <w:tblGrid>
        <w:gridCol w:w="4036"/>
        <w:gridCol w:w="146"/>
        <w:gridCol w:w="389"/>
        <w:gridCol w:w="886"/>
        <w:gridCol w:w="16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U.S. Patent Office.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heard oral arguments on the parties’ post-trial briefings at the conclusion of which, the Court ordered the parties to engage in non-binding mediation. In March 2025, the Company and Alcon informed the Court that the dispute had not been resolved through mediation and asked the Court to rule on the parties’ post-trial motions and enter a judgement. The judgement has not yet been entered and will be subject to appeal. The Company is presently unable to predict the outcome of this lawsuit or to reasonably estimate the potential financial impact of the lawsuit on the Company,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contingencies are considered probable and the amounts can be reasonably estimated. Significant judgment is required in both the determination of probability of loss and the determination as to whether the amount of loss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as of March 31, 2025 and December 31, 2024, the Company was not a party to any legal proceedings, regulatory matters, or other disputes or claims which, if determined adversely, would, individually or taken together, have a material adverse effect on the Company’s business, financial condition, operating results, liquidity, or future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March 31, 2025 and December 31, 2024.</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March 31, 2025, no dividends have been declared. Each share of common stock is entitled to one vote.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At March 31, 2025 and December 31, 2024, the Company had reserved common stock for future issuances as follows:</w:t>
      </w:r>
    </w:p>
    <w:tbl>
      <w:tblPr>
        <w:tblW w:w="8994"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1036"/>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1,631,076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16,368,584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22, 2024, in conjunction with the funding of the Initial Loan under the Hercules Loan Agreement, the Company issued common stock warrants to the Lenders to purchase up to an aggregate of 135,686 shares of its common stock at an exercise price of $5.159 per share. On December 10, 2024, upon the funding of the Tranche I(b) Loan, the Company issued additional warrants to the Lenders to purchase 26,095 shares of its common stock at an exercise price of $3.83 per share. Each warrant is exercisable for up to seven years from the date of issuance. The warrants are classified as equity. During the year ended December 31, 2024, the fair value of the issued warrants recorded was $0.7 million, which was calculated using the Black-Scholes option-pricing model. These warrants were recorded at fair value upon their issuance in additional paid-in capital in the consolidated balance sheets. These warrants are not remeasured after their respective issuance 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loan, divided by the exercise price on the date the Company draws funds under such tranche loan, which is referred to as the issuance date. The exercise price will be calculated using the five-day volume-weighted average stock price as of the issuance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unissued warrants do not meet the requirements for classification as equity, and are recorded as liabilities in other noncurrent liabilities in the consolidated financial statements. The fair value of the unissued warrants was initially recorded upon the funding of the Hercules Loan Agreement. As of March 31, 2025 and December 31, 2024, respectively, the fair value of the unissued warrants recorded was less than $0.1 million calculated using the Black-Scholes option-pricing model. The unissued warrants are remeasured at each reporting date after the funding of the Initial Loan.</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Note 8. Equity Incentive Plans</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2011 Stock Option Plan and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2011, the Company approved the 2011 Stock Option Plan (the “2011 Plan”) that provided for the grant of stock options to employees and nonemployees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units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Stock options granted to new hires generally vest over a four-year period, with 25% of the shares vesting on the first anniversary of the grant date and the remaining shares vesting in 36 equal monthly installments thereafter. Stock options granted as merit awards generally vest in 48 equal monthly installments following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share awards that entitle the holder to receive shares of common stock upon vesting and settlement of the awards. RSUs granted generally vest over a four-year period with straight-line vesting in equal amounts, either in annual or quarterly installments.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2,546,899 and 2,456,568 shares on January 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and December 31, 2024, there were 6,486,400 shares and 5,931,302 shares, respectively, of common stock available for issuance under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2011 Plan was superseded by the 2021 Plan at the time of the initial public offering of the Company's common stock, which closed on July 15, 2021, and no further grants have been made under the 2011 Plan from the date the 2021 Plan became effective.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under the 2021 Plan during the periods presented: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82"/>
        <w:gridCol w:w="146"/>
        <w:gridCol w:w="146"/>
        <w:gridCol w:w="931"/>
        <w:gridCol w:w="166"/>
        <w:gridCol w:w="146"/>
        <w:gridCol w:w="550"/>
        <w:gridCol w:w="1496"/>
        <w:gridCol w:w="146"/>
        <w:gridCol w:w="146"/>
        <w:gridCol w:w="423"/>
        <w:gridCol w:w="1048"/>
        <w:gridCol w:w="146"/>
        <w:gridCol w:w="146"/>
        <w:gridCol w:w="374"/>
        <w:gridCol w:w="1019"/>
        <w:gridCol w:w="394"/>
      </w:tblGrid>
      <w:tr>
        <w:trPr/>
        <w:tc>
          <w:tcPr>
            <w:tcW w:w="2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Intrinsic Value </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and 2024, the Company recorded stock-based compensation expense of $1.6 million and $1.9 million related to stock option awards, respectively. The weighted-average grant-date fair values of stock options granted during the three months ended March 31, 2024 was $2.71. The Company did not grant any stock options during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stock options exercised during the three months ended March 31, 2025 was less than $0.1 million. The aggregate intrinsic value was calculated as the difference between the exercise prices of the underlying stock options and the estimated fair value of the common stock on the date of exercise. As of March 31, 2025, the unrecognized stock-based compensation expense relating to unvested stock options was $3.9 million, which is expected to be recognized over a weighted-average period of approximately 1.1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Determination of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estimated the grant date fair value of stock options using the Black-Scholes option-pricing model, which requires the use of highly subjective and complex valuation assumptions to determine the fair value of stock-based awards, including the option’s expected term, the expected volatility of the underlying stock, the risk-free interest rate, and the expected dividend yield. For purposes of the Black-Scholes valuation model, the Company used the simplified method for determining the expected term of the granted stock options since the Company does not have adequate historical data to utilize in calculating the expected term. The grant date fair value of stock options granted was calculated using the following weighted average assumptions: </w:t>
      </w:r>
    </w:p>
    <w:tbl>
      <w:tblPr>
        <w:tblW w:w="4072" w:type="dxa"/>
        <w:jc w:val="left"/>
        <w:tblInd w:w="0" w:type="dxa"/>
        <w:tblLayout w:type="fixed"/>
        <w:tblCellMar>
          <w:top w:w="28" w:type="dxa"/>
          <w:left w:w="28" w:type="dxa"/>
          <w:bottom w:w="28" w:type="dxa"/>
          <w:right w:w="28" w:type="dxa"/>
        </w:tblCellMar>
      </w:tblPr>
      <w:tblGrid>
        <w:gridCol w:w="2086"/>
        <w:gridCol w:w="146"/>
        <w:gridCol w:w="570"/>
        <w:gridCol w:w="178"/>
        <w:gridCol w:w="90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RSU activity under the 2021 Plan during the periods presented:</w:t>
      </w:r>
    </w:p>
    <w:tbl>
      <w:tblPr>
        <w:tblW w:w="8737" w:type="dxa"/>
        <w:jc w:val="left"/>
        <w:tblInd w:w="0" w:type="dxa"/>
        <w:tblLayout w:type="fixed"/>
        <w:tblCellMar>
          <w:top w:w="28" w:type="dxa"/>
          <w:left w:w="28" w:type="dxa"/>
          <w:bottom w:w="28" w:type="dxa"/>
          <w:right w:w="28" w:type="dxa"/>
        </w:tblCellMar>
      </w:tblPr>
      <w:tblGrid>
        <w:gridCol w:w="2866"/>
        <w:gridCol w:w="146"/>
        <w:gridCol w:w="146"/>
        <w:gridCol w:w="931"/>
        <w:gridCol w:w="166"/>
        <w:gridCol w:w="146"/>
        <w:gridCol w:w="1228"/>
        <w:gridCol w:w="2717"/>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three months ended March 31, 2025 and 2024, the Company recorded stock-based compensation expense of $2.5 million and $2.3 million related to the RSUs, respectively. As of March 31, 2025, the unrecognized stock-based compensation expense relating to RSUs was $22.5 million, which is expected to be recognized over a weighted-average period of approximately 2.8 years. </w:t>
      </w:r>
    </w:p>
    <w:p>
      <w:pPr>
        <w:pStyle w:val="TextBody"/>
        <w:bidi w:val="0"/>
        <w:spacing w:before="4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approved the 2021 Employee Stock Purchase Plan (the “ESPP”). The ESPP permits participants to purchase shares of common stock at a discount through payroll deductions of up to a specified percentage of their eligible compensation. Shares of common stock are offered during two offering periods annually, each running for six months, with the first offering period typically beginning in the second quarter, and the second offering period typically beginning in the fourth quarter. The purchase of shares for participants in the ESPP occurs at the conclusion of each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509,379 and 491,313 shares on January 1, 2025 and 2024,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2025 and December 31, 2024, there were 2,140,455 and 1,631,076 shares of common stock available for issuance under the ESPP, respectively.</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2025, there were no purchases made under the ESPP. As of March 31, 2025, the Company has collected payroll withholdings of $0.4 million in the current offering period for the purchase of shares under the ESPP. The Company recorded stock-based compensation expense of $0.1 million related to the ESPP for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shares issuable under the ESPP was calculated using the Black-Scholes valuation model using the following assumptions:</w:t>
      </w:r>
    </w:p>
    <w:p>
      <w:pPr>
        <w:pStyle w:val="TextBody"/>
        <w:bidi w:val="0"/>
        <w:spacing w:before="120" w:after="283"/>
        <w:jc w:val="left"/>
        <w:rPr/>
      </w:pPr>
      <w:r>
        <w:rPr/>
        <w:t> </w:t>
      </w:r>
    </w:p>
    <w:tbl>
      <w:tblPr>
        <w:tblW w:w="4146" w:type="dxa"/>
        <w:jc w:val="left"/>
        <w:tblInd w:w="0" w:type="dxa"/>
        <w:tblLayout w:type="fixed"/>
        <w:tblCellMar>
          <w:top w:w="28" w:type="dxa"/>
          <w:left w:w="28" w:type="dxa"/>
          <w:bottom w:w="28" w:type="dxa"/>
          <w:right w:w="28" w:type="dxa"/>
        </w:tblCellMar>
      </w:tblPr>
      <w:tblGrid>
        <w:gridCol w:w="2086"/>
        <w:gridCol w:w="146"/>
        <w:gridCol w:w="736"/>
        <w:gridCol w:w="146"/>
        <w:gridCol w:w="84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tbl>
      <w:tblPr>
        <w:tblW w:w="6190"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14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Note 9.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three months ended March 31, 2025 and 2024, basic net loss per share is the same as diluted net loss per share as the inclusion of potentially dilutive shares would have been antidilutive if included in the calculation.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periods presented (in thousands, except share and per share data):</w:t>
      </w:r>
    </w:p>
    <w:tbl>
      <w:tblPr>
        <w:tblW w:w="7505" w:type="dxa"/>
        <w:jc w:val="left"/>
        <w:tblInd w:w="0" w:type="dxa"/>
        <w:tblLayout w:type="fixed"/>
        <w:tblCellMar>
          <w:top w:w="28" w:type="dxa"/>
          <w:left w:w="28" w:type="dxa"/>
          <w:bottom w:w="28" w:type="dxa"/>
          <w:right w:w="28" w:type="dxa"/>
        </w:tblCellMar>
      </w:tblPr>
      <w:tblGrid>
        <w:gridCol w:w="3996"/>
        <w:gridCol w:w="146"/>
        <w:gridCol w:w="211"/>
        <w:gridCol w:w="1036"/>
        <w:gridCol w:w="166"/>
        <w:gridCol w:w="146"/>
        <w:gridCol w:w="211"/>
        <w:gridCol w:w="1036"/>
        <w:gridCol w:w="166"/>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w:t>
              <w:br/>
              <w:t>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51,290,665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issued and outstanding securities were excluded from the computation of diluted net loss per share attributable to common stockholders for the period presented because including them would have been antidilutive as a result of the net loss position:</w:t>
      </w:r>
    </w:p>
    <w:tbl>
      <w:tblPr>
        <w:tblW w:w="4959" w:type="dxa"/>
        <w:jc w:val="left"/>
        <w:tblInd w:w="0" w:type="dxa"/>
        <w:tblLayout w:type="fixed"/>
        <w:tblCellMar>
          <w:top w:w="28" w:type="dxa"/>
          <w:left w:w="28" w:type="dxa"/>
          <w:bottom w:w="28" w:type="dxa"/>
          <w:right w:w="28" w:type="dxa"/>
        </w:tblCellMar>
      </w:tblPr>
      <w:tblGrid>
        <w:gridCol w:w="2071"/>
        <w:gridCol w:w="146"/>
        <w:gridCol w:w="146"/>
        <w:gridCol w:w="1036"/>
        <w:gridCol w:w="146"/>
        <w:gridCol w:w="146"/>
        <w:gridCol w:w="146"/>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4,737,879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5,079,498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10,521,036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9,953,063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Executive Officer, who is the Company’s Chief Operating Decision Maker (“CODM”), manages the business through two operating segments, consistent with how the CODM: (i) assesses operating performance on a regular basis, (ii) makes resource allocation decisions, and (iii) designates responsibilities of his direct reports. The Company’s operating segments, which also qualify as reportable segments include: (i) Surgical Glaucoma and (ii) Dry Eye. These segments are generally determined based on the decision-making structure and the grouping of similar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segment gross profit to assess the operating performance and make resource allocation decisions for each of its segments. Segment gross profit represents revenue reduced by cost of goods sold within each of the operating and reportable segments. The CODM reviews a monthly executive reporting package based on consolidated results of the Company when making decisions about allocating resources and assessing performance. The CODM evaluates actual segment performance to budget and forecast, including monthly sales performance, when allocating capital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intercompany transactions between segments that require elimination. The CODM does not review operating expenses separately for its segments, as the Company does not allocate operating expenses, with many operating costs shared between the segments, and therefore, this is not considered when allocating resources and assessing performance. The Company evaluated the monthly executive reporting package and did not identify any significant or other expenses for disclosure that are not already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reviewing and assessing segment performance and managing operations, management does not review segment assets. Substantially all of the Company’s revenue is generated from sales in the United States.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(in thousands):</w:t>
      </w:r>
    </w:p>
    <w:tbl>
      <w:tblPr>
        <w:tblW w:w="5785" w:type="dxa"/>
        <w:jc w:val="left"/>
        <w:tblInd w:w="0" w:type="dxa"/>
        <w:tblLayout w:type="fixed"/>
        <w:tblCellMar>
          <w:top w:w="28" w:type="dxa"/>
          <w:left w:w="28" w:type="dxa"/>
          <w:bottom w:w="28" w:type="dxa"/>
          <w:right w:w="28" w:type="dxa"/>
        </w:tblCellMar>
      </w:tblPr>
      <w:tblGrid>
        <w:gridCol w:w="2676"/>
        <w:gridCol w:w="146"/>
        <w:gridCol w:w="211"/>
        <w:gridCol w:w="736"/>
        <w:gridCol w:w="166"/>
        <w:gridCol w:w="146"/>
        <w:gridCol w:w="211"/>
        <w:gridCol w:w="736"/>
        <w:gridCol w:w="166"/>
        <w:gridCol w:w="5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and other financial information included in Part I, Item 1, “Financial Statements,” within this Quarterly Report and our audited consolidated financial statements and related notes included in Part II, Item 8,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comprehensively understanding disease physiology;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transformative technologies that are intended to preserve, protect and restore natural physiological functionality to diseased eyes;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120" w:after="283"/>
        <w:jc w:val="left"/>
        <w:rPr>
          <w:rFonts w:ascii="Times New Roman" w:hAnsi="Times New Roman"/>
          <w:sz w:val="20"/>
        </w:rPr>
      </w:pPr>
      <w:r>
        <w:rPr>
          <w:rFonts w:ascii="Times New Roman" w:hAnsi="Times New Roman"/>
          <w:color w:val="231F20"/>
          <w:sz w:val="20"/>
        </w:rPr>
        <w:t>O</w:t>
      </w:r>
      <w:r>
        <w:rPr>
          <w:rFonts w:ascii="Times New Roman" w:hAnsi="Times New Roman"/>
          <w:color w:val="000000"/>
          <w:sz w:val="20"/>
        </w:rPr>
        <w:t xml:space="preserve">ur initial product development has focused on the treatment of two of the world’s most prevalent and underserved eye diseases, glaucoma and dry eye disease (“DED”). We have commercialized products in each of our two reportable operating segments, Surgical Glaucoma and Dry Eye. Our Surgical Glaucoma revenue consists of sales of the OMNI® Surgical System ("OMNI") and the SION® Surgical Instrument ("SION"), while our Dry Eye revenue consists of sales of the TearCare® System ("TearCare"), and related components and accessories. Each product is primarily sold through a highly involved direct sales model that offers intensive education, training and customer service. We believe this model not only enables us to differentiate our products and company from competitors, but also expands our addressable market by educating ECPs, patients and other stakeholders on our products and evolving treatment paradigms. Outside of the U.S., we have established direct commercial operations in the United Kingdom and Germany. We also sell OMNI in several other countries in Europe through distributors. </w:t>
      </w:r>
    </w:p>
    <w:p>
      <w:pPr>
        <w:pStyle w:val="TextBody"/>
        <w:bidi w:val="0"/>
        <w:spacing w:before="120" w:after="283"/>
        <w:jc w:val="left"/>
        <w:rPr>
          <w:rFonts w:ascii="Times New Roman" w:hAnsi="Times New Roman"/>
          <w:sz w:val="20"/>
        </w:rPr>
      </w:pPr>
      <w:r>
        <w:rPr>
          <w:rFonts w:ascii="Times New Roman" w:hAnsi="Times New Roman"/>
          <w:color w:val="000000"/>
          <w:sz w:val="20"/>
        </w:rPr>
        <w:t>We sell OMNI and SION to facilities where ophthalmic surgeons perform outpatient procedures, such as ambulatory surgery centers ("ASCs") and hospital outpatient departments ("</w:t>
      </w:r>
      <w:r>
        <w:rPr>
          <w:rFonts w:ascii="Times New Roman" w:hAnsi="Times New Roman"/>
          <w:color w:val="231F20"/>
          <w:sz w:val="20"/>
        </w:rPr>
        <w:t>HOPDs"),</w:t>
      </w:r>
      <w:r>
        <w:rPr>
          <w:rFonts w:ascii="Times New Roman" w:hAnsi="Times New Roman"/>
          <w:color w:val="000000"/>
          <w:sz w:val="20"/>
        </w:rPr>
        <w:t xml:space="preserve"> which are typically reimbursed by Medicare or private payors for procedures using our products. We are focused on educating surgeons on the clinical benefits of earlier interventions with the comprehensive OMNI procedure, engagement efforts with accounts in light of reimbursement clarity, enhanced competitive counter selling, investments in targeted commercial resources, pseudophakic standalone market development, and the new product launch of an expansion of the OMNI family called OMNI 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TearCare to ECPs. Currently, there is no meaningful reimbursement coverage by Medicare or private payors for DED procedures, including TearCare, and patients typically pay out-of-pocket for TearCare, although some payors may agree to provide case-based coverage outside of a formal policy. We are continuing our controlled commercial launch and are focused on our comprehensive, clinical data-driven, long-term market development plan that aims to improve awareness and patient access to TearCare. In the fourth quarter of 2024, we instituted a price increase for our TearCare products to reflect the clinical value of our technology as part of our strategy to establish broader coverage with commercial payors and Medicare. This increase materially reduced customer demand for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TearCare in the fourth quarter of 2024 and the first quarter of 2025, and we believe it will continue to impact demand in the future until broader reimbursement coverage can be established.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dedicated meaningful resources to execute our commercial strategy, while also seeking to reduce operating expenses and improve cost efficiencies to better align our operating structure for long-term, profitable growth. The overall success of our approach to eyecare to date is evidenced by over 300,000 estimated uses of Surgical Glaucoma products and their predicates in over 2,100 hospitals and ASCs in the U.S. and Europe, and over 65,000 estimated uses of TearCare in over 1,500 eyecare facilities in the U.S. through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and do not currently intend to develop, any internal manufacturing capabilities or infrastructure, and rely on a limited number of third-party manufacturers, many of which are single source suppliers, for the components, accessories and materials that are utilized in the assembly of our products. We believe the manufacturing capacity provided by our suppliers will be adequate to meet our current and anticipated manufacturing needs across all of our product lines. We plan to continue to utilize third party contract manufacturers for our products and any related components.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Revenue in our Surgical Glaucoma segment for the three-months ended March 31, 2025 and 2024 was $17.1 million and $18.3 million, respectively, with gross margins for the same periods of 86.6% and 87.9%, respectively. Revenue in our Dry Eye segment for the three-months ended March 31, 2025 and 2024 was $0.4 million and $1.0 million, respectively, with gross margins for the same periods of 70.6% and 42.1%, respectively. For the three-months ended March 31, 2025, we generated approximately 93% of our revenue from customers in the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Surgical Glaucoma revenue was down for the three months ended March 31, 2025 compared to the same period in 2024 due to a number of factors, including reimbursement changes and increased competition from other MIGS devices. We expect to continue to experience near-term revenue challenges arising out of the restrictions on the performance of multiple MIGS procedures in combination with cataract surgery for Medicare patients in the jurisdictions administered by the five Medicare Administrative Contractors (“MACS”) that issued the local coverage determinations (“LCDs”) containing such restrictions, which restrictions became effective in the fourth quarter of 2024. We believe that these restrictions have led to a decrease in the number of overall MIGS devices used in procedures that are being performed, including procedures utilizing our OMNI technology. In addition, we expect our Surgical Glaucoma gross margins will be adversely impacted in 2025 by the tariffs imposed by the U.S. on China, since most of our OMNI and SION products are produced and assembled by a Taiwan-based manufacturer in China. However, there was no tariff impact for the three months ended March 31, 2025 due to our usage of inventory purchased prior to the implementation of these tariffs.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Dry Eye revenue was down for the three months ended March 31, 2025 compared to the same period in 2024 due to lower demand in the Dry Eye segment due to our increase in TearCare pricing which took effect on October 1, 2024, as part of our strategy to achieve reimbursed market access although there is no guarantee as to the timing of reimbursement decisions or the amount of reimbursement. 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 In addition, we expect our Dry Eye gross margins will be adversely impacted in 2025 by the tariffs imposed by the U.S. on China, since most of our TearCare SmartLids, are produced and assembled by a Taiwan-based manufacturer in China. However, there was no tariff impact for the three months ended March 31, 2025 due to our usage of inventory purchased prior to the implementation of these tariffs.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Dry Eye gross margin to improve over time as market access expands, although these improvements may be partially offset by the impact of tariffs.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(i) establishing OMNI and SION as standards of care of interventional glaucoma treatment among MIGS-trained surgeons, (ii) developing a standalone market segment with a focus on pseudophakic patients whose IOP is not well-controlled on two or more medications and who are at risk of disease progression, and (iii) increasing customer advocacy and pursuing coverage and equitable reimbursement for TearCare;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enhance and improve upon our existing product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existing international markets and expand into new international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us to create transformational and interventional technology innovation with new products, devices or drugs, in glaucoma and ocular surface disease or in new eye disease areas.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intend to continue to invest in product development, market access, sales and marketing, clinical studies, and education initiatives. Because of these and other factors, we expect to continue to incur net losses for at least the next several years, and we may seek additional debt and equity financing to fund our operations and planned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primary sources of capital have been private placements of redeemable convertible preferred stock, debt financing agreements, the sale of common stock in our initial public offering (“IPO”), and revenue from the sale of our products. As of March 31, 2025, we had cash and cash equivalents of $108.8 million, an accumulated deficit of $360.5 million and an outstanding term loan balance of $40.0 million (excluding debt discount and amortized debt issuance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are several important factors that have impacted and that will continue to impact our business, financial condition, and results of operations. Except as described in Part II, Item 1A, "Risk Factors," of this Quarterly Report, there have been no material changes to such factors from those described in our Annual Report under the heading "Factors Affecting Our Business and Results of Operations."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currently derive the majority of our U.S. revenue from the sale of our OMNI and SION products to ASCs and HOPDs and from the sale of our TearCare products to ECPs. To date, the revenue from our Surgical Glaucoma segment has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three months ended March 31, 2025 and 2024.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growth of our revenue is primarily driven by the demand for elective surgery and treatment utilizing our products in the United States and Europe, product reimbursement rates and coverage criteria, and competition. Such demand is often lower during summer months because of ECP vacations and in winter months because of fewer business or surgery days due to holidays and adverse weather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and tariffs on imported products and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calculate gross margin as gross profit divided by revenue. Our gross margin has been, and we believe it will continue to be, affected by a variety of factors, including differences in segment gross margins, changes in average selling prices, changes in product reimbursement rates, product sales mix, production and ordering volumes,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manufacturing costs, product yields, and headcount. In general, we expect our gross margins to increase over the long 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However, we expect our gross margins will be adversely impacted by the tariffs imposed by the U.S. on China for as long as the tariffs are in effect, since most of our OMNI and SION products, as well as our TearCare SmartLids, are produced and assembled by a Taiwan-based manufacturer in China. Our gross margins could fluctuate from quarter to quarter due to a number of factors, including variations in product mix, changes in product reimbursement rates, transitions to new suppliers, introduction of new products by us or our competitors, adoption of new manufacturing processes and technologies, and responses to evolving macroeconomic and geopolitical conditions, including the adoption of new or increased tariffs by the United States and China.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programs, develop new products, and improve our existing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SG&amp;A expenses as a percentage of revenue may vary over time depending on the level and timing of commercial expansion efforts. We expect our SG&amp;A expenses to increase for the next several years as we continue to invest in our commercial team and market access initiatives and launch new products.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120" w:after="283"/>
        <w:jc w:val="left"/>
        <w:rPr>
          <w:rFonts w:ascii="Times New Roman" w:hAnsi="Times New Roman"/>
          <w:sz w:val="20"/>
        </w:rPr>
      </w:pPr>
      <w:r>
        <w:rPr>
          <w:rFonts w:ascii="Times New Roman" w:hAnsi="Times New Roman"/>
          <w:color w:val="000000"/>
          <w:sz w:val="20"/>
        </w:rPr>
        <w:t>I</w:t>
      </w:r>
      <w:r>
        <w:rPr>
          <w:rFonts w:ascii="Times New Roman" w:hAnsi="Times New Roman"/>
          <w:color w:val="231F20"/>
          <w:sz w:val="20"/>
        </w:rPr>
        <w:t>nvestment income primarily consists of interest and amortization on held-to-maturity investments in U.S. treasury securities and money market funds.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incurred on our outstanding indebtedness and non-cash interest related to the accretion of debt discount and amortization of debt issuance costs associated with the Term Loans.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loss on debt extinguishment is associated with the termination and settlement of the Prior Loan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expense, net primarily consists of income and expenses that do not originate from our primary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Comparison of the Three Months Ended March 31, 2025 and 2024 (dollars in thousands)</w:t>
      </w:r>
    </w:p>
    <w:tbl>
      <w:tblPr>
        <w:tblW w:w="9009" w:type="dxa"/>
        <w:jc w:val="left"/>
        <w:tblInd w:w="0" w:type="dxa"/>
        <w:tblLayout w:type="fixed"/>
        <w:tblCellMar>
          <w:top w:w="28" w:type="dxa"/>
          <w:left w:w="28" w:type="dxa"/>
          <w:bottom w:w="28" w:type="dxa"/>
          <w:right w:w="28" w:type="dxa"/>
        </w:tblCellMar>
      </w:tblPr>
      <w:tblGrid>
        <w:gridCol w:w="3156"/>
        <w:gridCol w:w="146"/>
        <w:gridCol w:w="219"/>
        <w:gridCol w:w="764"/>
        <w:gridCol w:w="281"/>
        <w:gridCol w:w="151"/>
        <w:gridCol w:w="219"/>
        <w:gridCol w:w="764"/>
        <w:gridCol w:w="271"/>
        <w:gridCol w:w="146"/>
        <w:gridCol w:w="211"/>
        <w:gridCol w:w="631"/>
        <w:gridCol w:w="166"/>
        <w:gridCol w:w="146"/>
        <w:gridCol w:w="146"/>
        <w:gridCol w:w="781"/>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97.7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70.6</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(14,154</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Our Surgical Glaucoma revenue for the three months ended March 31, 2025 was $17.1 million, a decrease of $1.1 million, or 6.3%, from the prior year comparable period. The overall decrease in Surgical Glaucoma revenue was primarily attributable to a decrease in the number of OMNI units sold in the three months ended March 31, 2025. This decrease was primarily driven by a decrease in unit utilization per ordering facility, primarily due to the restrictions on the performance of multiple MIGS procedures in combination with cataract surgery for Medicare patients in the jurisdictions administered by the five MACS that issued the LCDs containing such restrictions, which restrictions became effective in the fourth quarter of 2024. Our Dry Eye revenue decreased 60.9% in the three months ended March 31, 2025 compared to the prior year comparable period primarily due to fewer new customers added in the period, which led to lower SmartHub revenue, and decreased SmartLids purchased after our price increase that went into effect on October 1, 2024. The primary reason that fewer new customers were added and fewer products were sold was due to our focus on the next phase of our commercial strategy for the Dry Eye segment, which involves achieving reimbursed market access for our TearCare products instead of adding customers through a cash-pay models.</w:t>
      </w:r>
    </w:p>
    <w:p>
      <w:pPr>
        <w:pStyle w:val="TextBody"/>
        <w:bidi w:val="0"/>
        <w:spacing w:before="12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$2.4 million during the three months ended March 31, 2025, a decrease of $0.4 million from $2.8 million in the prior year comparable period. Our Surgical Glaucoma cost of goods sold increased $0.1 million as compared to the prior year comparable period. The increase was primarily driven by product sales mix and higher overhead costs per unit. Our Dry Eye cost of goods sold decreased $0.5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million in the three months ended March 31, 2025 compared to the prior year comparable period, primarily driven by lower revenue resulting from the shift in pricing strategy, partially offset by higher average selling prices.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Gross Profit and Gross Margin. </w:t>
      </w:r>
      <w:r>
        <w:rPr>
          <w:rFonts w:ascii="Times New Roman" w:hAnsi="Times New Roman"/>
          <w:color w:val="000000"/>
          <w:sz w:val="20"/>
        </w:rPr>
        <w:t>Our total gross profit was $15.1 million in the three months ended March 31, 2025, a decrease of $1.4 million from the prior year comparable period. Our gross margin for the three months ended March 31, 2025 increased to 86.2%, from 85.5% in the prior year comparable period. Gross margin in our Surgical Glaucoma segment was 86.6% for the three months ended March 31, 2025, a decrease from 87.9% for the prior year comparable period, primarily due to product sales mix and higher overhead costs per unit. In our Dry Eye segment, gross margin increased from 42.1% for the three months ended March 31, 2024 to 70.6% for the three months ended March 31, 2025, primarily driven by the price increase for our TearCare SmartLids.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R&amp;D expenses were $4.4 million for the three months ended March 31, 2025, a decrease of $0.2 million from the prior year comparable period. The decrease was primarily driven by decreases of $0.5 million in consulting and outside services expenses and $0.4 million in general R&amp;D expenses, partially offset by increased spending in other areas.</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SG&amp;A expenses were $24.5 million for the three months ended March 31, 2025, a decrease of $2.0 million from the prior year comparable period. The decrease was primarily driven by a $2.9 million decrease in legal expenses, and a $0.6 million decrease in commissions and bonuses, partially offset by a $1.0 million increase in sales training and marketing costs, and a $0.6 million increase in payroll-related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$1.1 million for the three months ended March 31, 2025, a decrease of $0.5 million from the prior year comparable period, due to lower investment balances as well as lower yields on held-to-maturity investments during the current period.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decreased $0.1 million during the three months ended March 31, 2025 compared to the prior year comparable period, due to lower lending rates associated with the Hercules Loan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There was no loss on debt extinguishment for the three months ended March 31, 2025. We recognized loss on debt extinguishment of $2.0 million for the three months ended March 31, 2024, associated with refinancing the indebtedness under our prior secured credit facility (the “Prior Loan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Other expense, net was expense of $0.1 million for the three months ended March 31, 2025, compared to expense of less than $0.1 million for the prior year comparable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6971" w:type="dxa"/>
        <w:jc w:val="left"/>
        <w:tblInd w:w="0" w:type="dxa"/>
        <w:tblLayout w:type="fixed"/>
        <w:tblCellMar>
          <w:top w:w="28" w:type="dxa"/>
          <w:left w:w="28" w:type="dxa"/>
          <w:bottom w:w="28" w:type="dxa"/>
          <w:right w:w="28" w:type="dxa"/>
        </w:tblCellMar>
      </w:tblPr>
      <w:tblGrid>
        <w:gridCol w:w="4216"/>
        <w:gridCol w:w="146"/>
        <w:gridCol w:w="229"/>
        <w:gridCol w:w="801"/>
        <w:gridCol w:w="180"/>
        <w:gridCol w:w="158"/>
        <w:gridCol w:w="229"/>
        <w:gridCol w:w="80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Cash Used in Operating Activities. </w:t>
      </w:r>
      <w:r>
        <w:rPr>
          <w:rFonts w:ascii="Times New Roman" w:hAnsi="Times New Roman"/>
          <w:color w:val="000000"/>
          <w:sz w:val="20"/>
        </w:rPr>
        <w:t>Net cash used in operating activities for the three months ended March 31, 2025 was $11.6 million, consisting primarily of a net loss of $14.2 million, as well as a net change in our operating assets and liabilities of $2.2 million, partially offset by non-cash charges of $4.8 million. The net change in our operating assets and liabilities was primarily due to a $4.6 million decrease in accrued compensation, and a $0.6 million increase in prepaid expenses and other current assets, partially offset by a $1.3 million decrease in accounts receivable, a $1.1 million increase in accounts payable, and a $0.5 million decrease in our inventory balance. The non-cash charges primarily consisted of $4.2 million related to stock-based compensation expense, $0.2 million of accretion of debt discount and debt issuance costs, $0.1 million of depreciation and amortization, and $0.1 million of noncash operating lease expense.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2024 was $9.8 million, consisting primarily of a net loss of $16.3 million, partially offset by a net change in our operating assets and liabilities of $0.5 million and non-cash charges of $6.0 million. The net change in our operating assets and liabilities was primarily due to a $2.1 million increase in accrued and other current liabilities and a $1.0 million decrease in inventory. Other noncurrent liabilities decreased by $1.4 million, driven by the $2.1 million settlement of the final payment fee under the Prior Loan Agreement. In addition, we had a $1.4 million decrease in accounts receivable, while accrued compensation increased by $0.5 million. The non-cash charges primarily consisted of $4.5 million related to stock-based compensation, $1.0 million noncash loss on the extinguishment of debt, and $0.2 million of noncash operating lease expense.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Cash Used in Investing Activities. </w:t>
      </w:r>
      <w:r>
        <w:rPr>
          <w:rFonts w:ascii="Times New Roman" w:hAnsi="Times New Roman"/>
          <w:color w:val="000000"/>
          <w:sz w:val="20"/>
        </w:rPr>
        <w:t>Net cash used in investing activities for the three months ended March 31, 2025 and 2024 was $0.0 million and $0.1 million, respectively. The cash used in the prior year was for purchases of property and equipment.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Net Cash (Used in) Provided by Financing Activities. </w:t>
      </w:r>
      <w:r>
        <w:rPr>
          <w:rFonts w:ascii="Times New Roman" w:hAnsi="Times New Roman"/>
          <w:color w:val="000000"/>
          <w:sz w:val="20"/>
        </w:rPr>
        <w:t>Net cash provided by financing activities for the three months ended March 31, 2025 was less than $0.1 million, consisting primarily of proceeds from the exercise of stock options. Net cash used in financing activities for the three months ended March 31, 2024 was $0.9 million, consisting primarily of the costs associated with refinancing the indebtedness under the Prior Loan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date, our primary sources of capital have been private placements of redeemable convertible preferred stock, the sale of common stock in our IPO, debt financing arrangements, and revenue from the sale of our products.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(the “Initial Loan”) funded under the Hercules Loan Agreement to discharge our indebtedness under our prior secured credit facility (the “Prior Loan Agreement”) with our prior lenders (the “Prior Lenders”). In December 2024, we consummated the drawdown of the $5.0 million Tranche I(b) term loan advance (the "Tranche I(b) Loan") contemplated by the Hercules Loan Agreement. </w:t>
      </w:r>
    </w:p>
    <w:p>
      <w:pPr>
        <w:pStyle w:val="TextBody"/>
        <w:bidi w:val="0"/>
        <w:spacing w:before="120" w:after="283"/>
        <w:jc w:val="left"/>
        <w:rPr>
          <w:rFonts w:ascii="Times New Roman" w:hAnsi="Times New Roman"/>
          <w:sz w:val="20"/>
        </w:rPr>
      </w:pPr>
      <w:r>
        <w:rPr>
          <w:rFonts w:ascii="Times New Roman" w:hAnsi="Times New Roman"/>
          <w:color w:val="231F20"/>
          <w:sz w:val="20"/>
        </w:rPr>
        <w:t>As of March 31, 2025, we had cash and cash equivalents of $108.8 million, an accumulated deficit of $360.5 million, and $40.0 million outstanding under the Hercules Loan Agreement (</w:t>
      </w:r>
      <w:r>
        <w:rPr>
          <w:rFonts w:ascii="Times New Roman" w:hAnsi="Times New Roman"/>
          <w:color w:val="000000"/>
          <w:sz w:val="20"/>
        </w:rPr>
        <w:t xml:space="preserve">excluding </w:t>
      </w:r>
      <w:r>
        <w:rPr>
          <w:rFonts w:ascii="Times New Roman" w:hAnsi="Times New Roman"/>
          <w:color w:val="231F20"/>
          <w:sz w:val="20"/>
        </w:rPr>
        <w:t xml:space="preserve">debt discount </w:t>
      </w:r>
      <w:r>
        <w:rPr>
          <w:rFonts w:ascii="Times New Roman" w:hAnsi="Times New Roman"/>
          <w:color w:val="000000"/>
          <w:sz w:val="20"/>
        </w:rPr>
        <w:t>and amortized debt issuance costs</w:t>
      </w:r>
      <w:r>
        <w:rPr>
          <w:rFonts w:ascii="Times New Roman" w:hAnsi="Times New Roman"/>
          <w:color w:val="231F20"/>
          <w:sz w:val="20"/>
        </w:rPr>
        <w:t>). Based on our current planned operations, we expect our cash and cash equivalents and additional borrowings available under the Hercules Loan Agreement will enable us to fund our operations for at least the next 12 months and the foreseeable future.</w:t>
      </w:r>
    </w:p>
    <w:p>
      <w:pPr>
        <w:pStyle w:val="TextBody"/>
        <w:bidi w:val="0"/>
        <w:spacing w:before="120" w:after="120"/>
        <w:jc w:val="left"/>
        <w:rPr>
          <w:rFonts w:ascii="Times New Roman" w:hAnsi="Times New Roman"/>
          <w:sz w:val="20"/>
        </w:rPr>
      </w:pPr>
      <w:r>
        <w:rPr>
          <w:rFonts w:ascii="Times New Roman" w:hAnsi="Times New Roman"/>
          <w:color w:val="231F20"/>
          <w:sz w:val="20"/>
        </w:rPr>
        <w:t>Our historical cash outflows have primarily been associated with cash used for operating activities such as sales, marketing and commercialization of our products, research and development activities, regulatory and market access activities, intellectual property portfolio expansion and enforcement, capital expenditures and debt service costs. Our cash requirements will be significantly impacted by our ability to manage and grow our business by maintaining and expanding our sales to existing customers or introducing our products to new customers; our ability to obtain and maintain sufficient reimbursement for our products, including successfully protecting reimbursement for our Surgical Glaucoma products and establishing sufficient reimbursement for our Dry Eye products; the level of our investment in commercialization and research and development activities, including clinical trials; whether we make our execution of strategic acquisitions or investments, and the timing and amount of the associated capital expenditures; our entry and expansion into new markets; and competitive dynamics within our industry. There are numerous factors that may impact our long-term cash requirements, and we are unable to accurately predict them at this time. An extended period of global supply chain disruption, geopolitical or trade tensions, or economic uncertainty could materially affect our business, results of operations, financial condition, and access to sources of liquidity. For example,</w:t>
      </w:r>
      <w:r>
        <w:rPr>
          <w:rFonts w:ascii="Times New Roman" w:hAnsi="Times New Roman"/>
          <w:color w:val="000000"/>
          <w:sz w:val="20"/>
        </w:rPr>
        <w:t xml:space="preserve"> the U.S. has recently imposed tariffs that apply to all of our products and product components imported from China, which will increase the cost of our products and components and have a negative impact on our gross margins and liquidity.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may in the future need to seek additional sources of liquidity and capital resources through equity or debt financings, such as additional securities offerings or through borrowings under a new or existing credit facility. There can be no assurance that such transactions will be available to us on favorable terms, if at all.</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entered into the Hercules Loan Agreement with the Lenders, which provides for a maximum $65.0 million credit facility. An Initial Loan of $35.0 million was funded under the Hercules Loan Agreement on January 22, 2024, which was used to discharge our indebtedness under the Prior Loan Agreement. On December 10, 2024, we consummated the drawdown of the $5.0 million Tranche I(b) Loan under the Hercules Loan Agreement. Upon consummation of the Tranche I(b) Loan,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Initial Loan and the Tranche 1(b) Loan, the Hercules Loan Agreement provides additional tranches available to us (the “Tranche Loans,” and together with the Initial Loan and the Tranche I(b) Loan, the “Term Loans). Tranche 2 consists of $10.0 million available to draw through September 15, 2025, contingent upon the achievement of certain performance milestones prior to June 30, 2025. We do not currently anticipate achieving these milestones prior to the performance deadline. Tranche 3 consists of $15.0 million available to draw through the interest 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provides for a maturity date of July 1, 2028, with an interest only period running for the first 30 months of the agreement term, extendable for an additional six months for a total of 36 months upon the achievement of certain milestones. The Term Loans accrue interest at a floating annual rate equal to the greater of 10.35%, or the Wall Street Journal prime rate plus 2.35%, with the interest rate equal to 10.35% at March 31, 2025. The final payment fee is set at 5.95% of the funded balance, which is recognized as a debt discount and is being accreted into the amortization of debt issuance costs using the effective interest rate method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Loan, we issued warrants to the Lenders to purchase up to an aggregate of 135,686 shares of its common stock at an exercise price of $5.159 per share, which were recorded and classified as equity. On December 10, 2024, upon the funding of the Tranche I(b) Loan, we issued additional warrants to the Lenders to purchase 26,095 shares of its common stock at an exercise price of $3.83 per share. Each warrant is exercisable for a period of seven years from the date of issuance. If the additional Term Loans are funded, we will be obligated to issue to the Lenders additional warrants to purchase common stock in an amount equal to 2.0% of the funded balance of each tranche loan under the Hercules Loan Agreement, divided by the exercise price on the date we draw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us and our future subsidiaries, subject to exceptions for certain foreign subsidiaries. The obligations under the agreement are secured by substantially all of our assets, including its material intellectual property. Additionally, we are subject to customary affirmative and negative covenants, including covenants that limit or restrict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 We were in compliance with all covenants as of March 31, 2025.</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we are required to use commercially reasonable efforts to grant to the Lenders the option to invest up to $3.0 million in our next round of equity financing, if any, that is broadly marketed to multiple investors on the same terms, conditions and pricing offered to investors in such subsequent equity financing.</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corporate headquarters are located in Menlo Park, California, where we lease approximately 11,000 square feet of office, research and development, engineering and laboratory space pursuant to a lease that commenced on August 1, 2021 and expires on October 31, 2026.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sz w:val="20"/>
        </w:rPr>
      </w:pPr>
      <w:r>
        <w:rPr>
          <w:rFonts w:ascii="Times New Roman" w:hAnsi="Times New Roman"/>
          <w:color w:val="231F20"/>
          <w:sz w:val="20"/>
        </w:rPr>
        <w:t>Our unaudited condensed consolidated financial statements included elsewhere in this Quarterly Report have been prepared in accordance with accounting principles</w:t>
      </w:r>
      <w:r>
        <w:rPr>
          <w:rFonts w:ascii="Times New Roman" w:hAnsi="Times New Roman"/>
          <w:color w:val="000000"/>
          <w:sz w:val="20"/>
        </w:rPr>
        <w:t xml:space="preserve"> generally accepted in the United States of America</w:t>
      </w:r>
      <w:r>
        <w:rPr>
          <w:rFonts w:ascii="Times New Roman" w:hAnsi="Times New Roman"/>
          <w:color w:val="231F20"/>
          <w:sz w:val="20"/>
        </w:rPr>
        <w:t>. The preparation of these condensed consolidated financial statements requires us to make estimates and assumptions that affect the reported amounts of assets and liabilities, disclosure of contingent liabilities, and the reported amounts of revenue and expense during the reporting period. We evaluate our estimates and assumptions on an ongoing basis using historical experience, existing and known circumstances, authoritative accounting guidance, and various other factors we believe are reasonable under the circumstances. Actual results may differ from these estimates under different assumptions or conditions and any such differences may be material.</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estimates described in Part II, Item 7, “Management’s Discussion and Analysis of Financial Condition and Results of Operations” in our Annual Report under the heading “Critical Accounting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 in the notes to our unaudited condensed consolidated financial statements in this Quarterly Report for recent accounting pronouncements not yet adopted as of the date hereof.</w:t>
      </w:r>
    </w:p>
    <w:p>
      <w:pPr>
        <w:pStyle w:val="TextBody"/>
        <w:bidi w:val="0"/>
        <w:spacing w:before="24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exposed to market risks in the ordinary course of our business. These risks primarily include interest rate risk. </w:t>
      </w:r>
      <w:r>
        <w:rPr>
          <w:rFonts w:ascii="Times New Roman" w:hAnsi="Times New Roman"/>
          <w:color w:val="000000"/>
          <w:sz w:val="19"/>
        </w:rPr>
        <w:t>Our exposure to interest rate risk is principally confined to our cash and cash equivalents and the Hercules Loan Agreement.</w:t>
      </w:r>
    </w:p>
    <w:p>
      <w:pPr>
        <w:pStyle w:val="TextBody"/>
        <w:bidi w:val="0"/>
        <w:spacing w:before="120" w:after="283"/>
        <w:jc w:val="left"/>
        <w:rPr>
          <w:rFonts w:ascii="Times New Roman" w:hAnsi="Times New Roman"/>
          <w:sz w:val="20"/>
        </w:rPr>
      </w:pPr>
      <w:r>
        <w:rPr>
          <w:rFonts w:ascii="Times New Roman" w:hAnsi="Times New Roman"/>
          <w:color w:val="000000"/>
          <w:sz w:val="19"/>
        </w:rPr>
        <w:t xml:space="preserve">As of March 31, 2025, we had cash and cash equivalents of $108.8 million, which consisted of bank deposits, money market funds, and U.S. treasury bills. </w:t>
      </w:r>
      <w:r>
        <w:rPr>
          <w:rFonts w:ascii="Times New Roman" w:hAnsi="Times New Roman"/>
          <w:color w:val="000000"/>
          <w:sz w:val="20"/>
        </w:rPr>
        <w:t>We believe that we do not have any material exposure to changes in the fair value of these assets as a result of changes in interest rates due to the short-term nature of our cash and cash equivalents.</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The Hercules Loan Agreement contains a floating rate equal to the greater of 10.35% or the Prime Rate plus 2.35%, with an interest rate equal to 10.35% as of March 31, 2025. Based upon the balance outstanding as of March 31, 2025, a hypothetical 1.0% (100 basis points) change in interest rates would not have a material impact on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such risks from those described in our Annual Report under the heading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its principal executive officer, and principal financial and accounting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this evaluation, our principal executive officer and principal financial and accounting officer concluded that as of March 31, 2025, our disclosure controls and procedures were effective at the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in Note 6, Commitments and Contingencies, in the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results of operations and liquidity. Additionally, any such claims, whether or not successful, could damage our reputation and business, and may have an adverse impact on us as a result of defense and settlement costs, diversion of management time and resources, and other factors.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below, we are not aware of any material changes to the risks and uncertainties described under the heading "Risk Factors" in our Annual Report, which are incorporated herein by reference. The risks described in our Annual Report are not the only ones we face. Additional risks we currently do not know about or that we currently believe to be immaterial may also impair our business, financial condition, operating results, liquidity, and future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We rely on third parties to manufacture and supply all of our products, and a substantial portion of our products and components are manufactured in China. A number of our suppliers are also single-source providers. We are subject to numerous risks relating to our reliance on such third-party suppliers, including the impact of tariffs on products imported from China.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strategy depends on our ability to manufacture our current and future products in sufficient quantities, on terms acceptable to us, and on a timely basis to meet customer demand, while adhering to product quality standards, complying with regulatory requirements, and managing manufacturing and import costs. We do not have, and do not currently intend to develop, any internal manufacturing capabilities or infrastructure, and we rely on a limited number of third-party manufacturers, many of which are single-source suppliers, for the components, accessories, materials and assembly that we utilize in our products. Specifically, most of our OMNI and SION products, as well as our TearCare SmartLids are produced and assembled by a single Taiwan-based manufacturer in China. These commercial products comprise substantially all of our current revenue. Our suppliers may be unwilling or unable to supply products or components to us reliably and at the levels we anticipate or that are required by our customers, or we may be unable to purchase these items on terms that are acceptable to us, or at all.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suppliers must be able to provide us with products and components in compliance with regulatory requirements, including the FDA’s Quality System Regulation (“QSR”) and other applicable laws or regulations, in accordance with agreed-upon specifications, at acceptable costs and on a timely basis. If our suppliers are unable or unwilling to meet our demand requirements, we may not have enough of our products available for delivery to support ECPs that utilize our products as part of their treatment. For instance, if the supply of our products and components from our manufacturer in China was interrupted or suspended for any significant period, we may be unable to meet customer demand for these products during that time. Our ability to obtain products and components in sufficient quantities and on a timely basis from our suppliers may be limited for several reasons, including quality issues at their manufacturing facilities, damage to their manufacturing equipment or facilities, problems with their own suppliers, inability to obtain components required for our products, their financial difficulties, our relative importance as a customer to each supplier, or prohibitive cost increases associated with importing items from certain regions where our suppliers are located. Any shortfall in the supply of our products may result in lower adoption and utilization rates of our products by ECPs, as well as harm to our reputation, either of which could have a material adverse effect on our business, financial condition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Geopolitical tensions between the U.S. and China, and between the U.S. and other countries, have created considerable political and economic unrest and uncertainty that may adversely impact our business. As discussed above, most of our products are produced and assembled at a manufacturing facility in China. There is currently significant uncertainty about the relationship between the U.S. and China with respect to a number of geopolitical issues, including trade policies, government regulations and tariffs, and we expect this uncertainty will continue in future periods. Commencing in February 2025, the U.S. imposed, and then increased multiple times, a tariff on products imported from China. This tariff, which is currently set at 145%, applies to all of our products and product components imported from China. China has responded with certain retaliatory tariffs, and the U.S. and China could implement additional retaliatory tariffs. The China tariff will increase the cost of our products and components and have a negative impact on our gross margins for as long as it remains in effect. Any further escalation in the use of retaliatory trade tariffs between the U.S. and China could cause a further increase in the cost of our products and components. There is also the risk that new tariffs could be implemented with other U.S. trading partners. These tariffs may cause supply chain disruptions and will also likely increase the shipping and other logistical costs involved in importing our products and components, which would further adversely impact our gross margins.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mitigate these risks, we are evaluating additional manufacturing locations to produce and assemble our products and are in the process of establishing additional manufacturing lines outside of China. However, at least through 2025 and into 2026, we expect the substantial majority of our products will continue to be manufactured in China, and will therefore continue to be subject to the prevailing tariff rates. The process of identifying and qualifying additional manufacturing facilities could be time-consuming and expensive, result in interruptions in our operations, cause delays in the supply of our products, or affect the quality or performance specifications of our products. We cannot assure you that we will be able to identify and engage additional contract manufacturers on terms similar to our current arrangements or that are otherwise favorable to us. In addition, we cannot guarantee that the cost associated with obtaining products and components from an additional manufacturer, including any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associated tariffs, will be lower than the costs associated with obtaining products from our current manufacturers, or that any reduction in the costs will be sufficient to offset the cost of adding new manufacturers. Furthermore, any change in our manufacturers could require us to complete another qualification process at the manufacturer’s facility, and there is no guarantee the facility would pass our quality audit. The occurrence of any of these events could increase our operating costs or harm our ability to meet the demand for our products in a timely manner, either of which could have a material adverse effect on our business, financial condition and results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do not typically enter into long-term supply agreements with our third-party manufacturers and do not anticipate doing so in the near term. Accordingly, we will continue to be subject to the risk that our suppliers can cancel our agreements on relatively short notice, or that we will be unable to renew or extend contracts and arrangements with such third parties on terms that are favorable to us, or at all. These risks are likely to be exacerbated by our limited experience manufacturing our current products and negotiating agreement terms with third party manufacturers.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demand for our products increases, we will have to invest additional resources to manage the manufacturing process. If we fail to secure increased production capacity efficiently, we may not be able to respond to customer demand on a timely basis, our sales may not increase in line with our expectations, and our operating margins could fluctuate or decline. In addition, the manufacture of future products may require modification of our current production processes, the identification of new suppliers for specific components, sub-assemblies and materials, or the development of new manufacturing processes or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14, 2021, our registration statement on Form S-1 (File No. 333-257320) relating to our IPO became effective. The IPO closed on July 15, 2021, at which time we issued 11,500,000 shares of our common stock at a price of $24.00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our final prospectus filed with the SEC on July 15, 2021 pursuant to Rule 424(b) under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and officers may enter into trading plans or other arrangements with financial institutions to purchase or sell shares of our common stock, which plans or arrangements are intended to comply with the affirmative defense provisions of Rule 10b5-1 of the Exchange Act, or which may represent a non-Rule 10b5-1 trading arrangement as defined under Item 408(a) of Regulation 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none of our directors or officers adopted, terminated, or modified a Rule 10b5-1 trading arrangement or a non-Rule 10b5-1 trading arrangement.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or furnished as a part of, or incorporated by reference into, this Quarterly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9"/>
        <w:gridCol w:w="146"/>
        <w:gridCol w:w="3775"/>
        <w:gridCol w:w="146"/>
        <w:gridCol w:w="1400"/>
        <w:gridCol w:w="146"/>
        <w:gridCol w:w="643"/>
        <w:gridCol w:w="146"/>
        <w:gridCol w:w="676"/>
        <w:gridCol w:w="146"/>
        <w:gridCol w:w="648"/>
        <w:gridCol w:w="146"/>
        <w:gridCol w:w="1258"/>
      </w:tblGrid>
      <w:tr>
        <w:trPr/>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9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Filed/Furnished Herewith</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18"/>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18"/>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18"/>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18"/>
                  <w:u w:val="single"/>
                </w:rPr>
                <w:t>Certification of the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tbl>
      <w:tblPr>
        <w:tblW w:w="5917" w:type="dxa"/>
        <w:jc w:val="left"/>
        <w:tblInd w:w="0" w:type="dxa"/>
        <w:tblLayout w:type="fixed"/>
        <w:tblCellMar>
          <w:top w:w="28" w:type="dxa"/>
          <w:left w:w="28" w:type="dxa"/>
          <w:bottom w:w="28" w:type="dxa"/>
          <w:right w:w="28" w:type="dxa"/>
        </w:tblCellMar>
      </w:tblPr>
      <w:tblGrid>
        <w:gridCol w:w="1636"/>
        <w:gridCol w:w="109"/>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Alison Bauerlein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Alison Bauerlein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2" w:name="sght-ex31_1.htm"/>
      <w:bookmarkStart w:id="23" w:name="kssghtex31_1"/>
      <w:bookmarkEnd w:id="22"/>
      <w:bookmarkEnd w:id="2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1696"/>
        <w:gridCol w:w="246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May 8, 2025</w:t>
            </w:r>
          </w:p>
        </w:tc>
        <w:tc>
          <w:tcPr>
            <w:tcW w:w="24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Paul Badawi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Paul Badawi</w:t>
            </w:r>
          </w:p>
          <w:p>
            <w:pPr>
              <w:pStyle w:val="TableContents"/>
              <w:bidi w:val="0"/>
              <w:jc w:val="righ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4" w:name="sght-ex31_2.htm"/>
      <w:bookmarkStart w:id="25" w:name="kssgh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Alison Bauerlein,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2025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3" w:type="dxa"/>
        <w:jc w:val="left"/>
        <w:tblInd w:w="0" w:type="dxa"/>
        <w:tblLayout w:type="fixed"/>
        <w:tblCellMar>
          <w:top w:w="28" w:type="dxa"/>
          <w:left w:w="28" w:type="dxa"/>
          <w:bottom w:w="28" w:type="dxa"/>
          <w:right w:w="28" w:type="dxa"/>
        </w:tblCellMar>
      </w:tblPr>
      <w:tblGrid>
        <w:gridCol w:w="1636"/>
        <w:gridCol w:w="382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Alison Bauerlein</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Alison Bauerlein</w:t>
              <w:br/>
              <w:t>Chief Financial Officer</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bookmarkStart w:id="26" w:name="sght-ex32_1.htm"/>
      <w:bookmarkStart w:id="27" w:name="kssghtex32_1"/>
      <w:bookmarkEnd w:id="26"/>
      <w:bookmarkEnd w:id="27"/>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March 31,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182" w:type="dxa"/>
        <w:jc w:val="left"/>
        <w:tblInd w:w="0" w:type="dxa"/>
        <w:tblLayout w:type="fixed"/>
        <w:tblCellMar>
          <w:top w:w="28" w:type="dxa"/>
          <w:left w:w="28" w:type="dxa"/>
          <w:bottom w:w="28" w:type="dxa"/>
          <w:right w:w="28" w:type="dxa"/>
        </w:tblCellMar>
      </w:tblPr>
      <w:tblGrid>
        <w:gridCol w:w="1741"/>
        <w:gridCol w:w="4441"/>
      </w:tblGrid>
      <w:tr>
        <w:trPr/>
        <w:tc>
          <w:tcPr>
            <w:tcW w:w="174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2025</w:t>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Paul Badawi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Paul Badawi</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8" w:name="sght-ex32_2.htm"/>
      <w:bookmarkStart w:id="29" w:name="kssghtex32_2"/>
      <w:bookmarkEnd w:id="28"/>
      <w:bookmarkEnd w:id="29"/>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her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March 31, 2025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5507" w:type="dxa"/>
        <w:jc w:val="left"/>
        <w:tblInd w:w="0" w:type="dxa"/>
        <w:tblLayout w:type="fixed"/>
        <w:tblCellMar>
          <w:top w:w="28" w:type="dxa"/>
          <w:left w:w="28" w:type="dxa"/>
          <w:bottom w:w="28" w:type="dxa"/>
          <w:right w:w="28" w:type="dxa"/>
        </w:tblCellMar>
      </w:tblPr>
      <w:tblGrid>
        <w:gridCol w:w="1741"/>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8, 2025</w:t>
            </w:r>
          </w:p>
        </w:tc>
        <w:tc>
          <w:tcPr>
            <w:tcW w:w="3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Alison Bauerlein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Alison Bauerlein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18873</Words>
  <Characters>103913</Characters>
  <CharactersWithSpaces>123418</CharactersWithSpaces>
  <Paragraphs>3785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