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HAYDEN JEREMY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SIGHT 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4040 CAMPBELL AVE.,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Sight Sciences, Inc.</w:t>
              </w:r>
            </w:hyperlink>
            <w:r>
              <w:rPr/>
              <w:t xml:space="preserve"> [ </w:t>
            </w:r>
            <w:r>
              <w:rPr>
                <w:rFonts w:ascii="Times;serif" w:hAnsi="Times;serif"/>
                <w:color w:val="0000FF"/>
                <w:sz w:val="24"/>
                <w:shd w:fill="FFFFFF" w:val="clear"/>
              </w:rPr>
              <w:t>SGHT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65"/>
        <w:gridCol w:w="447"/>
        <w:gridCol w:w="792"/>
        <w:gridCol w:w="1181"/>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12,733</w:t>
            </w:r>
            <w:r>
              <w:rPr>
                <w:rFonts w:ascii="Times;serif" w:hAnsi="Times;serif"/>
                <w:color w:val="008000"/>
                <w:position w:val="7"/>
                <w:sz w:val="16"/>
                <w:sz w:val="20"/>
                <w:shd w:fill="FFFFFF" w:val="clear"/>
              </w:rPr>
              <w:t>(1)</w:t>
            </w:r>
            <w:r>
              <w:rPr/>
              <w:t xml:space="preserve"> </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5.508</w:t>
            </w:r>
            <w:r>
              <w:rPr>
                <w:rFonts w:ascii="Times;serif" w:hAnsi="Times;serif"/>
                <w:color w:val="008000"/>
                <w:position w:val="7"/>
                <w:sz w:val="16"/>
                <w:sz w:val="20"/>
                <w:shd w:fill="FFFFFF" w:val="clear"/>
              </w:rPr>
              <w:t>(2)</w:t>
            </w:r>
            <w:r>
              <w:rPr/>
              <w:t xml:space="preserve"> </w:t>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357,037</w:t>
            </w:r>
            <w:r>
              <w:rPr>
                <w:rFonts w:ascii="Times;serif" w:hAnsi="Times;serif"/>
                <w:color w:val="008000"/>
                <w:position w:val="7"/>
                <w:sz w:val="16"/>
                <w:sz w:val="20"/>
                <w:shd w:fill="FFFFFF" w:val="clear"/>
              </w:rPr>
              <w:t>(3)</w:t>
            </w:r>
            <w:r>
              <w:rPr/>
              <w:t xml:space="preserve"> </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of the Issuer's common stock, par value $0.001 per share ("Common Stock"), sold to cover the Reporting Person's tax liability in connection with the vesting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weighted average price at which the shares of Common Stock were sold. The shares were sold in multiple transactions at prices ranging from $5.37 to $5.62,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100,015 shares of Common Stock, and (ii) 257,022 shares of Common Stock which shall be acquired upon the vesting and settlement of RSUs that have not yet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/s/Jeremy B. Hayden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50737" TargetMode="External"/><Relationship Id="rId5" Type="http://schemas.openxmlformats.org/officeDocument/2006/relationships/hyperlink" Target="http://www.sec.gov/cgi-bin/browse-edgar?action=getcompany&amp;CIK=00015311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705</Words>
  <Characters>3787</Characters>
  <CharactersWithSpaces>4431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