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50630.htm"/>
      <w:bookmarkStart w:id="1" w:name="kssght20250630"/>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August 1, 2025, the registrant had</w:t>
      </w:r>
      <w:r>
        <w:rPr>
          <w:rFonts w:ascii="Times New Roman" w:hAnsi="Times New Roman"/>
          <w:color w:val="000000"/>
          <w:sz w:val="20"/>
        </w:rPr>
        <w:t xml:space="preserve"> </w:t>
      </w:r>
      <w:r>
        <w:rPr>
          <w:rFonts w:ascii="Times New Roman" w:hAnsi="Times New Roman"/>
          <w:color w:val="000000"/>
          <w:sz w:val="16"/>
        </w:rPr>
        <w:t>52,367,359</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fiscal period ended June 30, 2025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Surgical Glaucoma products and establish sufficient reimbursement for our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manage and grow our business by maintaining and expanding our sales to existing customers or introducing our products to new customers;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of our total addressable market, future revenue, expenses, margins, capital requirements, and our needs for additional financing;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compliance with, and retain favorable payment terms under our current secured credit facility;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geopolitical tensions, including with respect to trade policies, government regulations and tariffs, and the related impacts on the cost of our products and gross margins;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evaluation and expansion of additional third-party manufacturing locations, and the related costs and impacts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 as well as potential impacts to our business that may result from intellectual property related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protect and scale our intellectual property portfolio;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financing in future offerings;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or a smaller reporting company under applicable Securities and Exchange Commission ("SEC") rules;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or implied by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financial needs. The outcomes of the events described in these forward-looking statements are subject to risks, uncertainties, assumptions, and other factors described in the section titled “Risk Factors” in our Annual Report on Form 10-K for the year ended December 31, 2024 filed with the SEC on March 8, 2025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3"/>
        <w:gridCol w:w="854"/>
        <w:gridCol w:w="613"/>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$356 and $689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52,033,403 and 50,937,999 shares issued and outstanding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51,821,773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49,903,386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51,557,686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49,694,825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37"/>
        <w:gridCol w:w="832"/>
        <w:gridCol w:w="212"/>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51,376,751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52,033,403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37"/>
        <w:gridCol w:w="832"/>
        <w:gridCol w:w="212"/>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52,033,403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of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of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excess and obsolete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Hercules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Prior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 of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upon execution of Hercules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Surgical Glaucoma and Dry Eye. The products for the Surgical Glaucoma segment consist of the OMNI® Surgical System family of products ("OMNI") and the SION® Surgical Instrument (SION). The Company’s commercial OMNI offerings, consisting of the Ergo Series of the Omni Surgical System and the OMNI EDGE Surgical System are implant-free, minimally invasive glaucoma surgery (MIGS) technology. OMNI is indicated in the United States to reduce intraocular pressure in adult patients with primary open-angle glaucoma. The Ergo Series of the OMNI Surgical System is CE Marked for the catheterization and transluminal viscodilation of Schlemm’s canal and cutting of the trabecular meshwork to reduce intraocular pressure in adult patients with open-angle glaucoma. SION is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disease (“MGD”) when used in conjunction with manual expression of the meibomian glands, enabling clearance of gland obstructions by physicians to address the leading cause of dry eye disease.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June 30, 2025, the Company had an accumulated deficit of $372.4 million and recorded a net loss of $26.1 million for the six months then ended and expects to incur additional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its consolidated financial statements. Any failure to generate increased revenue, achieve improved gross profit,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or reduce operating costs. Any of these actions could harm the Company’s business, requiring it to change its business strategy, scale back its operations, or limit its ability to achieve its strategic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presentation of the Company's financial information contained herein. The condensed consolidated balance sheet as of December 31, 2024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2024, which are contained in the Annual Report. The Company's results of operations for the six months ended June 30, 2025 are not necessarily indicative of the results to be expected for the year ending December 31, 2025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 to the allowance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it could result in a material effect on the Company’s financial condition, results of operations and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includes amendments requiring enhanced income tax disclosures, primarily related to standardization and disaggregation of rate reconciliation categories and income taxes paid by jurisdiction. The Company adopted the standard on January 1, 2025 for fiscal year reporting. The standard is to be applied on a prospective basis although optional retrospective application is permitted. While the standard will require additional disclosures related to the Company’s income taxes within the Company’s Annual Report on Form 10-K for the year ended December 31, 2025, the standard did not have any impact on the Company’s consolidated operating results, financial condition or 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xml:space="preserve">. The ASU requires additional disclosure in the notes to the consolidated financial statements about certain expenses such as purchases of inventory, employee compensation, depreciation, intangible asset amortization, and other expenses which are presented on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2025, there are no additional ASUs issued and not yet adopted that are expected to have a material impact on the Company's financial statements and related disclosures.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cash and cash equivalents included Level 1 investments in U.S. treasury securities and money market funds. The Company had investments in money market funds of $21.3 million and $6.4 million as of June 30, 2025 and December 31, 2024, respectively. In addition, the Company had investments in U.S. treasury securities of $75.8 and $106.5 million as of June 30, 2025 and December 31, 2024, respectively. These U.S. treasury securities are classified as held-to-maturity and all have been purchased with original maturities of 90 days or less. Held-to-maturity debt securities are recorded at amortized cost in the financial statements. </w:t>
      </w:r>
    </w:p>
    <w:tbl>
      <w:tblPr>
        <w:tblW w:w="8854" w:type="dxa"/>
        <w:jc w:val="left"/>
        <w:tblInd w:w="0" w:type="dxa"/>
        <w:tblLayout w:type="fixed"/>
        <w:tblCellMar>
          <w:top w:w="28" w:type="dxa"/>
          <w:left w:w="28" w:type="dxa"/>
          <w:bottom w:w="28" w:type="dxa"/>
          <w:right w:w="28" w:type="dxa"/>
        </w:tblCellMar>
      </w:tblPr>
      <w:tblGrid>
        <w:gridCol w:w="1951"/>
        <w:gridCol w:w="146"/>
        <w:gridCol w:w="296"/>
        <w:gridCol w:w="949"/>
        <w:gridCol w:w="146"/>
        <w:gridCol w:w="146"/>
        <w:gridCol w:w="675"/>
        <w:gridCol w:w="675"/>
        <w:gridCol w:w="146"/>
        <w:gridCol w:w="146"/>
        <w:gridCol w:w="603"/>
        <w:gridCol w:w="777"/>
        <w:gridCol w:w="166"/>
        <w:gridCol w:w="146"/>
        <w:gridCol w:w="403"/>
        <w:gridCol w:w="129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June 30, 2025 and December 31, 2024, total debt of $39.8 million and $39.4 million was reported at amortized cost, respectively. This outstanding debt is classified as Level 2 as it is not actively traded. The amortized cost of the outstanding debt approximates the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the fair value of the unissued common stock warrants that may be issued pursuant to the Hercules Loan Agreement (as defined in Note 5, Debt) using the Black-Scholes option pricing method. These warrants are classified as Level 3 liabilities. As of June 30, 2025 and December 31, 2024, respectively the fair value of these warrants was less than $0.1 million. These warrants are remeasured at each reporting date following execution of the Hercules Loan Agreement. See Note 5, Debt, and Note 7, Stockholders' Equity, for additional information regarding the common stock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as of June 30, 2025 and December 31, 2024 do not include any assets or liabilities that are measured at fair value on a nonrecurring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435" w:type="dxa"/>
        <w:jc w:val="left"/>
        <w:tblInd w:w="0" w:type="dxa"/>
        <w:tblLayout w:type="fixed"/>
        <w:tblCellMar>
          <w:top w:w="28" w:type="dxa"/>
          <w:left w:w="28" w:type="dxa"/>
          <w:bottom w:w="28" w:type="dxa"/>
          <w:right w:w="28" w:type="dxa"/>
        </w:tblCellMar>
      </w:tblPr>
      <w:tblGrid>
        <w:gridCol w:w="2911"/>
        <w:gridCol w:w="146"/>
        <w:gridCol w:w="285"/>
        <w:gridCol w:w="855"/>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for both the three months ended June 30, 2025 and 2024, respectively. Depreciation expense was $0.2 and $0.3 million for the six months ended June 30, 2025 and 2024, respectively. </w:t>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7165" w:type="dxa"/>
        <w:jc w:val="left"/>
        <w:tblInd w:w="0" w:type="dxa"/>
        <w:tblLayout w:type="fixed"/>
        <w:tblCellMar>
          <w:top w:w="28" w:type="dxa"/>
          <w:left w:w="28" w:type="dxa"/>
          <w:bottom w:w="28" w:type="dxa"/>
          <w:right w:w="28" w:type="dxa"/>
        </w:tblCellMar>
      </w:tblPr>
      <w:tblGrid>
        <w:gridCol w:w="3681"/>
        <w:gridCol w:w="146"/>
        <w:gridCol w:w="307"/>
        <w:gridCol w:w="833"/>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6650" w:type="dxa"/>
        <w:jc w:val="left"/>
        <w:tblInd w:w="0" w:type="dxa"/>
        <w:tblLayout w:type="fixed"/>
        <w:tblCellMar>
          <w:top w:w="28" w:type="dxa"/>
          <w:left w:w="28" w:type="dxa"/>
          <w:bottom w:w="28" w:type="dxa"/>
          <w:right w:w="28" w:type="dxa"/>
        </w:tblCellMar>
      </w:tblPr>
      <w:tblGrid>
        <w:gridCol w:w="3166"/>
        <w:gridCol w:w="146"/>
        <w:gridCol w:w="380"/>
        <w:gridCol w:w="760"/>
        <w:gridCol w:w="146"/>
        <w:gridCol w:w="146"/>
        <w:gridCol w:w="504"/>
        <w:gridCol w:w="101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An initial tranche of $35.0 million (the “Initial Loan”) was funded under the Hercules Loan Agreement on January 22, 2024, which was used to discharge the Company's indebtedness under its prior secured credit facility (the "Prior Loan Agreement") with its prior lenders. On December 10, 2024, the Company consummated the drawdown of the $5.0 million Tranche I(b) Term Loan Advance (the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Initial Loan and the Tranche 1(b) Loan, the Hercules Loan Agreement provides additional tranches available to the Company (the “Tranche Loans,” and together with the Initial Loan and the Tranche I(b)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 the “Term Loans"). Tranche 2 consisted of $10.0 million available to draw through September 15, 2025, contingent upon the achievement of certain performance milestones prior to June 30, 2025 which were not met and thus Tranche 2 is not available to the Company. Tranche 3 consists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Hercules Loan Agreement provides for a maturity date of July 1, 2028, with an interest only period running for the first 30 months of the agreement term, extendable for an additional six months for a total of 36 months upon the achievement of certain performance milestones prior to June 30, 2025. These performance milestones were not met by the June 30, 2025 deadline, and thus the six-month extension of the interest only period is not available to the Company. The Term Loans accrue interest at a floating annual rate equal to the greater of 10.35% or the Wall Street Journal prime rate plus 2.35%, with the interest rate equal to 10.35% at June 30, 2025. The final payment fee is set at 5.95% of the funded balance, which is recognized as a debt discount and is being accreted into the amortization of debt issuance costs using the effective interest rate method over the term of the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I(b) Loan,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June 30,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the Company is required to use commercially reasonable efforts to grant to the Lenders the option to invest up to $3.0 million in the Company’s next round of equity financing, if any, that is broadly marketed to multiple investors on the same terms, conditions and pricing offered to investors in such subsequent equity financing.</w:t>
      </w:r>
    </w:p>
    <w:p>
      <w:pPr>
        <w:pStyle w:val="TextBody"/>
        <w:bidi w:val="0"/>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Long-term and short-term debt as of June 30, 2025 and December 31, 2024, respectively, was as follows (in thousands):</w:t>
      </w:r>
    </w:p>
    <w:tbl>
      <w:tblPr>
        <w:tblW w:w="7615" w:type="dxa"/>
        <w:jc w:val="left"/>
        <w:tblInd w:w="0" w:type="dxa"/>
        <w:tblLayout w:type="fixed"/>
        <w:tblCellMar>
          <w:top w:w="28" w:type="dxa"/>
          <w:left w:w="28" w:type="dxa"/>
          <w:bottom w:w="28" w:type="dxa"/>
          <w:right w:w="28" w:type="dxa"/>
        </w:tblCellMar>
      </w:tblPr>
      <w:tblGrid>
        <w:gridCol w:w="4291"/>
        <w:gridCol w:w="146"/>
        <w:gridCol w:w="271"/>
        <w:gridCol w:w="869"/>
        <w:gridCol w:w="166"/>
        <w:gridCol w:w="146"/>
        <w:gridCol w:w="360"/>
        <w:gridCol w:w="1155"/>
        <w:gridCol w:w="2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repayment schedule relating to the Term Loans as of June 30, 2025,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various operating leases, which include facility leases and equipment leases. Operating leases are recorded on the consolidated balance sheets as both a right-of-use asset ("ROU asset") and lease liability,</w:t>
      </w:r>
      <w:r>
        <w:rPr>
          <w:rFonts w:ascii="Times New Roman" w:hAnsi="Times New Roman"/>
          <w:color w:val="231F20"/>
          <w:sz w:val="20"/>
        </w:rPr>
        <w:t xml:space="preserve"> which are recognized based on the present value of the future minimum lease payments over the lease term. </w:t>
      </w:r>
      <w:r>
        <w:rPr>
          <w:rFonts w:ascii="Times New Roman" w:hAnsi="Times New Roman"/>
          <w:color w:val="000000"/>
          <w:sz w:val="20"/>
        </w:rPr>
        <w:t>In determining the present value of these lease payments, the Company uses its incremental borrowing rate ("IBR") based on the information available at the lease commencement date if the rate implicit in the lease is not readily determinable. The Company</w:t>
      </w:r>
      <w:r>
        <w:rPr>
          <w:rFonts w:ascii="Times New Roman" w:hAnsi="Times New Roman"/>
          <w:color w:val="231F20"/>
          <w:sz w:val="20"/>
        </w:rPr>
        <w:t>’s IBR represents the interest rate that the Company would expect to incur at lease commencement to borrow an amount equal to the lease payments on a collateralized basis with similar terms and payments, in an economic environment where the leased asset is located.</w:t>
      </w:r>
      <w:r>
        <w:rPr>
          <w:rFonts w:ascii="Times New Roman" w:hAnsi="Times New Roman"/>
          <w:color w:val="000000"/>
          <w:sz w:val="20"/>
        </w:rPr>
        <w:t xml:space="preserve"> In determining the lease term, the Company includes all renewal options that are reasonably probable to be executed.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ROU asset and lease liability of $1.2 million. The lease ROU asset and corresponding lease liability were estimated using a weighted-average IBR of 11.40%. Total base rent for the amended 34 months under the amended lease agreement is approximately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rent expense on a straight-line basis over the noncancelable lease term. The Company’s rent expense was $0.1 million and $0.2 million for the three months ended June 30, 2025 and 2024, respectively. The Company’s rent expense was $0.3 million and $0.4 million for the six months ended June 30, 2025 and 2024, respectively. As of June 30, 2025, the weighted average remaining lease term for the leases was 1.3 years.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three and six months ended June 30, 2025 and 2024 were as follows (in thousands):</w:t>
      </w:r>
    </w:p>
    <w:tbl>
      <w:tblPr>
        <w:tblW w:w="6382" w:type="dxa"/>
        <w:jc w:val="left"/>
        <w:tblInd w:w="0" w:type="dxa"/>
        <w:tblLayout w:type="fixed"/>
        <w:tblCellMar>
          <w:top w:w="28" w:type="dxa"/>
          <w:left w:w="28" w:type="dxa"/>
          <w:bottom w:w="28" w:type="dxa"/>
          <w:right w:w="28" w:type="dxa"/>
        </w:tblCellMar>
      </w:tblPr>
      <w:tblGrid>
        <w:gridCol w:w="2551"/>
        <w:gridCol w:w="146"/>
        <w:gridCol w:w="223"/>
        <w:gridCol w:w="446"/>
        <w:gridCol w:w="154"/>
        <w:gridCol w:w="154"/>
        <w:gridCol w:w="223"/>
        <w:gridCol w:w="446"/>
        <w:gridCol w:w="146"/>
        <w:gridCol w:w="146"/>
        <w:gridCol w:w="211"/>
        <w:gridCol w:w="421"/>
        <w:gridCol w:w="146"/>
        <w:gridCol w:w="146"/>
        <w:gridCol w:w="211"/>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Aggregate future minimum lease payments as of June 30, 2025, under these noncancelable operating leases were as follows (in thousands):</w:t>
      </w:r>
    </w:p>
    <w:tbl>
      <w:tblPr>
        <w:tblW w:w="5679" w:type="dxa"/>
        <w:jc w:val="left"/>
        <w:tblInd w:w="0" w:type="dxa"/>
        <w:tblLayout w:type="fixed"/>
        <w:tblCellMar>
          <w:top w:w="28" w:type="dxa"/>
          <w:left w:w="28" w:type="dxa"/>
          <w:bottom w:w="28" w:type="dxa"/>
          <w:right w:w="28" w:type="dxa"/>
        </w:tblCellMar>
      </w:tblPr>
      <w:tblGrid>
        <w:gridCol w:w="4036"/>
        <w:gridCol w:w="146"/>
        <w:gridCol w:w="347"/>
        <w:gridCol w:w="793"/>
        <w:gridCol w:w="16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and Trademark Office (“USPTO”) seeking inter partes review of U.S. Patent Nos. 8,287,482, 9,370,443, 9,486,361, and 10,314,742 (IPR2022-01529, IPR2022-01530, IPR2022-01533, IPR2022-01540), each of which the USPTO denied for raising prior art references and invalidity arguments that were cumulative of those previously considered by the USPTO.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judgement. The judgement has not yet been entered and, once entered, it will be subject to appeal.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Alcon filed petitions with the USPTO for ex parte reexaminations challenging the validity of each of the three patents asserted by the Company at trial, based on prior art patents and publications. The USPTO has not yet decided whether to proceed with the reexaminations. It is possible that the April 2024 jury verdict in the Company’s favor, including its ability to collect past damages and ongoing royalties, may be materially and adversely impacted if the reexamination proceedings are instituted and result in final, non-appealable judgments of invalidity of the asserted claims of the patents-in-suit before a final, non-appealable judgment is entered by the Court in the patent infringement litigation or if the asserted claims are amended during the reexamination proceedings. For example, entry of such judgements of invalidity by the USPTO could include vacating the jury verdict and a finding that the patents-in-suit are invalid. The Company is presently unable to predict the outcome of this lawsuit or the ex parte reexamination proceedings or to reasonably estimate the potential financial impact of the lawsuit or ex parte reexamination proceedings.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of loss can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June 30, 2025 and December 31, 2024, the Company was not a party to any legal proceedings, regulatory matters, or other disputes or claims which, if determined adversely, it believes would, individually or taken together, have a material adverse effect on the Company’s business, financial condition, operating results, liquidity, or future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June 30, 2025 and December 31, 2024.</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June 30, 2025, no dividends have been declared. Each share of common stock is entitled to one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2025 and December 31, 2024, the Company had reserved common stock for future issuances as follows:</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issuance upon exercise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18,491,241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January 22, 2024, in conjunction with the funding of the Initial Loan under the Hercules Loan Agreement, the Company issued common stock warrants to the Lenders to purchase up to an aggregate of 135,686 shares of its common stock at an exercise price of $5.159 per share. On December 10, 2024, upon the funding of the Tranche I(b) Loan, the Company issued additional warrants to the Lenders to purchase 26,095 shares of its common stock at an exercise price of $3.83 per share. Each warrant is exercisable for up to seven years from the date of issuance. The warrants are classified as equity. During the year ended December 31, 2024, the fair value of the issued warrants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recorded was $0.7 million, which was calculated using the Black-Scholes option-pricing model. These warrants were recorded at fair value upon their issuance in additional paid-in capital in the consolidated balance sheets. These warrants are not remeasured after their respective issuance 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liabilities in other noncurrent liabilities in the consolidated financial statements. The fair value of the unissued warrants was initially recorded upon the funding of the Hercules Loan Agreement. As of June 30, 2025 and December 31, 2024, respectively, the fair value of the unissued warrants recorded was less than $0.1 million calculated using the Black-Scholes option-pricing model. The unissued warrants are remeasured at each reporting date after the funding of the Initial Loan.</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units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and settlement of the awards. RSUs granted to employees generally vest over a four-year period with straight-line vesting in equal amounts, either in annual or quarterly installments. RSUs granted to newly hired non-executive employees generally vest over a four-year period, with 25% of the shares vesting on the first anniversary of the grant date and the remaining shares vesting in 12 equal quarterly installments thereafter. RSUs granted to newly hired executive employees generally vest over a four-year period, with shares vesting in four (4) equal annual installments. RSUs granted to executive and non-executive employees as merit awards generally vest in 16 equal quarterly installments following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2,546,899 and 2,456,568 shares on January 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and December 31, 2024, there were 6,261,778 shares and 5,931,302 shares, respectively, of common stock available for issuance under the 2021 Plan.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Plan was superseded by the 2021 Plan at the time of the initial public offering of the Company's common stock, which closed on July 15, 2021, and no further grants have been made under the 2011 Plan from the date the 2021 Plan became effective.</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47"/>
        <w:gridCol w:w="146"/>
        <w:gridCol w:w="146"/>
        <w:gridCol w:w="931"/>
        <w:gridCol w:w="166"/>
        <w:gridCol w:w="146"/>
        <w:gridCol w:w="555"/>
        <w:gridCol w:w="1509"/>
        <w:gridCol w:w="146"/>
        <w:gridCol w:w="146"/>
        <w:gridCol w:w="423"/>
        <w:gridCol w:w="1048"/>
        <w:gridCol w:w="146"/>
        <w:gridCol w:w="146"/>
        <w:gridCol w:w="379"/>
        <w:gridCol w:w="1032"/>
        <w:gridCol w:w="393"/>
      </w:tblGrid>
      <w:tr>
        <w:trPr/>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Intrinsic 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2025 and 2024, the Company recorded stock-based compensation expense of $1.2 million and $1.9 million related to stock option awards, respectively. During the six months ended June 30, 2025 and 2024, the Company recorded stock-based compensation expense of $2.8 million and $3.8 million related to stock option awards, respectively. The Company did not grant any stock options during the six months ended June 30, 2025. The weighted-average grant-date fair values of stock options granted during the six months ended June 30, 2024 was $2.71.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three and six months ended June 30, 2025 was $0.1 million and $0.1 million, respectively. The aggregate intrinsic value was calculated as the difference between the exercise prices of the underlying stock options and the estimated fair value of the common stock on the date of exercise. As of June 30, 2025, the unrecognized stock-based compensation expense relating to unvested stock options was $2.6 million, which is expected to be recognized over a weighted-average period of approximately 1.1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estimated the grant date fair value of stock options using the Black-Scholes option-pricing model, which requires the use of highly subjective and complex valuation assumptions to determine the fair value of stock-based awards, including the option’s expected term, the expected volatility of the underlying stock, the risk-free interest rate, and the expected dividend yield. For purposes of the Black-Scholes valuation model, the Company used the simplified method for determining the expected term of the granted stock options since the Company does not have adequate historical data to utilize in calculating the expected term. The grant date fair value of stock options granted was calculated using the following weighted average assumptions: </w:t>
      </w:r>
    </w:p>
    <w:tbl>
      <w:tblPr>
        <w:tblW w:w="5527" w:type="dxa"/>
        <w:jc w:val="left"/>
        <w:tblInd w:w="0" w:type="dxa"/>
        <w:tblLayout w:type="fixed"/>
        <w:tblCellMar>
          <w:top w:w="28" w:type="dxa"/>
          <w:left w:w="28" w:type="dxa"/>
          <w:bottom w:w="28" w:type="dxa"/>
          <w:right w:w="28" w:type="dxa"/>
        </w:tblCellMar>
      </w:tblPr>
      <w:tblGrid>
        <w:gridCol w:w="2086"/>
        <w:gridCol w:w="146"/>
        <w:gridCol w:w="570"/>
        <w:gridCol w:w="178"/>
        <w:gridCol w:w="901"/>
        <w:gridCol w:w="146"/>
        <w:gridCol w:w="502"/>
        <w:gridCol w:w="157"/>
        <w:gridCol w:w="8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RSU activity under the 2021 Plan during the periods presented:</w:t>
      </w:r>
    </w:p>
    <w:tbl>
      <w:tblPr>
        <w:tblW w:w="8737" w:type="dxa"/>
        <w:jc w:val="left"/>
        <w:tblInd w:w="0" w:type="dxa"/>
        <w:tblLayout w:type="fixed"/>
        <w:tblCellMar>
          <w:top w:w="28" w:type="dxa"/>
          <w:left w:w="28" w:type="dxa"/>
          <w:bottom w:w="28" w:type="dxa"/>
          <w:right w:w="28" w:type="dxa"/>
        </w:tblCellMar>
      </w:tblPr>
      <w:tblGrid>
        <w:gridCol w:w="2866"/>
        <w:gridCol w:w="146"/>
        <w:gridCol w:w="146"/>
        <w:gridCol w:w="931"/>
        <w:gridCol w:w="166"/>
        <w:gridCol w:w="146"/>
        <w:gridCol w:w="1228"/>
        <w:gridCol w:w="2717"/>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three months ended June 30, 2025 and 2024, the Company recorded stock-based compensation expense of $2.5 million and $2.3 million related to the RSUs, respectively. During the six months ended June 30, 2025 and 2024, the Company recorded stock-based compensation expense of $5.0 million and $4.6 million related to the RSUs, respectively. As of June 30, 2025, the unrecognized stock-based compensation expense relating to RSUs was $21.0 million, which is expected to be recognized over a weighted-average period of approximately 2.6 years. </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six months, with the first offering period typically beginning in the second quarter, and the second offering period typically beginning in the fourth quarter. The purchase of shares for participants in the ESPP occurs at the conclusion of each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509,379 and 491,313 shares on January 1, 2025 and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2025 and December 31, 2024, there were 1,996,797 and 1,631,076 shares of common stock available for issuance under the ESPP, respectively.</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2025, participants purchased 143,658 shares for $0.4 million under the ESPP. As of June 30, 2025, the Company has collected payroll withholdings of $0.1 million in the current offering period for the purchase of shares under the ESPP. The Company recorded stock-based compensation expense of $0.1 million related to the ESPP for the three months ended June 30, 2025 and 2024. The Company recorded stock-based compensation expense of $0.2 million related to the ESPP for the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shares issuable under the ESPP was calculated using the Black-Scholes valuation model using the following assumptions:</w:t>
      </w:r>
    </w:p>
    <w:p>
      <w:pPr>
        <w:pStyle w:val="TextBody"/>
        <w:bidi w:val="0"/>
        <w:spacing w:before="120" w:after="283"/>
        <w:jc w:val="left"/>
        <w:rPr/>
      </w:pPr>
      <w:r>
        <w:rPr/>
        <w:t> </w:t>
      </w:r>
    </w:p>
    <w:tbl>
      <w:tblPr>
        <w:tblW w:w="9379" w:type="dxa"/>
        <w:jc w:val="left"/>
        <w:tblInd w:w="0" w:type="dxa"/>
        <w:tblLayout w:type="fixed"/>
        <w:tblCellMar>
          <w:top w:w="28" w:type="dxa"/>
          <w:left w:w="28" w:type="dxa"/>
          <w:bottom w:w="28" w:type="dxa"/>
          <w:right w:w="28" w:type="dxa"/>
        </w:tblCellMar>
      </w:tblPr>
      <w:tblGrid>
        <w:gridCol w:w="2086"/>
        <w:gridCol w:w="146"/>
        <w:gridCol w:w="1561"/>
        <w:gridCol w:w="146"/>
        <w:gridCol w:w="1771"/>
        <w:gridCol w:w="146"/>
        <w:gridCol w:w="1561"/>
        <w:gridCol w:w="146"/>
        <w:gridCol w:w="18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8192"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and six months ended June 30, 2025 and 2024, basic net loss per share is the same as diluted net loss per share as the inclusion of potentially dilutive shares would have been antidilutive if included in the calculation.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49,903,386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51,557,686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49,694,825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tbl>
      <w:tblPr>
        <w:tblW w:w="4959" w:type="dxa"/>
        <w:jc w:val="left"/>
        <w:tblInd w:w="0" w:type="dxa"/>
        <w:tblLayout w:type="fixed"/>
        <w:tblCellMar>
          <w:top w:w="28" w:type="dxa"/>
          <w:left w:w="28" w:type="dxa"/>
          <w:bottom w:w="28" w:type="dxa"/>
          <w:right w:w="28" w:type="dxa"/>
        </w:tblCellMar>
      </w:tblPr>
      <w:tblGrid>
        <w:gridCol w:w="2071"/>
        <w:gridCol w:w="146"/>
        <w:gridCol w:w="146"/>
        <w:gridCol w:w="1036"/>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9,597,040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the CODM: (i) assesses operating performance on a regular basis, (ii) makes resource allocation decisions, and (iii) designates responsibilities of his direct reports. The Company’s operating segments, which also qualify as reportable segments include: (i) Surgical Glaucoma and (ii) Dry Eye. These segments are generally determined based on the decision-making structure and the grouping of similar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uses segment gross profit to assess the operating performance and make resource allocation decisions for each of its segments. Segment gross profit represents revenue reduced by cost of goods sold within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assessing performance. The Company evaluated the monthly executive reporting package and did not identify any significant or other expenses for disclosure that are not already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tbl>
      <w:tblPr>
        <w:tblW w:w="8137" w:type="dxa"/>
        <w:jc w:val="left"/>
        <w:tblInd w:w="0" w:type="dxa"/>
        <w:tblLayout w:type="fixed"/>
        <w:tblCellMar>
          <w:top w:w="28" w:type="dxa"/>
          <w:left w:w="28" w:type="dxa"/>
          <w:bottom w:w="28" w:type="dxa"/>
          <w:right w:w="28" w:type="dxa"/>
        </w:tblCellMar>
      </w:tblPr>
      <w:tblGrid>
        <w:gridCol w:w="2676"/>
        <w:gridCol w:w="146"/>
        <w:gridCol w:w="211"/>
        <w:gridCol w:w="736"/>
        <w:gridCol w:w="166"/>
        <w:gridCol w:w="146"/>
        <w:gridCol w:w="211"/>
        <w:gridCol w:w="736"/>
        <w:gridCol w:w="166"/>
        <w:gridCol w:w="146"/>
        <w:gridCol w:w="211"/>
        <w:gridCol w:w="736"/>
        <w:gridCol w:w="166"/>
        <w:gridCol w:w="146"/>
        <w:gridCol w:w="211"/>
        <w:gridCol w:w="736"/>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H.R.1 - One Big Beautiful Bill Act ("OBBBA") was enacted into law.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Company is currently assessing the impact on its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Part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0" w:after="120"/>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Surgical Glaucoma and Dry Eye. Our Surgical Glaucoma revenue consists of sales of our OMNI® Surgical System family of products ("OMNI"), currently comprised of our Ergo Series OMNI Surgical System and OMNI Edge Surgical System, and the SION® Surgical Instrument ("SION"), while our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also sell OMNI in several other countries in Europe through distributors. </w:t>
      </w:r>
    </w:p>
    <w:p>
      <w:pPr>
        <w:pStyle w:val="TextBody"/>
        <w:bidi w:val="0"/>
        <w:spacing w:before="0" w:after="120"/>
        <w:jc w:val="left"/>
        <w:rPr>
          <w:rFonts w:ascii="Times New Roman" w:hAnsi="Times New Roman"/>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w:t>
      </w:r>
      <w:r>
        <w:rPr>
          <w:rFonts w:ascii="Times New Roman" w:hAnsi="Times New Roman"/>
          <w:color w:val="231F20"/>
          <w:sz w:val="20"/>
        </w:rPr>
        <w:t>HOPDs"),</w:t>
      </w:r>
      <w:r>
        <w:rPr>
          <w:rFonts w:ascii="Times New Roman" w:hAnsi="Times New Roman"/>
          <w:color w:val="000000"/>
          <w:sz w:val="20"/>
        </w:rPr>
        <w:t xml:space="preserve"> which are typically reimbursed by Medicare or private payors for procedures using our products. We are focused on educating surgeons on the clinical benefits of earlier interventions with the comprehensive OMNI procedure, engagement efforts with accounts in light of reimbursement clarity, enhanced competitive counter selling, investments in targeted commercial resources, pseudophakic standalone market development, and the recent launch of our OMNI Edge Surgical System, an expansion of the OMNI family.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sell TearCare to ECPs. Currently, there is no meaningful reimbursement coverage by Medicare or private payors for DED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In the fourth quarter of 2024, we instituted a price increase for our TearCare products to reflect the clinical value of our technology as part of our strategy to establish broader coverage with commercial payors and Medicare. This increase materially reduced customer demand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TearCare in the fourth quarter of 2024 and the first half of 2025, and we believe it will continue to impact demand in the future unless and until broader reimbursement coverage can be established.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dedicated meaningful resources to execute our commercial strategy, while also seeking to reduce operating expenses and improve cost efficiencies to better align our operating structure for long-term, profitable growth. The overall success of our approach to eyecare to date is evidenced by over 330,000 estimated uses of Surgical Glaucoma products and their predicates in over 2,200 hospitals and ASCs in the U.S. and Europe, and over 70,000 estimated uses of TearCare in over 1,500 eyecare facilities in the U.S. through June 30,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current suppliers will be adequate to meet our current and anticipated manufacturing needs across all of our product lines. However, as part of our long-term manufacturing strategy, we are actively expanding third party manufacturing capacity and options for our products which we expect to be available to us starting in the first quarter of 2026 for certain products. We plan to continue to utilize third party contract manufacturers for our products and any related components.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Revenue in our Surgical Glaucoma segment for the six-months ended June 30, 2025 and 2024 was $36.3 million and $38.5 million, respectively, with gross margins for the same periods of 86.1% and 88.0%, respectively. Revenue in our Dry Eye segment for the six-months ended June 30, 2025 and 2024 was $0.7 million and $2.1 million, respectively, with gross margins for the same periods of 55.8% and 44.4%, respectively. For the six-months ended June 30, 2025, we generated more than 90% of our revenue from customers in the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Surgical Glaucoma revenue was down for the six months ended June 30, 2025 compared to the same period in 2024 due to a number of factors, including reimbursement coverage changes and increased competition from other MIGS devices. We expect to continue to experience adverse revenue impacts arising out of the restrictions on the performance of multiple MIGS procedures in combination with cataract surgery for Medicare patients in the jurisdictions administered by the five Medicare Administrative Contractors (“MACS”) that issued the local coverage determinations (“LCDs”) containing such restrictions, which restrictions became effective in the fourth quarter of 2024. We believe that these restrictions have led to a decrease in the number of overall MIGS devices used in procedures that are being performed, including procedures utilizing our OMNI technology. In addition, we expect our Surgical Glaucoma gross margins will be adversely impacted in 2025 by the tariffs imposed by the U.S. on China, since most of our OMNI and SION products are currently produced and assembled by a Taiwan-based manufacturer in China. In the six months ended June 30, 2025, we incurred increased cost of goods sold associated with tariff-related expenses of $0.1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Dry Eye revenue was down for the six months ended June 30, 2025 compared to the same period in 2024 due to lower demand in the Dry Eye segment resulting from our increase in TearCare component pricing which took effect on October 1, 2024, as part of our strategy to achieve reimbursed market access for the TearCare procedure, though there is no guarantee as to the timing of reimbursement decisions or the amount of reimbursement.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our Dry Eye gross margins could be adversely impacted in future periods by the tariffs imposed by the U.S. on China, since most of our TearCare SmartLids, are produced and assembled by a Taiwan-based manufacturer in China. However, there was no tariff impact for the six months ended June 30, 2025 due to our usage of inventory purchased prior to the implementation of these tariffs.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Dry Eye gross margin to improve over time as market access expands, although these improvements may be partially offset by the impact of tariffs.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market segment with a focus on pseudophakic patients whose IOP is not well-controlled on two or more medications and who are at risk of disease progression, and (iii) increasing customer advocacy and pursuing equitable reimbursement including establishing coverage and/or payment rates for TearCare;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enhance and improve upon our existing product technologies;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 our existing international markets and expand into new international markets;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allow us to create transformational and interventional technology innovation with new products, devices or drugs, in glaucoma and ocular surface disease or in new eye disease areas.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 equity financing to fund our operations and planned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our primary sources of capital have been private placements of redeemable convertible preferred stock, debt financing agreements, the sale of common stock in our initial public offering (“IPO”), and revenue from the sale of our products. As of June 30, 2025, we had cash and cash equivalents of $101.5 million, an accumulated deficit of $372.4 million and an outstanding interest-bearing term loan balance of $40.0 million plus a $2.4 million final payment under the Hercules Loan Agreement (excluding debt discount and amortized debt issuance costs).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Factors Affecting Our Business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will continue to impact our business, financial condition, and results of operations. Except as described in Part II, Item 1A, "Risk Factors," of this Quarterly Report, there have been no material changes to such factors from those described in our Annual Report under the heading "Factors Affecting Our Business and Results of Operations."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currently derive the majority of our U.S. revenue from the sale of our OMNI and SION products to ASCs and HOPDs and from the sale of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six months ended June 30, 2025 and 2024.</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calculate gross profit as revenue minus cost of goods sold. We calculate gross margin as gross profit divided by revenue. Our gross profit and gross margin have been, and we believe they will continue to be, affected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by a variety of factors, including differences in segment gross profit and gross margins, changes in average selling prices, changes in product reimbursement rates, product sales mix, production and ordering volumes, manufacturing, tariff and freight costs, product yields, and headcount. In general, we expect our gross profit to increase over time as our revenue increases, and we expect our gross margins to increase over the long term to the extent our production and ordering volumes increase and as we spread the fixed portion of our overhead costs over a larger number of units produced.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intend to use our design, engineering and manufacturing know-how and capabilities to further advance and improve the efficiency of our suppliers’ manufacturing processes, which we believe will reduce costs and increase our gross margins. However, we expect our gross margins will be adversely impacted by the tariffs imposed by the U.S. on China and other manufacturing countries of origin for our products for as long as the tariffs are in effect. Most of our OMNI and SION products, as well as our TearCare SmartLids, are currently produced and assembled by a Taiwanese manufacturer out of its China manufacturing facilities; however we expect that a portion of our product volumes will be produced in additional manufacturing facilities outside of China starting with our OMNI Edge product line in the first quarter of 2026, with additional products added in 2026.</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Our gross margins could fluctuate from quarter to quarter due to a number of factors, including variations in product mix, changes in product reimbursement rates or average selling prices,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China, and other countries.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SG&amp;A expenses as a percentage of revenue may vary over time depending on the level and timing of commercial expansion efforts. We expect our SG&amp;A expenses to increase for the next several years as we continue to invest in our commercial team and market access initiatives and launch new products.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0" w:after="120"/>
        <w:jc w:val="left"/>
        <w:rPr>
          <w:rFonts w:ascii="Times New Roman" w:hAnsi="Times New Roman"/>
          <w:sz w:val="20"/>
        </w:rPr>
      </w:pPr>
      <w:r>
        <w:rPr>
          <w:rFonts w:ascii="Times New Roman" w:hAnsi="Times New Roman"/>
          <w:color w:val="000000"/>
          <w:sz w:val="20"/>
        </w:rPr>
        <w:t>I</w:t>
      </w:r>
      <w:r>
        <w:rPr>
          <w:rFonts w:ascii="Times New Roman" w:hAnsi="Times New Roman"/>
          <w:color w:val="231F20"/>
          <w:sz w:val="20"/>
        </w:rPr>
        <w:t>nvestment income primarily consists of interest and amortization on held-to-maturity investments in U.S. treasury securities and money market funds.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accretion of debt discount and amortization of debt issuance costs associated with the Term Loans.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loss on debt extinguishment is associated with the termination and settlement of the Prior Loan Agreement.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Other income (expense), net primarily consists of income and expenses that do not originate from our primary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Comparison of the Three Months Ended June 30, 2025 and 2024 (dollars in thousands)</w:t>
      </w:r>
    </w:p>
    <w:tbl>
      <w:tblPr>
        <w:tblW w:w="8712" w:type="dxa"/>
        <w:jc w:val="left"/>
        <w:tblInd w:w="0" w:type="dxa"/>
        <w:tblLayout w:type="fixed"/>
        <w:tblCellMar>
          <w:top w:w="28" w:type="dxa"/>
          <w:left w:w="28" w:type="dxa"/>
          <w:bottom w:w="28" w:type="dxa"/>
          <w:right w:w="28" w:type="dxa"/>
        </w:tblCellMar>
      </w:tblPr>
      <w:tblGrid>
        <w:gridCol w:w="3156"/>
        <w:gridCol w:w="146"/>
        <w:gridCol w:w="211"/>
        <w:gridCol w:w="736"/>
        <w:gridCol w:w="271"/>
        <w:gridCol w:w="146"/>
        <w:gridCol w:w="211"/>
        <w:gridCol w:w="736"/>
        <w:gridCol w:w="271"/>
        <w:gridCol w:w="146"/>
        <w:gridCol w:w="211"/>
        <w:gridCol w:w="631"/>
        <w:gridCol w:w="166"/>
        <w:gridCol w:w="146"/>
        <w:gridCol w:w="146"/>
        <w:gridCol w:w="57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was $19.6 million during the three months ended June 30, 2025, a decrease of $1.8 million, or 8.5% compared to $21.4 million in the prior year comparable period. Our Surgical Glaucoma revenue for the three months ended June 30, 2025 was $19.2 million, a decrease of $1.0 million, or 5.0%, from the prior year comparable period. The overall decrease in Surgical Glaucoma revenue was primarily attributable to a decrease in the number of OMNI units sold in the comparable periods. This decrease was primarily driven by a decrease in unit utilization per ordering facility, primarily due to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Dry Eye revenue for the three months ended June 30, 2025 was $0.3 million, a decrease of $0.8 million, or 70.4%, from the prior year comparable period. The overall decrease in Dry Eye revenue was primarily due to decreased volumes of SmartLids purchased, and fewer new customers added in the period, which led to lower SmartHub revenue. The primary reason that fewer products were sold was due to our focus on the next phase of our commercial strategy for the Dry Eye segment, which involves achieving reimbursed market access for our TearCare products instead of generating sales through a cash-pay model.</w:t>
      </w:r>
    </w:p>
    <w:p>
      <w:pPr>
        <w:pStyle w:val="TextBody"/>
        <w:bidi w:val="0"/>
        <w:spacing w:before="0" w:after="120"/>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$3.0 million during the three months ended June 30, 2025, flat compared to $3.0 million in the prior year comparable period. Our Surgical Glaucoma cost of goods sold increased $0.3 million as compared to the prior year comparable period. The increase was primarily driven by higher overhead costs per unit, tariff costs, and product sales mix, partially offset by higher average selling prices. Our Dry Eye cost of goods sold decreased $0.4 million in the three months ended June 30, 2025 compared to the prior year comparable period, primarily driven by lower revenue.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Our total gross profit was $16.6 million in the three months ended June 30, 2025, a decrease of $1.8 million from the prior year comparable period. Our gross margin for the three months ended June 30, 2025 decreased to 84.8%, from 85.8% in the prior year comparable period. Gross margin in our Surgical Glaucoma segment was 85.6% for the three months ended June 30, 2025, a decrease from 88.0% for the prior year comparable period, primarily due to higher overhead costs per unit, tariff costs, and product sales mix. In our Dry Eye segment, gross margin decreased from 46.5% for the three months ended June 30, 2024 to 38.4% for the three months ended June 30, 2025, primarily driven by product sales mix and higher overhead costs per unit associated with lower sales volumes.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were $4.4 million for the three months ended June 30, 2025, an increase of less than $0.1 million from the prior year comparable period. R&amp;D expenses were consistent in the comparative periods with slightly lower general R&amp;D expenses and payroll expenses, partially offset by increased spending in other areas in the prior period.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SG&amp;A expenses were $23.9 million for the three months ended June 30, 2025, a decrease of $2.8 million from the prior year comparable period. The decrease was primarily driven by a $2.3 million decrease in legal expenses, a $0.6 million decrease in stock-based compensation expenses, and a $0.3 million decrease in commissions and bonuses. Partially offsetting these expense decreases was a $0.4 million increase in payroll-related expenses. </w:t>
      </w:r>
    </w:p>
    <w:p>
      <w:pPr>
        <w:pStyle w:val="TextBody"/>
        <w:bidi w:val="0"/>
        <w:spacing w:before="0" w:after="120"/>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$1.0 million for the three months ended June 30, 2025, a decrease of $0.5 million from the prior year comparable period, due to lower investment balances as well as lower yields on held-to-maturity investments during the current period. </w:t>
      </w:r>
    </w:p>
    <w:p>
      <w:pPr>
        <w:pStyle w:val="TextBody"/>
        <w:bidi w:val="0"/>
        <w:spacing w:before="0" w:after="12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increased $0.1 million during the three months ended June 30, 2025 compared to the prior year comparable period, due to higher outstanding principal balances on the Hercules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was no loss on debt extinguishment for either of the three months ended June 30, 2025 and 2024. </w:t>
      </w:r>
    </w:p>
    <w:p>
      <w:pPr>
        <w:pStyle w:val="TextBody"/>
        <w:bidi w:val="0"/>
        <w:spacing w:before="0" w:after="12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income of less than $0.1 million for the three months ended June 30, 2025, compared to expense of less than $0.1 million for the prior year comparable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Comparison of the Six Months Ended June 30, 2025 and 2024 (dollars in thousands)</w:t>
      </w:r>
    </w:p>
    <w:tbl>
      <w:tblPr>
        <w:tblW w:w="8772" w:type="dxa"/>
        <w:jc w:val="left"/>
        <w:tblInd w:w="0" w:type="dxa"/>
        <w:tblLayout w:type="fixed"/>
        <w:tblCellMar>
          <w:top w:w="28" w:type="dxa"/>
          <w:left w:w="28" w:type="dxa"/>
          <w:bottom w:w="28" w:type="dxa"/>
          <w:right w:w="28" w:type="dxa"/>
        </w:tblCellMar>
      </w:tblPr>
      <w:tblGrid>
        <w:gridCol w:w="3156"/>
        <w:gridCol w:w="146"/>
        <w:gridCol w:w="211"/>
        <w:gridCol w:w="736"/>
        <w:gridCol w:w="271"/>
        <w:gridCol w:w="146"/>
        <w:gridCol w:w="211"/>
        <w:gridCol w:w="736"/>
        <w:gridCol w:w="271"/>
        <w:gridCol w:w="146"/>
        <w:gridCol w:w="211"/>
        <w:gridCol w:w="631"/>
        <w:gridCol w:w="166"/>
        <w:gridCol w:w="146"/>
        <w:gridCol w:w="146"/>
        <w:gridCol w:w="63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was $37.1 million during the six months ended June 30, 2025, a decrease of $3.6 million, or 8.8% compared to $40.6 million in the prior year comparable period. Our Surgical Glaucoma revenue for the six months ended June 30, 2025 was $36.3 million, a decrease of $2.2 million, or 5.6%, from the prior year comparable period. The overall decrease in Surgical Glaucoma revenue was primarily attributable to a decrease in the number of OMNI units sold in the current period compared to the prior year comparable period. This decrease was primarily driven by a decrease in unit utilization per ordering facility, primarily due to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Dry Eye revenue for the six months ended June 30, 2025 was $0.7 million, a decrease of $1.4 million, or 65.9%, from the prior year comparable period. The overall decrease in Dry Eye revenue was primarily due to decreased volumes of SmartLids purchased after our TearCare System price increases that went into effect on October 1, 2024 and fewer new customers added in the period, which led to lower SmartHub revenue. The primary reason that fewer products were sold was due to our focus on the next phase of our commercial strategy for the Dry Eye segment, which involves achieving reimbursed market access for our TearCare products instead of adding customers through a cash-pay model.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$5.4 million during the six months ended June 30, 2025, a decrease of $0.4 million from $5.8 million in the prior year comparable period. Our Surgical Glaucoma cost of goods sold increased $0.4 million as compared to the prior year comparable period. The increase was primarily driven by higher overhead costs per unit, tariff costs, and product sales mix.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Dry Eye cost of goods sold decreased $0.9 million in the six months ended June 30, 2025 compared to the prior year comparable period, primarily driven by lower revenue resulting from the shift in pricing strategy, partially offset by higher average selling prices.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Our total gross profit was $31.7 million in the six months ended June 30, 2025, a decrease of $3.1 million from the prior year comparable period. Our gross margin for the six months ended June 30, 2025 decreased to 85.5%, from 85.7% in the prior year comparable period. Gross margin in our Surgical Glaucoma segment was 86.1% for the six months ended June 30, 2025, a decrease from 88.0% for the prior year comparable period, primarily due to product sales mix and higher overhead costs per unit. In our Dry Eye segment, gross margin increased from 44.4% for the six months ended June 30, 2024 to 55.8% for the six months ended June 30, 2025, primarily driven by the price increase for our TearCare SmartLids.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R&amp;D expenses were $8.8 million for the six months ended June 30, 2025, a decrease of $0.1 million from the prior year comparable period. R&amp;D expenses were consistent period over period, with a slight decline in payroll expenses and general R&amp;D expense from the prior year comparable period, which were partially offset by increased spending in other areas.</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SG&amp;A expenses were $48.4 million for the six months ended June 30, 2025, a decrease of $4.8 million from the prior year comparable period. The decrease was primarily driven by a $5.3 million decrease in legal expenses, a $1.0 million decrease in stock-based compensation expenses, and a $0.7 million decrease in commissions and bonuses. These declines were partially offset by a $1.1 million increase in sales training and marketing costs, and a $1.0 million increase in payroll-related expenses. </w:t>
      </w:r>
    </w:p>
    <w:p>
      <w:pPr>
        <w:pStyle w:val="TextBody"/>
        <w:bidi w:val="0"/>
        <w:spacing w:before="0" w:after="120"/>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$2.2 million for the six months ended June 30, 2025, a decrease of $1.0 million from the prior year comparable period, due to lower investment balances as well as lower yields on held-to-maturity investments during the current period. </w:t>
      </w:r>
    </w:p>
    <w:p>
      <w:pPr>
        <w:pStyle w:val="TextBody"/>
        <w:bidi w:val="0"/>
        <w:spacing w:before="0" w:after="12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increased $0.2 million during the six months ended June 30, 2025 compared to the prior year comparable period, due to higher outstanding principal balances associated with the Hercules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was no loss on debt extinguishment for the six months ended June 30, 2025. We recognized loss on debt extinguishment of $2.0 million for the six months ended June 30, 2024, associated with refinancing the indebtedness under our prior secured credit facility (the “Prior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expense, net was expense of $0.1 million for the six months ended June 30, 2025, compared to expense of less than $0.1 million for the prior year comparable period.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Net Cash Used in Operating Activities. </w:t>
      </w:r>
      <w:r>
        <w:rPr>
          <w:rFonts w:ascii="Times New Roman" w:hAnsi="Times New Roman"/>
          <w:color w:val="000000"/>
          <w:sz w:val="20"/>
        </w:rPr>
        <w:t xml:space="preserve">Net cash used in operating activities for the six months ended June 30, 2025 was $19.1 million, consisting primarily of a net loss of $26.1 million, as well as a net change in our operating assets and liabilities of $2.2 million, partially offset by non-cash charges of $9.1 million. The net change in our operating assets and liabilities was primarily due to a $4.5 million decrease in accrued compensation. This change was partially offset by a $1.1 million decrease in accounts receivable, a $0.4 million increase in accounts payable,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and a $0.1 million decrease in our inventory balance. The non-cash charges primarily consisted of $8.1 million related to stock-based compensation expense, $0.5 million of accretion of debt discount and debt issuance costs, $0.3 million of depreciation and amortization, and $0.2 million of noncash operating lease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2024 was $19.3 million, consisting primarily of a net loss of $28.6 million, as well as a net change in our operating assets and liabilities of $1.4 million, partially offset by non-cash charges of $10.7 million. The net change in our operating assets and liabilities was primarily due to a $5.7 million increase in accounts receivable and a $1.3 million decrease in other noncurrent liabilities. Accrued and other current liabilities increased $1.9 million, while both inventory and prepaid expenses and other current assets increased by $1.2 million. In addition, accrued compensation increased by $0.9 million and accounts payable increased by $0.6 million. The non-cash charges primarily consisted of $8.8 million related to stock-based compensation expense, $1.0 million of noncash loss on the extinguishment of debt, $0.4 million of depreciation and amortization and $0.3 million of noncash operating lease expense.</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Used in Investing Activities. </w:t>
      </w:r>
      <w:r>
        <w:rPr>
          <w:rFonts w:ascii="Times New Roman" w:hAnsi="Times New Roman"/>
          <w:color w:val="000000"/>
          <w:sz w:val="20"/>
        </w:rPr>
        <w:t>Net cash used in investing activities for both the six months ended June 30, 2025 and 2024 was $0.2 million. The cash used in both periods was for purchases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(Used in) Provided by Financing Activities. </w:t>
      </w:r>
      <w:r>
        <w:rPr>
          <w:rFonts w:ascii="Times New Roman" w:hAnsi="Times New Roman"/>
          <w:color w:val="000000"/>
          <w:sz w:val="20"/>
        </w:rPr>
        <w:t xml:space="preserve">Net cash provided by financing activities for the six months ended June 30, 2025 was $0.5 million, consisting primarily of proceeds from the exercise of stock options and proceeds from employee stock plan purchases. Net cash used in financing activities for the six months ended June 30, 2024 was $0.5 million, consisting primarily of the costs associated with the refinancing of the outstanding term loan agreement.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the Prior Loan Agreement with our prior lenders. In December 2024, we consummated the drawdown of the $5.0 million Tranche I(b) term loan advance (the "Tranche I(b) Loan") contemplated by the Hercules Loan Agreement.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June 30, 2025, we had cash and cash equivalents of $101.5 million, an accumulated deficit of $372.4 million, and an outstanding term loan balance of $40.0 million </w:t>
      </w:r>
      <w:r>
        <w:rPr>
          <w:rFonts w:ascii="Times New Roman" w:hAnsi="Times New Roman"/>
          <w:color w:val="000000"/>
          <w:sz w:val="20"/>
        </w:rPr>
        <w:t xml:space="preserve">plus a $2.4 million final payment </w:t>
      </w:r>
      <w:r>
        <w:rPr>
          <w:rFonts w:ascii="Times New Roman" w:hAnsi="Times New Roman"/>
          <w:color w:val="231F20"/>
          <w:sz w:val="20"/>
        </w:rPr>
        <w:t>under the Hercules Loan Agreement (</w:t>
      </w:r>
      <w:r>
        <w:rPr>
          <w:rFonts w:ascii="Times New Roman" w:hAnsi="Times New Roman"/>
          <w:color w:val="000000"/>
          <w:sz w:val="20"/>
        </w:rPr>
        <w:t xml:space="preserve">excluding </w:t>
      </w:r>
      <w:r>
        <w:rPr>
          <w:rFonts w:ascii="Times New Roman" w:hAnsi="Times New Roman"/>
          <w:color w:val="231F20"/>
          <w:sz w:val="20"/>
        </w:rPr>
        <w:t xml:space="preserve">debt discount </w:t>
      </w:r>
      <w:r>
        <w:rPr>
          <w:rFonts w:ascii="Times New Roman" w:hAnsi="Times New Roman"/>
          <w:color w:val="000000"/>
          <w:sz w:val="20"/>
        </w:rPr>
        <w:t>and amortized debt issuance costs</w:t>
      </w:r>
      <w:r>
        <w:rPr>
          <w:rFonts w:ascii="Times New Roman" w:hAnsi="Times New Roman"/>
          <w:color w:val="231F20"/>
          <w:sz w:val="20"/>
        </w:rPr>
        <w:t>). Based on our current planned operations, we expect our cash and cash equivalents balance, as well as other sources of liquidity, will enable us to fund our operations for at least the next 12 months and the foreseeable future.</w:t>
      </w:r>
    </w:p>
    <w:p>
      <w:pPr>
        <w:pStyle w:val="TextBody"/>
        <w:bidi w:val="0"/>
        <w:spacing w:before="120" w:after="120"/>
        <w:jc w:val="left"/>
        <w:rPr>
          <w:rFonts w:ascii="Times New Roman" w:hAnsi="Times New Roman"/>
          <w:sz w:val="20"/>
        </w:rPr>
      </w:pPr>
      <w:r>
        <w:rPr>
          <w:rFonts w:ascii="Times New Roman" w:hAnsi="Times New Roman"/>
          <w:color w:val="231F20"/>
          <w:sz w:val="20"/>
        </w:rPr>
        <w:t>Our historical cash outflows have primarily been associated with cash used for operating activities such as sales, marketing and commercialization of our products, research and development activities, regulatory and market access activities, intellectual property enforcement and portfolio expansion,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Surgical Glaucoma products and establishing sufficient reimbursement for our Dry Eye products; the level of our investment in commercialization and research and development activities, including clinical trials; whether we enter into any strategic acquisitions or investments, and the timing and amount of the associated capital expenditures; our entry and expansion into new markets; the outcome of our litigation against Alcon, including receipt of any final, non-appealable award thereunder;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 For example,</w:t>
      </w:r>
      <w:r>
        <w:rPr>
          <w:rFonts w:ascii="Times New Roman" w:hAnsi="Times New Roman"/>
          <w:color w:val="000000"/>
          <w:sz w:val="20"/>
        </w:rPr>
        <w:t xml:space="preserve"> the U.S. has recently imposed tariffs that apply to all of our products and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components imported from China, which will increase the cost of our products and components and have a negative impact on our gross margins and liquidity.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1(b) Loan, the Hercules Loan Agreement provides additional tranches available to us (the “Tranche Loans,” and together with the Initial Loan and the Tranche I(b) Loan, the “Term Loans). Tranche 2 consisted of $10.0 million available to draw through September 15, 2025, contingent upon the achievement of certain performance milestones prior to June 30, 2025, which milestones were not met and thus this Tranche 2 is not available to the Company. Tranche 3 consists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provides for a maturity date of July 1, 2028, with an interest only period running for the first 30 months of the agreement term. This interest-only period was extendable for an additional six months for a total of 36 months upon the achievement of certain performance milestones prior to June 30, 2025; these milestones were not met by the June 30, 2025 deadline and thus the six-month extension of the interest only period is not available to the Company. The Term Loans accrue interest at a floating annual rate equal to the greater of 10.35%, or the Wall Street Journal prime rate plus 2.35%, with the interest rate equal to 10.35% at June 30, 2025.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we issued warrants to the Lenders to purchase up to an aggregate of 135,686 shares of our common stock at an exercise price of $5.159 per share, which were recorded and classified as equity. On December 10, 2024, upon the funding of the Tranche I(b) Loan, we issued additional warrants to the Lenders to purchase 26,095 shares of our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June 30,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corporate headquarters are located in Menlo Park, California, where we lease approximately 11,000 square feet of office, research and development, engineering and laboratory space pursuant to a lease that commenced on August 1, 2021 and expires on October 31, 2026.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sz w:val="20"/>
        </w:rPr>
      </w:pPr>
      <w:r>
        <w:rPr>
          <w:rFonts w:ascii="Times New Roman" w:hAnsi="Times New Roman"/>
          <w:color w:val="231F20"/>
          <w:sz w:val="20"/>
        </w:rPr>
        <w:t>Our unaudited condensed consolidated financial statements included elsewhere in this Quarterly Report have been prepared in accordance with accounting principles</w:t>
      </w:r>
      <w:r>
        <w:rPr>
          <w:rFonts w:ascii="Times New Roman" w:hAnsi="Times New Roman"/>
          <w:color w:val="000000"/>
          <w:sz w:val="20"/>
        </w:rPr>
        <w:t xml:space="preserve"> generally accepted in the United States of America</w:t>
      </w:r>
      <w:r>
        <w:rPr>
          <w:rFonts w:ascii="Times New Roman" w:hAnsi="Times New Roman"/>
          <w:color w:val="231F20"/>
          <w:sz w:val="20"/>
        </w:rPr>
        <w:t>. The preparation of these condensed consolidated financial statements requires us to make estimates and assumptions that affect the reported amounts of assets and liabilities, disclosure of contingent liabilities, and the reported amounts of revenue and expense during the reporting period. We evaluate our estimates and assumptions on an ongoing basis using historical experience, existing and known circumstances, authoritative accounting guidance, and various other factors we believe are reasonable under the circumstances. Actual results may differ from these estimates under different assumptions or conditions and any such differences may be material.</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Part II, Item 7, “Management’s Discussion and Analysis of Financial Condition and Results of Operations” in our Annual Report under the heading “Critical Accounting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24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exposed to market risks in the ordinary course of our business. These risks primarily include interest rate risk. </w:t>
      </w:r>
      <w:r>
        <w:rPr>
          <w:rFonts w:ascii="Times New Roman" w:hAnsi="Times New Roman"/>
          <w:color w:val="000000"/>
          <w:sz w:val="19"/>
        </w:rPr>
        <w:t>Our exposure to interest rate risk is principally confined to our cash and cash equivalents and the Hercules Loan Agreement.</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As of June 30, 2025, we had cash and cash equivalents of $101.5 million, which consisted of bank deposits, money market funds, and U.S. treasury bills. </w:t>
      </w:r>
      <w:r>
        <w:rPr>
          <w:rFonts w:ascii="Times New Roman" w:hAnsi="Times New Roman"/>
          <w:color w:val="000000"/>
          <w:sz w:val="20"/>
        </w:rPr>
        <w:t>We believe that we do not have any material exposure to changes in the fair value of these assets as a result of changes in interest rates due to the short-term nature of our cash and cash equivalents.</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Hercules Loan Agreement contains a floating rate equal to the greater of 10.35% or the Prime Rate plus 2.35%, with an interest rate equal to 10.35% as of June 30, 2025. Based upon the balance outstanding as of June 30, 2025, a hypothetical 1.0% (100 basis points) change in interest rates would not have a material impact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June 30, 2025, our disclosure controls and procedures were effective at the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results of operations and liquidity.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below, we are not aware of any material changes to the risks and uncertainties described under the heading "Risk Factors" in our Annual Report, which are incorporated herein by reference. The risks described in our Annual Report are not the only ones we face. Additional risks we currently do not know about or that we currently believe to be immaterial may also impair our business, financial condition, operating results, liquidity, and future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rely on third parties to manufacture and supply all of our products, and a substantial portion of our products and components are manufactured in China. A number of our suppliers are also single-source providers. We are subject to numerous risks relating to our reliance on such third-party suppliers, including the impact of tariffs on products imported from China.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business strategy depends on our ability to manufacture our current and future products in sufficient quantities, on terms acceptable to us, and on a timely basis to meet customer demand, while adhering to product quality standards, complying with regulatory requirements, and managing manufacturing and import costs. We do not have, and do not currently intend to develop, any internal manufacturing capabilities or infrastructure, and we rely on a limited number of third-party manufacturers, many of which are single-source suppliers, for the components, accessories, materials and assembly that we utilize in our products. Specifically, most of our OMNI and SION products, as well as our TearCare SmartLids, are produced and assembled by a single Taiwan-based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manufacturer in China. These commercial products comprise substantially all of our current revenue. Our suppliers may be unwilling or unable to supply products or components to us reliably and at the levels we anticipate or that are required by our customers, or we may be unable to purchase these items on terms that are acceptable to us, or at 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suppliers must be able to provide us with products and components in compliance with regulatory requirements, including the FDA’s Quality System Regulation (“QSR”) and other applicable laws or regulations, in accordance with agreed-upon specifications, at acceptable costs and on a timely basis. If our suppliers are unable or unwilling to meet our demand requirements, we may not have enough of our products available for delivery to support ECPs that utilize our products as part of their treatment. For instance, if the supply of our products and components from our manufacturer in China was interrupted or suspended for any significant period, we may be unable to meet customer demand for these products during that time. Our ability to obtain products and components in sufficient quantities and on a timely basis from our suppliers may be limited for several reasons, including quality issues at their manufacturing facilities, damage to their manufacturing equipment or facilities, problems with their own suppliers, inability to obtain components required for our products, their financial difficulties, our relative importance as a customer to each supplier, or prohibitive cost increases associated with importing items from certain regions where our suppliers are located. Any shortfall in the supply of our products may result in lower adoption and utilization rates of our products by ECPs, as well as harm to our reputation, either of which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Geopolitical tensions between the U.S. and China, and between the U.S. and other countries, have created considerable political and economic unrest and uncertainty that may adversely impact our business. As discussed above, most of our products are produced and assembled at a manufacturing facility in China. There is currently significant uncertainty about the relationship between the U.S. and China with respect to a number of geopolitical issues, including trade policies, government regulations and tariffs, and we expect this uncertainty will continue in future periods. Commencing in February 2025, the U.S. has imposed a significant new tariff on products imported from China. The tariff rate has fluctuated significantly since its inception and may continue to vary materially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tariff applies to all of our products and product components imported from China. China has responded with certain retaliatory tariffs, and the U.S. and China could implement additional retaliatory tariffs. The China tariff has increased the cost of our products and components and will likely have a negative impact on our gross margins for as long as it remains in effect. For instance, at the previously implemented tariff rate of 145%, we expected that our Surgical Glaucoma segment’s unmitigated tariff exposure would increase its cost of goods sold by between approximately $3.5 million and $4.5 million for full year 2025. Although this 145% tariff rate was subsequently lowered, there can be no assurance that U.S. tariff rate on products imported from China will not increase again or materially and adversely affect our cost of goods sold in the future. Any further escalation in the use of retaliatory trade tariffs between the U.S. and China could cause a further increase in the cost of our products and components. There is also the risk that new tariffs could be implemented with other U.S. trading partners. These tariffs may cause supply chain disruptions and will also likely increase the shipping and other logistical costs involved in importing our products and components, which would further adversely impact our gross margins.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mitigate these risks, we are evaluating additional manufacturing locations to produce and assemble our products and are in the process of establishing additional manufacturing lines outside of China. We have also increased our inventory levels of certain products to reduce the impact of further China tariff increases. However, at least through 2025 and into 2026, we expect the substantial majority of our products will continue to be manufactured in China, and will therefore continue to be subject to the prevailing tariff rates.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process of identifying and qualifying additional manufacturing facilities could be time-consuming and expensive, result in interruptions in our operations, cause delays in the supply of our products, or affect the quality or performance specifications of our products. We cannot assure you that we will be able to identify and engage additional contract manufacturers on terms similar to our current arrangements or that are otherwise favorable to us. In addition, we cannot guarantee that the cost associated with obtaining products and components from an additional manufacturer, including any associated tariffs, will be lower than the costs associated with obtaining products from our current manufacturers, or that any reduction in the costs will be sufficient to offset the cost of adding new manufacturers. Furthermore, any change in our manufacturers could require us to complete another qualification process at the manufacturer’s facility, and there is no guarantee the facility would pass our quality audit. The occurrence of any of these events could increase our operating costs or harm our ability to meet the demand for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products in a timely manner, either of which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typically enter into long-term supply agreements with our third-party manufacturers and do not anticipate doing so in the near term. Accordingly, we will continue to be subject to the risk that our suppliers can cancel our agreements on relatively short notice, or that we will be unable to renew or extend contracts and arrangements with such third parties on terms that are favorable to us, or at all. These risks are likely to be exacerbated by our limited experience manufacturing our current products and negotiating agreement terms with third party manufacturers.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demand for our products increases, we will have to invest additional resources to manage the manufacturing process. If we fail to secure increased production capacity efficiently, we may not be able to respond to customer demand on a timely basis, our sales may not increase in line with our expectations, and our operating margins could fluctuate or decline. In addition, the manufacture of future products may require modification of our current production processes, the identification of new suppliers for specific components, sub-assemblies and materials, or the development of new manufacturing processes or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been party to, and may in the future become a party to intellectual property litigation or administrative proceedings that could be costly, time-consuming, unsuccessful, and could interfere with our ability to sell and market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Competitors may infringe our patents, or we may be required to enforce our patents to protect our technology. We may also be required to file suit to protect our trade secrets or may be involved in litigation defending against claims of infringement of the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September 16, 2021, we filed suit in the U.S. District Court for the District of Delaware (C.A. No. 1:21-cv-01317) (the “Court”) alleging that Ivantis, Inc. (“Ivantis”) directly and indirectly infringes our U.S. Patent Nos. 8,287,482, 9,370,443, 9,486,361, and 10,314,742 by making, using, selling, and offering for sale the Hydrus® Microstent. Our complaint sought money damages and injunctive relief. On January 24, 2022, Ivantis asserted counterclaims requesting declaratory judgments that our asserted patents-in-suit are not infringed and/or invalid. On August 1, 2022, we filed an amended complaint alleging that Alcon Inc., Alcon Vision, LLC and Alcon Research,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LLC (collectively, “Alcon”) infringe the four originally asserted patents by making, using, selling, and offering for sale the Hydrus® Microstent, and that all defendants also infringe U.S. Patent No. 11,389,328. The defendants asserted counterclaims requesting declaratory judgments that our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(“USPTO”) denied for raising prior art references and invalidity arguments that were cumulative of those previously considered by the USPTO.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April 26, 2024, at the conclusion of a five-day jury trial, we were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held an in-person hearing to hear the parties’ oral arguments on their post-trial briefings at the conclusion of which, the Court ordered the parties to engage in non-binding mediation. In early March 2025, we and Alcon informed the Court that we had not resolved our dispute through mediation and asked the Court to decide the parties’ post-trial motions and enter a judgement, which judgement will be subject to appeal. It is possible that the jury verdict that was rendered in our favor may be reduced, limited or vacated by the Court or by the appellate court if appealed.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2025, Alcon filed petitions with the USPTO for ex parte reexaminations, challenging the validity of each of the three patents that we asserted in the litigation based on prior art patents and publications. The USPTO has not yet decided whether to proceed with the reexaminations. We intend to defend our patents vigorously in front of the USPTO. However, it is possible that the April 2024 jury verdict in our favor, including our ability to collect past damages and ongoing royalties, may be materially and adversely impacted if the reexamination proceedings are instituted and result in final, non-appealable judgments of invalidity of the asserted claims of the patents-in-suit before a final, non-appealable judgment is entered by the Court in the patent infringement litigation or if the asserted claims are amended during the reexamination proceedings. For example, entry of such judgements of invalidity by the USPTO could include vacating the jury verdict and finding the patents invalid. We are presently unable to predict the outcome of this lawsuit or the ex parte reexamination proceedings or to reasonably estimate the potential financial impact of the lawsuit or ex parte reexamination proceedings on 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14, 2021, our registration statement on Form S-1 (File No. 333-257320) relating to our IPO became effective. The IPO closed on July 15, 2021, at which time we issued 11,500,000 shares of our common stock at a price of $24.00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raised in the IPO have been exhausted, and there were no material changes in the planned use of proceeds from our IPO as described in our final prospectus filed with the SEC on July 15, 2021 pursuant to Rule 424(b)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tbl>
      <w:tblPr>
        <w:tblW w:w="10011" w:type="dxa"/>
        <w:jc w:val="left"/>
        <w:tblInd w:w="0" w:type="dxa"/>
        <w:tblLayout w:type="fixed"/>
        <w:tblCellMar>
          <w:top w:w="28" w:type="dxa"/>
          <w:left w:w="28" w:type="dxa"/>
          <w:bottom w:w="28" w:type="dxa"/>
          <w:right w:w="28" w:type="dxa"/>
        </w:tblCellMar>
      </w:tblPr>
      <w:tblGrid>
        <w:gridCol w:w="1981"/>
        <w:gridCol w:w="109"/>
        <w:gridCol w:w="1186"/>
        <w:gridCol w:w="109"/>
        <w:gridCol w:w="1456"/>
        <w:gridCol w:w="109"/>
        <w:gridCol w:w="1276"/>
        <w:gridCol w:w="109"/>
        <w:gridCol w:w="3676"/>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Name &amp; 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Action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Date Adopted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Expiration Date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6" w:type="dxa"/>
            <w:tcBorders>
              <w:bottom w:val="single" w:sz="8" w:space="0" w:color="000000"/>
            </w:tcBorders>
            <w:tcMar>
              <w:top w:w="0" w:type="dxa"/>
              <w:left w:w="0" w:type="dxa"/>
              <w:right w:w="0" w:type="dxa"/>
            </w:tcMar>
            <w:vAlign w:val="center"/>
          </w:tcPr>
          <w:p>
            <w:pPr>
              <w:pStyle w:val="TableContents"/>
              <w:bidi w:val="0"/>
              <w:spacing w:before="53" w:after="283"/>
              <w:ind w:left="0" w:right="0" w:firstLine="135"/>
              <w:jc w:val="center"/>
              <w:rPr>
                <w:rFonts w:ascii="Times New Roman" w:hAnsi="Times New Roman"/>
                <w:b/>
                <w:color w:val="000000"/>
                <w:sz w:val="16"/>
              </w:rPr>
            </w:pPr>
            <w:r>
              <w:rPr>
                <w:rFonts w:ascii="Times New Roman" w:hAnsi="Times New Roman"/>
                <w:b/>
                <w:color w:val="000000"/>
                <w:sz w:val="16"/>
              </w:rPr>
              <w:t>Aggregate # of Securities to be Purchased/Sold</w:t>
            </w:r>
          </w:p>
        </w:tc>
      </w:tr>
      <w:tr>
        <w:trPr/>
        <w:tc>
          <w:tcPr>
            <w:tcW w:w="1981" w:type="dxa"/>
            <w:tcBorders/>
            <w:shd w:fill="CCEEFF" w:val="clear"/>
            <w:tcMar>
              <w:top w:w="0" w:type="dxa"/>
              <w:left w:w="0" w:type="dxa"/>
              <w:bottom w:w="0" w:type="dxa"/>
              <w:right w:w="0" w:type="dxa"/>
            </w:tcMar>
            <w:vAlign w:val="center"/>
          </w:tcPr>
          <w:p>
            <w:pPr>
              <w:pStyle w:val="TableContents"/>
              <w:bidi w:val="0"/>
              <w:spacing w:before="33" w:after="283"/>
              <w:ind w:left="0" w:right="0" w:firstLine="135"/>
              <w:jc w:val="left"/>
              <w:rPr>
                <w:rFonts w:ascii="Times New Roman" w:hAnsi="Times New Roman"/>
                <w:color w:val="000000"/>
                <w:sz w:val="20"/>
              </w:rPr>
            </w:pPr>
            <w:r>
              <w:rPr>
                <w:rFonts w:ascii="Times New Roman" w:hAnsi="Times New Roman"/>
                <w:color w:val="000000"/>
                <w:sz w:val="20"/>
              </w:rPr>
              <w:t xml:space="preserve">Jeremy B. Hayden, </w:t>
            </w:r>
          </w:p>
          <w:p>
            <w:pPr>
              <w:pStyle w:val="TableContents"/>
              <w:bidi w:val="0"/>
              <w:spacing w:before="0" w:after="30"/>
              <w:ind w:left="0" w:right="0" w:firstLine="135"/>
              <w:jc w:val="left"/>
              <w:rPr>
                <w:rFonts w:ascii="Times New Roman" w:hAnsi="Times New Roman"/>
                <w:sz w:val="20"/>
              </w:rPr>
            </w:pPr>
            <w:r>
              <w:rPr>
                <w:rFonts w:ascii="Times New Roman" w:hAnsi="Times New Roman"/>
                <w:color w:val="000000"/>
                <w:sz w:val="20"/>
              </w:rPr>
              <w:t>Chief Legal Officer</w:t>
            </w:r>
            <w:r>
              <w:rPr>
                <w:rFonts w:ascii="Times New Roman" w:hAnsi="Times New Roman"/>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Modification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August 28, 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June 12, 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CCEEFF" w:val="clear"/>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48,000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On June 13, 2025, Jeremy B. Hayden modified his existing 10b5-1 trading plan, dated August 28, 2024, to extend the expiration date from August 25. 2025 to June 12,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as disclosed above, during the three months ended June 30, 2025, none of our directors or officers adopted, terminated, or modified a Rule 10b5-1 trading arrangement or a non-Rule 10b5-1 trading arrangement.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1"/>
        <w:gridCol w:w="146"/>
        <w:gridCol w:w="3876"/>
        <w:gridCol w:w="146"/>
        <w:gridCol w:w="1370"/>
        <w:gridCol w:w="146"/>
        <w:gridCol w:w="634"/>
        <w:gridCol w:w="146"/>
        <w:gridCol w:w="676"/>
        <w:gridCol w:w="146"/>
        <w:gridCol w:w="636"/>
        <w:gridCol w:w="146"/>
        <w:gridCol w:w="1226"/>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Alison Bauerlein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Bauerlein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1906"/>
        <w:gridCol w:w="246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7, 2025</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Paul Badawi</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Alison Bauerlein,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1846"/>
        <w:gridCol w:w="382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Alison Bauerlein</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Alison Bauerlein</w:t>
              <w:b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392" w:type="dxa"/>
        <w:jc w:val="left"/>
        <w:tblInd w:w="0" w:type="dxa"/>
        <w:tblLayout w:type="fixed"/>
        <w:tblCellMar>
          <w:top w:w="28" w:type="dxa"/>
          <w:left w:w="28" w:type="dxa"/>
          <w:bottom w:w="28" w:type="dxa"/>
          <w:right w:w="28" w:type="dxa"/>
        </w:tblCellMar>
      </w:tblPr>
      <w:tblGrid>
        <w:gridCol w:w="1951"/>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7, 2025</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Badawi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her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717" w:type="dxa"/>
        <w:jc w:val="left"/>
        <w:tblInd w:w="0" w:type="dxa"/>
        <w:tblLayout w:type="fixed"/>
        <w:tblCellMar>
          <w:top w:w="28" w:type="dxa"/>
          <w:left w:w="28" w:type="dxa"/>
          <w:bottom w:w="28" w:type="dxa"/>
          <w:right w:w="28" w:type="dxa"/>
        </w:tblCellMar>
      </w:tblPr>
      <w:tblGrid>
        <w:gridCol w:w="1951"/>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7,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Alison Bauerlein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Bauerlein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22408</Words>
  <Characters>122300</Characters>
  <CharactersWithSpaces>145760</CharactersWithSpaces>
  <Paragraphs>5221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