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SIGHT SCIENCES, INC.</w:t>
      </w:r>
    </w:p>
    <w:p>
      <w:pPr>
        <w:sectPr>
          <w:pgSz w:w="11900" w:h="16838" w:orient="portrait"/>
          <w:cols w:equalWidth="0" w:num="1">
            <w:col w:w="11240"/>
          </w:cols>
          <w:pgMar w:left="320" w:top="1060"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4040 Campbell Ave, Suite 100</w:t>
      </w:r>
    </w:p>
    <w:p>
      <w:pPr>
        <w:spacing w:after="0" w:line="12"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Menlo Park, CA</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80-0625749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94025</w:t>
      </w:r>
    </w:p>
    <w:p>
      <w:pPr>
        <w:spacing w:after="0" w:line="27" w:lineRule="exact"/>
        <w:rPr>
          <w:sz w:val="24"/>
          <w:szCs w:val="24"/>
          <w:color w:val="auto"/>
        </w:rPr>
      </w:pPr>
    </w:p>
    <w:p>
      <w:pPr>
        <w:sectPr>
          <w:pgSz w:w="11900" w:h="16838" w:orient="portrait"/>
          <w:cols w:equalWidth="0" w:num="2">
            <w:col w:w="7460" w:space="480"/>
            <w:col w:w="3300"/>
          </w:cols>
          <w:pgMar w:left="320" w:top="106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(877) 266-1144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ind w:right="80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20" w:type="dxa"/>
            <w:vAlign w:val="bottom"/>
          </w:tcPr>
          <w:p>
            <w:pPr>
              <w:spacing w:after="0"/>
              <w:rPr>
                <w:sz w:val="18"/>
                <w:szCs w:val="18"/>
                <w:color w:val="auto"/>
              </w:rPr>
            </w:pPr>
          </w:p>
        </w:tc>
        <w:tc>
          <w:tcPr>
            <w:tcW w:w="2680" w:type="dxa"/>
            <w:vAlign w:val="bottom"/>
            <w:gridSpan w:val="3"/>
          </w:tcPr>
          <w:p>
            <w:pPr>
              <w:jc w:val="center"/>
              <w:ind w:right="1000"/>
              <w:spacing w:after="0"/>
              <w:rPr>
                <w:sz w:val="20"/>
                <w:szCs w:val="20"/>
                <w:color w:val="auto"/>
              </w:rPr>
            </w:pPr>
            <w:r>
              <w:rPr>
                <w:rFonts w:ascii="Times New Roman" w:cs="Times New Roman" w:eastAsia="Times New Roman" w:hAnsi="Times New Roman"/>
                <w:sz w:val="15"/>
                <w:szCs w:val="15"/>
                <w:color w:val="auto"/>
              </w:rPr>
              <w:t>SGHT</w:t>
            </w:r>
          </w:p>
        </w:tc>
        <w:tc>
          <w:tcPr>
            <w:tcW w:w="4160" w:type="dxa"/>
            <w:vAlign w:val="bottom"/>
          </w:tcPr>
          <w:p>
            <w:pPr>
              <w:jc w:val="center"/>
              <w:ind w:right="807"/>
              <w:spacing w:after="0"/>
              <w:rPr>
                <w:sz w:val="20"/>
                <w:szCs w:val="20"/>
                <w:color w:val="auto"/>
              </w:rPr>
            </w:pPr>
            <w:r>
              <w:rPr>
                <w:rFonts w:ascii="Times New Roman" w:cs="Times New Roman" w:eastAsia="Times New Roman" w:hAnsi="Times New Roman"/>
                <w:sz w:val="15"/>
                <w:szCs w:val="15"/>
                <w:color w:val="auto"/>
              </w:rPr>
              <w:t>The Nasdaq Global Select Market</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1240" w:type="dxa"/>
            <w:vAlign w:val="bottom"/>
            <w:gridSpan w:val="6"/>
          </w:tcPr>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2"/>
        </w:trPr>
        <w:tc>
          <w:tcPr>
            <w:tcW w:w="708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1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6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 w:lineRule="exact"/>
        <w:rPr>
          <w:sz w:val="24"/>
          <w:szCs w:val="24"/>
          <w:color w:val="auto"/>
        </w:rPr>
      </w:pPr>
    </w:p>
    <w:p>
      <w:pPr>
        <w:ind w:right="5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As of June 30, 2024, the last business day of the Registrant's most recently completed second fiscal quarter, the aggregate market value of the Registrant's common stock held by non-affiliates was approximately $243.8 million based on the closing price for the Registrant's common stock of $6.67 on that date. Shares of common stock held by each executive, director, and their affiliated stockholders have been excluded from this calculation as such persons may be deemed to be affiliates. This determination of affiliate status is not necessarily a conclusive determination for other purposes.</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February 27, 2025 was 51,332,694.</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2024 Annual Meeting of Stockholders to be filed with the SEC within 120 days after the end of the fiscal year ended December 31, 2024 are incorporated herein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832"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91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gridSpan w:val="2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1280" w:type="dxa"/>
            <w:vAlign w:val="bottom"/>
            <w:vMerge w:val="continue"/>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885"/>
        </w:trPr>
        <w:tc>
          <w:tcPr>
            <w:tcW w:w="128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40" w:type="dxa"/>
            <w:vAlign w:val="bottom"/>
            <w:gridSpan w:val="10"/>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on Form 10-K to the “Company,” “Sight Sciences,” “we,” “us” and “our” refer to Sight Sciences, Inc.</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2024 (this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80" w:lineRule="exact"/>
        <w:rPr>
          <w:sz w:val="20"/>
          <w:szCs w:val="20"/>
          <w:color w:val="auto"/>
        </w:rPr>
      </w:pPr>
    </w:p>
    <w:p>
      <w:pPr>
        <w:ind w:left="960" w:right="20" w:hanging="323"/>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reimbursement for our products, including our ability to successfully protect reimbursement for our Surgical Glaucoma products and establish reimbursement for our Dry Eye products;</w:t>
      </w:r>
    </w:p>
    <w:p>
      <w:pPr>
        <w:spacing w:after="0" w:line="53" w:lineRule="exact"/>
        <w:rPr>
          <w:rFonts w:ascii="Times New Roman" w:cs="Times New Roman" w:eastAsia="Times New Roman" w:hAnsi="Times New Roman"/>
          <w:sz w:val="18"/>
          <w:szCs w:val="18"/>
          <w:color w:val="auto"/>
        </w:rPr>
      </w:pPr>
    </w:p>
    <w:p>
      <w:pPr>
        <w:ind w:left="960" w:right="20" w:hanging="323"/>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maintaining and expanding our sales to existing customers or introducing our products to new customers;</w:t>
      </w:r>
    </w:p>
    <w:p>
      <w:pPr>
        <w:spacing w:after="0" w:line="53"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future revenue, expenses,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and retain favorable payment terms under, our current secured credit facility;</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infrastructure to achieve our business objectives;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abilities to protect and scale our intellectual property portfolio;</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in future offerings;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and compete in new markets;</w:t>
      </w:r>
    </w:p>
    <w:p>
      <w:pPr>
        <w:spacing w:after="0" w:line="117" w:lineRule="exact"/>
        <w:rPr>
          <w:rFonts w:ascii="Times New Roman" w:cs="Times New Roman" w:eastAsia="Times New Roman" w:hAnsi="Times New Roman"/>
          <w:sz w:val="18"/>
          <w:szCs w:val="18"/>
          <w:color w:val="auto"/>
        </w:rPr>
      </w:pPr>
    </w:p>
    <w:p>
      <w:pPr>
        <w:ind w:left="960" w:hanging="323"/>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time during which we will be an emerging growth company under the Jumpstart Our Business Startups Act of 2012; and</w:t>
      </w:r>
    </w:p>
    <w:p>
      <w:pPr>
        <w:spacing w:after="0" w:line="53"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be achieved or occur, and actual results, events or circumstances could differ materially from those described in the forward-looking statements.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before investing in our common stock. We believe the principal risks and uncertainties affecting our business include the following:</w:t>
      </w:r>
    </w:p>
    <w:p>
      <w:pPr>
        <w:spacing w:after="0" w:line="68" w:lineRule="exact"/>
        <w:rPr>
          <w:sz w:val="20"/>
          <w:szCs w:val="20"/>
          <w:color w:val="auto"/>
        </w:rPr>
      </w:pPr>
    </w:p>
    <w:p>
      <w:pPr>
        <w:jc w:val="both"/>
        <w:ind w:left="960" w:hanging="323"/>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company with a history of significant losses, we expect to incur losses in the future, and we may not be able to achieve or sustain profitability, which may make it difficult to evaluate the success of our business to date and to assess prospects for our future viability;</w:t>
      </w:r>
    </w:p>
    <w:p>
      <w:pPr>
        <w:spacing w:after="0" w:line="67" w:lineRule="exact"/>
        <w:rPr>
          <w:rFonts w:ascii="Times New Roman" w:cs="Times New Roman" w:eastAsia="Times New Roman" w:hAnsi="Times New Roman"/>
          <w:sz w:val="18"/>
          <w:szCs w:val="18"/>
          <w:color w:val="auto"/>
        </w:rPr>
      </w:pPr>
    </w:p>
    <w:p>
      <w:pPr>
        <w:ind w:left="960" w:right="20" w:hanging="32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revenue from the sales of our products, and our inability to successfully execute our growth strategy could negatively affect our results of operations and financial condition;</w:t>
      </w:r>
    </w:p>
    <w:p>
      <w:pPr>
        <w:spacing w:after="0" w:line="53"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the broad adoption and continued use of our products by eyecare professionals and patients;</w:t>
      </w:r>
    </w:p>
    <w:p>
      <w:pPr>
        <w:spacing w:after="0" w:line="117" w:lineRule="exact"/>
        <w:rPr>
          <w:rFonts w:ascii="Times New Roman" w:cs="Times New Roman" w:eastAsia="Times New Roman" w:hAnsi="Times New Roman"/>
          <w:sz w:val="18"/>
          <w:szCs w:val="18"/>
          <w:color w:val="auto"/>
        </w:rPr>
      </w:pPr>
    </w:p>
    <w:p>
      <w:pPr>
        <w:jc w:val="both"/>
        <w:ind w:left="960" w:right="20" w:hanging="323"/>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or maintain adequate levels of third-party coverage and reimbursement for procedures in which our Surgical Glaucoma or Dry Eye products are used, and third parties may rescind or modify their coverage or delay payments related to these products, which would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960" w:hanging="323"/>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products is highly competitive and could grow increasingly competitive as new glaucoma and dry eye technologies are introduced in our industry. Our competitors may have longer operating histories, more established products and distribution networks, lower product prices or greater resources than we do, and may be able to develop or market treatments that are safer, more effective or gain greater acceptance in the marketplace than our products;</w:t>
      </w:r>
    </w:p>
    <w:p>
      <w:pPr>
        <w:spacing w:after="0" w:line="71"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products depends upon appropriate physician training, practice and patient selection;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 w:name="page6"/>
    <w:bookmarkEnd w:id="5"/>
    <w:p>
      <w:pPr>
        <w:jc w:val="both"/>
        <w:ind w:left="323" w:hanging="323"/>
        <w:spacing w:after="0" w:line="261"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products for expanded indications depends upon positive clinical data, and applicable regulatory authorities may determine that the safety and efficacy of our products for the intended uses for which we intend to seek clearance, certification or approval are not yet supported by sufficient long-term clinical data. Any such determinations could delay or prevent clearance by the FDA (or other foreign authorities or notified bodies) or limit sales, and our products might prove to be less safe or effective than initially thought;</w:t>
      </w:r>
    </w:p>
    <w:p>
      <w:pPr>
        <w:spacing w:after="0" w:line="71"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supply our products. A number of these suppliers are single-source providers, and certain key suppliers are located outside of the U.S., We are subject to numerous risks relating to our reliance on such third parties;</w:t>
      </w:r>
    </w:p>
    <w:p>
      <w:pPr>
        <w:spacing w:after="0" w:line="53"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current global economic and political conditions could adversely affect our ability to predict product demand and costs and impact our financial results, and makes it more likely that our results will differ materially from expectations;</w:t>
      </w:r>
    </w:p>
    <w:p>
      <w:pPr>
        <w:spacing w:after="0" w:line="53"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inadequate training, fail to maintain effective sales and marketing capabilities or fail to develop broad brand awareness in a cost-effective manner;</w:t>
      </w:r>
    </w:p>
    <w:p>
      <w:pPr>
        <w:spacing w:after="0" w:line="53"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training ECPs on, and marketing and selling, our TearCare products, which could adversely affect customer perceptions and adoption of our TearCare products;</w:t>
      </w:r>
    </w:p>
    <w:p>
      <w:pPr>
        <w:spacing w:after="0" w:line="53" w:lineRule="exact"/>
        <w:rPr>
          <w:rFonts w:ascii="Times New Roman" w:cs="Times New Roman" w:eastAsia="Times New Roman" w:hAnsi="Times New Roman"/>
          <w:sz w:val="18"/>
          <w:szCs w:val="18"/>
          <w:color w:val="auto"/>
        </w:rPr>
      </w:pPr>
    </w:p>
    <w:p>
      <w:pPr>
        <w:jc w:val="both"/>
        <w:ind w:left="323" w:hanging="323"/>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 which could adversely impact our results of operations and our growth expectations;</w:t>
      </w:r>
    </w:p>
    <w:p>
      <w:pPr>
        <w:spacing w:after="0" w:line="67"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our products and manage our inventory;</w:t>
      </w:r>
    </w:p>
    <w:p>
      <w:pPr>
        <w:spacing w:after="0" w:line="53" w:lineRule="exact"/>
        <w:rPr>
          <w:rFonts w:ascii="Times New Roman" w:cs="Times New Roman" w:eastAsia="Times New Roman" w:hAnsi="Times New Roman"/>
          <w:sz w:val="18"/>
          <w:szCs w:val="18"/>
          <w:color w:val="auto"/>
        </w:rPr>
      </w:pPr>
    </w:p>
    <w:p>
      <w:pPr>
        <w:jc w:val="both"/>
        <w:ind w:left="323" w:hanging="323"/>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growth depends on our ability to continue to capture market share, enhance our products, maintain appropriate product reimbursement, expand our indications and develop and commercialize additional products in a timely manner. If we fail to identify, acquire and develop other products, we may be unable to grow our business.</w:t>
      </w:r>
    </w:p>
    <w:p>
      <w:pPr>
        <w:spacing w:after="0" w:line="67"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53"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market, legal, regulatory, political, operational, financial and economic risks associated with doing business outside of the United States.</w:t>
      </w:r>
    </w:p>
    <w:p>
      <w:pPr>
        <w:spacing w:after="0" w:line="53" w:lineRule="exact"/>
        <w:rPr>
          <w:rFonts w:ascii="Times New Roman" w:cs="Times New Roman" w:eastAsia="Times New Roman" w:hAnsi="Times New Roman"/>
          <w:sz w:val="18"/>
          <w:szCs w:val="18"/>
          <w:color w:val="auto"/>
        </w:rPr>
      </w:pPr>
    </w:p>
    <w:p>
      <w:pPr>
        <w:ind w:left="323" w:hanging="323"/>
        <w:spacing w:after="0"/>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and our licensors’, ability to obtain, maintain and protect our intellectual property rights;</w:t>
      </w:r>
    </w:p>
    <w:p>
      <w:pPr>
        <w:spacing w:after="0" w:line="117"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party to, and may in the future become a party to, intellectual property litigation or administrative proceedings that could be costly, time-consuming, unsuccessful, and could interfere with our ability to sell and market our products;</w:t>
      </w:r>
    </w:p>
    <w:p>
      <w:pPr>
        <w:spacing w:after="0" w:line="53"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business practices, and operations are subject to extensive government regulation and oversight in the United States and elsewhere;</w:t>
      </w:r>
    </w:p>
    <w:p>
      <w:pPr>
        <w:spacing w:after="0" w:line="53" w:lineRule="exact"/>
        <w:rPr>
          <w:rFonts w:ascii="Times New Roman" w:cs="Times New Roman" w:eastAsia="Times New Roman" w:hAnsi="Times New Roman"/>
          <w:sz w:val="18"/>
          <w:szCs w:val="18"/>
          <w:color w:val="auto"/>
        </w:rPr>
      </w:pPr>
    </w:p>
    <w:p>
      <w:pPr>
        <w:jc w:val="both"/>
        <w:ind w:left="323" w:hanging="323"/>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necessary clearances, certifications or approvals for our future products or modifications to our current products, and failure to timely obtain and retain such clearances, certifications or approvals would adversely affect our ability to grow our business;</w:t>
      </w:r>
    </w:p>
    <w:p>
      <w:pPr>
        <w:spacing w:after="0" w:line="67"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fluctuate substantially or may decline regardless of our operating performance and you could lose all or part of your investment; and</w:t>
      </w:r>
    </w:p>
    <w:p>
      <w:pPr>
        <w:spacing w:after="0" w:line="53" w:lineRule="exact"/>
        <w:rPr>
          <w:rFonts w:ascii="Times New Roman" w:cs="Times New Roman" w:eastAsia="Times New Roman" w:hAnsi="Times New Roman"/>
          <w:sz w:val="18"/>
          <w:szCs w:val="18"/>
          <w:color w:val="auto"/>
        </w:rPr>
      </w:pPr>
    </w:p>
    <w:p>
      <w:pPr>
        <w:ind w:left="323" w:right="2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200" w:lineRule="exact"/>
        <w:rPr>
          <w:sz w:val="20"/>
          <w:szCs w:val="20"/>
          <w:color w:val="auto"/>
        </w:rPr>
      </w:pPr>
    </w:p>
    <w:p>
      <w:pPr>
        <w:spacing w:after="0" w:line="286"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957" w:top="109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Our mission is to develop transformative, interventional technologies that allow eyecare providers to procedurally elevate the standards of care – empowering people to keep seeing. We are passionate about improving patients’ lives by helping them to preserve their sight. Our business philosophy is grounded in the following principles: comprehensively understanding disease physiology; developing transformative technologies that are intended to preserve, protect, and restore natural physiological functionality to diseased eyes; developing and marketing products with proven clinical evidence that achieve superior effectiveness versus current treatment paradigms while minimizing complications or side effects; providing intuitive, patient-friendly, interventional solutions to ophthalmologists and optometrists (together, "eyecare professionals" or "ECPs"); and delivering compelling economic value to all stakeholders, including patients, providers and third-party payors such as Medicare and commercial insurers. Our objective is to develop and market products for use in new treatment paradigms and to create an interventional mindset in eyecare whereby our technologies may be used in procedures which supplant conventional outdated approaches.</w:t>
      </w:r>
    </w:p>
    <w:p>
      <w:pPr>
        <w:spacing w:after="0" w:line="80"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We have focused our initial product development efforts on the treatment of two of the world’s most prevalent and underserved eye diseases, glaucoma and dry eye disease ("DED"). We estimate the annual addressable U.S. market opportunities for the products in our surgical glaucoma ("Surgical Glaucoma") and dry eye ("Dry Eye") segments are approximately $6.0 billion (with approximately $1.0 billion in the combination cataract procedure market segment (the “Combination Cataract Market Segment”), and $5.0 billion in the standalone procedure market segment (the “Standalone Market Segment”) and $3.0 billion, respectively. The Combination Cataract Market Segment is associated with procedures performed on patients with glaucoma in combination with a cataract procedure (“Combination Cataract Procedures”). The Standalone Market Segment is associated with procedures performed on patients with glaucoma without concomitant cataract surgery (“Standalone Procedures”), thus coming to the operating room solely due to their glaucoma condition (“Standalone Procedures”).</w:t>
      </w:r>
    </w:p>
    <w:p>
      <w:pPr>
        <w:spacing w:after="0" w:line="8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We have taken a deeper look at the care continuum in the evolving microinvasive glaucoma surgery (“MIGS”) landscape and narrowed the specific patient population for whom Standalone Procedures have a compelling value proposition due to the comprehensive nature of the procedure and its ability to address all three areas of resistance in the drainage pathway. The pseudophakic standalone patient segment consists of patients three or more years out from prior cataract surgery, who may have had a MIGS procedure at the time of cataract surgery, but whose intraocular pressure (“IOP”) is not well controlled on two or more medications. These later-stage patients are at risk of disease progression and most are on their way to an invasive and complicated procedure, such as a trabeculectomy or a shunt. However, we believe that standalone intervention can be effectively utilized for these patients, thus potentially delaying or avoiding the need for these riskier advanced procedures, improving patient care.</w:t>
      </w:r>
    </w:p>
    <w:p>
      <w:pPr>
        <w:spacing w:after="0" w:line="8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Glaucoma, which refers to a group of chronic, often asymptomatic, diseases that damage the optic nerve, is the world’s first leading cause of irreversible blindness. Glaucoma does not have a cure and is a progressive disease; if left untreated or insufficiently treated, glaucoma can lead to irreversible disability and blindness. An estimated 126 million people worldwide suffer from glaucoma. Primary open-angle glaucoma ("POAG") is the most prevalent form of glaucoma and affects almost 83 million people worldwide. We estimate there are over 4 million people in the United States diagnosed with glaucoma, of which a majority have POAG. One of the greatest risk factors for POAG, and the only risk factor that can be controlled, is elevated IOP. Elevated IOP is often caused by malfunctioning drainage pathways in the eye that provide abnormal resistance to the outflow of aqueous humor, which is a clear, watery fluid that bathes and nourishes the lens and maintains pressure within the eye.</w:t>
      </w:r>
    </w:p>
    <w:p>
      <w:pPr>
        <w:spacing w:after="0" w:line="8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MIGS procedures, which can be used to treat patients with glaucoma, have a strong demonstrated safety profile, characterized by minimal trauma to the eye and quick patient recovery times. We currently offer two commercial technologies in our Surgical Glaucoma segment, OMNI and SION, both of which enable MIGS procedures. OMNI is a handheld, single use, therapeutic technology that enables ophthalmic surgeons to perform a comprehensive procedure to reduce IOP in adult patients with POAG. SION is a bladeless, manually operated device used in ophthalmic surgical procedures to excise trabecular meshwork, which is the tissue located near the cornea through which aqueous humor flows out of the eye.</w:t>
      </w:r>
    </w:p>
    <w:p>
      <w:pPr>
        <w:spacing w:after="0" w:line="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Our goal is to establish OMNI and SION as standards of care for our customers and patients by continuing to grow their adoption and utilization in the existing Combination Cataract Market Segment, which we believe remains underpenetrated. In addition, we believe training ophthalmic surgeons to use OMNI will help us to expand the Standalone Market Segment (which we currently estimate at over 85% of the potential U.S. POAG market). We believe the consistent therapeutic</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231F20"/>
        </w:rPr>
        <w:t>outcomes OMNI delivers are important for patients and surgeons alike, especially those considering a standalone MIGS procedure.</w:t>
      </w:r>
    </w:p>
    <w:p>
      <w:pPr>
        <w:spacing w:after="0" w:line="117"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We primarily sell OMNI and SION in the U.S. through our dedicated Surgical Glaucoma sales team. Our commercial strategy for OMNI centers on building confidence and conviction among the glaucoma community in OMNI through continued execution of our clinical trials and publication of their results in peer-reviewed journals demonstrating the safety and efficacy of OMNI. Coverage is available for the procedure enabled by OMNI, canaloplasty followed by trabeculotomy (ab interno), in all Medicare Administrative Contractor ("MAC") jurisdictions and under numerous private insurers plans. With advantages that have been observed to achieve safe, effective and highly consistent clinical outcomes, we believe OMNI has the potential to benefit patients by establishing a more proactive, interventional paradigm for IOP reduction in POAG. Our Surgical Glaucoma segment, which includes OMNI and SION, represented 95% of our total revenue for the year ended December 31, 2024. We have established direct commercial operations in the United States, United Kingdom, and Germany, and sell OMNI in other countries in Europe through distributors.</w:t>
      </w:r>
    </w:p>
    <w:p>
      <w:pPr>
        <w:spacing w:after="0" w:line="8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Dry eye disease is caused by aqueous deficiency or evaporative dry eye and is a subset of ocular surface disease. The primary cause of evaporative DED is meibomian gland disease ("MGD"), a disease characterized by low quality tears that evaporate prematurely. Dry eye complaints are the most common reason for a patient visit to an eye doctor. Yet, of the estimated 39 million people with DED signs and symptoms in the U.S., only an estimated 19.4 million have been diagnosed with DED. Dry eye symptoms have a significant impact on the quality of life and productivity of patients suffering from DED. If left untreated, DED can be extremely painful, often leading to permanent cornea damage and vision impairment.</w:t>
      </w:r>
    </w:p>
    <w:p>
      <w:pPr>
        <w:spacing w:after="0" w:line="75"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Studies have shown that evaporative DED resulting from MGD is associated with up to 86% of all DED cases. Approximately 50% of DED patients are considered moderate to severe. In healthy eyes, there are 25 to 30 meibomian glands located within each of the upper and lower eyelids. These glands produce and secrete an oily substance called meibum which forms the outer layer of healthy tears known as the lipid layer. Meibum normally has an olive oil-like consistency and contributes a vital element of the tear film that prevents premature tear evaporation. In patients with MGD, meibum hardens within the glands causing obstructions that can partially or completely block the oily secretions from reaching the tear film. The resulting compromised outer surface of the tear leads to accelerated tear evaporation and DED. Third-party clinical studies have demonstrated that treating MGD by liquefying and removing clogged meibum is the most effective method of eliminating obstructions and restoring a healthy tear film lipid layer, thereby preventing premature evaporation of tears.</w:t>
      </w:r>
    </w:p>
    <w:p>
      <w:pPr>
        <w:spacing w:after="0" w:line="84"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We believe the MGD market requires additional ECP and patient education, including clinical data to differentiate procedural and product alternatives, and enhanced patient access through the development of reimbursement coverage. In our Dry Eye segment, our commercial product line currently consists of our TearCare system. The TearCare system is a proprietary, interventional, dry eye device designed to melt and facilitate the comprehensive removal of meibomian gland obstructions and restore gland functionality and healthy oil production. We believe TearCare has a compelling physiological profile to address gland obstructions caused by MGD. Our goals with the development of TearCare are to (i) fully transform the current outdated treatment paradigm based primarily on over-the-counter (“OTC”) and prescription eyedrops, both of which do not address obstruction of the meibomian glands, the primary root cause of MGD, and (ii) establish use of TearCare as the standard of care for the millions of patients suffering from evaporative DED caused by MGD.</w:t>
      </w:r>
    </w:p>
    <w:p>
      <w:pPr>
        <w:spacing w:after="0" w:line="84"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We primarily sell TearCare in the U.S. through our dedicated Dry Eye ocular surface sales team. The TearCare System consists of a TearCare SmartHub, a reusable hardware controller, plus TearCare SmartLids, which are disposable, therapeutic eyelid devices used for TearCare patient therapy sessions (one pair of SmartLids provides bilateral therapy, or four eyelids treated), and TearCare accessories (Clearance Assistant and wipes). Our commercial strategy for TearCare has been to drive awareness and adoption through cash-pay sales of TearCare to ECPs while simultaneously seeking to lay the foundation for equitable coverage and reimbursement through the generation of compelling clinical data and conduct of a targeted coding, coverage and reimbursement initiative. In the fourth quarter of 2024, we instituted a price increase for our TearCare products to reflect the clinical value of our technology as we seek to establish broader coverage with commercial payors and Medicare, which reduced the demand for cash-pay TearCare procedures in the fourth quarter of 2024 and we believe will continue to impact demand in the future until broader reimbursement coverage can be established.</w:t>
      </w:r>
    </w:p>
    <w:p>
      <w:pPr>
        <w:spacing w:after="0" w:line="80"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In 2025, we plan to continue our focus on establishing appropriate and equitable reimbursed market access for TearCare based on our significant clinical trial portfolio showing strong efficacy for this procedure. Assuming receipt of positive payor coverage or payment decisions, we believe we can start to activate the over 1,500 eyecare facilities who have invested in TearCare Hubs, been trained on the TearCare procedure by our team and performed over 65,000 TearCare procedures since launch. Our Dry Eye segment, which includes TearCare and related accessories, represented 5% of our total revenue for the year ended December 31, 2024.</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8" w:name="page9"/>
    <w:bookmarkEnd w:id="8"/>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We focus on continuous innovation and regularly seek input from our network of expert employees (including ophthalmologists on staff), advisors and customers to rapidly iterate our pre- and post-commercial product designs with the aim of better satisfying the needs of our customers and their patients, and increasing adoption and utilization of our solutions.</w:t>
      </w:r>
    </w:p>
    <w:p>
      <w:pPr>
        <w:spacing w:after="0" w:line="68"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Our ability to continuously and rapidly innovate our products is a core competency of our company. Our product innovation has resulted in a comprehensive portfolio of 49 issued U.S. patents, 65 issued patents outside of the U.S. (including six issued European patents and their national validations), 24 pending U.S. non-provisional patent applications, 26 pending foreign patent applications and three pending Patent Cooperation Treaty patent applications as of December 31, 2024.</w:t>
      </w:r>
    </w:p>
    <w:p>
      <w:pPr>
        <w:spacing w:after="0" w:line="7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overall success of our innovative approach to eyecare to date is evidenced by the over 295,000 estimated uses of our Surgical Glaucoma products in over 2,000 hospitals and ambulatory service centers ("ASCs") in the U.S. and Europe, and over 65,000 estimated uses of our TearCare technology in over 1,500 eyecare facilities in the U.S. through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Solutions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We have designed our OMNI, SION, and TearCare products to be interventional ophthalmology technologies. We believe both glaucoma and DED are significantly underserved by current treatment offerings and there are large market opportunities for effective solutions that preserve, protect, and restore the natural physiological functionality of diseased eyes.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Product Development Approach</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development of OMNI, SION, and TearCare follows our internal product development approach, which is governed by the following fundamental principles that we believe are critical to delivering the most effective, safe and consistent outcomes for patients with eye disease.</w:t>
      </w:r>
    </w:p>
    <w:p>
      <w:pPr>
        <w:spacing w:after="0" w:line="50" w:lineRule="exact"/>
        <w:rPr>
          <w:sz w:val="20"/>
          <w:szCs w:val="20"/>
          <w:color w:val="auto"/>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Comprehensive Understanding of Disease Physiology</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Treating Underlying Causes with an Interventional Mindset</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Intuitive Design</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Strong Clinical Evidence Demonstrating Efficacy</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Patient Access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Economic Value</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We aim and expect to be a clinical leader in every eyecare segment we enter, and we seek to achieve all criteria in our product development projects. From device ideation to commercialization, we take into consideration the perspectives of patients, providers and third-party payors throughout our product development process. When possible, we seek to streamline our product commercialization process by designing our products to achieve the most efficient routes for U.S. Food and Drug Administration ("FDA") clearance or authorization for each applicable indication and reimbursement coverage by third-party payors.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OMNI Surgical System</w:t>
      </w:r>
    </w:p>
    <w:p>
      <w:pPr>
        <w:spacing w:after="0" w:line="12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 xml:space="preserve">Our OMNI technology enables an ophthalmic surgeon to perform MIGS that addresses all three known areas of resistance in the conventional outflow pathway of the eye: the trabecular meshwork, Schlemm's canal, and the distal collector channels. OMNI is indicated for </w:t>
      </w:r>
      <w:r>
        <w:rPr>
          <w:rFonts w:ascii="Times New Roman" w:cs="Times New Roman" w:eastAsia="Times New Roman" w:hAnsi="Times New Roman"/>
          <w:sz w:val="18"/>
          <w:szCs w:val="18"/>
          <w:color w:val="000000"/>
        </w:rPr>
        <w:t>canaloplasty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(microcatheterization and transluminal viscodilation of Schlemm's canal) followed by trabeculotomy (cutting of the trabecular meshwork) to reduce IOP in adult POAG patients. This indication encompasses the use of OMNI both by itself for Standalone Procedures and for Combination Cataract Procedures. </w:t>
      </w:r>
      <w:r>
        <w:rPr>
          <w:rFonts w:ascii="Times New Roman" w:cs="Times New Roman" w:eastAsia="Times New Roman" w:hAnsi="Times New Roman"/>
          <w:sz w:val="18"/>
          <w:szCs w:val="18"/>
          <w:color w:val="231F20"/>
        </w:rPr>
        <w:t>OMNI has received 510(k) clearance from the FDA and a CE mark to be marketed in the U.S. and the European Union ("EU") respectively,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for canaloplasty (microcatheterization and transluminal viscodilation of Schlemm’s canal) followed by trabeculotomy (cutting of trabecular meshwork) to reduce IOP in adult patients with POAG in the U.S. or with open-angle glaucoma ("OAG") in the EU. OMNI was originally FDA 510(k) cleared with the capability of delivering 11 microliters of ophthalmic viscoelastic device ("OVD") fluid and a version that is capable of delivering 21 microliters of OVD was FDA 510(k) cleared for the same indications for use as the original OMNI in August 2023, which is expected to be released to market in the first half of 2025.</w:t>
      </w:r>
    </w:p>
    <w:p>
      <w:pPr>
        <w:spacing w:after="0" w:line="86"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The procedure performed with our OMNI technology is designed to restore the eye’s natural drainage system without compromising the structural integrity of the eye or leaving implants behind post-surgery. The first steps of the procedure primarily address distal resistance (i.e., collapsed Schlemm’s canal, blocked collector channel ostia) and has some presumed effects on the inner wall of Schlemm’s canal and the trabecular meshwork due to dilation and stretching of the canal and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231F20"/>
        </w:rPr>
        <w:t>meshwork. In the later steps of the procedure, a surgeon unroofs Schlemm’s canal by incising the diseased trabecular meshwork to provide aqueous humor with direct access to the drainage areas in the conventional outflow pathway. We believe that the procedure with OMNI technology is capable of treating all three known areas of resistance in the conventional outflow pathway of the eye. Certain competing MIGS devices have been cleared or approved by the FDA only for use in Combination Cataract Procedures for adult patients with mild-to-moderate severity, and not in Standalone Procedures. We estimate that over 85% of the U.S. addressable market opportunity for POAG is not currently being adequately served with Combination Cataract Procedures because less than 15% of POAG patients receive cataract surgery in any given year.</w:t>
      </w:r>
    </w:p>
    <w:p>
      <w:pPr>
        <w:spacing w:after="0" w:line="7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We believe OMNI delivers high level of effectiveness as it provides access to 360 degrees of the diseased conventional outflow pathway through a clear corneal incision to address all three known areas of resistance in the conventional outflow pathway (trabecular meshwork, Schlemm’s canal, and the distal collector channels).</w:t>
      </w:r>
    </w:p>
    <w:p>
      <w:pPr>
        <w:spacing w:after="0" w:line="68"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We have applied our medical expertise, as well as specialized design and engineering capabilities, to create a complex technology that is simple in appearance and intuitive to use. After inserting the distal tip into the corneal microincision and accessing Schlemm’s canal, the surgeon can advance and retract the catheter with a fingertip dial up to 180 degrees. On the forward advance, the physician can use the microcatheter technology to remove adhesions and herniations residing within Schlemm’s canal. Upon retraction of the catheter, OMNI synchronously delivers viscoelastic fluid to inflate and restore patency of Schlemm’s canal. The surgeon can address the remaining 180-degrees by reinserting the catheter and advancing it in the opposite direction. To perform the final steps of the procedure, the same microcatheter can be reinserted into Schlemm’s canal and used to deroof the trabecular meshwork per the surgeon’s discretion. The procedure performed with OMNI technology addresses all three areas of outflow resistance, and we believe it offers the surgeon a robust and comprehensive solution for their glaucoma patients, enables surgeons to perform sequential comprehensive outflow treatments that they can customize based on an individual patient’s disease severity and eye anatomy in both Combination Cataract Procedures and in Standalone Procedures.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SION Surgical Instrument</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SION Surgical Instrument is a manually operated device used in ophthalmic surgical procedures to excise trabecular meshwork. SION’s bladeless design, micro-engineered and precision manufactured using specialized lasers, excises tissue without cutting.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 We believe SION represents our third consecutive best-in-category device and satisfies the American Academy of Ophthalmology's definition of goniotomy. SION is registered with the FDA as a Class I 510(k) exempt device.</w:t>
      </w:r>
    </w:p>
    <w:p>
      <w:pPr>
        <w:spacing w:after="0" w:line="7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SION allows us to serve specific subsets of customers who may prioritize a faster or simpler procedure. Our target customers for SION include three types of combination cataract MIGS surgeons that are distinct from target OMNI customers: (i) high volume cataract surgeons seeking to perform the quickest MIGS procedures, (ii) surgeons who are initially less experienced with MIGS such as surgical fellows at academic institutions and (iii) surgeons looking for the most cost effective MIGS procedures. We believe these use cases have little overlap with the use cases for our OMNI device.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TearCare System</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In an effort to address the treatment of evaporative DED due to MGD, we designed TearCare to facilitate what we believe is the optimal method for clearing meibomian gland obstructions based on numerous clinical studies: achieving and maintaining a maximal and highly precise external eyelid temperature of 45 degrees Celsius for 15 minutes that achieves a requisite inner eyelid therapeutic melting threshold temperature of 41 degrees Celsius to melt congealed meibum in the diseased meibomian glands. The precise, reproducible, and software-controlled thermal therapeutic melting cycle is followed promptly by clinician customized manual, comprehensive removal of the liquefied meibum obstructions with a separate clearance tool to help facilitate restoration of healthy meibum production to naturally fortify the tear’s protective lipid layer. The goal of TearCare therapy is to restore the eyelid’s natural ability to produce healthy lipid secretions and recover the integrity of the tear film.</w:t>
      </w:r>
    </w:p>
    <w:p>
      <w:pPr>
        <w:spacing w:after="0" w:line="8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We developed TearCare to serve as an elegant, compact, portable, and intuitive solution comprised of the SmartHub</w:t>
      </w:r>
      <w:r>
        <w:rPr>
          <w:rFonts w:ascii="Times New Roman" w:cs="Times New Roman" w:eastAsia="Times New Roman" w:hAnsi="Times New Roman"/>
          <w:sz w:val="18"/>
          <w:szCs w:val="18"/>
          <w:color w:val="000000"/>
        </w:rPr>
        <w:t>™ ("SmartHub")</w:t>
      </w:r>
      <w:r>
        <w:rPr>
          <w:rFonts w:ascii="Times New Roman" w:cs="Times New Roman" w:eastAsia="Times New Roman" w:hAnsi="Times New Roman"/>
          <w:sz w:val="18"/>
          <w:szCs w:val="18"/>
          <w:color w:val="231F20"/>
        </w:rPr>
        <w:t>, a reusable hardware controller, and the TearCare SmartLids</w:t>
      </w:r>
      <w:r>
        <w:rPr>
          <w:rFonts w:ascii="Times New Roman" w:cs="Times New Roman" w:eastAsia="Times New Roman" w:hAnsi="Times New Roman"/>
          <w:sz w:val="18"/>
          <w:szCs w:val="18"/>
          <w:color w:val="000000"/>
        </w:rPr>
        <w:t>® ("SmartLids")</w:t>
      </w:r>
      <w:r>
        <w:rPr>
          <w:rFonts w:ascii="Times New Roman" w:cs="Times New Roman" w:eastAsia="Times New Roman" w:hAnsi="Times New Roman"/>
          <w:sz w:val="18"/>
          <w:szCs w:val="18"/>
          <w:color w:val="231F20"/>
        </w:rPr>
        <w:t>, a breakthrough, software-controlled, wearable, therapeutic eyelid technology. Applied adhesively and non-invasively to the outside of the eyelids, single-use, closed loop, software-sensor controlled SmartLids deliver a precise and programmed therapeutic level of heat into the meibomian glands. This process is software-controlled, delivering precise heat to the tarsal plates of the eyelids directly overlying the meibomian glands while continuously monitoring temperature and communicating 144 times per second with</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10" w:name="page11"/>
    <w:bookmarkEnd w:id="10"/>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SmartHub, a compact, finely calibrated power source and control unit which ensures a reproducible therapeutic interventional procedure for every patient. The technological design inputs of the system and precision-controlled therapeutic melting process follows clinically proven guidelines for temperature and duration required to melt obstructions in diseased meibomian glands and restore the production and secretion of healthy, clear meibum onto the tear surface.</w:t>
      </w:r>
    </w:p>
    <w:p>
      <w:pPr>
        <w:spacing w:after="0" w:line="72"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proprietary, thin, flexible, wearable, and open-eye design of TearCare SmartLids (a) ensure a conformant fit for every patient and thereby ensure the reproducible delivery of thermal energy into the meibomian glands to achieve the requisite gland obstruction melting temperature across different eyelid anatomies, (b) allows patients to blink naturally throughout the thermal portion of the procedure, which initiates the natural movement and expression of melted gland obstructions from the diseased meibomian glands, and (c) provides a comfortable, open eye patient experience in the eye care provider’s office. Engineering SmartLids to remain comfortably adhered to virtually all shapes and sizes of eyelids while allowing freedom to blink and delivering precisely controlled, therapeutic levels of thermal energy is one of our most significant design accomplishments.</w:t>
      </w:r>
    </w:p>
    <w:p>
      <w:pPr>
        <w:spacing w:after="0" w:line="7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Further, TearCare can be utilized by an ECP in a straightforward in-office procedure and can be accommodated during the course of a routine patient visit, which makes it convenient for patients, and allows providers to maintain procedural throughput in their practices. We believe these features and the positive patient and ECP experience with TearCare offer a stark contrast to available alternatives, which we believe are burdened by ineffective and suboptimal product design, a lack of conformance to the underlying diseased eyelid tissues yielding suboptimal therapy and clinical outcomes, and including awkward and uncomfortable patient experiences through closed eye or manual solutions that require extremely close patient proximity to the ECP throughout the treatment.</w:t>
      </w:r>
    </w:p>
    <w:p>
      <w:pPr>
        <w:spacing w:after="0" w:line="7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Following therapeutic heat application by TearCare, ECPs may use a separate clearance tool to manually express melted meibum from each gland. ECPs can tailor the amount of pressure applied during expression to specific glands based on a desired full evacuation of the glands, thereby allowing the eyelids to resume the production and secretion of meibum to coat and protect tears.</w:t>
      </w:r>
    </w:p>
    <w:p>
      <w:pPr>
        <w:spacing w:after="0" w:line="68"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In December 2021, the FDA cleared TearCare for the application of localized heat therapy in adult patients with evaporative DED due to MGD, when used in conjunction with manual expression of the meibomian glands. In December 2023, the FDA cleared a next generation TearCare product for the same indications of use as TearCare, which has not been launched to market yet.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Success Factors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Our mission is to develop transformative, interventional technologies that allow eyecare providers to procedurally elevate the standards of care— empowering people to keep seeing. We design our products to enable ECPs to perform safe and effective interventional procedures that can transform treatment paradigms. We believe the following factors have contributed to our success and will continue to drive our growth:</w:t>
      </w:r>
    </w:p>
    <w:p>
      <w:pPr>
        <w:spacing w:after="0" w:line="64" w:lineRule="exact"/>
        <w:rPr>
          <w:sz w:val="20"/>
          <w:szCs w:val="20"/>
          <w:color w:val="auto"/>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Large market opportunities in eyecare with sub-optimal treatment paradigms;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Continual development of transformative technologies to preserve, protect, and restore natural eye function;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Consistent delivery of exceptional customer experience;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Prioritization of clinical and commercial excellence and market education;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Focus on compelling economics and value creation for all eyecare stakeholders; and</w:t>
      </w:r>
    </w:p>
    <w:p>
      <w:pPr>
        <w:spacing w:after="0" w:line="117" w:lineRule="exact"/>
        <w:rPr>
          <w:rFonts w:ascii="Times New Roman" w:cs="Times New Roman" w:eastAsia="Times New Roman" w:hAnsi="Times New Roman"/>
          <w:sz w:val="18"/>
          <w:szCs w:val="18"/>
          <w:color w:val="231F20"/>
        </w:rPr>
      </w:pPr>
    </w:p>
    <w:p>
      <w:pPr>
        <w:ind w:left="800" w:right="700" w:hanging="283"/>
        <w:spacing w:after="0" w:line="286" w:lineRule="auto"/>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Scaling our team based on our core behaviors: love what you do, have each other's back, own it, break through walls, and grow every day.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fundamental objectives of our growth strategy are to establish robust clinical data to support the development of our target markets and the continued commercialization of our products and to deliver an exceptional customer experience to the ECPs and patients who utilize our products. Our current growth strategies include:</w:t>
      </w:r>
    </w:p>
    <w:p>
      <w:pPr>
        <w:spacing w:after="0" w:line="64" w:lineRule="exact"/>
        <w:rPr>
          <w:sz w:val="20"/>
          <w:szCs w:val="20"/>
          <w:color w:val="auto"/>
        </w:rPr>
      </w:pPr>
    </w:p>
    <w:p>
      <w:pPr>
        <w:ind w:left="800" w:right="680" w:hanging="283"/>
        <w:spacing w:after="0" w:line="286" w:lineRule="auto"/>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Establishing OMNI and SION as the standards of care for interventional glaucoma treatment among MIGS-trained surgeons;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11" w:name="page12"/>
    <w:bookmarkEnd w:id="11"/>
    <w:p>
      <w:pPr>
        <w:ind w:left="800" w:right="700" w:hanging="283"/>
        <w:spacing w:after="0" w:line="286" w:lineRule="auto"/>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Developing and expanding the Standalone Market Segment with OMNI, with a focus on pseudophakic patients whose IOP is not well controlled on two or more medications and who are at risk of disease progression;</w:t>
      </w:r>
    </w:p>
    <w:p>
      <w:pPr>
        <w:spacing w:after="0" w:line="46"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Driving fair market access to TearCare leveraging the SAHARA and OLYMPIA trials to establish reimbursement;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Obtaining and maintaining appropriate reimbursement and coverage by governmental and commercial payors;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Driving adoption and utilization of our products by leveraging additional clinical trials and market education;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Deepening and broadening our commercial capabilities and expertise;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Continuing to create transformational and interventional technology innovation throughout eyecare;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Developing our existing international markets and expanding our international market presence.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Clinical Data</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We believe treatment decisions should be evidence-based and hold ourselves to the highest clinical and ethical standards to build and maintain credibility in the medical community. We are deeply committed to conducting studies to evaluate the safety, effectiveness and durability of treatments using our products, and subjecting the results to the rigorous peer review process for publication in leading journals. Our robust and growing libraries of evidence to support OMNI, SION and TearCare are helping to drive their awareness and adoption, and ultimately advancing patient care in ophthalmology and optometry.</w:t>
      </w:r>
    </w:p>
    <w:p>
      <w:pPr>
        <w:spacing w:after="0" w:line="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We are currently conducting active and robust clinical trial programs in both POAG and MGD. Our clinical trial designs include both randomized controlled trials ("RCTs"), prospective, and retrospective real-world studies, based on our belief that each of these approaches has unique strengths. We also plan to continue supporting our investigator-initiated trial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OMNI Surgical System - Clinical Program</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Building on a solid foundation of completed and ongoing clinical trials, we are investing significant resources to further develop clinical data regarding the use of OMNI. Since 2018, there have been 34 articles published in peer-reviewed journals for OMNI and its Sight Sciences predicate devices and procedures. Our completed trials include ROMEO, ROMEO 2, GEMINI, GEMINI 2, ORION 2, and TREY.</w:t>
      </w:r>
    </w:p>
    <w:p>
      <w:pPr>
        <w:spacing w:after="0" w:line="68" w:lineRule="exact"/>
        <w:rPr>
          <w:sz w:val="20"/>
          <w:szCs w:val="20"/>
          <w:color w:val="auto"/>
        </w:rPr>
      </w:pPr>
    </w:p>
    <w:p>
      <w:pPr>
        <w:ind w:left="800" w:right="700" w:hanging="283"/>
        <w:spacing w:after="0" w:line="282" w:lineRule="auto"/>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ROMEO was used to support OMNI’s indication for use expansion in the U.S. in March 2021 and resulted in two published articles in peer-reviewed journals.</w:t>
      </w:r>
    </w:p>
    <w:p>
      <w:pPr>
        <w:spacing w:after="0" w:line="53"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ROMEO 2 replicated the results of ROMEO in a larger study population and provided longer-term (24 month) outcomes for original ROMEO subjects.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GEMINI was a prospective, multi-center, historical control, single-arm, U.S. study.</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GEMINI 2 provided 36-month follow-up for GEMINI subjects.</w:t>
      </w:r>
    </w:p>
    <w:p>
      <w:pPr>
        <w:spacing w:after="0" w:line="117"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TREY was a multi-center study evaluating the effectiveness of Standalone Procedure intervention using OMNI in eyes with uncontrolled IOP previously treated with trabecular bypass canal implants.</w:t>
      </w:r>
    </w:p>
    <w:p>
      <w:pPr>
        <w:spacing w:after="0" w:line="5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Moreover, there have been two large real-world evidence studies utilizing the American Academy of Ophthalmology’s IRIS® Registry. The first, a comparative 24-month outcome study of leading FDA cleared or approved MIGS (OMNI, iStent inject, Hydrus®) used in conjunction with cataract surgery versus cataract surgery alone, and the second, an evaluation of 36-month outcomes for OMNI used as a Standalone Procedure. Both have been published in peer-reviewed journals.</w:t>
      </w:r>
    </w:p>
    <w:p>
      <w:pPr>
        <w:spacing w:after="0" w:line="72"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The 36-month real-world study which was published in December 2024 evaluated 230 eyes of 196 patients with POAG over up to three years. The results for OMNI demonstrated clinically and statistically significant reductions in IOP through up to 36 months postoperatively, with mean reductions ranging from 5.6 to 7.1 mmHg. The study also reports a statistically significant decrease in medication use through 18 months. Subgroup analysis showed even greater IOP reductions (up to 8.9 mmHg) in patients with baseline IOP greater than 18 mmHg. Eyes with lower baseline IOP (&lt;18 mmHg) had reductions in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medication use through 36 months, and eyes with higher baseline IOP (&gt;18 mmHg) had statistically significant reductions in IOP and reductions in medication use through 36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Table 1: Sight Sciences OMNI Ongoing and Planned Clinical Studies</w:t>
      </w:r>
    </w:p>
    <w:p>
      <w:pPr>
        <w:spacing w:after="0" w:line="119" w:lineRule="exact"/>
        <w:rPr>
          <w:sz w:val="20"/>
          <w:szCs w:val="20"/>
          <w:color w:val="auto"/>
        </w:rPr>
      </w:pPr>
    </w:p>
    <w:tbl>
      <w:tblPr>
        <w:tblLayout w:type="fixed"/>
        <w:tblInd w:w="430" w:type="dxa"/>
        <w:tblCellMar>
          <w:top w:w="0" w:type="dxa"/>
          <w:left w:w="0" w:type="dxa"/>
          <w:bottom w:w="0" w:type="dxa"/>
          <w:right w:w="0" w:type="dxa"/>
        </w:tblCellMar>
      </w:tblPr>
      <w:tr>
        <w:trPr>
          <w:trHeight w:val="216"/>
        </w:trPr>
        <w:tc>
          <w:tcPr>
            <w:tcW w:w="168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900" w:type="dxa"/>
            <w:vAlign w:val="bottom"/>
            <w:tcBorders>
              <w:top w:val="single" w:sz="8" w:color="auto"/>
              <w:bottom w:val="single" w:sz="8" w:color="auto"/>
              <w:right w:val="single" w:sz="8" w:color="auto"/>
            </w:tcBorders>
          </w:tcPr>
          <w:p>
            <w:pPr>
              <w:ind w:left="43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b w:val="1"/>
                <w:bCs w:val="1"/>
                <w:color w:val="auto"/>
              </w:rPr>
              <w:t>IRIS® Registry</w:t>
            </w:r>
          </w:p>
        </w:tc>
        <w:tc>
          <w:tcPr>
            <w:tcW w:w="8900" w:type="dxa"/>
            <w:vAlign w:val="bottom"/>
            <w:tcBorders>
              <w:right w:val="single" w:sz="8" w:color="auto"/>
            </w:tcBorders>
          </w:tcPr>
          <w:p>
            <w:pPr>
              <w:ind w:left="620"/>
              <w:spacing w:after="0" w:line="119" w:lineRule="exact"/>
              <w:rPr>
                <w:sz w:val="20"/>
                <w:szCs w:val="20"/>
                <w:color w:val="auto"/>
              </w:rPr>
            </w:pPr>
            <w:r>
              <w:rPr>
                <w:rFonts w:ascii="Times New Roman" w:cs="Times New Roman" w:eastAsia="Times New Roman" w:hAnsi="Times New Roman"/>
                <w:sz w:val="13"/>
                <w:szCs w:val="13"/>
                <w:color w:val="auto"/>
              </w:rPr>
              <w:t>Evaluate retrospective, real-world data for OMNI and competing products from IRIS® Registry in the U.S., including disease-severity</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Meta Analysis</w:t>
            </w:r>
          </w:p>
        </w:tc>
        <w:tc>
          <w:tcPr>
            <w:tcW w:w="8900" w:type="dxa"/>
            <w:vAlign w:val="bottom"/>
            <w:tcBorders>
              <w:right w:val="single" w:sz="8" w:color="auto"/>
            </w:tcBorders>
          </w:tcPr>
          <w:p>
            <w:pPr>
              <w:ind w:left="620"/>
              <w:spacing w:after="0" w:line="149" w:lineRule="exact"/>
              <w:rPr>
                <w:sz w:val="20"/>
                <w:szCs w:val="20"/>
                <w:color w:val="auto"/>
              </w:rPr>
            </w:pPr>
            <w:r>
              <w:rPr>
                <w:rFonts w:ascii="Times New Roman" w:cs="Times New Roman" w:eastAsia="Times New Roman" w:hAnsi="Times New Roman"/>
                <w:sz w:val="14"/>
                <w:szCs w:val="14"/>
                <w:color w:val="auto"/>
              </w:rPr>
              <w:t>outcomes, ethnic minorities outcomes, and standalone outcomes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tcBorders>
            <w:vMerge w:val="continue"/>
          </w:tcPr>
          <w:p>
            <w:pPr>
              <w:spacing w:after="0"/>
              <w:rPr>
                <w:sz w:val="12"/>
                <w:szCs w:val="12"/>
                <w:color w:val="auto"/>
              </w:rPr>
            </w:pPr>
          </w:p>
        </w:tc>
        <w:tc>
          <w:tcPr>
            <w:tcW w:w="8900" w:type="dxa"/>
            <w:vAlign w:val="bottom"/>
            <w:tcBorders>
              <w:right w:val="single" w:sz="8" w:color="auto"/>
            </w:tcBorders>
          </w:tcPr>
          <w:p>
            <w:pPr>
              <w:ind w:left="620"/>
              <w:spacing w:after="0" w:line="149" w:lineRule="exact"/>
              <w:rPr>
                <w:sz w:val="20"/>
                <w:szCs w:val="20"/>
                <w:color w:val="auto"/>
              </w:rPr>
            </w:pPr>
            <w:r>
              <w:rPr>
                <w:rFonts w:ascii="Times New Roman" w:cs="Times New Roman" w:eastAsia="Times New Roman" w:hAnsi="Times New Roman"/>
                <w:sz w:val="14"/>
                <w:szCs w:val="14"/>
                <w:color w:val="auto"/>
              </w:rPr>
              <w:t>Meta analysis that combines and analyzes the results of all studies of procedures performed by OMNI to systematically assess the results of</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tcBorders>
          </w:tcPr>
          <w:p>
            <w:pPr>
              <w:spacing w:after="0"/>
              <w:rPr>
                <w:sz w:val="14"/>
                <w:szCs w:val="14"/>
                <w:color w:val="auto"/>
              </w:rPr>
            </w:pPr>
          </w:p>
        </w:tc>
        <w:tc>
          <w:tcPr>
            <w:tcW w:w="890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previous research to derive conclusions about the procedures performed by OMNI and the related safety and efficacy of such procedures</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TearCare System - Clinical Program</w:t>
      </w:r>
    </w:p>
    <w:p>
      <w:pPr>
        <w:spacing w:after="0" w:line="121" w:lineRule="exact"/>
        <w:rPr>
          <w:sz w:val="20"/>
          <w:szCs w:val="20"/>
          <w:color w:val="auto"/>
        </w:rPr>
      </w:pPr>
    </w:p>
    <w:p>
      <w:pPr>
        <w:jc w:val="both"/>
        <w:ind w:right="20" w:firstLine="419"/>
        <w:spacing w:after="0" w:line="255" w:lineRule="auto"/>
        <w:rPr>
          <w:sz w:val="20"/>
          <w:szCs w:val="20"/>
          <w:color w:val="auto"/>
        </w:rPr>
      </w:pPr>
      <w:r>
        <w:rPr>
          <w:rFonts w:ascii="Times New Roman" w:cs="Times New Roman" w:eastAsia="Times New Roman" w:hAnsi="Times New Roman"/>
          <w:sz w:val="18"/>
          <w:szCs w:val="18"/>
          <w:color w:val="231F20"/>
        </w:rPr>
        <w:t xml:space="preserve">We have developed robust clinical data evaluating TearCare. Our first RCT for TearCare ("OLYMPIA") was completed in 2021 and data from OLYMPIA supported the FDA clearance of TearCare’s expanded indication for use in December 2021. The second RCT for TearCare (“SAHARA”) has completed Phase 1 and Phase 2. Phase 1 of the SAHARA RCT (showing superiority or equivalence over Restasis® cyclosporine drops with respect to study endpoints) was published in December 2023 in </w:t>
      </w:r>
      <w:r>
        <w:rPr>
          <w:rFonts w:ascii="Times New Roman" w:cs="Times New Roman" w:eastAsia="Times New Roman" w:hAnsi="Times New Roman"/>
          <w:sz w:val="18"/>
          <w:szCs w:val="18"/>
          <w:i w:val="1"/>
          <w:iCs w:val="1"/>
          <w:color w:val="231F20"/>
        </w:rPr>
        <w:t>Clinical Ophthalmology</w:t>
      </w:r>
      <w:r>
        <w:rPr>
          <w:rFonts w:ascii="Times New Roman" w:cs="Times New Roman" w:eastAsia="Times New Roman" w:hAnsi="Times New Roman"/>
          <w:sz w:val="18"/>
          <w:szCs w:val="18"/>
          <w:color w:val="231F20"/>
        </w:rPr>
        <w:t xml:space="preserve">. The Phase 2 results from SAHARA (cross-over of Restasis® subjects to a single TearCare treatment) were published in May 2024 in </w:t>
      </w:r>
      <w:r>
        <w:rPr>
          <w:rFonts w:ascii="Times New Roman" w:cs="Times New Roman" w:eastAsia="Times New Roman" w:hAnsi="Times New Roman"/>
          <w:sz w:val="18"/>
          <w:szCs w:val="18"/>
          <w:i w:val="1"/>
          <w:iCs w:val="1"/>
          <w:color w:val="231F20"/>
        </w:rPr>
        <w:t>Clinical Ophthalmology</w:t>
      </w:r>
      <w:r>
        <w:rPr>
          <w:rFonts w:ascii="Times New Roman" w:cs="Times New Roman" w:eastAsia="Times New Roman" w:hAnsi="Times New Roman"/>
          <w:sz w:val="18"/>
          <w:szCs w:val="18"/>
          <w:color w:val="231F20"/>
        </w:rPr>
        <w:t>. The recently completed Phase 3 of the trial (evaluation of duration of TearCare treatment effect) is planned to be submitted for publication in the first half of 2025. We plan to leverage the results of our OLYMPIA and SAHARA studies to support FDA clearances to further expand indications for use of TearCare and to support our market access strategy.</w:t>
      </w:r>
    </w:p>
    <w:p>
      <w:pPr>
        <w:spacing w:after="0" w:line="81" w:lineRule="exact"/>
        <w:rPr>
          <w:sz w:val="20"/>
          <w:szCs w:val="20"/>
          <w:color w:val="auto"/>
        </w:rPr>
      </w:pPr>
    </w:p>
    <w:p>
      <w:pPr>
        <w:jc w:val="both"/>
        <w:ind w:right="20" w:firstLine="419"/>
        <w:spacing w:after="0" w:line="258" w:lineRule="auto"/>
        <w:rPr>
          <w:sz w:val="20"/>
          <w:szCs w:val="20"/>
          <w:color w:val="auto"/>
        </w:rPr>
      </w:pPr>
      <w:r>
        <w:rPr>
          <w:rFonts w:ascii="Times New Roman" w:cs="Times New Roman" w:eastAsia="Times New Roman" w:hAnsi="Times New Roman"/>
          <w:sz w:val="18"/>
          <w:szCs w:val="18"/>
          <w:color w:val="231F20"/>
        </w:rPr>
        <w:t>In OLYMPIA, our large multi-center RCT, the TearCare procedure was associated with statistically significant clinical improvements in all assessed signs and symptoms of DED. This included tear breakup time ("TBUT") and meibomian gland secretion score ("MGSS"), objective measurements of DED that were the trial’s primary endpoints, as well as patient-reported symptoms surveys, including Eye Dryness Score ("EDS"), ocular surface disease index ("OSDI"), and symptom assessment in dry eye ("SANDE"), at all time periods measured (both two weeks and four weeks post-treatment).</w:t>
      </w:r>
    </w:p>
    <w:p>
      <w:pPr>
        <w:spacing w:after="0" w:line="73" w:lineRule="exact"/>
        <w:rPr>
          <w:sz w:val="20"/>
          <w:szCs w:val="20"/>
          <w:color w:val="auto"/>
        </w:rPr>
      </w:pPr>
    </w:p>
    <w:p>
      <w:pPr>
        <w:jc w:val="both"/>
        <w:ind w:right="20" w:firstLine="419"/>
        <w:spacing w:after="0" w:line="261" w:lineRule="auto"/>
        <w:rPr>
          <w:sz w:val="20"/>
          <w:szCs w:val="20"/>
          <w:color w:val="auto"/>
        </w:rPr>
      </w:pPr>
      <w:r>
        <w:rPr>
          <w:rFonts w:ascii="Times New Roman" w:cs="Times New Roman" w:eastAsia="Times New Roman" w:hAnsi="Times New Roman"/>
          <w:sz w:val="18"/>
          <w:szCs w:val="18"/>
          <w:color w:val="231F20"/>
        </w:rPr>
        <w:t xml:space="preserve">In September 2021, an article discussing results from our OLYMPIA RCT was published in </w:t>
      </w:r>
      <w:r>
        <w:rPr>
          <w:rFonts w:ascii="Times New Roman" w:cs="Times New Roman" w:eastAsia="Times New Roman" w:hAnsi="Times New Roman"/>
          <w:sz w:val="18"/>
          <w:szCs w:val="18"/>
          <w:i w:val="1"/>
          <w:iCs w:val="1"/>
          <w:color w:val="231F20"/>
        </w:rPr>
        <w:t>Cornea</w:t>
      </w:r>
      <w:r>
        <w:rPr>
          <w:rFonts w:ascii="Times New Roman" w:cs="Times New Roman" w:eastAsia="Times New Roman" w:hAnsi="Times New Roman"/>
          <w:sz w:val="18"/>
          <w:szCs w:val="18"/>
          <w:color w:val="231F20"/>
        </w:rPr>
        <w:t xml:space="preserve">. In August 2022, a subset analysis of patients in the OLYMPIA trial with advanced DED demonstrating superior symptoms improvements with TearCare compared to an alternative MGD treatment device was published in </w:t>
      </w:r>
      <w:r>
        <w:rPr>
          <w:rFonts w:ascii="Times New Roman" w:cs="Times New Roman" w:eastAsia="Times New Roman" w:hAnsi="Times New Roman"/>
          <w:sz w:val="18"/>
          <w:szCs w:val="18"/>
          <w:i w:val="1"/>
          <w:iCs w:val="1"/>
          <w:color w:val="231F20"/>
        </w:rPr>
        <w:t>Clinical Ophthalmology</w:t>
      </w:r>
      <w:r>
        <w:rPr>
          <w:rFonts w:ascii="Times New Roman" w:cs="Times New Roman" w:eastAsia="Times New Roman" w:hAnsi="Times New Roman"/>
          <w:sz w:val="18"/>
          <w:szCs w:val="18"/>
          <w:color w:val="231F20"/>
        </w:rPr>
        <w:t xml:space="preserve">. Additionally, results from the CHEETAH study suggesting that a single TearCare procedure is safe and effective in treatment signs and symptoms of DED were published in </w:t>
      </w:r>
      <w:r>
        <w:rPr>
          <w:rFonts w:ascii="Times New Roman" w:cs="Times New Roman" w:eastAsia="Times New Roman" w:hAnsi="Times New Roman"/>
          <w:sz w:val="18"/>
          <w:szCs w:val="18"/>
          <w:i w:val="1"/>
          <w:iCs w:val="1"/>
          <w:color w:val="231F20"/>
        </w:rPr>
        <w:t>Clinical Ophthalmology</w:t>
      </w:r>
      <w:r>
        <w:rPr>
          <w:rFonts w:ascii="Times New Roman" w:cs="Times New Roman" w:eastAsia="Times New Roman" w:hAnsi="Times New Roman"/>
          <w:sz w:val="18"/>
          <w:szCs w:val="18"/>
          <w:color w:val="231F20"/>
        </w:rPr>
        <w:t xml:space="preserve"> (December 2020).</w:t>
      </w:r>
    </w:p>
    <w:p>
      <w:pPr>
        <w:spacing w:after="0" w:line="74" w:lineRule="exact"/>
        <w:rPr>
          <w:sz w:val="20"/>
          <w:szCs w:val="20"/>
          <w:color w:val="auto"/>
        </w:rPr>
      </w:pPr>
    </w:p>
    <w:p>
      <w:pPr>
        <w:jc w:val="both"/>
        <w:ind w:right="20" w:firstLine="419"/>
        <w:spacing w:after="0" w:line="256" w:lineRule="auto"/>
        <w:rPr>
          <w:sz w:val="20"/>
          <w:szCs w:val="20"/>
          <w:color w:val="auto"/>
        </w:rPr>
      </w:pPr>
      <w:r>
        <w:rPr>
          <w:rFonts w:ascii="Times New Roman" w:cs="Times New Roman" w:eastAsia="Times New Roman" w:hAnsi="Times New Roman"/>
          <w:sz w:val="18"/>
          <w:szCs w:val="18"/>
          <w:color w:val="231F20"/>
        </w:rPr>
        <w:t xml:space="preserve">In SAHARA, our large, multi-center RCT, the TearCare procedure achieved its primary six-month endpoint in Phase 1, demonstrating the superiority of interventional eyelid procedures enabled by TearCare over Restasis® eyedrops in the improvement of TBUT, a key measure of aqueous retention, tear stability and the tear film’s ability to protect the ocular surface. </w:t>
      </w:r>
      <w:r>
        <w:rPr>
          <w:rFonts w:ascii="Times New Roman" w:cs="Times New Roman" w:eastAsia="Times New Roman" w:hAnsi="Times New Roman"/>
          <w:sz w:val="18"/>
          <w:szCs w:val="18"/>
          <w:color w:val="000000"/>
        </w:rPr>
        <w:t>T</w:t>
      </w:r>
      <w:r>
        <w:rPr>
          <w:rFonts w:ascii="Times New Roman" w:cs="Times New Roman" w:eastAsia="Times New Roman" w:hAnsi="Times New Roman"/>
          <w:sz w:val="18"/>
          <w:szCs w:val="18"/>
          <w:color w:val="231F20"/>
        </w:rPr>
        <w:t>he SAHARA trial also observed that procedures enabled by TearCare were non-inferior to Restasis® eyedrops in OSDI, which was the co-primary six-month endpoint. Throughout the study, interventional eyelid procedures with TearCare demonstrated clinically and statistically significant improvements of every endpoint and at every measurement interval: one week, one month, three months, and six months. Endpoints assessed include TBUT, MGSS, corneal staining, and conjunctival staining.</w:t>
      </w:r>
    </w:p>
    <w:p>
      <w:pPr>
        <w:spacing w:after="0" w:line="79" w:lineRule="exact"/>
        <w:rPr>
          <w:sz w:val="20"/>
          <w:szCs w:val="20"/>
          <w:color w:val="auto"/>
        </w:rPr>
      </w:pPr>
    </w:p>
    <w:p>
      <w:pPr>
        <w:jc w:val="both"/>
        <w:ind w:right="20" w:firstLine="419"/>
        <w:spacing w:after="0" w:line="261" w:lineRule="auto"/>
        <w:rPr>
          <w:sz w:val="20"/>
          <w:szCs w:val="20"/>
          <w:color w:val="auto"/>
        </w:rPr>
      </w:pPr>
      <w:r>
        <w:rPr>
          <w:rFonts w:ascii="Times New Roman" w:cs="Times New Roman" w:eastAsia="Times New Roman" w:hAnsi="Times New Roman"/>
          <w:sz w:val="18"/>
          <w:szCs w:val="18"/>
          <w:color w:val="231F20"/>
        </w:rPr>
        <w:t>In Phase 2 of the SAHARA trial, subjects in the Restasis® cohort ceased use of Restasis®, and received an interventional eyelid procedure with TearCare, and were monitored for another six months. Statistically significant improvements were observed in TBUT and MGSS at three and six months after the TearCare intervention and OSDI was numerically improved from the end of Restasis® treatment and remained clinically and statistically significantly better than the pre-study baseline.</w:t>
      </w:r>
    </w:p>
    <w:p>
      <w:pPr>
        <w:spacing w:after="0" w:line="72" w:lineRule="exact"/>
        <w:rPr>
          <w:sz w:val="20"/>
          <w:szCs w:val="20"/>
          <w:color w:val="auto"/>
        </w:rPr>
      </w:pPr>
    </w:p>
    <w:p>
      <w:pPr>
        <w:jc w:val="both"/>
        <w:ind w:right="40" w:firstLine="419"/>
        <w:spacing w:after="0" w:line="266" w:lineRule="auto"/>
        <w:rPr>
          <w:sz w:val="20"/>
          <w:szCs w:val="20"/>
          <w:color w:val="auto"/>
        </w:rPr>
      </w:pPr>
      <w:r>
        <w:rPr>
          <w:rFonts w:ascii="Times New Roman" w:cs="Times New Roman" w:eastAsia="Times New Roman" w:hAnsi="Times New Roman"/>
          <w:sz w:val="18"/>
          <w:szCs w:val="18"/>
          <w:color w:val="231F20"/>
        </w:rPr>
        <w:t>In Phase 3 of the SAHARA trial, subjects in the TearCare cohort received additional TearCare interventional eyelid procedures as necessary based on pre-determined criteria over an additional 18 months (24 months total study period) to measure the durability of procedural treatment effect. This final phase was recently completed and analysis of the results is ongoing. We expect publication of the Phase 3 clinical results by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Table 2: Sight Sciences TearCare Ongoing Clinical Study</w:t>
      </w:r>
    </w:p>
    <w:p>
      <w:pPr>
        <w:spacing w:after="0" w:line="116" w:lineRule="exact"/>
        <w:rPr>
          <w:sz w:val="20"/>
          <w:szCs w:val="20"/>
          <w:color w:val="auto"/>
        </w:rPr>
      </w:pPr>
    </w:p>
    <w:tbl>
      <w:tblPr>
        <w:tblLayout w:type="fixed"/>
        <w:tblInd w:w="430" w:type="dxa"/>
        <w:tblCellMar>
          <w:top w:w="0" w:type="dxa"/>
          <w:left w:w="0" w:type="dxa"/>
          <w:bottom w:w="0" w:type="dxa"/>
          <w:right w:w="0" w:type="dxa"/>
        </w:tblCellMar>
      </w:tblPr>
      <w:tr>
        <w:trPr>
          <w:trHeight w:val="235"/>
        </w:trPr>
        <w:tc>
          <w:tcPr>
            <w:tcW w:w="2420" w:type="dxa"/>
            <w:vAlign w:val="bottom"/>
            <w:tcBorders>
              <w:top w:val="single" w:sz="8" w:color="auto"/>
              <w:left w:val="single" w:sz="8" w:color="auto"/>
              <w:right w:val="single" w:sz="8" w:color="auto"/>
            </w:tcBorders>
          </w:tcPr>
          <w:p>
            <w:pPr>
              <w:ind w:left="100"/>
              <w:spacing w:after="0"/>
              <w:rPr>
                <w:sz w:val="20"/>
                <w:szCs w:val="20"/>
                <w:color w:val="auto"/>
              </w:rPr>
            </w:pPr>
            <w:r>
              <w:rPr>
                <w:rFonts w:ascii="Calibri" w:cs="Calibri" w:eastAsia="Calibri" w:hAnsi="Calibri"/>
                <w:sz w:val="18"/>
                <w:szCs w:val="18"/>
                <w:b w:val="1"/>
                <w:bCs w:val="1"/>
                <w:color w:val="auto"/>
              </w:rPr>
              <w:t>Name</w:t>
            </w:r>
          </w:p>
        </w:tc>
        <w:tc>
          <w:tcPr>
            <w:tcW w:w="8240" w:type="dxa"/>
            <w:vAlign w:val="bottom"/>
            <w:tcBorders>
              <w:top w:val="single" w:sz="8" w:color="auto"/>
              <w:right w:val="single" w:sz="8" w:color="auto"/>
            </w:tcBorders>
          </w:tcPr>
          <w:p>
            <w:pPr>
              <w:ind w:left="3700"/>
              <w:spacing w:after="0"/>
              <w:rPr>
                <w:sz w:val="20"/>
                <w:szCs w:val="20"/>
                <w:color w:val="auto"/>
              </w:rPr>
            </w:pPr>
            <w:r>
              <w:rPr>
                <w:rFonts w:ascii="Calibri" w:cs="Calibri" w:eastAsia="Calibri" w:hAnsi="Calibri"/>
                <w:sz w:val="18"/>
                <w:szCs w:val="18"/>
                <w:b w:val="1"/>
                <w:bCs w:val="1"/>
                <w:color w:val="auto"/>
              </w:rPr>
              <w:t>Descripton</w:t>
            </w:r>
          </w:p>
        </w:tc>
      </w:tr>
      <w:tr>
        <w:trPr>
          <w:trHeight w:val="130"/>
        </w:trPr>
        <w:tc>
          <w:tcPr>
            <w:tcW w:w="2420" w:type="dxa"/>
            <w:vAlign w:val="bottom"/>
            <w:tcBorders>
              <w:left w:val="single" w:sz="8" w:color="auto"/>
              <w:bottom w:val="single" w:sz="8" w:color="auto"/>
              <w:right w:val="single" w:sz="8" w:color="auto"/>
            </w:tcBorders>
          </w:tcPr>
          <w:p>
            <w:pPr>
              <w:spacing w:after="0"/>
              <w:rPr>
                <w:sz w:val="11"/>
                <w:szCs w:val="11"/>
                <w:color w:val="auto"/>
              </w:rPr>
            </w:pPr>
          </w:p>
        </w:tc>
        <w:tc>
          <w:tcPr>
            <w:tcW w:w="8240" w:type="dxa"/>
            <w:vAlign w:val="bottom"/>
            <w:tcBorders>
              <w:bottom w:val="single" w:sz="8" w:color="auto"/>
              <w:right w:val="single" w:sz="8" w:color="auto"/>
            </w:tcBorders>
          </w:tcPr>
          <w:p>
            <w:pPr>
              <w:spacing w:after="0"/>
              <w:rPr>
                <w:sz w:val="11"/>
                <w:szCs w:val="11"/>
                <w:color w:val="auto"/>
              </w:rPr>
            </w:pPr>
          </w:p>
        </w:tc>
      </w:tr>
    </w:tbl>
    <w:p>
      <w:pPr>
        <w:spacing w:after="0" w:line="1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201" w:right="379" w:bottom="1440" w:gutter="0" w:footer="0" w:header="0"/>
        </w:sectPr>
      </w:pPr>
    </w:p>
    <w:bookmarkStart w:id="13" w:name="page14"/>
    <w:bookmarkEnd w:id="13"/>
    <w:tbl>
      <w:tblPr>
        <w:tblLayout w:type="fixed"/>
        <w:tblInd w:w="430" w:type="dxa"/>
        <w:tblCellMar>
          <w:top w:w="0" w:type="dxa"/>
          <w:left w:w="0" w:type="dxa"/>
          <w:bottom w:w="0" w:type="dxa"/>
          <w:right w:w="0" w:type="dxa"/>
        </w:tblCellMar>
      </w:tblPr>
      <w:tr>
        <w:trPr>
          <w:trHeight w:val="214"/>
        </w:trPr>
        <w:tc>
          <w:tcPr>
            <w:tcW w:w="24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SAHARA</w:t>
            </w:r>
          </w:p>
        </w:tc>
        <w:tc>
          <w:tcPr>
            <w:tcW w:w="8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NCT04795752:  Prospective,  Randomized,  Masked,  Controlled  Trial  To  Evaluate  The  Safety  And</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Effectiveness Of The TearCare® System In The Treatment Of The Signs And Symptoms Of Dry Eye Disease.</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Control group will self-administer Restasis® for six months then receive one TearCare treatment. Following</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six-month primary endpoint, patients in the control group stopped Restasis and received a single TearCare</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treatment and continued to be followed for an additional six months. Patients in the TearCare group will</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continue to be followed for an additional 18 months with repeat TearCare treatments as needed according to</w:t>
            </w:r>
          </w:p>
        </w:tc>
      </w:tr>
      <w:tr>
        <w:trPr>
          <w:trHeight w:val="231"/>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protocol specified criteria.</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Commercial Approach</w:t>
      </w:r>
    </w:p>
    <w:p>
      <w:pPr>
        <w:spacing w:after="0" w:line="121" w:lineRule="exact"/>
        <w:rPr>
          <w:sz w:val="20"/>
          <w:szCs w:val="20"/>
          <w:color w:val="auto"/>
        </w:rPr>
      </w:pPr>
    </w:p>
    <w:p>
      <w:pPr>
        <w:jc w:val="both"/>
        <w:ind w:right="60" w:firstLine="419"/>
        <w:spacing w:after="0" w:line="254" w:lineRule="auto"/>
        <w:rPr>
          <w:sz w:val="20"/>
          <w:szCs w:val="20"/>
          <w:color w:val="auto"/>
        </w:rPr>
      </w:pPr>
      <w:r>
        <w:rPr>
          <w:rFonts w:ascii="Times New Roman" w:cs="Times New Roman" w:eastAsia="Times New Roman" w:hAnsi="Times New Roman"/>
          <w:sz w:val="18"/>
          <w:szCs w:val="18"/>
          <w:color w:val="231F20"/>
        </w:rPr>
        <w:t>We have built a world-class direct sales commercial organization that features professionals and executives with substantial leadership experience from leading ophthalmic and medical technology companies. In particular, we have recruited professionals with track records that include launching new technologies, growing primary demand, changing treatment paradigms and securing market access from payors. We believe this expertise is crucial to achieve our market development objectives for interventional standalone MIGS and MGD treatment. Sales representatives typically have relevant experience across medical device and/or pharmaceutical sales focused on eyecare to ensure the development of a trusted consultative relationship with our ECPs. As we have developed our clinical data and brand recognition, we believe our team has differentiated our product offerings and gained commercial traction through exceptional, highly involved training, support and ongoing professional education. As of December 31, 2024, our overall commercial team consisted of approximately 127 professionals dedicated to sales, marketing, commercial support, training and professional relations.</w:t>
      </w:r>
    </w:p>
    <w:p>
      <w:pPr>
        <w:spacing w:after="0" w:line="84" w:lineRule="exact"/>
        <w:rPr>
          <w:sz w:val="20"/>
          <w:szCs w:val="20"/>
          <w:color w:val="auto"/>
        </w:rPr>
      </w:pPr>
    </w:p>
    <w:p>
      <w:pPr>
        <w:jc w:val="both"/>
        <w:ind w:right="60" w:firstLine="419"/>
        <w:spacing w:after="0" w:line="261" w:lineRule="auto"/>
        <w:rPr>
          <w:sz w:val="20"/>
          <w:szCs w:val="20"/>
          <w:color w:val="auto"/>
        </w:rPr>
      </w:pPr>
      <w:r>
        <w:rPr>
          <w:rFonts w:ascii="Times New Roman" w:cs="Times New Roman" w:eastAsia="Times New Roman" w:hAnsi="Times New Roman"/>
          <w:sz w:val="18"/>
          <w:szCs w:val="18"/>
          <w:color w:val="231F20"/>
        </w:rPr>
        <w:t>We maintain distinct sales, marketing, and training teams to support our business segments because our products are predominantly sold to different types of customers and require specialized product-specific sales expertise and ECP training to integrate our products into their practices. We sell OMNI and SION to facilities where ophthalmic surgeons perform outpatient procedures, particularly ASCs and hospital outpatient departments ("HOPDs"). We sell TearCare to optometry and ophthalmology practices.</w:t>
      </w:r>
    </w:p>
    <w:p>
      <w:pPr>
        <w:spacing w:after="0" w:line="72" w:lineRule="exact"/>
        <w:rPr>
          <w:sz w:val="20"/>
          <w:szCs w:val="20"/>
          <w:color w:val="auto"/>
        </w:rPr>
      </w:pPr>
    </w:p>
    <w:p>
      <w:pPr>
        <w:jc w:val="both"/>
        <w:ind w:right="60" w:firstLine="419"/>
        <w:spacing w:after="0" w:line="258" w:lineRule="auto"/>
        <w:rPr>
          <w:sz w:val="20"/>
          <w:szCs w:val="20"/>
          <w:color w:val="auto"/>
        </w:rPr>
      </w:pPr>
      <w:r>
        <w:rPr>
          <w:rFonts w:ascii="Times New Roman" w:cs="Times New Roman" w:eastAsia="Times New Roman" w:hAnsi="Times New Roman"/>
          <w:sz w:val="18"/>
          <w:szCs w:val="18"/>
          <w:color w:val="231F20"/>
        </w:rPr>
        <w:t>Our marketing efforts are centered around increasing awareness of our products and presenting clinical study results through leading medical publications and at large industry and scientific meetings, both directly and through our advisors. We have also partnered with qualified ECPs to educate their peers on our behalf through educational forums. Clinical data that demonstrate the clinical benefits of OMNI and TearCare for their authorized uses will continue to underpin our commercial efforts and we intend to continue to devote significant resources to conduct new clinical studies and publish articles in peer-reviewed journals.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Seasonality</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We believe our sales may be impacted by seasonal factors. For example, we typically experience higher sales volumes in the second and fourth quarters versus the first and third quarters. Demand is often lower during summer months because of ECP vacations and in winter months in certain parts of the world because of fewer business or surgery days due to holidays and adverse weather conditions. But this may vary year-over year as it did in 2023 where demand was softer in the fourth quarter due to the impacts of the Draft LCDs, as amended, that were ultimately withdrawn by the MACs but created demand uncertainty in the period, and in 2024 where demand was softer in the fourth quarter due to the impacts of the final LCDs that were published early in 2024 and became effective in November 2024 (“Final LCDs”) that implemented restrictions on multiple MIGS done at the same time as cataract surgery. Seasonality in future periods may also be impacted by reimbursement coverage, sales infrastructure, and consumer and physicians’ behaviors and confidence. See the section titled “Management’s Discussion and Analysis of Financial Condition and Results of Operations—Factors Affecting Our Business and Results of Operations—Reimbursement Rates and Coverage” for additional information regarding the Draft LCDs.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Reimbursement</w:t>
      </w:r>
    </w:p>
    <w:p>
      <w:pPr>
        <w:spacing w:after="0" w:line="121" w:lineRule="exact"/>
        <w:rPr>
          <w:sz w:val="20"/>
          <w:szCs w:val="20"/>
          <w:color w:val="auto"/>
        </w:rPr>
      </w:pPr>
    </w:p>
    <w:p>
      <w:pPr>
        <w:jc w:val="both"/>
        <w:ind w:right="60" w:firstLine="419"/>
        <w:spacing w:after="0" w:line="256" w:lineRule="auto"/>
        <w:rPr>
          <w:sz w:val="20"/>
          <w:szCs w:val="20"/>
          <w:color w:val="auto"/>
        </w:rPr>
      </w:pPr>
      <w:r>
        <w:rPr>
          <w:rFonts w:ascii="Times New Roman" w:cs="Times New Roman" w:eastAsia="Times New Roman" w:hAnsi="Times New Roman"/>
          <w:sz w:val="18"/>
          <w:szCs w:val="18"/>
          <w:color w:val="231F20"/>
        </w:rPr>
        <w:t>Our commercial activities are substantially within the United States. We sell our Surgical Glaucoma products primarily to ASCs and HOPDs, who in turn bill various third-party payors, such as Medicare and private health insurance plans for the healthcare services and resources rendered to treat a patient. TearCare is not currently covered or paid by Medicare or private payors under any formal policy, although some payors may agree to provide case-based coverage outside of a formal policy. Our market access team helps facilitate patient access to the OMNI, SION and TearCare systems by engaging payors on coverage, coding and payment matters, and by providing support to patients and our customers as they seek reimbursement from payors that do not have positive coverage or those that do not have formal policies in place regarding our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for Uses of the OMNI Surgical System and SION Surgical Instrument</w:t>
      </w: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088" w:right="339" w:bottom="1440" w:gutter="0" w:footer="0" w:header="0"/>
        </w:sectPr>
      </w:pPr>
    </w:p>
    <w:bookmarkStart w:id="14" w:name="page15"/>
    <w:bookmarkEnd w:id="14"/>
    <w:p>
      <w:pPr>
        <w:jc w:val="both"/>
        <w:ind w:left="120" w:right="80" w:firstLine="419"/>
        <w:spacing w:after="0" w:line="282" w:lineRule="auto"/>
        <w:rPr>
          <w:sz w:val="20"/>
          <w:szCs w:val="20"/>
          <w:color w:val="auto"/>
        </w:rPr>
      </w:pPr>
      <w:r>
        <w:rPr>
          <w:rFonts w:ascii="Times New Roman" w:cs="Times New Roman" w:eastAsia="Times New Roman" w:hAnsi="Times New Roman"/>
          <w:sz w:val="18"/>
          <w:szCs w:val="18"/>
          <w:color w:val="231F20"/>
        </w:rPr>
        <w:t>Surgeons are able to perform a comprehensive outflow procedure enabled by OMNI or a partial outflow procedure focused on the trabecular meshwork with SION.</w:t>
      </w:r>
    </w:p>
    <w:p>
      <w:pPr>
        <w:spacing w:after="0" w:line="54" w:lineRule="exact"/>
        <w:rPr>
          <w:sz w:val="20"/>
          <w:szCs w:val="20"/>
          <w:color w:val="auto"/>
        </w:rPr>
      </w:pPr>
    </w:p>
    <w:p>
      <w:pPr>
        <w:jc w:val="both"/>
        <w:ind w:left="120" w:right="60" w:firstLine="419"/>
        <w:spacing w:after="0" w:line="254" w:lineRule="auto"/>
        <w:rPr>
          <w:sz w:val="20"/>
          <w:szCs w:val="20"/>
          <w:color w:val="auto"/>
        </w:rPr>
      </w:pPr>
      <w:r>
        <w:rPr>
          <w:rFonts w:ascii="Times New Roman" w:cs="Times New Roman" w:eastAsia="Times New Roman" w:hAnsi="Times New Roman"/>
          <w:sz w:val="18"/>
          <w:szCs w:val="18"/>
          <w:color w:val="231F20"/>
        </w:rPr>
        <w:t>Medicare coverage policies for MIGS procedures in five of the seven Medicare Administrative Contractor (“MACs”) jurisdictions, which became effective in November 2024, confirmed continued Medicare coverage for Combination Cataract Procedures (cataract surgery procedures performed with a single MIGS procedure), including both canaloplasty and goniotomy procedures. Medicare coverage of Combination Cataract Procedures involving non-implant MIGS procedures in the remaining two MACs is available outside of a formal coverage policy, as is Medicare coverage of Standalone Procedures performed using OMNI or SION. Widespread coverage is important for commercial adoption. Based on POAG prevalence, we estimate that currently approximately 70% of patients who receive glaucoma treatment are covered by Medicare (fee-for-service and Medicare Advantage plans). Private payor coverage policies vary for procedures that may be performed with OMNI or SION technologies. For instance, in the United States, some commercial payors, including numerous Blue Cross Blue Shield plans, Cigna plans, and Aetna plans, have published medical policies that consider canaloplasty medically necessary for the treatment of glaucoma, though specific criteria for coverage may vary depending on the payor.</w:t>
      </w:r>
    </w:p>
    <w:p>
      <w:pPr>
        <w:spacing w:after="0" w:line="80" w:lineRule="exact"/>
        <w:rPr>
          <w:sz w:val="20"/>
          <w:szCs w:val="20"/>
          <w:color w:val="auto"/>
        </w:rPr>
      </w:pPr>
    </w:p>
    <w:p>
      <w:pPr>
        <w:jc w:val="both"/>
        <w:ind w:left="120" w:right="60" w:firstLine="419"/>
        <w:spacing w:after="0" w:line="258" w:lineRule="auto"/>
        <w:rPr>
          <w:sz w:val="20"/>
          <w:szCs w:val="20"/>
          <w:color w:val="auto"/>
        </w:rPr>
      </w:pPr>
      <w:r>
        <w:rPr>
          <w:rFonts w:ascii="Times New Roman" w:cs="Times New Roman" w:eastAsia="Times New Roman" w:hAnsi="Times New Roman"/>
          <w:sz w:val="18"/>
          <w:szCs w:val="18"/>
          <w:color w:val="231F20"/>
        </w:rPr>
        <w:t>Additionally, as with many healthcare items and services, some health plans cover the procedures performed using OMNI and SION outside of a formal coverage policy. Where coverage is less consistent or is limited, as is the case with certain commercial payors, our market access team works with payors directly and with customers to facilitate patient access to our Surgical Glaucoma products by working towards securing appropriate coverage and reimbursement. We have established and continue to build a substantial library of clinical evidence and health economics outcomes research data and published articles to directly address the needs of payors.</w:t>
      </w:r>
    </w:p>
    <w:p>
      <w:pPr>
        <w:spacing w:after="0" w:line="75" w:lineRule="exact"/>
        <w:rPr>
          <w:sz w:val="20"/>
          <w:szCs w:val="20"/>
          <w:color w:val="auto"/>
        </w:rPr>
      </w:pPr>
    </w:p>
    <w:p>
      <w:pPr>
        <w:jc w:val="both"/>
        <w:ind w:left="120" w:right="60" w:firstLine="419"/>
        <w:spacing w:after="0" w:line="261" w:lineRule="auto"/>
        <w:rPr>
          <w:sz w:val="20"/>
          <w:szCs w:val="20"/>
          <w:color w:val="auto"/>
        </w:rPr>
      </w:pPr>
      <w:r>
        <w:rPr>
          <w:rFonts w:ascii="Times New Roman" w:cs="Times New Roman" w:eastAsia="Times New Roman" w:hAnsi="Times New Roman"/>
          <w:sz w:val="18"/>
          <w:szCs w:val="18"/>
          <w:color w:val="231F20"/>
        </w:rPr>
        <w:t>We believe the results from our completed, in-progress and planned clinical trials and accompanying peer-reviewed articles will help to expand and solidify coverage of procedures performed using OMNI and SION. We estimate that most people with medical benefit coverage have reimbursed access to the canaloplasty procedures and procedures performed using OMNI. We continue to proactively engage with the remaining key national and regional payors currently not covering performed using OMNI to seek reversals of their current non-coverage policies.</w:t>
      </w:r>
    </w:p>
    <w:p>
      <w:pPr>
        <w:spacing w:after="0" w:line="72" w:lineRule="exact"/>
        <w:rPr>
          <w:sz w:val="20"/>
          <w:szCs w:val="20"/>
          <w:color w:val="auto"/>
        </w:rPr>
      </w:pPr>
    </w:p>
    <w:p>
      <w:pPr>
        <w:jc w:val="both"/>
        <w:ind w:left="120" w:right="60" w:firstLine="419"/>
        <w:spacing w:after="0" w:line="254" w:lineRule="auto"/>
        <w:rPr>
          <w:sz w:val="20"/>
          <w:szCs w:val="20"/>
          <w:color w:val="auto"/>
        </w:rPr>
      </w:pPr>
      <w:r>
        <w:rPr>
          <w:rFonts w:ascii="Times New Roman" w:cs="Times New Roman" w:eastAsia="Times New Roman" w:hAnsi="Times New Roman"/>
          <w:sz w:val="18"/>
          <w:szCs w:val="18"/>
          <w:color w:val="231F20"/>
        </w:rPr>
        <w:t>Virtually all sales of OMNI and SION in the U.S. are to ASCs and HOPDs. Per Medicare and many private payor payment policies, when certain procedures are performed in the ASC setting on the same day, such as cataract surgery, canaloplasty and goniotomy, multiple procedure payment reduction rules apply. Therefore, when a canaloplasty or goniotomy is performed with cataract surgery on the same patient on the same day, payment of the lower-cost procedure (most commonly the cataract procedure) is reduced by 50%. Multiple procedure payment reduction rules also typically apply to professional services. Physicians are likely to be paid at a reduced rate for lower valued procedures when performed concomitantly. In the HOPD setting, Medicare procedures performed using OMNI and SION as well as cataract procedures, are paid under comprehensive ambulatory payment classifications ("C-APCs"). In these circumstances, the highest valued code is paid at 100%, with payment for additional procedures performed during the same operative session bundled into the single highest payment rate. Many commercial payors use a similar payment methodology, but payment rules can vary across health plans, particularly across plan types (e.g., HMO, PPO, POS).</w:t>
      </w:r>
    </w:p>
    <w:p>
      <w:pPr>
        <w:spacing w:after="0" w:line="80" w:lineRule="exact"/>
        <w:rPr>
          <w:sz w:val="20"/>
          <w:szCs w:val="20"/>
          <w:color w:val="auto"/>
        </w:rPr>
      </w:pPr>
    </w:p>
    <w:p>
      <w:pPr>
        <w:jc w:val="both"/>
        <w:ind w:left="120" w:right="60" w:firstLine="419"/>
        <w:spacing w:after="0" w:line="282" w:lineRule="auto"/>
        <w:rPr>
          <w:sz w:val="20"/>
          <w:szCs w:val="20"/>
          <w:color w:val="auto"/>
        </w:rPr>
      </w:pPr>
      <w:r>
        <w:rPr>
          <w:rFonts w:ascii="Times New Roman" w:cs="Times New Roman" w:eastAsia="Times New Roman" w:hAnsi="Times New Roman"/>
          <w:sz w:val="18"/>
          <w:szCs w:val="18"/>
          <w:color w:val="231F20"/>
        </w:rPr>
        <w:t>The rates for procedures performed with our products vary depending on the code billed and the setting where the procedure is performed. The table below outlines the Medicare national unadjusted average payment rates for each in 2024 and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HOPD Facility Payment</w:t>
            </w: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ASC Facility Payment</w:t>
            </w:r>
          </w:p>
        </w:tc>
        <w:tc>
          <w:tcPr>
            <w:tcW w:w="23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Physician Payment</w:t>
            </w:r>
          </w:p>
        </w:tc>
        <w:tc>
          <w:tcPr>
            <w:tcW w:w="0" w:type="dxa"/>
            <w:vAlign w:val="bottom"/>
          </w:tcPr>
          <w:p>
            <w:pPr>
              <w:spacing w:after="0"/>
              <w:rPr>
                <w:sz w:val="1"/>
                <w:szCs w:val="1"/>
                <w:color w:val="auto"/>
              </w:rPr>
            </w:pPr>
          </w:p>
        </w:tc>
      </w:tr>
      <w:tr>
        <w:trPr>
          <w:trHeight w:val="238"/>
        </w:trPr>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HCPCS Code</w:t>
            </w:r>
          </w:p>
        </w:tc>
        <w:tc>
          <w:tcPr>
            <w:tcW w:w="2620" w:type="dxa"/>
            <w:vAlign w:val="bottom"/>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Descriptor</w:t>
            </w:r>
          </w:p>
        </w:tc>
        <w:tc>
          <w:tcPr>
            <w:tcW w:w="9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9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10"/>
        </w:trPr>
        <w:tc>
          <w:tcPr>
            <w:tcW w:w="134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5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9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134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65820</w:t>
            </w:r>
          </w:p>
        </w:tc>
        <w:tc>
          <w:tcPr>
            <w:tcW w:w="2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Goniotomy</w:t>
            </w:r>
          </w:p>
        </w:tc>
        <w:tc>
          <w:tcPr>
            <w:tcW w:w="980" w:type="dxa"/>
            <w:vAlign w:val="bottom"/>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$3,874</w:t>
            </w:r>
          </w:p>
        </w:tc>
        <w:tc>
          <w:tcPr>
            <w:tcW w:w="156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$4,023</w:t>
            </w:r>
          </w:p>
        </w:tc>
        <w:tc>
          <w:tcPr>
            <w:tcW w:w="92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$2,045</w:t>
            </w:r>
          </w:p>
        </w:tc>
        <w:tc>
          <w:tcPr>
            <w:tcW w:w="148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$2,094</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c>
          <w:tcPr>
            <w:tcW w:w="15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4"/>
        </w:trPr>
        <w:tc>
          <w:tcPr>
            <w:tcW w:w="13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66174</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Canaloplasty</w:t>
            </w: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$3,874</w:t>
            </w:r>
          </w:p>
        </w:tc>
        <w:tc>
          <w:tcPr>
            <w:tcW w:w="15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$4,023</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$2,045</w:t>
            </w:r>
          </w:p>
        </w:tc>
        <w:tc>
          <w:tcPr>
            <w:tcW w:w="14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$2,094</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120" w:right="60" w:firstLine="419"/>
        <w:spacing w:after="0" w:line="282" w:lineRule="auto"/>
        <w:rPr>
          <w:sz w:val="20"/>
          <w:szCs w:val="20"/>
          <w:color w:val="auto"/>
        </w:rPr>
      </w:pPr>
      <w:r>
        <w:rPr>
          <w:rFonts w:ascii="Times New Roman" w:cs="Times New Roman" w:eastAsia="Times New Roman" w:hAnsi="Times New Roman"/>
          <w:sz w:val="18"/>
          <w:szCs w:val="18"/>
          <w:color w:val="231F20"/>
        </w:rPr>
        <w:t>Based on customer feedback, we believe the rates for facility and physician reimbursement in both settings reflect attractive and reasonable payments to cover all of our customers’ costs and economic needs related to glaucoma treatments using OMNI and SION.</w:t>
      </w:r>
    </w:p>
    <w:p>
      <w:pPr>
        <w:spacing w:after="0" w:line="54" w:lineRule="exact"/>
        <w:rPr>
          <w:sz w:val="20"/>
          <w:szCs w:val="20"/>
          <w:color w:val="auto"/>
        </w:rPr>
      </w:pPr>
    </w:p>
    <w:p>
      <w:pPr>
        <w:jc w:val="both"/>
        <w:ind w:left="120" w:right="60" w:firstLine="419"/>
        <w:spacing w:after="0" w:line="261" w:lineRule="auto"/>
        <w:rPr>
          <w:sz w:val="20"/>
          <w:szCs w:val="20"/>
          <w:color w:val="auto"/>
        </w:rPr>
      </w:pPr>
      <w:r>
        <w:rPr>
          <w:rFonts w:ascii="Times New Roman" w:cs="Times New Roman" w:eastAsia="Times New Roman" w:hAnsi="Times New Roman"/>
          <w:sz w:val="18"/>
          <w:szCs w:val="18"/>
          <w:color w:val="231F20"/>
        </w:rPr>
        <w:t>While our commercialization of OMNI has primarily been focused on the U.S., we have also focused our efforts on international commercialization, including in the United Kingdom and Germany, where we have hired local commercial and market access teams to promote OMNI to health care professionals and facilitate equitable reimbursed market access to procedures using our OMNI technology. We also sell OMNI in Italy and a limited number of other countries in Europe through distributors.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To date, the procedures most commonly performed with OMNI are covered in all United Kingdom and German regions and we are working towards educating ECPs across all these regions regarding the appropriate procurement and submission of claims for reimbursement to facilitate access to OMNI for patients and ECPs. Although Germany employs a single-payor health system and national MIGS procedure codes (which include canaloplasty and trabeculotomy), coverage decisions are made on a decentralized basis by the Physician’s Associations (</w:t>
      </w:r>
      <w:r>
        <w:rPr>
          <w:rFonts w:ascii="Times New Roman" w:cs="Times New Roman" w:eastAsia="Times New Roman" w:hAnsi="Times New Roman"/>
          <w:sz w:val="18"/>
          <w:szCs w:val="18"/>
          <w:i w:val="1"/>
          <w:iCs w:val="1"/>
          <w:color w:val="231F20"/>
        </w:rPr>
        <w:t>Kassenärztliche Vereinigung</w:t>
      </w:r>
      <w:r>
        <w:rPr>
          <w:rFonts w:ascii="Times New Roman" w:cs="Times New Roman" w:eastAsia="Times New Roman" w:hAnsi="Times New Roman"/>
          <w:sz w:val="18"/>
          <w:szCs w:val="18"/>
          <w:color w:val="231F20"/>
        </w:rPr>
        <w:t>) ("KVs") in each of Germany's regions, and we are seeking to educate these KVs regarding the clinical profile and benefits of OMNI to ensure appropriate reimbursement. In the United Kingdom, we sell our OMNI products both to the United Kingdom National Health System, generally through a national tender framework, as well as to certain commercial payors. However, current reimbursement codes in the United Kingdom do not fully describe OMNI’s comprehensive procedure, which has led to certain reimbursement challenges. For instance, in the third quarter of 2024, reimbursement advice from the National Health System regarding its tariffs, or payments, for MIGS procedures, including procedures performed using OMNI, has caused a shift away from the code previously relied upon by ECPs as applicable to OMNI, to use of codes that provide lower levels of reimbursement for OMNI procedures. As we expand into other countries, we intend to establish payor coverage and reimbursement strategies that are appropriate for each local market.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for Uses of the TearCare System</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TearCare is not currently covered by Medicare or private payors via formal medical policy, although some payors may agree to provide coverage and payment outside of formal policy. In December 2021, the FDA cleared TearCare for the application of localized heat therapy in adult patients with evaporative DED due to MGD, when used in conjunction with manual expression of the meibomian glands. We believe the current Rx and OTC dry eye drop market is dominated by eyedrops that do not address the underlying causes of MGD. We believe TearCare has the potential to offer a better standard of care for evaporative dry eye patients and reduce overall costs for payors.</w:t>
      </w:r>
    </w:p>
    <w:p>
      <w:pPr>
        <w:spacing w:after="0" w:line="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Despite the presence of a large patient-pay market for TearCare as shown in our controlled launch in 2022 through 2024, we believe that improving access to TearCare through positive coverage decisions by Medicare and private payors will help grow the market for the TearCare procedures. We are pursuing a vigorous market access development plan to obtain more favorable policies from Medicare and private payors for procedures using TearCare in the U.S.</w:t>
      </w:r>
    </w:p>
    <w:p>
      <w:pPr>
        <w:spacing w:after="0" w:line="7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Category III CPT code 0563T, which became effective January 1, 2020, describes the heating of meibomian glands using a wearable open-eye device and manual evacuation of meibomian glands. This code allows providers to pursue reimbursement and payors to establish payment rates for the procedure. Prior to formal coverage decisions or establishment of a permanent Category I code, third-party payors may cover procedures billed with temporary Category III codes on a case-by-case basis.</w:t>
      </w:r>
    </w:p>
    <w:p>
      <w:pPr>
        <w:spacing w:after="0" w:line="72"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 xml:space="preserve">In December 2024, a Budget Impact Analysis (“BIA”) of the TearCare® System for the treatment of MGD-associated dry eye disease in the United States was published in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Expert Review of Ophthalmology</w:t>
      </w:r>
      <w:r>
        <w:rPr>
          <w:rFonts w:ascii="Times New Roman" w:cs="Times New Roman" w:eastAsia="Times New Roman" w:hAnsi="Times New Roman"/>
          <w:sz w:val="18"/>
          <w:szCs w:val="18"/>
          <w:color w:val="231F20"/>
        </w:rPr>
        <w:t xml:space="preserve"> journal. The BIA estimates the fiscal impact of adopting a new technology or treatment within a specific provider environment or patient population, and identifies the health savings associated with increased adoption of TearCare as compared to prescription dry eye medications for patients with dry eye disease. Key findings indicated that a 20% increase in market share of TearCare compared to prescription dry eye medications would yield an estimated annual savings of $36.87 per member per year across all plan members in a hypothetical health plan with one million covered lives. The study showed a direct relationship between increased utilization of TearCare in place of prescription medications and total costs savings from a U.S. payer perspective.</w:t>
      </w:r>
    </w:p>
    <w:p>
      <w:pPr>
        <w:spacing w:after="0" w:line="8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We continue to generate clinical data to support positive coverage decisions from Medicare and private payors, and are leveraging the OLYMPIA, SAHARA, and budget impact analysis publications in our discussions with payors.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color w:val="231F20"/>
        </w:rPr>
        <w:t>Our comprehensive long-term strategy to improve patient access to TearCare includes the following key initiatives:</w:t>
      </w:r>
    </w:p>
    <w:p>
      <w:pPr>
        <w:spacing w:after="0" w:line="113" w:lineRule="exact"/>
        <w:rPr>
          <w:sz w:val="20"/>
          <w:szCs w:val="20"/>
          <w:color w:val="auto"/>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Demonstrating the effectiveness, safety and durability of TearCare with rigorous clinical data;</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Augmenting the library of published articles on TearCare including budget impact analyses and cost utility analyses;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Executing an effective market access strategy to establish equitable reimbursement;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Expanding our commercial coverage to increase patient and ECP awareness of TearCare treatment options;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Converting to permanent Category I CPT code.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We believe our focus on developing and marketing intuitively designed products that are intended to restore the eye’s natural physiological function by addressing underlying causes of eye disease will be an important factor in our future success. The medical device and pharmaceutical industries are intensely competitive, subject to rapid change and significantly affected by new product introductions and other market activities of industry participants. We compete with medical device and pharmaceutical companies that develop and commercialize products for eye conditions. Notable competitors with approved MIGS products include Glaukos, Alcon, AbbVie, New World Medical, and Nova Eye Medical Limited. Notable competitors with approved DED procedures include AbbVie, Novartis, Johnson &amp; Johnson, and Alcon.</w:t>
      </w:r>
    </w:p>
    <w:p>
      <w:pPr>
        <w:spacing w:after="0" w:line="7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Some of our competitors are larger, well-capitalized companies with greater current market share and resources. We also compete with several smaller medical device companies that have a single product or a limited range of products. Our business and results of operations have also been impacted by recent elevated customer trialing of alternative MIGS products and technologies that are less proven and generally available at lower average selling prices than our OMNI technology. While we believe that the effects of this current customer trialing are transitory, we believe trialing activities in the marketplace will continue and are indicative of increasing competition in the MIGS segment.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Some of our competitors have:</w:t>
      </w:r>
    </w:p>
    <w:p>
      <w:pPr>
        <w:spacing w:after="0" w:line="117" w:lineRule="exact"/>
        <w:rPr>
          <w:sz w:val="20"/>
          <w:szCs w:val="20"/>
          <w:color w:val="auto"/>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Significantly greater name recognition;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Broader or deeper relations with healthcare professionals, customers, industry associations and third-party payors;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More established distribution networks;</w:t>
      </w:r>
    </w:p>
    <w:p>
      <w:pPr>
        <w:spacing w:after="0" w:line="117"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lines of products and the ability to offer rebates or bundle products to offer greater discounts or other incentives or lower prices to attract adoption;</w:t>
      </w:r>
    </w:p>
    <w:p>
      <w:pPr>
        <w:spacing w:after="0" w:line="53"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experience in conducting research and development, manufacturing, clinical trials, marketing and obtaining regulatory clearance or approval for products; and</w:t>
      </w:r>
    </w:p>
    <w:p>
      <w:pPr>
        <w:spacing w:after="0" w:line="53"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financial and human resources for product development, sales and marketing and patent and other intellectual property litigation.</w:t>
      </w:r>
    </w:p>
    <w:p>
      <w:pPr>
        <w:spacing w:after="0" w:line="54"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231F20"/>
        </w:rPr>
        <w:t>We compete primarily on the basis that our medical devices are able to treat patients with prevalent eye diseases safely and effectively. Our continued success depends on our ability to:</w:t>
      </w:r>
    </w:p>
    <w:p>
      <w:pPr>
        <w:spacing w:after="0" w:line="54" w:lineRule="exact"/>
        <w:rPr>
          <w:sz w:val="20"/>
          <w:szCs w:val="20"/>
          <w:color w:val="auto"/>
        </w:rPr>
      </w:pPr>
    </w:p>
    <w:p>
      <w:pPr>
        <w:ind w:left="820" w:hanging="303"/>
        <w:spacing w:after="0"/>
        <w:tabs>
          <w:tab w:leader="none" w:pos="8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innovative, proprietary technology and products that can cost-effectively address significant clinical needs;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and maintain regulatory clearances or approvals for the use of our products;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and maintain favorable reimbursement decisions relating to the use of our products;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Demonstrate clinical safety and effectiveness in our sponsored and third-party trials and studies;</w:t>
      </w:r>
    </w:p>
    <w:p>
      <w:pPr>
        <w:spacing w:after="0" w:line="117" w:lineRule="exact"/>
        <w:rPr>
          <w:rFonts w:ascii="Times New Roman" w:cs="Times New Roman" w:eastAsia="Times New Roman" w:hAnsi="Times New Roman"/>
          <w:sz w:val="18"/>
          <w:szCs w:val="18"/>
          <w:color w:val="231F20"/>
        </w:rPr>
      </w:pPr>
    </w:p>
    <w:p>
      <w:pPr>
        <w:ind w:left="820" w:right="4720" w:hanging="303"/>
        <w:spacing w:after="0" w:line="407" w:lineRule="auto"/>
        <w:tabs>
          <w:tab w:leader="none" w:pos="8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 and retain skilled research and development and sales personnel; and Successfully market and sell products.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231F20"/>
        </w:rPr>
        <w:t>Manufacturing</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We do not currently operate any manufacturing facilities and instead contract with third parties for our production requirements, including key components used in our products.</w:t>
      </w:r>
    </w:p>
    <w:p>
      <w:pPr>
        <w:spacing w:after="0" w:line="5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In January 2021, we entered into a supply agreement with Peter’s Technology (Suzhou) CO LTD. ("PTCS"), a Chinese subsidiary of Peter’s Co., Ltd., a Taiwan-based contract manufacturer (as amended, the "Peter's Supply Agreement"). In February 2021, PTCS began to produce commercially saleable OMNI units for us at its Suzhou City, China production facility. In May 2021, we entered into a separate supply agreement with a U.S.-based manufacturer with multiple manufacturing sites for the production in the United States of our OMNI Surgical System. Our supply agreements with these manufacturers contain customary terms and conditions.</w:t>
      </w:r>
    </w:p>
    <w:p>
      <w:pPr>
        <w:spacing w:after="0" w:line="75"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Pursuant to the Peter’s Supply Agreement, PTCS purchases components from our approved suppliers for assembly, and we make purchases from PTCS on a purchase order basis. The original three-year term of the Peter’s Supply Agreement expired in January 2024, after which the agreement has continued to automatically renew for additional. consecutive one-year periods. Either party may provide notification to the other party of its intent to terminate the agreement, provided that such notification is provided at least 90 days before the end of the then-current renewal term. We also have the right to terminate the agreement without cause by providing 180 days’ advance written notice, or with 30 days’ written notice in the event of any material, uncured default by PTCS under the Peter’s Supply Agreement. We subsequently amended the Peter’s Supply Agreement to, among other things, contract with PTCS to manufacture our SmartLids and SION surgical instruments.</w:t>
      </w:r>
    </w:p>
    <w:p>
      <w:pPr>
        <w:spacing w:after="0" w:line="8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For the production of our TearCare System components, we currently have supply arrangements with several medical device manufacturers. In addition to our agreement with PTCS for the production of SmartLids, we partner with various other suppliers for the production of the SmartHub and Clearance Assistant components of our TearCare System.</w:t>
      </w:r>
    </w:p>
    <w:p>
      <w:pPr>
        <w:spacing w:after="0" w:line="68"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We believe that the manufacturing capacity provided by our approved third-party suppliers will be adequate to meet our current and anticipated manufacturing needs. We do not currently plan to manufacture our products or any related components ourselves. However, geopolitical tensions between China and Taiwan or China and the United States, or potential escalation of the current trade dispute between the United States and China, could increase the cost of our products or components, and materially and adversely affect our business operations and financial condition. A significant portion of our OMNI and SION products, and certain of our TearCare system components, are produced and assembled by PTCS in China, and there is currently significant uncertainty about the relationship between the U.S. and China with respect to trade policies, government regulations, and tariffs, and such uncertainty could continue in future periods.</w:t>
      </w:r>
    </w:p>
    <w:p>
      <w:pPr>
        <w:spacing w:after="0" w:line="8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In February 2025 and then again in March 2025, the United States imposed 10% tariffs on all Chinese imports; this aggregate 20% tariff applies to our products and product components imported from China. China responded with certain retaliatory tariffs on select U.S. natural resources and machinery and may respond with further retaliatory measures. The 20% tariff will have a negative impact on our gross margins as the vast majority of our products are manufactured by third parties with manufacturing facilities located in China. If this trade war further escalates and tariffs applicable to our products increase, our business and results of operations could be materially and adversely affected. Further, retaliatory tariffs between the United States on one hand, and China, Canada, Mexico and the European Union, or other trading partners, on the other hand, may adversely affect shipping capacity and logistics and will likely increase our shipping costs.</w:t>
      </w:r>
    </w:p>
    <w:p>
      <w:pPr>
        <w:spacing w:after="0" w:line="8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Manufacturing facilities that produce medical devices or their component parts intended for distribution world-wide are subject to regulation and periodic unannounced inspection or audits by the FDA and other domestic and international regulatory agencies or notified bodies. In the United States, any products we sell are required to be manufactured in compliance with the FDA’s Quality System Regulation ("QSR"), which covers the methods used in, and the facilities used for, the design, testing, control, manufacturing, labeling, quality assurance, packaging, storage and shipping of our products.</w:t>
      </w:r>
    </w:p>
    <w:p>
      <w:pPr>
        <w:spacing w:after="0" w:line="72"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distribution of our products is handled directly through a third-party logistics provider. Our finished goods are shipped from our contract manufacturers to a local gamma sterilization facility after which they are shipped to distribution facilities and, ultimately, to our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Our commercial success depends in part on our ability to obtain and maintain proprietary protection for our current and future products and product candidates, novel discoveries, product development technologies and know-how; to operate without infringing on the proprietary rights of others; and to prevent others from infringing our proprietary rights. Our policy is to seek to protect our proprietary position by, among other methods, seeking to obtain or in-license U.S. and foreign patents and patent applications related to our proprietary technology that are important to the development and implementation of our business. We seek to obtain domestic and international patent protection, and endeavor to promptly file patent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231F20"/>
        </w:rPr>
        <w:t>applications for new commercially valuable inventions. We file new patent applications as we conduct research and development, initiate new programs, and monitor the activities of others. We also rely on other approaches to protecting our proprietary position, such as trademarks, trade secrets, know-how, and/or continuing technological innovation to develop and maintain our proprietary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Generally, issued patents are granted a term of 20 years from the earliest claimed non-provisional filing date. In certain instances, U.S. patent terms can be adjusted to recapture a portion of delay by the U.S. Patent &amp; Trademark Office ("USPTO"), in examining the patent application ("patent term adjustment") or extended to account for term effectively lost as a result of the FDA regulatory review period ("patent term extension"), or both. In some cases, the term of a U.S. patent may be shortened by terminal disclaimer, such that its term is reduced to end with that of an earlier-expiring patent.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Trade Secrets</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In addition to patents, we rely on trade secrets and know-how to develop and maintain our competitive position. We typically rely on trade secrets to protect aspects of our business that are not amenable to, or that we do not consider appropriate for, patent protection. It is our policy to protect trade secrets and/or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entity’s relationship with us must be kept confidential during and after the relationship. These agreements also provide that we shall have all rights that we deem necessary or advisable to use and otherwise exploit inventions resulting from work performed for us or relating to our business and conceived or completed during the period of employment or assignment, as applicable. In addition, we take other appropriate precautions, such as physical and technological security measures, to guard against misappropriation of our proprietary information by third parties.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Patents</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As of December 31, 2024, we owned 49 issued U.S. patents, 65 issued patents outside of the U.S. (which includes six issued European patents and their national validations), 24 pending U.S. non-provisional patent applications, 26 pending foreign patent applications and three pending Patent Cooperation Treaty patent applications. Our issued patents include claims directed to devices and methods for canaloplasty and/or trabeculotomy, ocular implants and related methods, goniotomy devices, methods for treating dry eye disease using pharmaceutical compositions, the TearCare apparatus and methods of using the TearCare apparatus, components of the TearCare apparatus (including the SmartHub and SmartLids) and methods of their use, the TearCare apparatus in combination with an eyelid compression instrument and methods of their use, and methods of using the TearCare apparatus with patients wearing contact lenses.</w:t>
      </w:r>
    </w:p>
    <w:p>
      <w:pPr>
        <w:spacing w:after="0" w:line="8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Subject to payment of required maintenance fees, annuities, and other charges, our issued U.S. patents have expiration dates between 2027 and 2043, with eight of our issued U.S. patents having expiration dates before 2030, 34 having expiration dates between 2031 and 2035, one having an expiration date in 2037, and the remaining six expiring between 2040 and 2043, in each case exclusive of possible patent term extensions. Of our 24 pending U.S. non-provisional patent applications, one was filed in 2018, one was filed in 2019, three were filed in 2020, two were filed in 2021, three were filed in 2022, seven were filed in 2023 and seven were filed in 2024. Our pending U.S. non-provisional patent applications, if issued, have expected expiration dates between 2026 and 2043, exclusive of any possible patent term adjustments or patent term extensions.</w:t>
      </w:r>
    </w:p>
    <w:p>
      <w:pPr>
        <w:spacing w:after="0" w:line="7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The foreign jurisdictions where we own issued patents include: Australia, Belgium, Brazil, China, France, Germany, Hong Kong, Ireland, Italy, Japan, Norway, Spain, Sweden, Switzerland, The Netherlands and the United Kingdom. Subject to payment of required annuities and other charges, these foreign patents have expiration dates between 2027 and 2035. We have pending patent applications in various countries including Australia, Brazil, Canada, China, Europe, Hong Kong, and Japan which, if issued, have expected expiration dates between 2032 and 2042.</w:t>
      </w:r>
    </w:p>
    <w:p>
      <w:pPr>
        <w:spacing w:after="0" w:line="72"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As of December 31, 2024, we owned nine U.S. trademark registrations, two EU trademark registrations; two German trademark registration;, two Swiss trademark registrations; two UK trademark registrations; one Brazilian trademark registration; five pending U.S. trademark applications; three pending Brazilian trademark applications; one International Registration designating Australia, the EU, Japan, Korea, Mexico, Singapore, and the UK; one International Registration designating Australia, Canada, the EU, Japan, Korea, Mexico, Singapore, and the UK; one International Registration designating Japan; one International Registration designating Australia, Canada, the EU, Japan, and Mexico; one International Registration designating Australia, Canada, the EU, the UK and Singapore; one International Registration designating Australia, Brazil, Canada, Switzerland, the EU, the UK, Japan, Korea, Mexico and Singapore; one International</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231F20"/>
        </w:rPr>
        <w:t>Registration designating Brazil, Canada, the UK, Japan, Mexico and Singapore; and one International Registration designating Australia, Brazil, the EU and the UK.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Our products and our operations are subject to extensive regulation by the FDA and other federal, state, and local authorities in the United States, as well as comparable authorities in foreign jurisdictions. Our products are subject to regulation as medical devices in the United States under the Federal Food, Drug, and Cosmetic Act ("FDCA") and its implementing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United States Regulation</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The FDA regulates, among other things, the development, design, non-clinical and clinical testing, manufacturing, safety, effectiveness, labeling, packaging, storage, installation, servicing, recordkeeping, premarket clearance or approval, adverse event reporting, advertising, promotion, marketing and distribution, and import and export and post-marketing surveillance of medical devices in the United States to ensure that medical devices distributed domestically are safe and effective for their intended uses and otherwise meet the requirements of the FDCA.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FDA Premarket Clearance and Approval Requirements</w:t>
      </w:r>
    </w:p>
    <w:p>
      <w:pPr>
        <w:spacing w:after="0" w:line="121"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231F20"/>
        </w:rPr>
        <w:t>Unless an exemption applies, each new or significantly modified medical device commercially distributed in the United States requires either FDA clearance of a 510(k) premarket notification, or approval of a premarket approval ("PMA"), application.</w:t>
      </w:r>
    </w:p>
    <w:p>
      <w:pPr>
        <w:spacing w:after="0" w:line="54"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Under the FDCA, medical devices are classified into one of three classes—Class I, Class II or Class III— depending on the degree of risk associated with each medical device and the extent of manufacturer and regulatory control needed to ensure its safety and effectiveness.</w:t>
      </w:r>
    </w:p>
    <w:p>
      <w:pPr>
        <w:spacing w:after="0" w:line="54"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Devices deemed to pose a lower risk are placed in either Class I or Class II, and devices deemed by the FDA to pose the greatest risk, such as life-sustaining, life-supporting or implantable devices, or a device deemed to be not substantially equivalent to a previously cleared 510(k) device, are placed in Class III.</w:t>
      </w:r>
    </w:p>
    <w:p>
      <w:pPr>
        <w:spacing w:after="0" w:line="68"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Our currently marketed OMNI and TearCare products are regulated as Class II devices subject to 510(k) clearance. Our SION surgical instrument is registered with the FDA as a Class I 510(k) exempt device.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Clinical Trials</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Clinical trials are almost always required to support a PMA and are sometimes required to support a 510(k) submission. In the United States, absent certain limited exceptions, human clinical trials intended to support medical device clearance or approval or to determine safety and effectiveness of a device for an investigational use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in advance by the FDA for a specified number of subjects.</w:t>
      </w:r>
    </w:p>
    <w:p>
      <w:pPr>
        <w:spacing w:after="0" w:line="7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w:t>
      </w:r>
    </w:p>
    <w:p>
      <w:pPr>
        <w:spacing w:after="0" w:line="5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Regardless of the degree of risk presented by the medical device, clinical studies must be approved by and conducted under the oversight of an institutional review board ("IRB") for each clinical site.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w:t>
      </w:r>
    </w:p>
    <w:p>
      <w:pPr>
        <w:spacing w:after="0" w:line="7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Clinical trials are subject to extensive monitoring, recordkeeping and reporting requirements. Clinical trials must be conducted under the oversight of an IRB, and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high-risk devices, by the ministry of health in the applicable country.</w:t>
      </w:r>
    </w:p>
    <w:p>
      <w:pPr>
        <w:spacing w:after="0" w:line="68"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and satisfy state and federal privacy and human subject protection regulations. Additionally, after a trial begins, we, the FDA or the IRB could suspend or terminate a clinical trial at any time for various reasons, including a belief that the potential benefits of the study are outweighed by cost, safety, or other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510(k) Clearance Process</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Under the 510(k) process, the manufacturer must submit to the FDA a premarket notification submission demonstrating that the proposed device is “substantially equivalent,” as defined in the FDCA, to a legally marketed predicate device.</w:t>
      </w:r>
    </w:p>
    <w:p>
      <w:pPr>
        <w:spacing w:after="0" w:line="5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A predicate device is a legally marketed device that is not subject to premarket approval and for which a PMA is not required, a device that has been reclassified from Class III to Class II or I, or a device that was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w:t>
      </w:r>
    </w:p>
    <w:p>
      <w:pPr>
        <w:spacing w:after="0" w:line="75"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The FDA has implemented a mandatory electronic submission template, called eSTAR, for all 510(k) submissions starting October 1, 2023. This new template helps ensure that 510(k)s are complete by providing guided prompts to facilitate the collection and assembly of the necessary elements of a complete submission. Therefore, acceptance reviews will no longer be required, however a technical screening process will be conducted. 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8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If the FDA determines that the device is substantially equivalent to a predicate device, it will grant 510(k) clearance to commercially market the device. If the FDA determines that the device is “not substantially equivalent” to a previously cleared device, the device is automatically designated as a Class III device. The device sponsor must then fulfill more rigorous requirements of the PMA approval process, or can request a risk-based classification determination for the device in accordance with the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process, which is a route to market for certain novel medical devices that are low to moderate risk and are not substantially equivalent to a predicate device.</w:t>
      </w:r>
    </w:p>
    <w:p>
      <w:pPr>
        <w:spacing w:after="0" w:line="75"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reclassification. The FDA requires each manufacturer to determine whether the proposed change requires submission of a 510(k),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request or a PMA in the first instance, but the FDA may review this determination to evaluate the regulatory status of the modified product at any time and may require the manufacturer to cease marketing and/or request the recall of the modified device until 510(k) marketing clearance or PMA approval is obtained or a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request is granted. Also, in these circumstances, the manufacturer may be subject to significant regulatory fines or penalties.</w:t>
      </w:r>
    </w:p>
    <w:p>
      <w:pPr>
        <w:spacing w:after="0" w:line="7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231F20"/>
        </w:rPr>
        <w:t>Ongoing Regulation by the FDA</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Even after the FDA permits a device to be marketed, numerous and pervasive regulatory requirements continue to apply. These include:</w:t>
      </w:r>
    </w:p>
    <w:p>
      <w:pPr>
        <w:spacing w:after="0" w:line="117" w:lineRule="exact"/>
        <w:rPr>
          <w:sz w:val="20"/>
          <w:szCs w:val="20"/>
          <w:color w:val="auto"/>
        </w:rPr>
      </w:pPr>
    </w:p>
    <w:p>
      <w:pPr>
        <w:ind w:left="800" w:hanging="283"/>
        <w:spacing w:after="0"/>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Establishment of registration and device listing with the FDA;</w:t>
      </w:r>
    </w:p>
    <w:p>
      <w:pPr>
        <w:spacing w:after="0" w:line="117" w:lineRule="exact"/>
        <w:rPr>
          <w:rFonts w:ascii="Times New Roman" w:cs="Times New Roman" w:eastAsia="Times New Roman" w:hAnsi="Times New Roman"/>
          <w:sz w:val="18"/>
          <w:szCs w:val="18"/>
          <w:color w:val="231F20"/>
        </w:rPr>
      </w:pPr>
    </w:p>
    <w:p>
      <w:pPr>
        <w:jc w:val="both"/>
        <w:ind w:left="800" w:right="700" w:hanging="283"/>
        <w:spacing w:after="0" w:line="266" w:lineRule="auto"/>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QSR requirements, which require manufacturers, including third-party manufacturers, to follow stringent design, testing, control, supplier/contractor selection, compliant handling, documentation and other quality assurance procedures during all aspects of the design and manufacturing process;</w:t>
      </w:r>
    </w:p>
    <w:p>
      <w:pPr>
        <w:spacing w:after="0" w:line="67" w:lineRule="exact"/>
        <w:rPr>
          <w:rFonts w:ascii="Times New Roman" w:cs="Times New Roman" w:eastAsia="Times New Roman" w:hAnsi="Times New Roman"/>
          <w:sz w:val="18"/>
          <w:szCs w:val="18"/>
          <w:color w:val="231F20"/>
        </w:rPr>
      </w:pPr>
    </w:p>
    <w:p>
      <w:pPr>
        <w:jc w:val="both"/>
        <w:ind w:left="800" w:right="680" w:hanging="283"/>
        <w:spacing w:after="0" w:line="266" w:lineRule="auto"/>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Labeling regulations, advertising and promotion requirements, restrictions on sale, distribution or sale of a device, each including the FDA prohibition against the promotion of products for any uses other than those authorized by the FDA, which are commonly known as “off-label” uses;</w:t>
      </w:r>
    </w:p>
    <w:p>
      <w:pPr>
        <w:spacing w:after="0" w:line="67" w:lineRule="exact"/>
        <w:rPr>
          <w:rFonts w:ascii="Times New Roman" w:cs="Times New Roman" w:eastAsia="Times New Roman" w:hAnsi="Times New Roman"/>
          <w:sz w:val="18"/>
          <w:szCs w:val="18"/>
          <w:color w:val="231F20"/>
        </w:rPr>
      </w:pPr>
    </w:p>
    <w:p>
      <w:pPr>
        <w:jc w:val="both"/>
        <w:ind w:left="800" w:right="680" w:hanging="283"/>
        <w:spacing w:after="0" w:line="266" w:lineRule="auto"/>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67"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approval of product modifications of approved devices that affect safety or effectiveness or that would constitute a major change in intended use of an approved device;</w:t>
      </w:r>
    </w:p>
    <w:p>
      <w:pPr>
        <w:spacing w:after="0" w:line="53" w:lineRule="exact"/>
        <w:rPr>
          <w:rFonts w:ascii="Times New Roman" w:cs="Times New Roman" w:eastAsia="Times New Roman" w:hAnsi="Times New Roman"/>
          <w:sz w:val="18"/>
          <w:szCs w:val="18"/>
          <w:color w:val="231F20"/>
        </w:rPr>
      </w:pPr>
    </w:p>
    <w:p>
      <w:pPr>
        <w:jc w:val="both"/>
        <w:ind w:left="800" w:right="700" w:hanging="283"/>
        <w:spacing w:after="0" w:line="266" w:lineRule="auto"/>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Medical device correction and removal reporting regulations, which require that manufacturers report to the FDA field corrections or removals if undertaken to reduce a risk to health posed by the device or to remedy a violation of the FDCA that may present a risk to health;</w:t>
      </w:r>
    </w:p>
    <w:p>
      <w:pPr>
        <w:spacing w:after="0" w:line="67" w:lineRule="exact"/>
        <w:rPr>
          <w:rFonts w:ascii="Times New Roman" w:cs="Times New Roman" w:eastAsia="Times New Roman" w:hAnsi="Times New Roman"/>
          <w:sz w:val="18"/>
          <w:szCs w:val="18"/>
          <w:color w:val="231F20"/>
        </w:rPr>
      </w:pPr>
    </w:p>
    <w:p>
      <w:pPr>
        <w:ind w:left="800" w:right="680" w:hanging="283"/>
        <w:spacing w:after="0" w:line="282" w:lineRule="auto"/>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Recall requirements, including a mandatory recall if there is a reasonable probability that the device would cause serious adverse health consequences or death;</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order of repair, replacement, or refund;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Device tracking requirements (if ordered by the FDA);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Post-market study and surveillance requirements.</w:t>
      </w:r>
    </w:p>
    <w:p>
      <w:pPr>
        <w:spacing w:after="0" w:line="117"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231F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54" w:lineRule="exact"/>
        <w:rPr>
          <w:sz w:val="20"/>
          <w:szCs w:val="20"/>
          <w:color w:val="auto"/>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letters, untitled letters, fines, injunctions, consent decrees and civil penalties;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Recalls, withdrawals, or administrative detention or seizure of our products;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restrictions or partial suspension or total shutdown of production;</w:t>
      </w:r>
    </w:p>
    <w:p>
      <w:pPr>
        <w:spacing w:after="0" w:line="117" w:lineRule="exact"/>
        <w:rPr>
          <w:rFonts w:ascii="Times New Roman" w:cs="Times New Roman" w:eastAsia="Times New Roman" w:hAnsi="Times New Roman"/>
          <w:sz w:val="18"/>
          <w:szCs w:val="18"/>
          <w:color w:val="231F20"/>
        </w:rPr>
      </w:pPr>
    </w:p>
    <w:p>
      <w:pPr>
        <w:ind w:left="800" w:right="680" w:hanging="283"/>
        <w:spacing w:after="0" w:line="282" w:lineRule="auto"/>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Refusing or delays in processing, clearing, or approving submissions or applications for new products or modifications to existing products;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510(k) clearances or PMA approvals that have already been granted;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refusal to issue certification to foreign governments needed to export our products for sale in other countries; or</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Criminal prosecution.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International Regulation of Our Products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Our research, development, and clinical programs, as well as our manufacturing and marketing operations, are subject to extensive regulation in other countries. For example, the EU has adopted specific regulations regulating the design, manufacture, clinical investigations, conformity assessment, labeling and adverse event reporting for medical devices.</w:t>
      </w:r>
    </w:p>
    <w:p>
      <w:pPr>
        <w:spacing w:after="0" w:line="68"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Until May 25, 2021, medical devices were regulated by Council Directive 93/42/EEC ("Medical Devices Directive") which has been repealed and replaced by Regulation (EU) No 2017/745 ("EU MDR"). Our original CE Mark certificates were granted under the Medical Devices Directive. However, as of May 26, 2021, some of the EU MDR requirements apply in place of the corresponding requirements of the Medical Devices Directive, with regard to registration of economic</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231F20"/>
        </w:rPr>
        <w:t>operators and of devices, post-market surveillance and vigilance requirements. Pursuing marketing of medical devices in the EU requires that our devices be certified under the new regime set forth in the EU MDR. On December 11, 2023, the Company received approval of the OMNI Surgical System family of products under the EU MDR, fulfilling these requirements.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Medical Device Regulation</w:t>
      </w:r>
    </w:p>
    <w:p>
      <w:pPr>
        <w:spacing w:after="0" w:line="11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On April 5, 2017, the EU MDR was adopted. The EU MDR establishes a uniform, transparent, predictable and sustainable regulatory framework across the EU for medical devices and ensures a high level of safety and health while supporting innovation. Unlike the Medical Devices Directive, the EU MDR is directly applicable in EU member states without the need for each member state to implement the regulation into such members state's national law. This aims at increasing harmonization across the EU.</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The EU MDR </w:t>
      </w:r>
      <w:r>
        <w:rPr>
          <w:rFonts w:ascii="Times New Roman" w:cs="Times New Roman" w:eastAsia="Times New Roman" w:hAnsi="Times New Roman"/>
          <w:sz w:val="18"/>
          <w:szCs w:val="18"/>
          <w:color w:val="000000"/>
        </w:rPr>
        <w:t>became effective on May 26, 2021.</w:t>
      </w:r>
      <w:r>
        <w:rPr>
          <w:rFonts w:ascii="Times New Roman" w:cs="Times New Roman" w:eastAsia="Times New Roman" w:hAnsi="Times New Roman"/>
          <w:sz w:val="18"/>
          <w:szCs w:val="18"/>
          <w:color w:val="231F20"/>
        </w:rPr>
        <w:t xml:space="preserve"> The new regulation, among other things:</w:t>
      </w:r>
    </w:p>
    <w:p>
      <w:pPr>
        <w:spacing w:after="0" w:line="117" w:lineRule="exact"/>
        <w:rPr>
          <w:sz w:val="20"/>
          <w:szCs w:val="20"/>
          <w:color w:val="auto"/>
        </w:rPr>
      </w:pPr>
    </w:p>
    <w:p>
      <w:pPr>
        <w:ind w:left="780" w:right="700" w:hanging="293"/>
        <w:spacing w:after="0" w:line="282" w:lineRule="auto"/>
        <w:tabs>
          <w:tab w:leader="none" w:pos="7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strengthens the rules on placing devices on the market </w:t>
      </w:r>
      <w:r>
        <w:rPr>
          <w:rFonts w:ascii="Times New Roman" w:cs="Times New Roman" w:eastAsia="Times New Roman" w:hAnsi="Times New Roman"/>
          <w:sz w:val="18"/>
          <w:szCs w:val="18"/>
          <w:color w:val="000000"/>
        </w:rPr>
        <w:t>(e.g., reclassification of certain devices and wider scope than the Medical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Devices Directive) </w:t>
      </w:r>
      <w:r>
        <w:rPr>
          <w:rFonts w:ascii="Times New Roman" w:cs="Times New Roman" w:eastAsia="Times New Roman" w:hAnsi="Times New Roman"/>
          <w:sz w:val="18"/>
          <w:szCs w:val="18"/>
          <w:color w:val="231F20"/>
        </w:rPr>
        <w:t>and reinforces surveillance once they are available;</w:t>
      </w:r>
    </w:p>
    <w:p>
      <w:pPr>
        <w:spacing w:after="0" w:line="53" w:lineRule="exact"/>
        <w:rPr>
          <w:rFonts w:ascii="Times New Roman" w:cs="Times New Roman" w:eastAsia="Times New Roman" w:hAnsi="Times New Roman"/>
          <w:sz w:val="18"/>
          <w:szCs w:val="18"/>
          <w:color w:val="231F20"/>
        </w:rPr>
      </w:pPr>
    </w:p>
    <w:p>
      <w:pPr>
        <w:ind w:left="780" w:right="700" w:hanging="293"/>
        <w:spacing w:after="0" w:line="282" w:lineRule="auto"/>
        <w:tabs>
          <w:tab w:leader="none" w:pos="7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establishes explicit provisions on manufacturers’ responsibilities for the follow-up of the quality, performance and safety of devices placed on the market;</w:t>
      </w:r>
    </w:p>
    <w:p>
      <w:pPr>
        <w:spacing w:after="0" w:line="53" w:lineRule="exact"/>
        <w:rPr>
          <w:rFonts w:ascii="Times New Roman" w:cs="Times New Roman" w:eastAsia="Times New Roman" w:hAnsi="Times New Roman"/>
          <w:sz w:val="18"/>
          <w:szCs w:val="18"/>
          <w:color w:val="231F20"/>
        </w:rPr>
      </w:pPr>
    </w:p>
    <w:p>
      <w:pPr>
        <w:ind w:left="780" w:hanging="293"/>
        <w:spacing w:after="0"/>
        <w:tabs>
          <w:tab w:leader="none" w:pos="7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w:t>
      </w:r>
      <w:r>
        <w:rPr>
          <w:rFonts w:ascii="Times New Roman" w:cs="Times New Roman" w:eastAsia="Times New Roman" w:hAnsi="Times New Roman"/>
          <w:sz w:val="18"/>
          <w:szCs w:val="18"/>
          <w:color w:val="000000"/>
        </w:rPr>
        <w:t>shes explicit provisions on importers’ and distributors’ obligations and responsibilities;</w:t>
      </w:r>
    </w:p>
    <w:p>
      <w:pPr>
        <w:spacing w:after="0" w:line="117" w:lineRule="exact"/>
        <w:rPr>
          <w:rFonts w:ascii="Times New Roman" w:cs="Times New Roman" w:eastAsia="Times New Roman" w:hAnsi="Times New Roman"/>
          <w:sz w:val="18"/>
          <w:szCs w:val="18"/>
          <w:color w:val="231F20"/>
        </w:rPr>
      </w:pPr>
    </w:p>
    <w:p>
      <w:pPr>
        <w:ind w:left="780" w:right="700" w:hanging="293"/>
        <w:spacing w:after="0" w:line="282"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obligation to identify a responsible person who is ultimately responsible for all aspects of compliance with the requirements of the new regulation;</w:t>
      </w:r>
    </w:p>
    <w:p>
      <w:pPr>
        <w:spacing w:after="0" w:line="53" w:lineRule="exact"/>
        <w:rPr>
          <w:rFonts w:ascii="Times New Roman" w:cs="Times New Roman" w:eastAsia="Times New Roman" w:hAnsi="Times New Roman"/>
          <w:sz w:val="18"/>
          <w:szCs w:val="18"/>
          <w:color w:val="auto"/>
        </w:rPr>
      </w:pPr>
    </w:p>
    <w:p>
      <w:pPr>
        <w:jc w:val="both"/>
        <w:ind w:left="780" w:right="700" w:hanging="293"/>
        <w:spacing w:after="0" w:line="266" w:lineRule="auto"/>
        <w:tabs>
          <w:tab w:leader="none" w:pos="7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improves the traceability of medical devices throughout the supply chain to the end-user or patient through </w:t>
      </w:r>
      <w:r>
        <w:rPr>
          <w:rFonts w:ascii="Times New Roman" w:cs="Times New Roman" w:eastAsia="Times New Roman" w:hAnsi="Times New Roman"/>
          <w:sz w:val="18"/>
          <w:szCs w:val="18"/>
          <w:color w:val="000000"/>
        </w:rPr>
        <w:t>the introduction of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unique identification number, to increase the ability of manufacturers and regulatory authorities to trace specific devices through the supply chain and to facilitate the prompt and efficient recall of medical devices that have been found to present a safety risk</w:t>
      </w:r>
      <w:r>
        <w:rPr>
          <w:rFonts w:ascii="Times New Roman" w:cs="Times New Roman" w:eastAsia="Times New Roman" w:hAnsi="Times New Roman"/>
          <w:sz w:val="18"/>
          <w:szCs w:val="18"/>
          <w:color w:val="231F20"/>
        </w:rPr>
        <w:t>;</w:t>
      </w:r>
    </w:p>
    <w:p>
      <w:pPr>
        <w:spacing w:after="0" w:line="67" w:lineRule="exact"/>
        <w:rPr>
          <w:rFonts w:ascii="Times New Roman" w:cs="Times New Roman" w:eastAsia="Times New Roman" w:hAnsi="Times New Roman"/>
          <w:sz w:val="18"/>
          <w:szCs w:val="18"/>
          <w:color w:val="231F20"/>
        </w:rPr>
      </w:pPr>
    </w:p>
    <w:p>
      <w:pPr>
        <w:ind w:left="780" w:right="700" w:hanging="293"/>
        <w:spacing w:after="0" w:line="282" w:lineRule="auto"/>
        <w:tabs>
          <w:tab w:leader="none" w:pos="7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sets up a central database ("Eudamed") to provide patients, healthcare professionals and the public with comprehensive information on products available in the EU; and</w:t>
      </w:r>
    </w:p>
    <w:p>
      <w:pPr>
        <w:spacing w:after="0" w:line="53" w:lineRule="exact"/>
        <w:rPr>
          <w:rFonts w:ascii="Times New Roman" w:cs="Times New Roman" w:eastAsia="Times New Roman" w:hAnsi="Times New Roman"/>
          <w:sz w:val="18"/>
          <w:szCs w:val="18"/>
          <w:color w:val="231F20"/>
        </w:rPr>
      </w:pPr>
    </w:p>
    <w:p>
      <w:pPr>
        <w:ind w:left="780" w:right="700" w:hanging="293"/>
        <w:spacing w:after="0" w:line="282" w:lineRule="auto"/>
        <w:tabs>
          <w:tab w:leader="none" w:pos="7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strengthens the rules for the assessment of certain high-risk devices, </w:t>
      </w:r>
      <w:r>
        <w:rPr>
          <w:rFonts w:ascii="Times New Roman" w:cs="Times New Roman" w:eastAsia="Times New Roman" w:hAnsi="Times New Roman"/>
          <w:sz w:val="18"/>
          <w:szCs w:val="18"/>
          <w:color w:val="000000"/>
        </w:rPr>
        <w:t>such as implants,</w:t>
      </w:r>
      <w:r>
        <w:rPr>
          <w:rFonts w:ascii="Times New Roman" w:cs="Times New Roman" w:eastAsia="Times New Roman" w:hAnsi="Times New Roman"/>
          <w:sz w:val="18"/>
          <w:szCs w:val="18"/>
          <w:color w:val="231F20"/>
        </w:rPr>
        <w:t xml:space="preserve"> which may have to undergo </w:t>
      </w:r>
      <w:r>
        <w:rPr>
          <w:rFonts w:ascii="Times New Roman" w:cs="Times New Roman" w:eastAsia="Times New Roman" w:hAnsi="Times New Roman"/>
          <w:sz w:val="18"/>
          <w:szCs w:val="18"/>
          <w:color w:val="000000"/>
        </w:rPr>
        <w:t>a clinical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evaluation consultation procedure by experts </w:t>
      </w:r>
      <w:r>
        <w:rPr>
          <w:rFonts w:ascii="Times New Roman" w:cs="Times New Roman" w:eastAsia="Times New Roman" w:hAnsi="Times New Roman"/>
          <w:sz w:val="18"/>
          <w:szCs w:val="18"/>
          <w:color w:val="231F20"/>
        </w:rPr>
        <w:t>before they are placed on the market.</w:t>
      </w:r>
    </w:p>
    <w:p>
      <w:pPr>
        <w:spacing w:after="0" w:line="5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aforementioned EU rules are generally applicable in the European Economic Area, which consists of the 27 EU member states plus Norway, Liechtenstein and Iceland. Other countries, such as Switzerland, have entered into Mutual Recognition Agreements and allow the marketing of medical devices that meet EU requirements. With the entry into force of the EU MDR, the Swiss-EU Mutual Recognition Agreement was updated as Switzerland is considered a third country to the European Union. Switzerland released their national regulation, the Swiss Medical Devices Ordinance (“MedDO”) on May 25, 2021, and has aligned their requirements with the EU MDR, subject to transitional provisions. Therefore, EU CE Marking Certificates are accepted in Switzerland, along with additional requirements as set forth in the MedDO.</w:t>
      </w:r>
    </w:p>
    <w:p>
      <w:pPr>
        <w:spacing w:after="0" w:line="7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As of January 1, 2021, the United Kingdom has entered a transition period following Brexit. During that period, the UK Medical Devices Regulations (“UK MDR”) 2002 remains applicable in England, Scotland and Wales ("Great Britain"). During 2021, a UK Responsible Person was appointed, and we registered the OMNI System with the Medicines and Healthcare products regulatory agency. Valid CE marks under the EU MDR will continue to be accepted in Great Britain, and the requirement to obtain a UK Conformity Assessed ("UKCA") mark has been delayed until June 30, 2030. Sight Sciences received a UKCA certification for the OMNI family of products on March 1, 2024, and has completed a transition plan to transition over to the UKCA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Fraud and Abuse Laws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In the United States, we are subject to several federal and state healthcare regulatory laws that restrict business practices in the healthcare industry.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laws include, but are not limited to, federal and state anti- kickback, false claims, transparency and other healthcare fraud and abuse laws.</w:t>
      </w:r>
    </w:p>
    <w:p>
      <w:pPr>
        <w:spacing w:after="0" w:line="9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cash, improper discounts, and free or reduced-price items and services. Among other things, the Anti-Kickback Statute has been interpreted to apply to</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231F20"/>
        </w:rPr>
        <w:t>arrangements between medical device manufacturers on the one hand and prescribers and purchasers on the other. Although there are a number of statutory exceptions and regulatory safe harbors protecting some common activities from prosecution, the exceptions and safe harbors are drawn narrowly. The government can exercise enforcement discretion in taking action against unprotected activities. Further, a person or entity does not need to have actual knowledge of the statute or specific intent to violate it in order to have committed a violation. The majority of states also have anti- kickback laws, which establish similar prohibitions, and in some cases may apply to items or services reimbursed by any third-party payor, including commercial insurers and self-pay patients.</w:t>
      </w:r>
    </w:p>
    <w:p>
      <w:pPr>
        <w:spacing w:after="0" w:line="7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The federal false claims legislation,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 In addition, various states have enacted false claim laws analogous to the federal False Claims Act, although many of these state laws apply where a claim is submitted to any third-party payor and not merely a federal healthcare program.</w:t>
      </w:r>
    </w:p>
    <w:p>
      <w:pPr>
        <w:spacing w:after="0" w:line="80"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to have committed a violation.</w:t>
      </w:r>
    </w:p>
    <w:p>
      <w:pPr>
        <w:spacing w:after="0" w:line="7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The federal Physician Payments Sunshine Act requires certain manufacturers of drugs, devices, biologics and medical supplies for which payment is available under Medicare, Medicaid or the Children’s Health Insurance Program ("CHIP"), with specific exceptions, to report annually to the Centers for Medicare &amp; Medicaid Services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such obligations were expanded to include payments and other transfers of value provided in the previous year to additional healthcare professionals, including physician assistants, nurse practitioners, clinical nurse specialists, certified nurse anesthetists, anesthesiologist assistants and certified nurse midwives.</w:t>
      </w:r>
    </w:p>
    <w:p>
      <w:pPr>
        <w:spacing w:after="0" w:line="8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Coverage and Reimbursement</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In the United States, our currently cleared products are not separately reimbursed by any third-party payors, and if covered, are paid for as part of the procedure in which the product is used. Our commercial success depends in part on the extent to which governmental authorities, private health insurers and other third-party payors provide coverage for and establish adequate reimbursement levels for the procedures in which our products are used. Failure by physicians, hospitals, ambulatory surgery centers and other users of our products to receive adequate reimbursement from third-party payors for procedures in which our products are used, or adverse changes in government and private third-party payors’ coverage and reimbursement policies, may adversely impact demand for our products.</w:t>
      </w:r>
    </w:p>
    <w:p>
      <w:pPr>
        <w:spacing w:after="0" w:line="7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Based on our experience to date, third-party payors generally reimburse for the procedures in which our products are used only if the patient meets the established medical necessity criteria for the procedure. Some payors have moved toward a managed care system and control their healthcare costs by establishing coverage policies that categorically restrict coverage of certain procedures, or by limiting authorization for procedures, including elective procedures using our devices. No uniform policy of coverage and reimbursement among payors in the United States exists, and coverage and reimbursement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231F20"/>
        </w:rPr>
        <w:t>for procedures can differ significantly from payor to payor. 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our product unless reimbursement approval can be obtained and/or maintained from governmental and private third-party payors.</w:t>
      </w:r>
    </w:p>
    <w:p>
      <w:pPr>
        <w:spacing w:after="0" w:line="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which may include lower reimbursement rates for procedures in which our products are used, could have a direct impact on the demand of our products.</w:t>
      </w:r>
    </w:p>
    <w:p>
      <w:pPr>
        <w:spacing w:after="0" w:line="72"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Third-party payors are developing increasingly sophisticated methods of controlling healthcare costs through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7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The implementation of the Affordable Care Act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the most recent judicial challenge to the ACA brought by several states without specifically ruling on the constitutionality of the ACA. It is unclear how healthcare reform measures of the Trump administration or other efforts, if any, to challenge, repeal or replace the ACA will impact the law or our business.</w:t>
      </w:r>
    </w:p>
    <w:p>
      <w:pPr>
        <w:spacing w:after="0" w:line="86"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In addition,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spacing w:after="0" w:line="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We expect additional state, federal, and foreign healthcare reform measures to be adopted in the future, any of which could limit the amounts that federal, state, and foreign governments will pay for healthcare products and services, which could result in reduced demand for our products or additional pricing pressure.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Data Privacy and Security Laws</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5" w:name="page26"/>
    <w:bookmarkEnd w:id="25"/>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Numerous state, federal and foreign laws, including consumer protection laws and regulations, govern the collection, dissemination, use, access to, confidentiality and security of personal information, including personal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In addition, certain state and non-U.S. laws, such as the California Consumer Privacy Act ("CCPA"), and other state privacy and data protection laws similar to the CCPA and the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82"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In Europe, the GDPR went into effect on May 25, 2018 and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w:t>
      </w:r>
    </w:p>
    <w:p>
      <w:pPr>
        <w:spacing w:after="0" w:line="75"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Further, from January 1, 2021, companies must comply with the GDPR and also the United Kingdom General Data Protection Regulation ("UK GDPR"), which, together with the amended UK Data Protection Act 2018, retains the GDPR in UK national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As of December 31, 2024, we had 216 full-time employees. Our highly qualified and experienced team includes scientists, physicians and professionals across sales, marketing, regulatory, finance and other important functions that are critical to our success. We believe that the success of our business will depend, in part, on our ability to attract and retain qualified personnel. None of our employees are represented by a labor union or are a party to a collective bargaining agreement and we believe that we have good relations with our employees.</w:t>
      </w:r>
    </w:p>
    <w:p>
      <w:pPr>
        <w:spacing w:after="0" w:line="7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believe that our continued success is reliant on the ability to attract, develop and retain top talent. To facilitate talent attraction and retention, we strive to foster an inclusive and safe workplace, with opportunities for our employees to grow and develop in their careers, supported by competitive compensation and benefits programs. In the attraction, development and retention of talent, we emphasize:</w:t>
      </w:r>
    </w:p>
    <w:p>
      <w:pPr>
        <w:spacing w:after="0" w:line="66" w:lineRule="exact"/>
        <w:rPr>
          <w:sz w:val="20"/>
          <w:szCs w:val="20"/>
          <w:color w:val="auto"/>
        </w:rPr>
      </w:pPr>
    </w:p>
    <w:p>
      <w:pPr>
        <w:jc w:val="both"/>
        <w:ind w:firstLine="4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strive to provide competitive compensation and benefits programs to attract and retain top talent and review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annually against the competitive landscape to ensure they continue to meet the needs of our employees. In addition to salaries, these programs include a variety of short and long-term incentive plans such as annual performance-based bonuses, commissions for certain sales roles, equity awards, an Employee Stock Purchase Plan, a 401(k) Plan, healthcare and insurance benefits, health savings and flexible spending accounts, paid time off, family leave, family care resources, flexible work schedules, and employee assistance programs. In addition to our broad-based equity award programs, we have used targeted equity-based grants with vesting conditions to facilitate the retention and engagement of our talent.</w:t>
      </w:r>
    </w:p>
    <w:p>
      <w:pPr>
        <w:spacing w:after="0" w:line="7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 Development. </w:t>
      </w:r>
      <w:r>
        <w:rPr>
          <w:rFonts w:ascii="Times New Roman" w:cs="Times New Roman" w:eastAsia="Times New Roman" w:hAnsi="Times New Roman"/>
          <w:sz w:val="18"/>
          <w:szCs w:val="18"/>
          <w:color w:val="auto"/>
        </w:rPr>
        <w:t>We believe employees are our greatest asset and we strive to provide development and promotional opportunities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our employees reach their potential. We provide formal and informal training opportunities designed to enhance learning and development. Consistent with our performance review processes, we foster and encourage continuous manager and employee dialogue around performance and development.</w:t>
      </w:r>
    </w:p>
    <w:p>
      <w:pPr>
        <w:spacing w:after="0" w:line="7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We are committed to the health, safety and wellness of our employees. We provide our employees and their families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access to a variety of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w:t>
      </w:r>
    </w:p>
    <w:p>
      <w:pPr>
        <w:spacing w:after="0" w:line="72" w:lineRule="exact"/>
        <w:rPr>
          <w:sz w:val="20"/>
          <w:szCs w:val="20"/>
          <w:color w:val="auto"/>
        </w:rPr>
      </w:pPr>
    </w:p>
    <w:p>
      <w:pPr>
        <w:jc w:val="both"/>
        <w:ind w:firstLine="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Diversity, Equity, Inclusion, and Belonging. </w:t>
      </w:r>
      <w:r>
        <w:rPr>
          <w:rFonts w:ascii="Times New Roman" w:cs="Times New Roman" w:eastAsia="Times New Roman" w:hAnsi="Times New Roman"/>
          <w:sz w:val="18"/>
          <w:szCs w:val="18"/>
          <w:color w:val="auto"/>
        </w:rPr>
        <w:t>We believe diversity of thought, values, individual characteristics, beliefs and backgrounds is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overall success. We are an equal opportunity employer and believe that diverse and</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differentiated views contribute to make us a better organization where every employee not only contributes to our collective success but also feels a sense of belonging. It is our conscious effort to support the advancement of women and Black, Indigenous and other people of color and promote equal opportunity for all our employees within the workplace.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Sight Sciences, Inc. was incorporated as a Delaware corporation on February 10, 2010. We maintain a website at www.sightsciences.com. At our Investor Relations website, investors.sightsciences.com, we make available free of charge information for investors, including our Annual Reports on Form 10-K, Quarterly Reports on Form 10-Q, Current Reports on Form 8-K, and any amendments to those reports, as soon as reasonably practicable after we electronically file that material with or furnish it to the SEC. The information found on our website is not part of this or any other report we file with, or furnish to, the SEC, and references to our website address are inactive textual references only.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audited consolidated financial statements and the accompanying notes thereto included elsewhere in this Annual Report on Form 10-K, before investing in our common stock.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a history of significant losses, we expect to incur losses in the future, and we may not be able to achieve or sustain profitability, which may make it difficult to evaluate the success of our business to date and to assess prospects for our future viability.</w:t>
      </w:r>
    </w:p>
    <w:p>
      <w:pPr>
        <w:spacing w:after="0" w:line="5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have incurred annual net losses since our formation in 2010. For the years ended December 31, 2024 and 2023, we had net losses of $51.5 million and $55.5 million, respectively. As of December 31, 2024, we had an accumulated deficit of $346.3 million. To date, we have financed our operations primarily through equity and debt financings and from product sales. Our net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 and costs related to intellectual property development, protection and enforcement. In addition, as a public company, we incur significant legal, accounting and other expenses that we did not incur as a private company.</w:t>
      </w:r>
    </w:p>
    <w:p>
      <w:pPr>
        <w:spacing w:after="0" w:line="8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Accordingly, we expect to continue to incur losses for the foreseeable future and we cannot assure you that we will ever achieve profitability or that, if we do become profitable, we will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revenue from the sales of our products, and our inability to successfully execute our growth strategy could negatively affect our results of operations and financial condition.</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We began selling VISCO360 and TRAB360, commercial predicate devices to OMNI, in 2015, TearCare in 2019 and SION in 2022, and therefore do not have a long history operating as a commercial company. Currently, we are highly dependent on the success of OMNI. We also derive revenue from sales of SION, our other commercially available Surgical Glaucoma product, and our TearCare system and related accessories, which comprise our commercial Dry Eye products, and we expect substantially all of our revenue in at least the next 12 months to be derived from the sale of these OMNI, SION and TearCare products. We believe OMNI sales will continue to account for the large majority of our revenue over the next few years. In the longer term, our growth strategy is dependent upon achieving adequate and sustainable reimbursement for TearCare to help drive Dry Eye revenue growth. Because we devote substantially all of our resources to developing, marketing and selling these products and rely on the sale of our products as our sole source of revenue, any factors that negatively impact our products, particularly OMNI, or result in a decrease in sales, could have a material adverse effect on our business, financial condition and results of operations.</w:t>
      </w:r>
    </w:p>
    <w:p>
      <w:pPr>
        <w:spacing w:after="0" w:line="80"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June 2023, for instance, five of the seven Medicare Administrative Contractors (“MACs”) published proposed local coverage determinations (the “Prior LCDs”) that identified certain non-implantable MIGS procedures as investigational and not reasonable and necessary in the jurisdictions where these MACs administer Medicare Part B benefits, including adult canaloplasty in combination with trabeculotomy (ab interno), a procedure performed with OMNI and for which it is indicated. The Prior LCDs may also have categorized our SION technology as investigational and thus non-covered with respect to goniotomy procedures. The Prior LCDs were withdrawn in late December 2023 prior to becoming effective, and replaced with updated LCDs (the “Final LCDs”) that became effective in November 2024. The Final LCDs allow for continued coverage of canaloplasty and goniotomy procedures performed with our OMNI and SION technologies in these five MAC jurisdictions. However, each of the Final LCDs adopted a non-coverage policy when an aqueous shunt or stent procedure is performed with another surgical MIGS procedure, such as canaloplasty or goniotomy, at the same time in the same patient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eye. We estimate that approximately 15% of total MIGS codes billed in the nine months ended September 30, 2024 were done in combination with another MIGS code and expect the non-coverage determination for multiple MIGS procedures will reduce overall MIGS claims volumes, which may adversely impact our business, revenue and prospects. Moreover, it is possible that one or more MACs will publish new or updated LCDs or other determinations in the future that could characterize procedures associated with our products as non-covered, or as covered under more limited parameters. The publication and effectiveness of any such future determinations would adversely affect our business and results of operations.</w:t>
      </w:r>
    </w:p>
    <w:p>
      <w:pPr>
        <w:spacing w:after="0" w:line="75"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Over the next several years, we expect to continue to devote substantial resources to expand our commercialization efforts, drive increased adoption of our products and continue to develop new and improved products. Our limited commercialization experience and number of products make it difficult to evaluate our current business and predict our future prospects. For example, we believe OMNI procedures can be highly effective in reducing IOP in adult POAG patients when performed as a Standalone Procedure. However, we have limited commercial experience with the Standalone Market Segment, and the extent to which we are able to penetrate and grow this market is unknown. If we and other market participants are unable to effectively drive the use of MIGS devices in Standalone Procedures, then our total addressable market will be significantly reduced, which will adversely affect our sales and growth strategy. In addition, a number of factors, including some outside of our control, may render our products less competitive, economically impracticable or obsolete and contribute to fluctuations in our financial results, including:</w:t>
      </w:r>
    </w:p>
    <w:p>
      <w:pPr>
        <w:spacing w:after="0" w:line="84" w:lineRule="exact"/>
        <w:rPr>
          <w:sz w:val="20"/>
          <w:szCs w:val="20"/>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reimbursement coverage for procedures in which our products are used;</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or coverage restrictions instituted by government or commercial payors, such as the coverage limitations on multiple MIGS procedures done at the same time as a cataract surgery included in the Final LCDs;</w:t>
      </w:r>
    </w:p>
    <w:p>
      <w:pPr>
        <w:spacing w:after="0" w:line="53" w:lineRule="exact"/>
        <w:rPr>
          <w:rFonts w:ascii="Times New Roman" w:cs="Times New Roman" w:eastAsia="Times New Roman" w:hAnsi="Times New Roman"/>
          <w:sz w:val="18"/>
          <w:szCs w:val="18"/>
          <w:color w:val="auto"/>
        </w:rPr>
      </w:pPr>
    </w:p>
    <w:p>
      <w:pPr>
        <w:jc w:val="both"/>
        <w:ind w:left="800" w:right="680" w:hanging="283"/>
        <w:spacing w:after="0" w:line="266"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or investigations, including perceived inadequacy or insufficiency of evidence supporting the clinical benefits or cost-effectiveness of our products, and the publication of any long-term clinical data that may suggest or conclude that our products are less safe or effective than initially thought;</w:t>
      </w:r>
    </w:p>
    <w:p>
      <w:pPr>
        <w:spacing w:after="0" w:line="6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media coverage, or public, patient and/or physician perception, of our products or competing products and treatments;</w:t>
      </w:r>
    </w:p>
    <w:p>
      <w:pPr>
        <w:spacing w:after="0" w:line="53"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effectiveness concerns that arise regarding our products’ currently authorized uses or uses for which we are developing our products;</w:t>
      </w:r>
    </w:p>
    <w:p>
      <w:pPr>
        <w:spacing w:after="0" w:line="53"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including our ability to have a sufficient number of qualified sales representatives to sell our products;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product development or launches;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on acceptable terms, or at all, to support the commercialization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legal and regulatory requirements applicable to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licensors, to obtain, maintain,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ability to supply our products in a timely manner, in accordance with our specifications, and in compliance with applicable regulatory requirements;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alternative treatments that compete with our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the broad adoption and continued use of our products by eyecare professionals and patients.</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ECPs, including ophthalmologists and optometrists, have limited awareness of, and experience with, our products and brand. Our future growth and profitability largely depend on our ability to increase ECP and patient awareness of our products and their willingness to adopt our products. ECPs may not adopt our products unless they believe they will receive appropriate compensation for such use and are able to determine, based on experience, clinical data, medical society and association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29" w:name="page30"/>
    <w:bookmarkEnd w:id="29"/>
    <w:p>
      <w:pPr>
        <w:ind w:left="800" w:right="70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equitable third-party payor coverage or reimbursement, or changes in (or new) third-party payor coverage or reimbursement policies or determinations that adversely affect coverage for procedures involving OMNI;</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lower-priced competitive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Unwillingness to alter historical practice patterns to incorporate OMNI use in Standalone procedures into their practices;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market;</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new products and treatment options;</w:t>
      </w:r>
    </w:p>
    <w:p>
      <w:pPr>
        <w:spacing w:after="0" w:line="117" w:lineRule="exact"/>
        <w:rPr>
          <w:rFonts w:ascii="Times New Roman" w:cs="Times New Roman" w:eastAsia="Times New Roman" w:hAnsi="Times New Roman"/>
          <w:sz w:val="18"/>
          <w:szCs w:val="18"/>
          <w:color w:val="auto"/>
        </w:rPr>
      </w:pPr>
    </w:p>
    <w:p>
      <w:pPr>
        <w:jc w:val="both"/>
        <w:ind w:left="800" w:right="700" w:hanging="283"/>
        <w:spacing w:after="0" w:line="266"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with respect to an absence of OMNI randomized controlled trial data, clinical data on long-term outcomes, supporting clinical benefits of our products or the cost-effectiveness of our products over existing treatments;</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key ophthalmologist and optometrist leaders to support and recommend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that our products are unproven;</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ECPs’ long-standing relationships with companies, distributors and salespeople that sell competing products;</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activities, including new product introductions, pricing tactics, and negative selling efforts from providers of alternative treatments;</w:t>
      </w:r>
    </w:p>
    <w:p>
      <w:pPr>
        <w:spacing w:after="0" w:line="53"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and ECP preferences for procedures that may be more profitable than those performed with our products, or for competitive products that are lower priced and thus offer greater profit margins in procedures in which our products are used;</w:t>
      </w:r>
    </w:p>
    <w:p>
      <w:pPr>
        <w:spacing w:after="0" w:line="53" w:lineRule="exact"/>
        <w:rPr>
          <w:rFonts w:ascii="Times New Roman" w:cs="Times New Roman" w:eastAsia="Times New Roman" w:hAnsi="Times New Roman"/>
          <w:sz w:val="18"/>
          <w:szCs w:val="18"/>
          <w:color w:val="auto"/>
        </w:rPr>
      </w:pPr>
    </w:p>
    <w:p>
      <w:pPr>
        <w:jc w:val="both"/>
        <w:ind w:left="800" w:right="700" w:hanging="283"/>
        <w:spacing w:after="0" w:line="266"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integrating TearCare into established ophthalmologic and optometric practices in light of ECP practice patterns and preferences, lack of awareness of our TearCare system and its capabilities, and lack of appropriate, equitable reimbursement for procedures involving our TearCare system; and</w:t>
      </w:r>
    </w:p>
    <w:p>
      <w:pPr>
        <w:spacing w:after="0" w:line="6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regarding the time commitment and skill development that may be required to gain familiarity and proficiency with our OMNI and TearCare products.</w:t>
      </w:r>
    </w:p>
    <w:p>
      <w:pPr>
        <w:spacing w:after="0" w:line="5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To effectively market and sell our products, we will need to continue to educate the medical community about the safety, efficacy, necessity and efficiency of our products and about the patient populations that would potentially benefit from the use of our products.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Further, we have experienced recent declines in the numbers of surgeons we are training on the use of OMNI to perform MIGS procedures, and if we are unable to increase ECP training rates, our business and results of operations may suffer.</w:t>
      </w:r>
    </w:p>
    <w:p>
      <w:pPr>
        <w:spacing w:after="0" w:line="7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addition, some physicians may choose to utilize our products on only a subset of their total patient population or may not adopt our products at all. Further, if procedures in which our products are used do not receive and maintain favorable third-party reimbursement coverage, particularly as compared to procedures in which competitive products are used, adoption of our products by ECPs and patients will suffer. Similarly, if competitive products are priced significantly lower than our products or are considered to offer greater ease of use than our products, then ECPs may elect to use these competitive products, even if we believe that other considerations such as clinical efficacy favor our products. Also, if ECPs prioritize alternative ophthalmic procedures to the procedures in which our products are currently used, whether for clinical, reimbursement or other reasons, then there will be less available surgical capacity to perform procedures using our products.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secure or maintain adequate levels of third-party coverage and reimbursement for procedures in which our Surgical Glaucoma or Dry Eye products are used, and third parties may rescind or modify their coverage or delay payments related to these products, which would adversely affect our business, financial condition, and results of operations.</w:t>
      </w:r>
    </w:p>
    <w:p>
      <w:pPr>
        <w:spacing w:after="0" w:line="67"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We derive revenue from sales of OMNI and SION to physicians, ASCs, and HOPDs, which typically bill all or a portion of the costs and fees associated with our products to various third-party payors, including Medicare, Medicaid, foreign governmental payors, private commercial insurance companies, health maintenance organizations and other healthcare-related organizations, and then bill patients for any applicable deductibles or co-payments. Historically, we have sold our TearCare system components to customers on a limited cash-pay basis to drive customer awareness and acceptance in advance of reimbursement. We are pursuing reimbursement coverage for TearCare so ECPs can bill all or a portion of the costs and fees associated with this product to various third-party payors, including Medicare, Medicaid, private commercial insurance companies, health maintenance organizations, and other healthcare-related organizations, and then bill patients for any applicable deductibles or co-payments. ECPs have begun to have individual claims-made reimbursements for these services. As a result, access to adequate coverage and reimbursement for procedures in which our Surgical Glaucoma and Dry Eye products are used by third-party payors is essential to their broad acceptance and adoption by patients and ECPs.</w:t>
      </w:r>
    </w:p>
    <w:p>
      <w:pPr>
        <w:spacing w:after="0" w:line="80"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For example, in the third quarter of 2024, certain reimbursement advice published by the United Kingdom’s National Health Service has rendered untenable the code that had previously been relied upon as applicable to procedures performed with our OMNI technology. This shift has resulted in reduced reimbursement for OMNI procedures as compared to historic reimbursement levels, which in turn could materially affect our business, results of operations and prospects in the United Kingdom.</w:t>
      </w:r>
    </w:p>
    <w:p>
      <w:pPr>
        <w:spacing w:after="0" w:line="7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These third-party payors continually review new and existing technologies for possible coverage and can deny or reverse coverage for new or existing products and procedures, and there can be no assurance that third-party payor policies provide coverage, or will continue to provide coverage, for procedures in which OMNI or our other products are used. For example, in the U.S., CMS, MACs or commercial payors could require or issue coverage policies that could restrict or eliminate coverage for the patient populations eligible for treatment with our products or that are otherwise unfavorable to our business. In June 2023, for instance, five MACs published the Prior LCDs, which proposed to identify certain non-implantable MIGS procedures as investigational and not reasonable and necessary in the jurisdictions where these MACS administer Medicare Part B benefits, including but not limited to adult canaloplasty in combination with trabeculotomy ab interno, a procedure performed with OMNI and for which it is indicated. The Prior LCDs may also have categorized our SION technology as investigational and thus non-covered with respect to goniotomy procedures. Although the Prior LCDs were withdrawn in late December 2023 and replaced with the now-effective Final LCDs which allow for continued coverage of standalone canaloplasty and goniotomy procedures performed with our OMNI and SION technologies in these five MAC jurisdictions, in the future, governmental or private payors may issue coverage policies or guidance that may establish non-coverage, materially restrict coverage, or reduce reimbursement levels for one or more procedures involving our products. Any such policies, determinations or guidance could in turn influence coverage determinations by other third-party payors.</w:t>
      </w:r>
    </w:p>
    <w:p>
      <w:pPr>
        <w:spacing w:after="0" w:line="7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addition, each of the Final LCDs adopted a non-coverage policy when an aqueous shunt or stent procedure is performed with another surgical MIGS procedure, such as canaloplasty or goniotomy, at the same time in the same patient eye. We estimate that approximately 15% of total MIGS codes billed in the nine months ended September 30, 2024 were done in combination with another MIGS code and expect the non-coverage determination for multiple MIGS procedures will reduce overall MIGS claims volumes, which may adversely impact our business, revenue and prospects. If we are not successful in reversing any proposed non-coverage policies, or if third-party payors that currently cover or reimburse procedures in which our products are used reverse or limit their coverage in the future, or if other third-party payors issue similar policies, it would have a material adverse effect on our business, financial condition, and results of operations. Moreover, any uncertainty with respect to coverage or coding may impact management’s ability to accurately forecast results.</w:t>
      </w:r>
    </w:p>
    <w:p>
      <w:pPr>
        <w:spacing w:after="0" w:line="8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also derive revenue from sales of TearCare to ECPs and eye care clinics, which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Currently, no MACs have formal policies establishing coverage for the TearCare procedure; however, MACs from time to time may include, and we are currently aware of three MACs that have included, low payment rates for TearCare procedures in their fee schedules that, if not removed or increased to what we believe is an appropriate reimbursement level, could adversely impact our efforts to achieve reimbursement for TearCare that is sufficient to support its broad commercial growth and adoption. Further, commercial payors may from time to time make “no coverage”</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or similar determinations with respect to our TearCare product that could hamper our efforts to drive broad commercial adoption of TearCare. These determinations could be made with reference to a variety of factors, including our legacy TearCare component pricing practices, perceived clinical efficacy compared to other treatment alternatives and similar considerations.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This strategy is dependent, among other things, on ECPs’ willingness to submit, and success in submitting, TearCare procedure claims with invoicing that supports appropriate reimbursement, as well as their success in appealing these claims with payors as needed. If patients are not willing to pay for procedures in which TearCare is used, or if third-party payors continue to decline to provide coverage and reimbursement, or provide insufficient levels of coverage and reimbursement, it would have a negative impact on ECPs’ adoption of TearCare and sales of TearCare, which could adversely affect our business and results of operations.</w:t>
      </w:r>
    </w:p>
    <w:p>
      <w:pPr>
        <w:spacing w:after="0" w:line="86"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spacing w:after="0" w:line="84"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In the United States, the AMA generally assigns specific billing codes for procedures under a coding system known as Current Procedure Terminology (“CPT”), which surgeons use to bill third-party payors and receive reimbursement. Once a permanent CPT code ("Category I CPT code") is established for a service,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 For example, in 2021 the RVS Update Committee ("RUC") of the AMA reevaluated the physician work associated with CPT code 66174. As a result of this RUC review and further conversion factor reductions, CMS reduced the Medicare Physician Fee Schedule amount associated with this service from approximately $950 in 2021, to $761 in 2022, to $622 in 2023, to $608 in 2024, and to $600 in 2025. Many of the factors considered by the RUC, and many of the factors evaluated by payors and other payor advisory bodies, in assessing the costs of, and payments with respect to, procedures associated with our products are not within our control. For instance, with respect to determination of hospital, ASC and physician payment associated with CPT code 66174, evaluation of procedure costs may include the costs of competitive products that are priced well below our products and may also reflect reduced physician work with respect to procedures that are less comprehensive than the procedures performed with OMNI. This, in turn, may adversely affect our ability to obtain and maintain adequate and appropriate levels of reimbursement for the comprehensive procedure enabled by our OMNI technology, which could adversely affect our financial condition and results of operations.</w:t>
      </w:r>
    </w:p>
    <w:p>
      <w:pPr>
        <w:spacing w:after="0" w:line="88"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The AMA maintains a subset of temporary CPT codes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("MPFS"). As a result, individual Medicare contractors and private payors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may determine not to reimburse services described by Category III CPT codes. In 2024, various commercial insurance carriers paid small number of TearCare claims on a case-by-case basis, but these reimbursement amounts varied materially and no formal coverage policies were established.</w:t>
      </w:r>
    </w:p>
    <w:p>
      <w:pPr>
        <w:spacing w:after="0" w:line="8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products is highly competitive and could grow increasingly competitive as new glaucoma and dry eye technologies are introduced in our industry. Our competitors may have longer operating histories, more established products and distribution networks, lower product prices or greater resources than we do, and may be able to develop or market treatments that are safer, more effective or gain greater acceptance in the marketplace than our products.</w:t>
      </w:r>
    </w:p>
    <w:p>
      <w:pPr>
        <w:spacing w:after="0" w:line="72"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AbbVie, Novartis, Alcon, Johnson &amp; Johnson, Nova Eye Medical, and New World Medical. These companies, or other entrants into the market, may have or develop competing technologies, other products that are in or that enter clinical trials, new devices or additional indications for existing devices that could demonstrate better safety, effectiveness, clinical results, ease of use, lower costs or greater ECP and market acceptance than our products. For example, there has been a recent increase in ECP trialing of alternative products that are offered at lower prices than OMNI, which we believe has had a near-term adverse impact on utilization of OMNI.</w:t>
      </w:r>
    </w:p>
    <w:p>
      <w:pPr>
        <w:spacing w:after="0" w:line="8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Though in the past we have viewed such ECP trialing and use of alternative devices as temporary and not material to the continued growth of OMNI sales, we cannot guarantee that OMNI utilization will normalize relative to historical periods or grow in the future pursuant to our strategic initiatives. Sustained increases in ECP use of alternative MIGS devices could result in reduced OMNI sales and revenue growth or even loss of market share, which would adversely impact our competitive position, business and results of operations.</w:t>
      </w:r>
    </w:p>
    <w:p>
      <w:pPr>
        <w:spacing w:after="0" w:line="72"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In addition, despite what we believe to be the strong safety profile of our products for their intended uses, patients may experience adverse events following canaloplasty or trabeculotomy with OMNI, including hyphema, mild anterior chamber inflammation and spikes in intraocular pressure. Similarly, patients may experience adverse events following use of the SION surgical instrument, including anterior chamber shallowing and prolonged, or persistent intraocular inflammation, or application of localized heat with TearCare, including discomfort, pain or erythema of the eyelids. Any failure to meet customer and patient expectations and any resulting negative perceptions or publicity could harm our reputation and future sales and therefore adversely affect our business, financial condition and results of operations.</w:t>
      </w:r>
    </w:p>
    <w:p>
      <w:pPr>
        <w:spacing w:after="0" w:line="7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Furthermore, 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68" w:lineRule="exact"/>
        <w:rPr>
          <w:sz w:val="20"/>
          <w:szCs w:val="20"/>
          <w:color w:val="auto"/>
        </w:rPr>
      </w:pPr>
    </w:p>
    <w:p>
      <w:pPr>
        <w:jc w:val="both"/>
        <w:ind w:left="800" w:right="700" w:hanging="283"/>
        <w:spacing w:after="0" w:line="266"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treatment patterns pursuant to which prescription medications, traditional glaucoma surgery or more conventional MIGS procedures are generally first-line therapies for the treatment of glaucoma and eye drops or warm-compresses are first-line therapies for the treatment of MGD;</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ECPs who are familiar with their products and procedures for the treatment of glaucoma or MGD;</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key stakeholders, including hospital outpatient departments, ambulatory surgery centers, optometrists and ophthalmologists, general practitioners and administrators;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capital resources;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17" w:lineRule="exact"/>
        <w:rPr>
          <w:rFonts w:ascii="Times New Roman" w:cs="Times New Roman" w:eastAsia="Times New Roman" w:hAnsi="Times New Roman"/>
          <w:sz w:val="18"/>
          <w:szCs w:val="18"/>
          <w:color w:val="auto"/>
        </w:rPr>
      </w:pPr>
    </w:p>
    <w:p>
      <w:pPr>
        <w:ind w:left="800" w:right="680" w:hanging="283"/>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greater discounts or incentives to gain a competitive advantage;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sales, marketing and worldwide distribution networks.</w:t>
      </w:r>
    </w:p>
    <w:p>
      <w:pPr>
        <w:spacing w:after="0" w:line="11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One of the major hurdles to adoption of our products will be overcoming established treatment patterns, which will require educating ECPs and supportive clinical data. For instance, we believe strongly in the efficacy of OMNI in Standalone Procedures, but concerted ongoing ECP education on the benefits of this approach is needed to alter surgeon perceptions and to convince them of the benefits of performing a MIGS procedure other than in conjunction with cataract surgery. Because of the size of the market opportunity for devices used in procedures to address MIGS and MGD, we believe current and</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3" w:name="page34"/>
    <w:bookmarkEnd w:id="3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potential future competitors will dedicate significant resources to aggressively promote their products or develop new products or treatments, such as Glaukos’ iStent® technologies, iPRIME™ Viscodelivery System, and iDose® TR intraocular implant; Alcon’s Hydrus® MicroStent; and various canaloplasty devices including Nova Eye’s iTrack™ Advance and New World’s Streamline® and Via360™ surgical systems.</w:t>
      </w:r>
    </w:p>
    <w:p>
      <w:pPr>
        <w:spacing w:after="0" w:line="68"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Whereas we have historically competed in the MIGS marketplace against stent technologies, such as the iStent family of products and the Hydrus® MicroStent, we are facing increasing competition from other microcatheter systems marketed for canaloplasty and goniotomy, and we expect this competition to increase in the future. Further, new treatment options may be developed that could compete more effectively with our products due to the prevalence of glaucoma and MGD, and the research and technological progress that exist within the market. Also, even if competitor products do not have indications for use or clinical data that are comparable to ours, ECPs can still choose these competitor products for a variety of reasons, including those discussed above. For instance, competitors may price their products significantly below ours, or bundle their products in a manner that is attractive to ECPs, which may result in decreased use or adoption of our products by ECPs, notwithstanding that our products may offer superior safety and efficacy.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our products depends upon appropriate physician training, practice and patient selection.</w:t>
      </w:r>
    </w:p>
    <w:p>
      <w:pPr>
        <w:spacing w:after="0" w:line="12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success of our products depends in part on the skill of the ECPs utilizing and administering products to treat patients and on their adherence to our stated patient selection criteria and the proper techniques that we provide in training sessions. We train ECPs on the correct use of OMNI and SION. However, ECPs rely on their previous medical training and experience when performing ophthalmic surgical procedures and may deviate from the techniques we provide in training sessions. Furthermore, we cannot guarantee that all such ECPs who use OMNI and SION will have the necessary skills or experience to safely and effectively perform these procedures. We have experienced recent declines in the number of ECPs undergoing training on the use of OMNI, which means that fewer physicians than we had anticipated are being trained regarding appropriate patient selection and OMNI surgical techniques. If we are not able to stabilize and return our physician training rates to a robust growth trajectory, our business could suffer. Similarly, though we train ECPs to ensure correct use of TearCare, including placement of SmartLids on patients’ eyelids and expression of the patients' meibomian glands, we cannot guarantee that all such ECPs will have the necessary skills or experience to safely and effectively use these devices. If ECPs utilize our products in a manner that is inconsistent with our labeled indications or with components that are not part of our products, the patient outcomes may be negative. This could negatively impact the perception of patient benefits and safety associated with our products and limit their adoption, which would have a material adverse effect on our business, financial condition and results of operations.</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Development of our products for expanded indications depends upon positive clinical data, and the safety and efficacy of our products for the intended uses for which we intend to seek clearance, certification or approval are not yet supported by long-term clinical data, which could delay or prevent clearance by the FDA (or other foreign authorities or notified bodies) or limit sales, and our products might prove to be less safe or effective than initially thought.</w:t>
      </w:r>
    </w:p>
    <w:p>
      <w:pPr>
        <w:spacing w:after="0" w:line="72"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The products that we market in the United States are regulated as medical devices by the FDA. OMNI and TearCare have received premarket clearance under Section 510(k) of the Federal Food, Drug, and Cosmetic Act (“FDCA”).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application and later down-classified, or a 510(k)-exempt device. This process is typically shorter and generally requires the submission of less supporting documentation than the FDA’s PMA process and does not always require long-term clinical studies. SION is registered with the FDA as a Class I 510(k) exempt device.</w:t>
      </w:r>
    </w:p>
    <w:p>
      <w:pPr>
        <w:spacing w:after="0" w:line="8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the European Economic Area (“EEA”), a single regulatory approval process exists, and conformity with its requirements is required by its member states and countries to affix a European Conformity (“CE”) mark to our medical devices, without which they cannot be marketed or sold in the EEA. We originally received CE marking for OMNI in 2017. To obtain a CE mark, defined products must meet minimum standards of performance, safety, and quality, and then, according to their classification, undergo a conformity assessment procedure. Except for low-risk medical devices, a conformity assessment procedure requires the intervention of a third-party organization designated by the competent authorities of an EEA country, known as a Notified Body. The competent authorities of the EU countries separately regulate the clinical research for medical devices and the market surveillance of products once they are placed on the market. A revised regulation, the EU MDR was published by the EU in 2017 and became effective on May 26, 2021. Medical devices marketed in the EEA require certification according to these requirements. The EU MDR includes significant additional premarket and post-market requirements, and manufacturers of medical devices are required by the EU MDR to collect post-marketing</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clinical data in relation to their CE Marked medical devices. Post-market surveillance includes the conduct of post-market clinical follow-up studies permitting manufacturers to gather information concerning quality, safety or performance of medical devices after they have been placed on the market in the EU. All information collected as part of the post-market surveillance process must be reviewed, investigated and analyzed on a regular basis in order to determine whether trending conclusions can be made concerning the safety or performance of the medical device and decisions must be taken in relation to the continued marketing of medical devices currently on the market. We expect to incur ongoing costs to comply with these post-market clinical obligations in EU markets for so long as we continue to market and sell products in those markets, as well as in the EEA markets.</w:t>
      </w:r>
    </w:p>
    <w:p>
      <w:pPr>
        <w:spacing w:after="0" w:line="7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We are conducting and intend to continue conducting additional clinical trials or investigations to develop our devices for expanded indications, including clinical trials to increase clinical evidence for OMNI and develop TearCare for expanded indications. Historical clinical results, including interim results, are not necessarily predictive of future clinical results, and we cannot assure you that the results reported in these studies will be consistent with, or better than, currently available clinical data. In addition, our competitors and other third parties may conduct clinical trials of our products without our participation. If future patient studies or clinical testing do not support our belief that our products are advantageous for their intended uses, market acceptance of our products could fail to increase or could decrease and our business could be harmed.</w:t>
      </w:r>
    </w:p>
    <w:p>
      <w:pPr>
        <w:spacing w:after="0" w:line="7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Moreover, the outcomes and updates resulting from these studies, including interim results, may be compared to the results of other products and treatments for these same patient populations, and if the comparisons are not favorable, it may limit the ability to obtain clearance, certification or approval of the devices for the expanded indications for which we intend to seek clearance, certification or approval, as well as adoption of our products for their current authorized uses. In addition, unfavorable or inconsistent clinical data from existing or future clinical trials or investigations conducted by us, our competitors or other third parties, the interpretation of our clinical data or findings of new or more frequent adverse events, could subject us to mandatory or voluntary product recalls, suspension or withdrawal of FDA or other clearance, certification or approval, significant legal liability or harm to our business reputation and could have a material adverse effect on our business, financial condition and results of operations. Moreover, if future results and experience with our products by us, our competitors or other third parties, indicate that our products cause unexpected or serious complications or other unforeseen negative effects, we could be subject to mandatory or voluntary product recalls, suspension or withdrawal of FDA, European Commission or other governmental clearance or approval or certifications, significant legal liability or harm to our business reputation, which could have a material adverse effect on our business, financial condition and results of operations.</w:t>
      </w:r>
    </w:p>
    <w:p>
      <w:pPr>
        <w:spacing w:after="0" w:line="84"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Our products will be adopted and compete, in part, based on long-term data regarding patient outcomes and the risk of our products relative to other treatment options. The long-term clinical outcomes of the use of our products for their FDA-cleared uses are not known and, due to the novelty of our products, there is no long-term data regarding patient outcomes beyond our clinical trials or investigations. The results of short-term clinical experience of our products do not necessarily predict long-term clinical outcomes. We believe ECPs and third-party payers will compare the rates of long-term clinical outcomes for procedures using our products for their authorized uses against alternative procedures and treatment options. We also believe that ECPs and payers will give added weight to outcomes data derived from randomized controlled trials, which are considered to be the “gold standard” for proving efficacy of a treatment or intervention; while our TearCare SAHARA trial is an RCT, we have not completed an RCT for our OMNI technology, which may prove to be a competitive disadvantage as compared to competitive products with positive RCT data. If the nature and quality of the long-term data does not meet ECPs’ expectations, or if the long-term data indicates that our products are not as safe or effective as other treatment options or as current short-term data would suggest, physicians may recommend alternative treatments for their patients and our products may not become widely adopted, which will negatively affect our business, financial condition and results of operations. Further, if we choose to, or are required to, conduct additional studies, equivocal or unfavorable results from such studies or experience could lead to a reduction in the rate of coverage and reimbursement by both public and private third-party payors for procedures that are performed with our products, slow market adoption of our products by ECPs, significantly reduce our ability to achieve expected revenue and prevent us from being profitable.</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and supply our products. A number of these suppliers are single-source providers, and certain key suppliers are located outside of the U.S. We are subject to numerous risks relating to our reliance on such third parties.</w:t>
      </w:r>
    </w:p>
    <w:p>
      <w:pPr>
        <w:spacing w:after="0" w:line="5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future products in sufficient quantities, on terms that are acceptable to us, and on a timely basis to meet customer demand, while adhering to product quality standards, complying with regulatory quality system requirements, and managing manufacturing costs. We do not have any internal manufacturing capabilities or infrastructure and rely on a limited number of third-party manufacturers, many of which are single-source suppliers, and certain of which are located outside the U.S., for the components, accessories, materials and assembly that we utilize in our products. These items are critical, and, for certain items, there are relatively few or no readily available alternative sources of supply. These single-source suppliers may be unwilling or unable to supply these items reliably and at the levels we anticipate or that are required by the market, or we may be unable to purchase these items on terms that are acceptable to us, or at all.</w:t>
      </w:r>
    </w:p>
    <w:p>
      <w:pPr>
        <w:spacing w:after="0" w:line="8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Our ability to obtain products and components in sufficient quantities from these suppliers may be limited for several reasons, including their financial difficulties, damage to their manufacturing equipment or facilities, inability to obtain components, problems with their own suppliers, our relative importance as a customer to each manufacturer. In addition, geopolitical tensions between China and Taiwan or China and the United States could cause geopolitical and economic unrest that could adversely affect our business. Further, the imposition of tariffs by the United States on imported Chinese goods and implementation of retaliatory tariffs by China will increase the cost of our products and product components, and adversely affect our business operations and financial condition. A significant portion of our OMNI and SION products, and certain of our TearCare system components, are produced and assembled by a single Taiwan-based manufacturer in China, and there is currently significant uncertainty about the relationship between the U.S. and China with respect to trade policies, government regulations, and tariffs, and such uncertainty could continue in future periods.</w:t>
      </w:r>
    </w:p>
    <w:p>
      <w:pPr>
        <w:spacing w:after="0" w:line="84"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With respect to tariffs, in February 2025, the United States imposed a 10% tariff on all Chinese imports, which tariff was increased to 20% in early March 2025. This 20% tariff applies to our products and product components imported from China. China has responded with certain retaliatory tariffs on select U.S. agricultural products, natural resources and machinery and has indicated an intent to implement additional retaliatory tariffs. The 20% tariff will have a negative impact on our gross margins for as long as it remains in effect, as the large majority of our products are manufactured on our behalf in China. Any further escalation in the use of retaliatory trade tariffs between the U.S. and China could cause a further significant increase in the cost of our products and the components for our products, which could materially and adversely affect our business, results of operations, and financial condition. To mitigate these risks, we have also contracted with a U.S.-based manufacturer to produce and assemble OMNI products, and have supply arrangements with other suppliers to produce certain TearCare system components; however, at least in the near-term, a large majority of our products will continue to be manufactured in China.</w:t>
      </w:r>
    </w:p>
    <w:p>
      <w:pPr>
        <w:spacing w:after="0" w:line="80"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In March 2025, the United States also imposed 25% tariffs on good imported from Canada and Mexico, and retaliatory tariffs are expected. While the tariffs imposed on Canadian and Mexican goods do not currently materially and adversely affect our supply chain and related costs, the economic disruption that may be caused by these tariffs could adversely affect our business, There is also the risk that new tariffs could be implemented with other U.S. trading partners, including the European Union. Further, these tariff disputes may cause supply chain disruptions and will also likely increase the shipping and other logistical costs involved in importing our products and product components, which would further adversely impact our gross margins.</w:t>
      </w:r>
    </w:p>
    <w:p>
      <w:pPr>
        <w:spacing w:after="0" w:line="75"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For our business strategy to be successful, our suppliers must be able to provide us with products in sufficient quantities, in compliance with regulatory requirements, including the FDA’s Quality System Regulation (“QSR”) or other applicable laws or regulations enforced by the FDA, state and foreign regulatory authorities, in accordance with agreed-upon specifications, at acceptable costs and on a timely basis, and current and future tariffs or trade wars could materially and adversely impact our ability to do so. If we are unable to meet our demand requirements on a timely basis, we may not have enough of our products available for delivery to support ECPs that utilize our products as part of their treatment. For instance, if our supply of OMNI, SION, and certain TearCare products from our manufacturer in China was interrupted or suspended for any significant period, or tariffs that materially affect our products or components were imposed at a significantly high enough level by the United States, we may be unable to meet customer demand for our OMNI, SION, and TearCare products during that time. Any shortfall in the supply of products may result in lower adoption and usage rates of our products and have a material adverse effect on our business, financial condition and results of operations.</w:t>
      </w:r>
    </w:p>
    <w:p>
      <w:pPr>
        <w:spacing w:after="0" w:line="80"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process of identifying and qualifying alternative manufacturing facilities for any other reason could be time-consuming and expensive, may result in interruptions in our operations and product delivery, and could affect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performance specifications of our products. We cannot assure you that we will be able to identify and engage alternative contract manufacturers on terms similar to our current arrangements, or without delay. Furthermore, our contract manufacturers could require that their manufacture and assembly of our products be moved to another of their production facilities, which would require us to complete another re-qualification process at the new facility, with no guarantee that the new facility would pass our quality audit. The occurrence of any of these events could harm our ability to meet the demand for our products in a timely and cost-effective manner, which could have a material adverse effect on our business, financial condition and results of operations.</w:t>
      </w:r>
    </w:p>
    <w:p>
      <w:pPr>
        <w:spacing w:after="0" w:line="75"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We are also subject to numerous other risks relating to our reliance on third parties, including potential quality issues at our suppliers' manufacturing facilities with respect to our products or logistics operations, and our potential inability to renew or extend contracts and arrangements with such third parties or renew any such contracts or arrangements on terms that are favorable to us, and price fluctuations due to a lack of long-term supply agreements with certain of our suppliers. These risks are likely to be exacerbated by our limited experience with our current products and manufacturing processes. If demand for our products increases, we will have to invest additional resources to manage the manufacturing process. If we fail to secure increased production capacity efficiently, we may not be able to fill customer orders on a timely basis, our sales may not increase in line with our expectations and our operating margins could fluctuate or decline. In addition, the manufacture of future products may require modification of the current production processes or unique production processes, the identification of new suppliers for specific components, sub-assemblies and materials or the development of new manufacturing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current global economic and political conditions could adversely affect our ability to predict product demand and costs and impact our financial results, and makes it more likely that our results will differ materially from expectations.</w:t>
      </w:r>
    </w:p>
    <w:p>
      <w:pPr>
        <w:spacing w:after="0" w:line="5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and political conditions. Certain of the jurisdictions in which our products are manufactured or sold have experienced and could continue to experience unfavorable general economic conditions, such as a recession or economic slowdown, including as a result of political instability and military hostilities in certain geographies, trade disputes, concerns over the potential downgrade of U.S.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provide inadequate training, fail to maintain effective sales and marketing capabilities or fail to develop broad brand awareness in a cost-effective manner.</w:t>
      </w:r>
    </w:p>
    <w:p>
      <w:pPr>
        <w:spacing w:after="0" w:line="5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In the United States, we currently rely on our direct sales force and any failure to maintain and grow our sales force could harm our business. In Europe, we currently rely on a combination of direct sales personnel and independent distributors to sell our OMNI product, and we intend to grow our international sales through a combination of direct and distributor sales. In order to generate future growth, we plan to continue to expand and leverage our commercial infrastructure to increase our customer base and increase adoption by existing customers to drive our growth. Identifying and recruiting qualified sales and marketing professionals and training them on our products, on applicable federal and state laws and regulations and on our internal policies and procedures requires significant time, expense and attention. Our direct sales force may subject us to higher fixed costs than those of companies with competing products or treatments that rely more heavily on independent third parties, placing us at a competitive disadvantage. Our business may be harmed if our efforts to expand and train our sales force and distribution chain do not generate a corresponding increase in product sales and revenue, and our higher fixed costs may slow our ability to reduce costs in the face of a sudden decline in demand for our products. Any failure to hire, develop and retain effective sales personnel, to identify and train distributors and independent sales representatives in targeted international territories, to achieve desired productivity levels in a reasonable period of time or timely reduce fixed costs, could have a material adverse effect on our business, financial condition and results of operations.</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7" w:name="page38"/>
    <w:bookmarkEnd w:id="37"/>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will depend, to a significant extent, on our ability to maintain and expand effective sales and marketing and educational efforts. We plan to dedicate significant resources to our sales and marketing initiatives, and educational programs through leading medical publications and at large industry and scientific meetings, both directly and through key opinion leaders. Our business may be harmed if these efforts and expenditures do not generate a corresponding increase in revenue. Further, our sales results are dependent in large part on the efforts and effectiveness of our sales and marketing personnel, and underperformance in these functions, whether though sub-optimal marketing campaigns, problematic sales representative performance or otherwise, may adversely impact our product sales and reputation. In addition, we believe that developing and maintaining broad awareness of our brand in a cost-effective manner is critical to achieving broad acceptance of our products and reaching new ECPs and patients. Brand promotion activities may not impact ECP or patient awareness or increase revenue, and even if they do, any increase in revenue may not offset the costs and expenses we incur in building our brand. If we fail to successfully promote, maintain and protect our brand, we may fail to attract or retain the market acceptance necessary to realize a sufficient return on our brand building efforts, or to achieve the level of brand awareness that is an important factor for the broad adoption of our products.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training ECPs on, and marketing and selling, our TearCare products, which could adversely affect customer perceptions and adoption of our TearCare products.</w:t>
      </w:r>
    </w:p>
    <w:p>
      <w:pPr>
        <w:spacing w:after="0" w:line="5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have sold our TearCare products on a limited basis since 2019, initially targeting the cash pay market. We do not have experience selling TearCare on a national basis with a large sales force and concerted sales initiatives. Thus, the number of eligible ECPs trained on TearCare remains relatively modest. If we are unable to expand and enhance our training efforts to target and effectively train existing and new ECP customers on our TearCare products, adoption of TearCare will be adversely impacted. Further, we have limited experience with marketing TearCare. Our marketing and sales campaigns have been limited in scope and have continued to evolve as we better understand the needs and preferences and knowledge gaps of our existing and prospective TearCare customers, and as we expand our library of clinical evidence supporting the TearCare procedure’s safety and efficacy, but these efforts may not be successful in driving TearCare adoption.</w:t>
      </w:r>
    </w:p>
    <w:p>
      <w:pPr>
        <w:spacing w:after="0" w:line="8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Further, in parallel with publication of the positive results of our SAHARA RCT, we have commenced a comprehensive effort to establish sustainable and equitable third-party reimbursement of the TearCare procedure. If we are successful in obtaining favorable payment decisions, whether under or outside of formal coverage policies, we expect that demand for our TearCare products will escalate. Our ability to maintain this demand will depend in part on our ability to timely and effectively train new ECP customers. Further, we do not have experience marketing and selling TearCare for use in procedures that are reimbursed by Medicare and other governmental payers. If we are unable to effectively train our personnel on, and to otherwise comply with, laws, regulations and guidelines applicable to federally reimbursed products, including regulations pertaining to kickbacks, false claims, interactions with ECPs and direct-to-consumer advertising, our business may suffer.</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 which could adversely impact our results of operations and our growth expectations.</w:t>
      </w:r>
    </w:p>
    <w:p>
      <w:pPr>
        <w:spacing w:after="0" w:line="67"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currently market our OMNI device for use in the U.S. and select European geographies for canaloplasty followed by trabeculotomy to reduce intraocular pressure in adult patients with POAG. Primary open-angle glaucoma ("POAG") is the most prevalent form of glaucoma and affects almost 83 million people worldwide. We estimate there are over 4 million people in the United States diagnosed with glaucoma, of which a majority have POAG. We currently market our SION device in the United States for use in ophthalmic surgical procedures to excise trabecular meshwork.</w:t>
      </w:r>
    </w:p>
    <w:p>
      <w:pPr>
        <w:spacing w:after="0" w:line="72"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We currently market TearCare in the United States for the application of localized heat therapy in adult patients with evaporative DED due to MGD, when used in conjunction with manual expression of the meibomian glands. There are an estimated 777 million people globally and 39 million people in the U.S. who suffer from DED. DED is the most common reason for a patient visit to an eye doctor, yet of the estimated 39 million people with DED in the U.S., only approximately 19.4 million have been diagnosed with DED. Studies have shown that evaporative DED resulting from MGD is associated with up to 86% of all DED cases.</w:t>
      </w:r>
    </w:p>
    <w:p>
      <w:pPr>
        <w:spacing w:after="0" w:line="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total addressable markets for our products are subject to change and may be limited by various factors, including FDA or other regulatory restrictions or more narrowly defined indications, ECP practice preferences, and governmental and private payor reimbursement practices, any of which could have a material adverse effect on our business, financial condition and results of operations.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8" w:name="page39"/>
    <w:bookmarkEnd w:id="38"/>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Further, our estimates of the total addressable markets for our products are based on a number of internal and third-party assumptions and estimates, including, without limitation, the number of patients with POAG and MGD, and the assumed prices at which we can sell our products in markets that have not yet been fully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products may prove to be incorrect. If the actual number of patients who would benefit from our products or the price at which we can sell our products is smaller than we have estimated, it may impair our sales growth and negatively affect our business, financial condition and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While we seek to maintain sufficient levels of inventory to protect ourselves from supply interruptions, we keep limited components, sub-assemblies, materials and finished products on hand. To ensure adequate inventory supply and manage our operations with our third-party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material changes in product reimbursement, failure to accurately manage our expansion strategy, product introductions by competitors, unanticipated increases or decreases in customer demand for our products, our failure to accurately forecast customer acceptance and adoption of new products, unanticipated changes in general market conditions or regulatory matters and weakening of economic conditions or consumer confidence in future economic conditions.</w:t>
      </w:r>
    </w:p>
    <w:p>
      <w:pPr>
        <w:spacing w:after="0" w:line="84"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Inventory levels in excess of customer demand may result in a portion of our inventory becoming obsolete or expiring, as well as inventory write-downs or write-offs, which would negatively impact our gross margins and impair the strength of our brand. Conversely, if we underestimate customer demand for our products or our own requirements for components, sub-assemblies and materials, our third-party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or additional manufacturing capacity may not be available when required on terms that are acceptable to us, or at all, and our third-party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continue to capture market share, enhance our products, maintain appropriate product reimbursement, expand our indications and develop and commercialize additional products in a timely manner. If we fail to identify, acquire and develop other products, we may be unable to grow our business.</w:t>
      </w:r>
    </w:p>
    <w:p>
      <w:pPr>
        <w:spacing w:after="0" w:line="67"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markets for our products are highly competitive, dynamic, and marked by rapid and substantial technological development and product innovation. New entrants or existing competitors could attempt to develop products that compete directly with ours. Demand for our products and future related products could be diminished by equivalent or superior products and technologies offered by competitors, by competitive products offered at lower prices, or by material changes in reimbursement affecting our products. Our continued growth will be driven in part by capture of market share from our competitors through a combination of factors, including competitive positioning, increasing ECP acceptance and use of OMNI for Standalone Procedures, re-engagement of customer accounts that decrease or cease utilization of our products, engagement of new customer accounts, and robust ECP training on our products to drive product awareness and acceptance. If we are unable to execute on these initiatives, our ability to increase our market share may be compromised, which would adversely affect our business and results of operations. Also, if we are unable to innovate successfully or offer our products at prices that are deemed competitive by our customers, our products could become obsolete and our revenue would decline as our customers purchase our competitors’ products. Developing and improving products is expensive and time-consuming and could divert management’s attention away from our existing products. The success of any new product offering or product enhancements to our solutions will depend on several factors, including our ability to:</w:t>
      </w:r>
    </w:p>
    <w:p>
      <w:pPr>
        <w:spacing w:after="0" w:line="82" w:lineRule="exact"/>
        <w:rPr>
          <w:sz w:val="20"/>
          <w:szCs w:val="20"/>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strong relationships with ECPs;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 sufficient resources to acquire or discover additional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9" w:name="page40"/>
    <w:bookmarkEnd w:id="39"/>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and equitable coding, coverage and reimbursement for procedures performed with our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otherwise violating the intellectual property rights of third parties;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 or investigations;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FDA and similar foreign regulatory authorities regarding the marketing of new devices or modified products;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new products in commercial quantities at an acceptable cost;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117"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could allocate greater resources to research and development programs. Our failure or inability to devote adequate research and development resources or compete effectively with the research and development programs of our competitors could harm our business.</w:t>
      </w:r>
    </w:p>
    <w:p>
      <w:pPr>
        <w:spacing w:after="0" w:line="7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In addition, we may choose to focus our efforts and resources on potential products or indications that ultimately prove to be unsuccessful, or to license or purchase marketed products that do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may vary significantly in the future, and period-to-period comparisons of our operating results may not be meaningful. Accordingly, the results of any one quarter or period should not be relied upon as an indication of future performance or of the results for the year in which such quarter or period occurs. These fluctuations may occur due to a variety of factors, many of which are outside of our control, including the following:</w:t>
      </w:r>
    </w:p>
    <w:p>
      <w:pPr>
        <w:spacing w:after="0" w:line="72" w:lineRule="exact"/>
        <w:rPr>
          <w:sz w:val="20"/>
          <w:szCs w:val="20"/>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which may vary significantly;</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coverage and reimbursement policies with respect to the procedures in which our products and our competitors' products are used, and potential future products that compete with our products;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investigations involving the use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decisions or announcements, including product recalls, and product labeling and reimbursement determinations;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40" w:name="page41"/>
    <w:bookmarkEnd w:id="40"/>
    <w:p>
      <w:pPr>
        <w:ind w:left="800" w:right="700" w:hanging="283"/>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clinical publications of our products or products of our competitors or our industry;</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53" w:lineRule="exact"/>
        <w:rPr>
          <w:rFonts w:ascii="Times New Roman" w:cs="Times New Roman" w:eastAsia="Times New Roman" w:hAnsi="Times New Roman"/>
          <w:sz w:val="18"/>
          <w:szCs w:val="18"/>
          <w:color w:val="auto"/>
        </w:rPr>
      </w:pPr>
    </w:p>
    <w:p>
      <w:pPr>
        <w:jc w:val="both"/>
        <w:ind w:left="800" w:right="700" w:hanging="283"/>
        <w:spacing w:after="0" w:line="266"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enforcing and defending our intellectual property rights, whether through litigation or otherwise;</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agreements with third-party suppliers;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organizations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spacing w:after="0" w:line="67"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In an effort to reduce costs, many clinics and hospitals in the United States, including some of our customers, are members of Group Purchasing Organizations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8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an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an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sales volumes and revenue.</w:t>
      </w:r>
    </w:p>
    <w:p>
      <w:pPr>
        <w:spacing w:after="0" w:line="7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has and may create additional requests for pricing concessions in the future. Additionally, GPOs, IDNs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Any decline in the amount that payors reimburse our customers for procedures that use our Surgical Glaucoma products or in the amount that customers are willing to pay or that payors reimburse for procedures that use TearCare in the future, could make it difficult for customers to continue using, or to adopt, our products and could create additional pricing pressure for us. If we are forced to lower the price we charge for our products or add more components to our products, our gross margins will decrease, which will adversely affect our ability to invest in and grow our business.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the anticipated growth of our business.</w:t>
      </w:r>
    </w:p>
    <w:p>
      <w:pPr>
        <w:spacing w:after="0" w:line="12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In order to grow, we need to expand our commercial team and general and administrative infrastructure. In addition to the need to scale our organization, any future growth will impose significant added responsibilities on management, including the need to identify, recruit, train and integrate additional employees. Rapid expansion in personnel could mean that less experienced people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For example, we currently rely on a combination of direct sales personnel and independent distributors to sell our products in Europe, and we intend to grow our international sales through a combination of direct and distributor sales. In addition, we are seeking reimbursement from MACs and private payers for our procedure enabled by our TearCare technology, and if we are successful in obtaining such reimbursement, we will need to scale our TearCare commercial infrastructure rapidly. If we are unable to manage our growth effectively, it may be difficult for us to execute our business strategy and our business could be harmed.</w:t>
      </w:r>
    </w:p>
    <w:p>
      <w:pPr>
        <w:spacing w:after="0" w:line="86"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As demand for our current products or any of our future products increases, we will need to continue to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distributors could negatively affect our business, financial condition and results of operations and harm our reputation and the relationship between us and the ECPs we work with.</w:t>
      </w:r>
    </w:p>
    <w:p>
      <w:pPr>
        <w:spacing w:after="0" w:line="5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solutions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These factors could negatively affect our business, financial condition and results of operations and harm our reputation and the relationship between us and the ECPs we work with.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become obsolete in the future.</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rapid and significant change. There can be no assurance that other companies will not succeed in developing or marketing devices or products that are more effective than our products or that would render our products obsolete or noncompetitive. Additionally, new surgical procedures, medications and other therapies could be developed that replace or reduce the importance of our products. Accordingly, our success will depend in part on our ability to respond quickly to medical and other changes through the development and introduction of new products. Product development involves a high degree of risk, and there can be no assurance that our new product development efforts will result in any commercially successful products.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finance our planned operations, and may not be able to raise capital on acceptable terms, if at all, which could force us to delay, reduce or eliminate our product development programs and commercialization efforts.</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expect to continue to incur net losses for the foreseeable future. Our operations have been financed primarily by net proceeds from the sale of our convertible preferred stock in private placements and the sale of our common stock in our initial public offering, revenue from sales of our products and secured indebtedness. As of December 31, 2024, we had $120.4 million in cash and cash equivalents, and an accumulated deficit of $346.3 million. Based on our current planned operations, we expect that our cash and cash equivalents and additional borrowings available under our credit facility (subject to satisfaction of certain conditions precedent) will enable us to fund our operations for at least the next 12 months. We have based these estimates on assumptions that may prove to be wrong, including our assumptions that OMNI revenue will grow, procedures in which our OMNI technology is used will continue to be adequately reimbursed, our TearCare procedure will receive sustainable and attractive reimbursement, and we will receive a significant non-appealable damages award in our litigation opposite Alcon, If one or more of these assumptions are not met, we could utilize our available capital resources sooner than we expect.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42" w:name="page43"/>
    <w:bookmarkEnd w:id="42"/>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clinical trials or investigations that are designed to provide clinical evidence of the safety and efficacy of our products, the growth of our sales and marketing organization, and research and development of product improvements and future products, including certain pharmaceutical product candidates, which will continue to increase our expenses. Accordingly, our future capital requirements will depend on many factors, including:</w:t>
      </w:r>
    </w:p>
    <w:p>
      <w:pPr>
        <w:spacing w:after="0" w:line="72" w:lineRule="exact"/>
        <w:rPr>
          <w:sz w:val="20"/>
          <w:szCs w:val="20"/>
          <w:color w:val="auto"/>
        </w:rPr>
      </w:pPr>
    </w:p>
    <w:p>
      <w:pPr>
        <w:ind w:left="820" w:right="320" w:hanging="303"/>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products and procedures, as well as the revenue generated by sales of our products and the gross profits and gross margin we realize from such sales;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obtain and maintain reimbursement sufficient to drive continued use and adoption of our products and procedures;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investment in our sales force and expansion of our commercial organization;</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current or future clinical trials or investigations and registries;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medical device and pharmaceutical research and development activities;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certifications or approvals;</w:t>
      </w:r>
    </w:p>
    <w:p>
      <w:pPr>
        <w:spacing w:after="0" w:line="117" w:lineRule="exact"/>
        <w:rPr>
          <w:rFonts w:ascii="Times New Roman" w:cs="Times New Roman" w:eastAsia="Times New Roman" w:hAnsi="Times New Roman"/>
          <w:sz w:val="18"/>
          <w:szCs w:val="18"/>
          <w:color w:val="auto"/>
        </w:rPr>
      </w:pPr>
    </w:p>
    <w:p>
      <w:pPr>
        <w:jc w:val="both"/>
        <w:ind w:left="820" w:right="320" w:hanging="303"/>
        <w:spacing w:after="0" w:line="266"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protecting and enforcing our intellectual property rights, including our ability to preserve or enhance the damages awarded to us as the result of the April 2024 positive jury trial verdict in our patent litigation with Alcon Inc., Alcon Vision, LLC, Alcon Research, LLC (collectively, “Alcon”) and Ivantis, Inc. (“Ivantis”);</w:t>
      </w:r>
    </w:p>
    <w:p>
      <w:pPr>
        <w:spacing w:after="0" w:line="6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acquire third-party companies, products or technologies;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competitors’ ability, to obtain and maintain favorable reimbursement for our products;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expand internationally.</w:t>
      </w:r>
    </w:p>
    <w:p>
      <w:pPr>
        <w:spacing w:after="0" w:line="117"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As a result of these and other factors, 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the initial public offering of our common stock.</w:t>
      </w:r>
    </w:p>
    <w:p>
      <w:pPr>
        <w:spacing w:after="0" w:line="8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8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on terms satisfactory to us when we require it, we may terminate or delay the development of one or more of our products, delay clinical trials or investigations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potential warranty claims on our products.</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43" w:name="page44"/>
    <w:bookmarkEnd w:id="43"/>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provide limited warranties regarding our products, including warranties pertaining to freedom from defects and conformance to specifications. We are generally obligated under our sales contracts to repair, replace or credit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product improvements or the generation of significant future revenue.</w:t>
      </w:r>
    </w:p>
    <w:p>
      <w:pPr>
        <w:spacing w:after="0" w:line="5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may enter into collaborations, in-licensing arrangements, joint ventures, strategic alliances, partnerships or other arrangements to develop new products or product improvements and to pursue new markets.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 and could be terminated prior to developing any products.</w:t>
      </w:r>
    </w:p>
    <w:p>
      <w:pPr>
        <w:spacing w:after="0" w:line="8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8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Disputes between us and any collaborators we may have in the future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and/or seek damages arising out of the alleged breach, which could adversely affect our competitive business position and harm our business prospects.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will negatively affect our business, financial condition and results of operations.</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Our success depends largely on the continued services of key members of our executive management team and others in key management positions. For example, the services of Paul Badawi, our Chief Executive Officer, David Badawi, our Chief Technology Officer, Alison Bauerlein, our Chief Financial Officer, and Matthew Link, our Chief Commercial Officer, are essential to driving innovation and adoption of our products, executing on our corporate strategy and ensuring the continued operations and integrity of financial reporting within our company. In addition, the services of our commercial leadership and sales professionals are critical to driving the growth in sales of our products. Any of our employees may terminate their employment with us at any time. We currently maintain a key person life insurance policy on Paul Badawi and David Badawi. If we lose one or more key employees, we may experience difficulties in competing effectively, developing our technologies and implementing our business strategy, which in turn would negatively affect our business.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44" w:name="page45"/>
    <w:bookmarkEnd w:id="44"/>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In addition, our research and development programs, clinical and quality operations and sales efforts depend on our ability to attract and retain highly skilled engineers and sales professionals, as well as experienced regulatory, quality and clinical professionals. We may not be able to attract or retain qualified professionals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we do. If we hire employees from competitors or other companies, their former employers may attempt to assert that these employees or we have breached legal obligations, resulting in a diversion of our time and resources and, potentially, damages.</w:t>
      </w:r>
    </w:p>
    <w:p>
      <w:pPr>
        <w:spacing w:after="0" w:line="79"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benefits of our stock awards decline, either because of unfavorable fluctuations or declines in our stock price or for other reasons, it may harm our ability to recruit and retain highly skilled employees. Many of our employees have become or will soon become vested in a substantial amount of our common stock or a number of common stock options. Our employees may be more likely to leave us if the market price of our common stock approaches or falls below the exercise price of their vested and unvested option shares. Substantial declines in the market price of our common stock will also reduce the effectiveness of any restricted stock unit or other equity incentive awards in attracting and retaining employees, especially within the current highly competitive labor market.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misuse or off-label use of our products may result in injuries that lead to product liability suits, which could be expensive, divert management’s attention and harm our reputation and business. We may not be able to maintain adequate product liability insurance.</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Our products are cleared or authorized by the FDA and certified in the EU to be marketed for certain specific intended uses. If physicians elect to use our products in manners outside of the intended uses that have been cleared, authorized, or certified, then such off-label use of our products may result in outcomes and adverse events that are sight threatening, necessitate medical or surgical intervention to preclude permanent impairment of vision, or result in a permanent impairment of vision, potentially leading to product liability claims. However, we cannot prevent a physician from using our products for off-label applications or using components or products that are not our products when performing procedures with our products. There may be increased risk of injury to patients if physicians attempt to use our devices off-label. In addition, we cannot guarantee that physicians are trained by us or their peers prior to utilizing our products. Complications resulting from the use of our products off-label or use by physicians who have not been trained appropriately, or at all, may not effectively treat the applicable conditions and may expose us to product liability claims or litigation by our customers or their patients and may harm our reputation.</w:t>
      </w:r>
    </w:p>
    <w:p>
      <w:pPr>
        <w:spacing w:after="0" w:line="80"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addition, if our products are defectively designed, manufactured or labeled, contain defective components or are misused, we may become subject to costly litigation initiated by hospitals, surgical centers, ECPs or patients. Product liability claims are especially prevalent in the medical device industry and could harm our reputation, divert management’s attention from our core business, attract negative publicity, be expensive to defend and may result in sizable damage awards against us. Although we maintain product liability insurance, we may not have sufficient insurance coverage for future product liability claims. We are not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which may affect our ability to operate our business and secure additional financing in the future.</w:t>
      </w:r>
    </w:p>
    <w:p>
      <w:pPr>
        <w:spacing w:after="0" w:line="12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In January 2024, we entered into a Loan and Security Agreement (the “Hercules Loan Agreement”) with Hercules Capital, Inc. (“Hercules”) and certain affiliates of Hercules (collectively with Hercules, the “Lenders”), which provides for a senior secured term loan facility in the aggregate principal amount of up to $65.0 million (the “Term Loan”). An initial tranche of $35.0 million and a second tranche of $5.0 million were funded under the Hercules Loan Agreement in January 2024 and December 2024, respectively, and up to an additional $25.0 million of borrowings are available subject to our satisfaction of certain milestones, consents and other conditions precedent. There is no guarantee that we will meet these conditions precedent to borrowing additional amounts under the Hercules Loan Agreement. The Term Loan accrues interest at a floating annual rate based on the greater of (i) 10.35% or (ii) the Wall Street Journal prime rate (the "Prime Rate") plus 2.35%. Accrued interest on the Term Loan is payable monthly in arrears. Upon an event of default under the Hercules Loan Agreement, the interest rate will automatically increase by an additional 3.0% per annum. As of December 31, 2024 we had an aggregate of approximately $40.0 million in principal borrowings outstanding. Our interest payments under Hercules Loan Agreement have diverted and will continue to divert resources from our operations and other activities. We incurred an aggregate interest expense of $4.7 million and $5.4 million in the years ended December 31, 2024 and 2023, respectively.</w:t>
      </w:r>
    </w:p>
    <w:p>
      <w:pPr>
        <w:spacing w:after="0" w:line="84"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Our obligations under the Hercules Loan Agreement are collateralized by a security interest in substantially all of our assets. The Hercules Loan Agreement contains customary representations and warranties, affirmative covenants, negative covenants, financial covenants, events of default and other provisions and conditions. The affirmative covenants, among over things, require us to undertake various reporting and notice requirements and an obligation to maintain and enforce certain rights, approvals and assets. The negative covenants restrict our ability to, among other things and subject to certain exceptions contained in the Hercules Loan Agreement, incur new indebtedness; create liens on assets; engage in certain fundamental corporate changes, such as mergers and acquisitions; change our business activities; and make investments or restricted payments, in each case subject to customary exceptions. The negative covenants also restrict our ability to change our fiscal year, repay certain indebtedness, engage in certain affiliate transactions, or enter into, amend or terminate any other agreements that has the impact of restricting our ability to make loan repayments under the Hercules Loan Agreement. In addition, we are subject to certain financial covenants under the loan agreement pertaining to minimum cash and minimum revenue thresholds. The covenants related to the Hercules Loan Agreement, as well as any future financing agreements into which we may enter, may restrict our ability to finance our operations and engage in, expand or otherwise pursue our business activities and strategies. Our ability to draw down further amounts under our Hercules Loan Agreement is contingent upon us meeting certain conditions precedent. Any failure to meet these conditions could prevent us from accessing non-dilutive capital under the Hercules Loan Agreement if needed, which could require us to seek additional funding from other sources, which additional capital may not be available or may only be available on terms less favorable than those that would otherwise be available under the agreement.</w:t>
      </w:r>
    </w:p>
    <w:p>
      <w:pPr>
        <w:spacing w:after="0" w:line="88"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While we believe that we have not previously breached and are not currently in breach of these or any other covenants contained in the Hercules Loan Agreement, there can be no guarantee that we will not breach these covenants in the future. Our ability to comply with these covenants may be affected by events beyond our control, and future breaches of any of these covenants could result in a default under the Hercules Loan Agreement. If not waived, future defaults could cause all of the outstanding indebtedness under the agreement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spacing w:after="0" w:line="84"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5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68" w:lineRule="exact"/>
        <w:rPr>
          <w:sz w:val="20"/>
          <w:szCs w:val="20"/>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technologies, products, or business operations;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 the use of our available cash, or the incurrence of debt, which could harm our operating results;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liabilities associated with acquisitions;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 as well as potential litigation costs, arising out of the acquisition or investment.</w:t>
      </w:r>
    </w:p>
    <w:p>
      <w:pPr>
        <w:spacing w:after="0" w:line="117"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or investment. Under the Hercules Loan Agreement, we are restricted in our ability to pursue certain mergers, acquisitions, amalgamations or consolidations that we may believe to be in our best interest.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5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become exposed to, or collect and store, sensitive data, including procedure-based information and legally protected health information, credit card, and other financial information, insurance information, and other potentially personally identifiable information. We also store sensitive intellectual property and other proprietary business information. We take measures to implement and update policies and procedures designed to ensure compliance with applicable data security and privacy-related laws and regulations and protect sensitive information from unauthorized access or disclosure. However, our information technology ("IT"), and infrastructure, and that of our third-party billing and collections provider and other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w:t>
      </w:r>
    </w:p>
    <w:p>
      <w:pPr>
        <w:spacing w:after="0" w:line="8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As the result of certain reimbursement and similar services that we provide to our customers, we may from time to time have access to personal health information, or PHI, as defined under the federal Health Insurance Portability and Accountability Act of 1996, as amended by the Health Information Technology for Economic and Clinical Health Act, or HITECH, and their implementing regulations, which we collectively refer to as HIPAA, and related state laws, rules and regulations. As such, we may be deemed to be a “Business Associate” as defined under HIPAA, and the U.S. Department of Health and Human Services Office of Civil Rights, or OCR, may impose significant penalties on a Business Associate for a</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failure to comply with an applicable requirement of HIPAA. Penalties may include civil monetary penalties, criminal monetary penalties and imprisonment. The U.S. Department of Justice, or the DOJ, is responsible for criminal prosecutions under HIPAA. State attorneys general also have the right to prosecute HIPAA violations committed against residents of their states. While HIPAA does not create a private right of action that would allow individuals to sue in civil court for HIPAA violations, its standards have been used as the basis for the duty of care in state civil suits, such as those for negligence or recklessness in misusing individuals’ health information. Furthermore, in the event of a breach as defined by HIPAA, the Business Associate may have to comply with specific reporting requirements under HIPAA regulations.</w:t>
      </w:r>
    </w:p>
    <w:p>
      <w:pPr>
        <w:spacing w:after="0" w:line="79"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ever-increasing use and evolution of technology, including cloud-based computing, creates opportunities for the unintentional dissemination or intentional destruction of confidential information stored in our or our third-party providers’ systems, portable media or storage devices. For example, companies continue to experience increases in phishing and social engineering attacks from third parties.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 Although the aggregate impact on our operations and financial condition has not been material to date, we have been the target of events of this nature and expect them to continue as cybersecurity threats have been rapidly evolving in sophistication and becoming more prevalent in the industry. We are investing in protections and monitoring practices of our data and IT to reduce these risks and continue to monitor our systems on an ongoing basis for any current or potential threats. There can be no assurance, however, that our efforts will prevent breakdowns or breaches to our or our third-party providers’ databases or systems, and such breakdowns or breaches could adversely affect our business, financial condition and reputation. We also have partially mitigated these risks by purchasing cybersecurity insurance. However, such insurance will not necessarily cover all costs and impacts related to these risks.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business operations expose us to market, legal, regulatory, political, operational, financial and economic risks associated with doing business outside of the United States.</w:t>
      </w:r>
    </w:p>
    <w:p>
      <w:pPr>
        <w:spacing w:after="0" w:line="5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Our current international presence is focused in the United Kingdom and the European Union, and we may seek to expand our international operations in the future. Our international business strategies include securing additional regulatory and reimbursement approvals in targeted countries outside the United States, and establishing a direct or indirect commercial presence in such countries. These strategies may include establishing and maintaining physician outreach and education capabilities outside of the United States, developing and expanding our relationships with international payors, and creating targeted commercial strategies relevant to each target market. Doing business internationally involves a number of risks, including:</w:t>
      </w:r>
    </w:p>
    <w:p>
      <w:pPr>
        <w:spacing w:after="0" w:line="75" w:lineRule="exact"/>
        <w:rPr>
          <w:sz w:val="20"/>
          <w:szCs w:val="20"/>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certification or approval where required for our products in various countries;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such countries;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required to manufacture our products locally;</w:t>
      </w:r>
    </w:p>
    <w:p>
      <w:pPr>
        <w:spacing w:after="0" w:line="117" w:lineRule="exact"/>
        <w:rPr>
          <w:rFonts w:ascii="Times New Roman" w:cs="Times New Roman" w:eastAsia="Times New Roman" w:hAnsi="Times New Roman"/>
          <w:sz w:val="18"/>
          <w:szCs w:val="18"/>
          <w:color w:val="auto"/>
        </w:rPr>
      </w:pPr>
    </w:p>
    <w:p>
      <w:pPr>
        <w:jc w:val="both"/>
        <w:ind w:left="820" w:right="320" w:hanging="303"/>
        <w:spacing w:after="0" w:line="266"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site-of-service for use of our products and the economics related thereto for physicians, providers and payors;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costs associated with hedging against such changes;</w:t>
      </w:r>
    </w:p>
    <w:p>
      <w:pPr>
        <w:spacing w:after="0" w:line="117" w:lineRule="exact"/>
        <w:rPr>
          <w:rFonts w:ascii="Times New Roman" w:cs="Times New Roman" w:eastAsia="Times New Roman" w:hAnsi="Times New Roman"/>
          <w:sz w:val="18"/>
          <w:szCs w:val="18"/>
          <w:color w:val="auto"/>
        </w:rPr>
      </w:pPr>
    </w:p>
    <w:p>
      <w:pPr>
        <w:jc w:val="both"/>
        <w:ind w:left="820" w:right="320" w:hanging="303"/>
        <w:spacing w:after="0" w:line="266"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current military conflict between Russia and Ukraine and the crisis in the Middle East, terrorism, political unrest, outbreak of disease, boycotts, curtailment of trade and other market restrictions; and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48" w:name="page49"/>
    <w:bookmarkEnd w:id="48"/>
    <w:p>
      <w:pPr>
        <w:jc w:val="both"/>
        <w:ind w:left="820" w:right="320" w:hanging="303"/>
        <w:spacing w:after="0" w:line="266"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United States Foreign Corrupt Practices Act of 1977 ("FCPA"), U.K. Bribery Act of 2010 ("Bribery Act”), and comparable laws and regulations in other countries.</w:t>
      </w:r>
    </w:p>
    <w:p>
      <w:pPr>
        <w:spacing w:after="0" w:line="68"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international business operations and, consequently, have a material adverse effect on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ind w:right="20" w:firstLine="419"/>
        <w:spacing w:after="0" w:line="256" w:lineRule="auto"/>
        <w:rPr>
          <w:sz w:val="20"/>
          <w:szCs w:val="20"/>
          <w:color w:val="auto"/>
        </w:rPr>
      </w:pPr>
      <w:r>
        <w:rPr>
          <w:rFonts w:ascii="Times New Roman" w:cs="Times New Roman" w:eastAsia="Times New Roman" w:hAnsi="Times New Roman"/>
          <w:sz w:val="18"/>
          <w:szCs w:val="18"/>
          <w:color w:val="auto"/>
        </w:rPr>
        <w:t>Under current law, federal net operating losses (“NOLs”) incurred in tax years beginning after December 31, 2017, may be carried forward indefinitely, but the deductibility of such federal NOLs is limited to 80% of taxable income. It is uncertain if and to what extent various states will conform to federal tax laws. As of December 31, 2024, we had accumulated federal and state NOL carryforwards of approximately $269.2 million, and $245.0 million, respectively. Of the total federal NOL carryforwards, approximately $254.3 million were generated after January 1, 2018, and therefore do not expire under current law but can only be utilized to offset 80% of future taxable income. The remaining federal NOL carryforwards of $14.8 million will begin to expire in 2031, and state tax loss carryforwards continue to expire.</w:t>
      </w:r>
    </w:p>
    <w:p>
      <w:pPr>
        <w:spacing w:after="0" w:line="7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5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75"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86"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spacing w:after="0" w:line="7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Our tax obligations and effective tax rate in the jurisdictions in which we conduct business could increase, including as a result of the base erosion and profit shifting (“BEPS”) project that is being led by the Organization for Economic Co-operation and Development (“OECD”), and other initiatives led by the OECD or the European Commission. For example, the OECD is leading work on proposals, commonly referred to as “BEPS 2.0,” which, if and to the extent implemented,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would make important changes to the international tax system. These proposals are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corporate tax rate on certain multinational enterprises (referred to as “Pillar Two”). A number of countries in which we conduct business, including through our European subsidiaries, have enacted with effect from January 1, 2024, or are in the process of enacting, core elements of the Pillar Two rules. Based on our current understanding of the minimum revenue thresholds contained in the Pillar Two proposal, we do not expect to fall within the scope of its rules in the short-to-medium term. We continue to monitor developments and evaluate the potential impacts and applicability of these new rules on our business.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similar worldwide anti-bribery laws, anti-boycott and anti-money laundering laws and export regulations, and the outcome of any investigation, by government agencies of possible violations by us of these laws and regulations could have a material adverse effect on our business.</w:t>
      </w:r>
    </w:p>
    <w:p>
      <w:pPr>
        <w:spacing w:after="0" w:line="67"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FCPA prohibits companies and their intermediaries from making improper payments to foreign officials for the purpose of obtaining or retaining business. Other anti-corruption or anti-bribery laws, such as the Bribery Act,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8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Furthermore, we are subject to anti-boycott laws, anti-money laundering laws, and the export controls and economic embargo rules and regulations of the U.S., including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business and reputation.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Epidemic diseases, or the perception of their effects, have and may have an adverse effect on our business, financial condition, results of operations, and cash flows.</w:t>
      </w:r>
    </w:p>
    <w:p>
      <w:pPr>
        <w:spacing w:after="0" w:line="5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Outbreaks of infectious diseases could divert medical resources and priorities towards the treatment of that disease. An outbreak of an infectious disease could also negatively affect the decision by ECPs to perform (and by patients to undergo) elective surgery or office-based procedures, which could decrease demand for procedures using our products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ambulatory surgery centers and optometrists’ offices.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and our licensors’, ability to obtain, maintain and protect our intellectual property rights.</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intellectual property protection in the United States and other countries. We rely on patent protection, as well as a combination of copyright, trade secret and trademark laws, to protect the proprietary aspects of our technology and our brands, and to prevent others from developing and commercializing products that violate our intellectual property rights. However, these means may afford only limited protection and may not prevent our competitors from duplicating our products, prevent our competitors from gaining access to our proprietary information and technology, or permit us to gain or maintain a competitive advantage.</w:t>
      </w:r>
    </w:p>
    <w:p>
      <w:pPr>
        <w:spacing w:after="0" w:line="75"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8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w:t>
      </w:r>
    </w:p>
    <w:p>
      <w:pPr>
        <w:spacing w:after="0" w:line="8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7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For example,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party to, and may in the future become a party to intellectual property litigation or administrative proceedings that could be costly, time-consuming, unsuccessful, and could interfere with our ability to sell and market our products.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51" w:name="page52"/>
    <w:bookmarkEnd w:id="51"/>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we may be required to enforce our patents to protect our technology. We may also be required to file suit to protect our trade secrets or may be involved in litigation defending against claims of infringement of the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against us in defending against infringement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spacing w:after="0" w:line="86"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80"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On September 16, 2021, we filed suit in the U.S. District Court for the District of Delaware (C.A. No. 1:21-cv-01317) (the “Court”) alleging that Ivantis, Inc. (“Ivantis”) directly and indirectly infringes our U.S. Patent Nos. 8,287,482, 9,370,443, 9,486,361, and 10,314,742 by making, using, selling, and offering for sale the Hydrus® Microstent. Our complaint sought money damages and injunctive relief. On January 24, 2022, Ivantis asserted counterclaims requesting declaratory judgments that our asserted patents-in-suit are not infringed and/or invalid. On August 1, 2022, we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our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U.S. Patent Office. On April 26, 2024, at the conclusion of a five-day jury trial, we were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held an in-person hearing to hear the parties’ oral arguments on their post-trial briefings at the conclusion of which, the Court ordered the parties to engage in non-binding mediation. In early March 2025, we and Alcon informed the Court that we had not resolved our dispute through mediation and asked the Court to decide the parties’ post-trial motions and enter a judgement, which judgement will be subject to appeal. It is possible that the jury verdict that was rendered in our favor may be reduced, limited or vacated by the Court or by the appellate court if appealed. We are presently unable to predict the outcome of this lawsuit or to reasonably estimate the potential financial impact of the lawsuit on us, if 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 addition to seeking patent protection for our products,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2" w:name="page53"/>
    <w:bookmarkEnd w:id="52"/>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w:t>
      </w:r>
    </w:p>
    <w:p>
      <w:pPr>
        <w:spacing w:after="0" w:line="86"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biotechnology or pharmaceutical companies, including our competitors or potential competitors. Some of these employees and consultants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To the extent that our employees, consultants or contractors use intellectual property or proprietary information owned by others 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 as described above.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current or future patents, patent applications, or other intellectual property, including as an inventor or co-inventor. We may be subject to ownership or inventorship disputes in the future arising, for example, from conflicting obligations of consultants, contractors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8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or essential to our products could have a material adverse effect on our business, financial condition and results of operations, and may prevent us from selling our products. In addition, we may lose valuable intellectual property rights or personnel. A loss of key personnel or their work product could hamper or prevent our ability to commercialize our products, which could have an adverse effect on our business, financial condition and results of operations.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business practices, and operations are subject to extensive government regulation and oversight in the United States and elsewhere.</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Our products are regulated as medical devices by the FDA and foreign regulatory authorities. We and our products are subject to extensive regulation in the United States and elsewhere, including by state agencies, the FDA and the FDA’s foreign counterparts.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efficacy; establishment registration and device listing; marketing, sales and distribution; pre-market clearance, approval, and certification; service operations;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8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The law and regulations to which we are subject are complex, burdensome to understand and apply and have tended to become more stringent over time. Legal and regulatory changes could result in restrictions on our ability to carry on or expand our operations, higher than anticipated costs or lower than anticipated sales. The FDA and foreign regulatory authorities enforce these regulatory requirements through, among other means, periodic (unannounced) inspections and periodic reviews of public marketing and promotion materials. We do not know whether we will be found compliant in connection with any future FDA or foreign inspections or reviews. Failure to comply with applicable regulations could jeopardize our ability to sell our products and result in enforcement actions such as: warning letters; untitled letters; fines; injunctions; civil penalties; termination of distribution; recalls or seizures of products; delays in the introduction of products into the market; total or partial suspension of production; refusal to grant future clearances, approvals, or certifications; withdrawals or suspensions of current approvals or certifications, resulting in prohibitions on sales of our products; and in the most serious cases, criminal penalties.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necessary clearances, certifications or approvals for our future products or modifications to our current products, and failure to timely obtain or retain such clearances, certifications or approvals would adversely affect our ability to grow our business.</w:t>
      </w:r>
    </w:p>
    <w:p>
      <w:pPr>
        <w:spacing w:after="0" w:line="6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In the U.S., before we can market a new medical device, or a new use of, new claim for or significant modification to an existing product, we must first receive either clearance under Section 510(k) of the FDCA (“510(k)”), or approval of a pre-market approval application (“PMA”) from the FDA, unless an exemption from pre-market review applies. In the process of obtaining PMA approval, the FDA must determine that a proposed device is safe and effective for its intended use based, in part, on extensive data, including technical, preclinical, clinical trial, manufacturing and labeling data. The PMA process is typically required for devices that are deemed to pose the greatest risk, such as life-sustaining, life-supporting or implantable devices.</w:t>
      </w:r>
    </w:p>
    <w:p>
      <w:pPr>
        <w:spacing w:after="0" w:line="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 the U.S., we have obtained clearance from the FDA of OMNI and TearCare through the 510(k) clearance process and SION is registered with the FDA as a Class I 510(k) exempt device. Any further modification to these products or their intended uses may require us to submit new regulatory filings, including new 510(k) premarket notifications to obtain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4" w:name="page55"/>
    <w:bookmarkEnd w:id="54"/>
    <w:p>
      <w:pPr>
        <w:jc w:val="both"/>
        <w:spacing w:after="0" w:line="252" w:lineRule="auto"/>
        <w:rPr>
          <w:sz w:val="20"/>
          <w:szCs w:val="20"/>
          <w:color w:val="auto"/>
        </w:rPr>
      </w:pPr>
      <w:r>
        <w:rPr>
          <w:rFonts w:ascii="Times New Roman" w:cs="Times New Roman" w:eastAsia="Times New Roman" w:hAnsi="Times New Roman"/>
          <w:sz w:val="18"/>
          <w:szCs w:val="18"/>
          <w:color w:val="auto"/>
        </w:rPr>
        <w:t>clearance, or PMA submissions to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Both the PMA approval and the 510(k) clearance process can be expensive, lengthy and uncertain. The 510(k) clearance process usually takes from three to 12 months, whereas the process of obtaining a PMA generally takes from one to three years, or even longer, from the time the application is submitted to the FDA. Despite the time, effort and cost, a device may not be approved or cleared by the FDA.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Further, regulatory enforcement or inquiries, or other increased scrutiny on us, could dissuade some customers from using our products and adversely affect our reputation and the perceived safety or efficacy of our products. In addition, even if we are granted regulatory clearances or approvals, they may include significant limitations on the indicated uses for the device, which may limit the market for the device.</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17" w:lineRule="exact"/>
        <w:rPr>
          <w:sz w:val="20"/>
          <w:szCs w:val="20"/>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conduct of our clinical trials or the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clearance or approval.</w:t>
      </w:r>
    </w:p>
    <w:p>
      <w:pPr>
        <w:spacing w:after="0" w:line="54"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Subject to the transitional provisions and in order to sell our products in EU member states, our products must comply with the general safety and performance requirements of the EU MDR, which repeals and replaces the Medical Devices Directive. Compliance with these requirements is a prerequisite to be able to affix the CE mark to our products, without which they cannot be sold or marketed in the EU. All medical devices placed on the market in the EU must meet the general safety and performance requirements laid down in Annex I to the EU MDR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88"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MDR or cause a substantial change to the intended use for which the device has been CE Marked. The notified body will then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assess the planned changes and verify whether they affect the products’ ongoing conformity with the EU MDR. If the assessment is favorable, the notified body will issue a new certificate of conformity or an addendum to the existing certificate attesting compliance with the general safety and performance requirements and quality system requirements laid down in the Annexes to the MDR.</w:t>
      </w:r>
    </w:p>
    <w:p>
      <w:pPr>
        <w:spacing w:after="0" w:line="68"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On December 5, 2023, we received approval of the OMNI Surgical System family of products under the EU MDR fulfilling these requirements. As a result of the transition towards the new regime, notified body review times have lengthened, and obtaining re-certification of our products, seeking product introductions or modifications could be delayed or canceled, which could adversely affect our ability to grow our business in the EU.</w:t>
      </w:r>
    </w:p>
    <w:p>
      <w:pPr>
        <w:spacing w:after="0" w:line="68"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Non-compliance with the above requirements would also prevent us from selling our products in these three countries.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if it is determined that we are promoting off-label uses of our products in violation of federal and state regulations in the United States or elsewhere.</w:t>
      </w:r>
    </w:p>
    <w:p>
      <w:pPr>
        <w:spacing w:after="0" w:line="5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51"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Even though we have obtained clearance from the FDA for OMNI and TearCare and registration for SION in the U.S. and certifications for OMNI in the EU, 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 In addition, we must maintain an active registration of our facilities and listing of our products in order to legally market them in the United States. If the FDA were to disagree with our product listing or otherwise take issue with our registration and listing compliance, it could result in delisting of our products or other enforcement action resulting in potential inability to market our products. For example, in October 2020, the FDA communicated to us that the previous version of our TearCare System may not have been eligible for an exemption from 510(k) clearance. In response to that communication, among other things, we submitted a 510(k) premarket notification seeking clearance for TearCare in November 2020. The FDA requested several safety tests and modifications to this submission which we believe would have required additional time to complete beyond the designated review process. We voluntarily withdrew this submission in May 2021 to allow us to comply with the FDA’s requests in a comprehensive manner. We completed the additional testing and modifications requested by the FDA and received 510(k) clearance of TearCare for an expanded indication for use in December 2021. In February 2022, we received further communications from the FDA regarding the appropriateness of the marketing and distribution of our legacy TearCare Systems as a 510(k)-exempt device without premarket notification to and authorization from the FDA. We conducted a voluntary recall of our legacy TearCare system because the FDA informed us that the legacy system’s advanced technology made it ineligible for an exemption from 510(k) clearance. Further, this voluntary recall did not involve the new version of the TearCare system, which has received premarket clearance from the FDA and will remain on the market. We provided notice to the FDA in the fourth quarter of 2022 that we had completed all activities associated with the recall and had closed our files.</w:t>
      </w:r>
    </w:p>
    <w:p>
      <w:pPr>
        <w:spacing w:after="0" w:line="81"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higher than anticipated costs, or lower than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 or consequences:</w:t>
      </w:r>
    </w:p>
    <w:p>
      <w:pPr>
        <w:spacing w:after="0" w:line="72" w:lineRule="exact"/>
        <w:rPr>
          <w:sz w:val="20"/>
          <w:szCs w:val="20"/>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or adverse publicity;</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or approvals or foreign clearance, certification or approval of new products, new intended uses, or modifications to existing products;</w:t>
      </w:r>
    </w:p>
    <w:p>
      <w:pPr>
        <w:spacing w:after="0" w:line="53"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510(k) clearances or certifications or Class I registrations, or requirements for new 510(k) or PMA clearances, certifications, or approvals, resulting in prohibitions on sales of our products pending such further clearance or certification;</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 In addition, the FDA and foreign regulatory authorities may change their clearance or certification policies, adopt additional regulations or revise existing regulations, or take other actions, which may prevent or delay clearance, approval, or certification of our future products under development or impact our ability to modify our currently cleared or certified products on a timely basis. Such policy or regulatory changes could impose additional requirements upon us that could delay our ability to obtain new clearances, approvals, or certifications, increase the costs of compliance or restrict our ability to maintain our clearances and certifications of our current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or suspension of our products, or the discovery of serious safety issues with our products, could have a significant negative impact on us.</w:t>
      </w:r>
    </w:p>
    <w:p>
      <w:pPr>
        <w:spacing w:after="0" w:line="121"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and, subject to transitional provisions, the EU Medical Device Regulation (“EU MDR”), both of which are complex regulatory schemes that cover the procedures and documentation of the design, testing, production, process controls, quality assurance, labeling, packaging, handling, storage, distribution, installation, servicing and shipping of medical devices. Furthermore, we are required to maintain, and to verify that our suppliers maintain, facilities, procedures and operations that comply with our quality standards and applicable regulatory requirements. Our products are also subject to similar state regulations, various laws and regulations of foreign countries governing manufacturing and a requirement for adherence to industry standards of the International Standards Organization ("ISO") in connection with our medical device operations outside of the United States. Failure by us or one of our third-party suppliers to comply with applicable FDA or foreign requirements or later discovery of previously unknown problems with our products or manufacturing processes could result in, among other things civil penalties, suspension or withdrawal of clearances, seizures or recalls of our products, total or partial suspension of production or distribution, refusal to grant pending or future clearances, approvals, or certifications for our products, clinical holds, refusal to permit the import or export of our products, and criminal prosecution. Furthermore, regulatory authorities have broad discretion to require the recall or suspension of a product or to require that manufacturers alert customers of safety risks. A government-mandated or voluntary recall or suspension by us, one of our distributors or any of our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88"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and similar foreign regulations, we are required to maintain appropriate quality systems and report incidents in which our product may have caused or contributed to serious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If we initiate a correction or removal for our products to reduce a risk to health posed by them or to remedy a violation of law that may present a risk to health, we would be required to submit a report to the FDA and may be required to submit similar notifications to other regulatory authorities. This report could lead to increased scrutiny by the FDA, other foreign regulatory agencies and our customers regarding the quality and safety of our products. Furthermore, the submission of these reports, to the extent made publicly available in accordance with FDA regulations, could be used by competitors against us or otherwise publicized and cause physicians to delay or cancel product orders, which will harm our reputation. Depending on the corrective action we take to redress a product’s deficiencies or defects, the FDA or FDA’s foreign counterparts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79"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We have received ISO 13485:2016 certification for our quality management system. ISO certification generally includes recertification audits every third year, scheduled annual surveillance audits and periodic unannounced audits.</w:t>
      </w:r>
    </w:p>
    <w:p>
      <w:pPr>
        <w:spacing w:after="0" w:line="5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We can provide no assurance that we will be found to remain in compliance with the QSR or ISO standards upon a regulator’s review. If the FDA, other regulator, or notified body, inspect or audit any of our manufacturers’ facilities and discovers compliance problems, we may have to cease manufacturing and product distribution until we can take the appropriate remedial steps to correct the audit findings. Any of the actions noted above could significantly and negatively affect supply of our products. Taking corrective action may be expensive, time-consuming and a distraction for management. If any of these events occurs, our reputation could be harmed, we could be exposed to product liability claims and we could lose customers and experience reduced sales and increased costs.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applicable regulatory registrations, clearances, certifications or approvals for our products, we will be unable to market and sell our products outside of the U.S.</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Sales of our products outside of the U.S. are subject to foreign regulatory requirements that vary widely from country to country. In addition, the FDA regulates exports of medical devices from the U.S.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p>
    <w:p>
      <w:pPr>
        <w:spacing w:after="0" w:line="80"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5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state and foreign fraud and abuse laws, health information privacy and security laws and transparency laws that could subject us to substantial penalties. Additionally, any challenge to or investigation into our practices under these laws could cause adverse publicity and be costly to respond to, and thus could harm our business.</w:t>
      </w:r>
    </w:p>
    <w:p>
      <w:pPr>
        <w:spacing w:after="0" w:line="67"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employee and other third-party information by both the federal government and the states and foreign jurisdictions in which we conduct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healthcare laws and regulations that may affect our ability to operate include the following:</w:t>
      </w:r>
    </w:p>
    <w:p>
      <w:pPr>
        <w:spacing w:after="0" w:line="99" w:lineRule="exact"/>
        <w:rPr>
          <w:sz w:val="20"/>
          <w:szCs w:val="20"/>
          <w:color w:val="auto"/>
        </w:rPr>
      </w:pPr>
    </w:p>
    <w:p>
      <w:pPr>
        <w:jc w:val="both"/>
        <w:ind w:left="820" w:right="320" w:hanging="303"/>
        <w:spacing w:after="0" w:line="261"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offering, receiving or providing remuneration (including any kickback, bribe or rebate), directly or indirectly, in cash or in kind, to induce either the referral of an individual or furnishing or arranging for a good or service, for which payment may be made, in whole or in part, under federal healthcare programs, such as Medicare and Medicaid;</w:t>
      </w:r>
    </w:p>
    <w:p>
      <w:pPr>
        <w:spacing w:after="0" w:line="71" w:lineRule="exact"/>
        <w:rPr>
          <w:rFonts w:ascii="Times New Roman" w:cs="Times New Roman" w:eastAsia="Times New Roman" w:hAnsi="Times New Roman"/>
          <w:sz w:val="18"/>
          <w:szCs w:val="18"/>
          <w:color w:val="auto"/>
        </w:rPr>
      </w:pPr>
    </w:p>
    <w:p>
      <w:pPr>
        <w:jc w:val="both"/>
        <w:ind w:left="820" w:right="320" w:hanging="303"/>
        <w:spacing w:after="0" w:line="261"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civil and criminal false claims laws and civil monetary penalties laws, including the federal civil False Claims Act, which prohibit, among other things, individuals and entities from knowingly presenting, or causing to be presented, claims for payment from Medicare, Medicaid, state Medicaid programs, other third-party payors, or other federal healthcare programs that are false or fraudulent;</w:t>
      </w:r>
    </w:p>
    <w:p>
      <w:pPr>
        <w:spacing w:after="0" w:line="71" w:lineRule="exact"/>
        <w:rPr>
          <w:rFonts w:ascii="Times New Roman" w:cs="Times New Roman" w:eastAsia="Times New Roman" w:hAnsi="Times New Roman"/>
          <w:sz w:val="18"/>
          <w:szCs w:val="18"/>
          <w:color w:val="auto"/>
        </w:rPr>
      </w:pPr>
    </w:p>
    <w:p>
      <w:pPr>
        <w:jc w:val="both"/>
        <w:ind w:left="820" w:right="320" w:hanging="303"/>
        <w:spacing w:after="0" w:line="266"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individuals and entities from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that prohibit, among other things,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820" w:right="320" w:hanging="303"/>
        <w:spacing w:after="0" w:line="258"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disclosure laws, such as the Physician Payments Sunshine Act, which require certain applicable manufacturers of drugs, devices, biologics and medical supplies for which payment is available under Medicare, Medicaid or CHIP to report annually to the CMS information related to payments and other transfers of value to physicians, which is defined broadly to include other healthcare providers, and teaching hospitals, and to report annually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jc w:val="both"/>
        <w:ind w:left="820" w:right="320" w:hanging="303"/>
        <w:spacing w:after="0" w:line="258"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75"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regulations regarding billing and claims payment applicable to our products and regulatory agencies enforcing those laws and regulations; and</w:t>
      </w:r>
    </w:p>
    <w:p>
      <w:pPr>
        <w:spacing w:after="0" w:line="53" w:lineRule="exact"/>
        <w:rPr>
          <w:rFonts w:ascii="Times New Roman" w:cs="Times New Roman" w:eastAsia="Times New Roman" w:hAnsi="Times New Roman"/>
          <w:sz w:val="18"/>
          <w:szCs w:val="18"/>
          <w:color w:val="auto"/>
        </w:rPr>
      </w:pPr>
    </w:p>
    <w:p>
      <w:pPr>
        <w:jc w:val="both"/>
        <w:ind w:left="820" w:right="320" w:hanging="303"/>
        <w:spacing w:after="0" w:line="253"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GDPR, governing the privacy and security of personal (including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86"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and research activities by limiting the kinds of financial arrangements, including sales programs, we may have with hospitals, ambulatory surgery centers, physicians or other potential purchasers of our products. We have entered into consulting agreements with physicians, including some who have ownership interests in us, which could be viewed as influencing the purchase of or use of our products in procedures they perform. Compensation under some of these arrangements includes the provision of stock or stock options. Due to the breadth of these laws, the narrowness of statutory exceptions and regulatory safe harbors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59" w:name="page60"/>
    <w:bookmarkEnd w:id="5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available, and the range of interpretations to which they are subject, it is possible that some of our current or future practices might be challenged under one or more of these laws.</w:t>
      </w:r>
    </w:p>
    <w:p>
      <w:pPr>
        <w:spacing w:after="0" w:line="5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To enforce compliance with the healthcare regulatory laws, certain enforcement bodies have increased their scrutiny of interactions between healthcare companies and healthcare providers, which has led to investigations, prosecutions, convictions and settlements in the healthcare industry. Responding to investigations can be time 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to respond to.</w:t>
      </w:r>
    </w:p>
    <w:p>
      <w:pPr>
        <w:spacing w:after="0" w:line="8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Our activities, including those relating to providing billing, coding, coverage and reimbursement information about procedures using our products to our customers and the sale and marketing of our products, may be subject to scrutiny under these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and could result in a material adverse effect on our reputation.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and disgorgement and we could be required to curtail, restructure or cease our operations. Any of the foregoing consequences will negatively affect our business, financial condition and results of operations.</w:t>
      </w:r>
    </w:p>
    <w:p>
      <w:pPr>
        <w:spacing w:after="0" w:line="86"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or harm our reputation or business.</w:t>
      </w:r>
    </w:p>
    <w:p>
      <w:pPr>
        <w:spacing w:after="0" w:line="5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the conduct of our business, we may at times collect, store, and process personal information, including health-related personal information. The U.S. federal government and various states and regulatory agencies, including the U.S. Department Health and Human Services, have adopted or proposed laws, regulations, guidelines and rules for the collection, distribution, use and storage of personal information, including personal health information, of individuals. These laws include HIPAA and related regulations, as well as the CCPA and similar state privacy and data security laws. In addition, certain state and non-U.S. laws, such as GDPR, govern the privacy and security of personal (including health) data in certain circumstances, some of which are more stringent than U.S. federal law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w:t>
      </w:r>
    </w:p>
    <w:p>
      <w:pPr>
        <w:spacing w:after="0" w:line="8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Any actual or perceived failure by us or the third parties with whom we work to comply with privacy or security laws, policies, legal obligations or industry standards, or any security incident that results in the unauthorized access,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other commercial partners may engage in misconduct or other improper activities, including non-compliance with regulatory standards and requirements.</w:t>
      </w:r>
    </w:p>
    <w:p>
      <w:pPr>
        <w:spacing w:after="0" w:line="5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other commercial partners and business associates may engage in fraudulent or other illegal activity. Misconduct by these parties could include intentional, reckless or negligent conduct or other unauthorized activities that violate federal and/or state laws and regulations, such as laws or regulations requiring the reporting of true, complete and accurate information to such regulators, manufacturing standards, healthcare fraud and abuse laws and regulations in the U.S. and internationally or laws that require the true, complete and accurate reporting of financial information or data. In particular, sales, marketing and business arrangements in the healthcare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18"/>
          <w:szCs w:val="18"/>
          <w:color w:val="auto"/>
        </w:rPr>
        <w:t>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business, financial condition and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could be expensive, and the failure to comply with these laws and regulations could subject us to significant liability.</w:t>
      </w:r>
    </w:p>
    <w:p>
      <w:pPr>
        <w:spacing w:after="0" w:line="5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Our research and development operations involve the use of hazardous substances, such as isopropyl alcohol and various adhesives.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 or may decline regardless of our operating performance and you could lose all or part of your investment</w:t>
      </w:r>
    </w:p>
    <w:p>
      <w:pPr>
        <w:spacing w:after="0" w:line="5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a variety of factors, some of which are beyond our control or are related in complex ways, including:</w:t>
      </w:r>
    </w:p>
    <w:p>
      <w:pPr>
        <w:spacing w:after="0" w:line="54" w:lineRule="exact"/>
        <w:rPr>
          <w:sz w:val="20"/>
          <w:szCs w:val="20"/>
          <w:color w:val="auto"/>
        </w:rPr>
      </w:pPr>
    </w:p>
    <w:p>
      <w:pPr>
        <w:ind w:left="820" w:right="320" w:hanging="303"/>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estimates;</w:t>
      </w:r>
    </w:p>
    <w:p>
      <w:pPr>
        <w:spacing w:after="0" w:line="53"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coverage by current or potential payors, including new or updated local or national coverage determinations by one or more MACs;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variations in our or our competitors’ results of operations;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our revenue, which could be due in part to the way in which we recognize revenue;</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medical device industry in particular;</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61" w:name="page62"/>
    <w:bookmarkEnd w:id="61"/>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including changes in our board of directors or management;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other problems associated with our products;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regulation of our market;</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patents issued to us or our competitors and related litigation;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w:t>
      </w:r>
    </w:p>
    <w:p>
      <w:pPr>
        <w:spacing w:after="0" w:line="117"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In addition, notwithstanding their subsequent withdrawal in late December 2023, the publication of the Prior LCDs, as amended, by five of the seven MACs in June 2023, which would have rendered canaloplasty followed by trabeculotomy (ab interno), a procedure associated with our OMNI technology, investigational and thus non-covered in these MAC jurisdictions, adversely affected our business and prospects and resulted in a substantial decline in the market price of our common stock. Although the Prior LCDs were withdrawn before becoming effective, the Final LCDs that became effective in November 2024 contain certain restrictions on billing for MIGS procedures that will likely have an adverse impact on our OMNI sales results. We believe that these LCDs have contributed to ongoing uncertainty among investors and other stakeholders regarding the coverage and reimbursement environment for procedures in which our products are used, which uncertainty continues to adversely affect our business and stock price. If new or updated LCDs, national coverage determinations, or other material coverage updates or determinations are published that could or would adversely affect coverage for procedures involving our OMNI technology, our business and prospects would be further adversely affected and our financial condition and results of operation could suffer.</w:t>
      </w:r>
    </w:p>
    <w:p>
      <w:pPr>
        <w:spacing w:after="0" w:line="82"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In addition, in the past, stockholders have instituted securities class action litigation against issuers following periods of stock price volatility. For instance, after we announced in September 2023 a reduction in our full-year 2023 revenue guidance, several plaintiff’s class action firms announced the commencement of investigations pertaining to our compliance with securities laws. Though these investigations have not led to commencement of any litigation, the risk of such litigation is heightened at times when our financial performance and stock price are under pressure.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5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62" w:name="page63"/>
    <w:bookmarkEnd w:id="62"/>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While we have remediated our previously identified material weakness as of December 31, 2023, we cannot assure you that these or other measures will prevent future material weaknesses from occurring. As part of our remediation of the previously identified material weakness, we have hired additional accounting employees with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7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spacing w:after="0" w:line="71" w:lineRule="exact"/>
        <w:rPr>
          <w:sz w:val="20"/>
          <w:szCs w:val="20"/>
          <w:color w:val="auto"/>
        </w:rPr>
      </w:pPr>
    </w:p>
    <w:p>
      <w:pPr>
        <w:jc w:val="both"/>
        <w:ind w:firstLine="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79" w:lineRule="exact"/>
        <w:rPr>
          <w:sz w:val="20"/>
          <w:szCs w:val="20"/>
          <w:color w:val="auto"/>
        </w:rPr>
      </w:pPr>
    </w:p>
    <w:p>
      <w:pPr>
        <w:ind w:left="820" w:right="3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auto"/>
        </w:rPr>
      </w:pPr>
    </w:p>
    <w:p>
      <w:pPr>
        <w:jc w:val="both"/>
        <w:ind w:left="820" w:right="320" w:hanging="303"/>
        <w:spacing w:after="0" w:line="266"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820" w:right="320" w:hanging="303"/>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820" w:right="320" w:hanging="303"/>
        <w:spacing w:after="0" w:line="266"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820" w:right="320" w:hanging="303"/>
        <w:spacing w:after="0" w:line="266"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acquired in excess of 15% of our outstanding voting stock, unless the merger or combination is approved in a prescribed manner.</w:t>
      </w:r>
    </w:p>
    <w:p>
      <w:pPr>
        <w:sectPr>
          <w:pgSz w:w="11900" w:h="16838" w:orient="portrait"/>
          <w:cols w:equalWidth="0" w:num="1">
            <w:col w:w="10019"/>
          </w:cols>
          <w:pgMar w:left="440" w:top="1201" w:right="1440" w:bottom="1440" w:gutter="0" w:footer="0" w:header="0"/>
        </w:sectPr>
      </w:pPr>
    </w:p>
    <w:p>
      <w:pPr>
        <w:spacing w:after="0" w:line="3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201"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protecting our information technology ("IT") systems and the data of our employees, customers, patients, and partners. We have an enterprise-wide cybersecurity program designed to identify, detect, investigate, protect, and respond to cybersecurity risks.</w:t>
      </w:r>
    </w:p>
    <w:p>
      <w:pPr>
        <w:spacing w:after="0" w:line="5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oversees our cybersecurity programs and cybersecurity team, which are led by our Vice President of Information Technology. At least semi-annual reviews are presented by the Vice President of Information Technology to the Nominating and Corporate Governance Committee demonstrating the cybersecurity practices and controls, mitigation activities, current threat levels, emerging cybersecurity threats, training initiatives, breaches, and results from any penetration testing. In addition, cybersecurity risk management is part of the enterprise risk management program and is reviewed by the Audit Committee at least annually.</w:t>
      </w:r>
    </w:p>
    <w:p>
      <w:pPr>
        <w:spacing w:after="0" w:line="7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We have developed an information security policy ensuring that our cybersecurity objectives are established and compatible with our strategic direction. The goal of this policy is to protect our informational assets against reasonably foreseeable internal, external, and accidental threats. Identifying and assessing cybersecurity risk is integrated into our overall risk management processes. Cybersecurity risks related to our business, operations, privacy, and compliance are identified and managed through third party assessments, internal IT audits, governance, risk and compliance reviews.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Our policies and approach to cybersecurity include several key elements:</w:t>
      </w:r>
    </w:p>
    <w:p>
      <w:pPr>
        <w:spacing w:after="0" w:line="225" w:lineRule="exact"/>
        <w:rPr>
          <w:sz w:val="20"/>
          <w:szCs w:val="20"/>
          <w:color w:val="auto"/>
        </w:rPr>
      </w:pPr>
    </w:p>
    <w:p>
      <w:pPr>
        <w:jc w:val="both"/>
        <w:ind w:left="800" w:right="700" w:hanging="283"/>
        <w:spacing w:after="0" w:line="266" w:lineRule="auto"/>
        <w:tabs>
          <w:tab w:leader="none" w:pos="8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Continuous Monitoring and Defense: We work to protect our environments and products from threats through multi-layered defenses. We utilize data analytics to detect anomalies and search for cyber threats. Our Security Operations Center provides comprehensive, around the clock, cyber threat detection and response capabilities.</w:t>
      </w:r>
    </w:p>
    <w:p>
      <w:pPr>
        <w:spacing w:after="0" w:line="6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Software Risk Assessment: We complete security audits on all third-party platforms prior to selection.</w:t>
      </w:r>
    </w:p>
    <w:p>
      <w:pPr>
        <w:spacing w:after="0" w:line="117"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Incident Response Plan: Our Incident Response Plan includes the investigation steps and notifications required on all actual and suspected information security incidences</w:t>
      </w:r>
    </w:p>
    <w:p>
      <w:pPr>
        <w:spacing w:after="0" w:line="53" w:lineRule="exact"/>
        <w:rPr>
          <w:rFonts w:ascii="Times New Roman" w:cs="Times New Roman" w:eastAsia="Times New Roman" w:hAnsi="Times New Roman"/>
          <w:sz w:val="18"/>
          <w:szCs w:val="18"/>
          <w:color w:val="231F20"/>
        </w:rPr>
      </w:pPr>
    </w:p>
    <w:p>
      <w:pPr>
        <w:jc w:val="both"/>
        <w:ind w:left="800" w:right="700" w:hanging="283"/>
        <w:spacing w:after="0" w:line="266" w:lineRule="auto"/>
        <w:tabs>
          <w:tab w:leader="none" w:pos="8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Cybersecurity Training Programs: Our training program is multi-faceted and focused on awareness of new techniques that threat actors utilize both in the corporate environment, as well as their personal lives. Employees undergo regular training on information security best practices, including interactive training to confirm understanding and test employee skills.</w:t>
      </w:r>
    </w:p>
    <w:p>
      <w:pPr>
        <w:spacing w:after="0" w:line="67"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Policy: Mandatory compliance with all cybersecurity programs, including applicable legislative and regulatory requirements.</w:t>
      </w:r>
    </w:p>
    <w:p>
      <w:pPr>
        <w:spacing w:after="0" w:line="53" w:lineRule="exact"/>
        <w:rPr>
          <w:rFonts w:ascii="Times New Roman" w:cs="Times New Roman" w:eastAsia="Times New Roman" w:hAnsi="Times New Roman"/>
          <w:sz w:val="18"/>
          <w:szCs w:val="18"/>
          <w:color w:val="231F20"/>
        </w:rPr>
      </w:pPr>
    </w:p>
    <w:p>
      <w:pPr>
        <w:ind w:left="800" w:right="700" w:hanging="283"/>
        <w:spacing w:after="0" w:line="282" w:lineRule="auto"/>
        <w:tabs>
          <w:tab w:leader="none" w:pos="80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Cybersecurity Plan Assessment: We regularly engage with cybersecurity professionals in reviewing our cybersecurity plan.</w:t>
      </w:r>
    </w:p>
    <w:p>
      <w:pPr>
        <w:spacing w:after="0" w:line="5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 xml:space="preserve">To date, the Company is not aware of any cybersecurity threats, including any prior cybersecurity incidents that have materially affected or are reasonably likely to materially affect the Company, including our business strategy, results of operations, or financial condition. However, as discussed under the heading, </w:t>
      </w:r>
      <w:r>
        <w:rPr>
          <w:rFonts w:ascii="Times New Roman" w:cs="Times New Roman" w:eastAsia="Times New Roman" w:hAnsi="Times New Roman"/>
          <w:sz w:val="18"/>
          <w:szCs w:val="18"/>
          <w:i w:val="1"/>
          <w:iCs w:val="1"/>
          <w:color w:val="auto"/>
        </w:rPr>
        <w:t>“Security breaches, loss of data and other disruptions could compromise sensitive information related to our business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patients, or prevent us from accessing critical information and expose us to liability, which could adversely affect our business and our reputation” </w:t>
      </w:r>
      <w:r>
        <w:rPr>
          <w:rFonts w:ascii="Times New Roman" w:cs="Times New Roman" w:eastAsia="Times New Roman" w:hAnsi="Times New Roman"/>
          <w:sz w:val="18"/>
          <w:szCs w:val="18"/>
          <w:color w:val="auto"/>
        </w:rPr>
        <w:t>in Part I, Item 1A, “Risk Factors,” the Company remains subject to evolving cybersecurity risks that could have adverse impacts.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Our corporate headquarters are in Menlo Park, California, where we lease approximately 11,000 square feet of office, research and development, engineering and laboratory space pursuant to a lease that commenced on August 1, 2021, which expires October 31, 2026. We also lease approximately 2,000 square feet of office space, which is primarily used by our commercial team, in Southlake, Texas, pursuant to a lease that commenced on April 30, 2019 and expires on May 15, 2026. We believe that our existing facilities are adequate to meet our business requirements in the near-term, and that additional space will be available on commercially reasonable terms, if required.</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On September 16, 2021, we filed suit in the U.S. District Court for the District of Delaware (C.A. No. 1:21-cv-01317) (the “Court”) alleging that Ivantis, Inc. (“Ivantis”) directly and indirectly infringes our U.S. Patent Nos. 8,287,482, 9,370,443, 9,486,361, and 10,314,742 by making, using, selling, and offering for sale the Hydrus® Microstent. Our complaint seeks money damages and injunctive relief. On January 24, 2022, Ivantis asserted counterclaims requesting declaratory judgments that our asserted patents-in-suit are not infringed and/or invalid. On August 1, 2022, we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our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U.S. Patent Office. On April 26, 2024, at the conclusion of a five-day jury trial, we were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held an in-person hearing to hear the parties’ oral arguments on their post-trial briefings at the conclusion of which, the Court ordered the parties to engage in non-binding mediation. In early March 2025, we and Alcon informed the Court that we had not resolved our dispute through mediation, and asked the Court to decide the parties’ post-trial motions and enter a judgement, which judgment will be subject to appeal. We are presently unable to predict the outcome of this lawsuit or to reasonably estimate the potential financial impact of the lawsuit on us, if any.</w:t>
      </w:r>
    </w:p>
    <w:p>
      <w:pPr>
        <w:spacing w:after="0" w:line="85"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or settlement payments could have a material adverse effect on our business, financial condition and results of operations. Additionally, any such claims, whether or not successful, could damage our reputation, cause us to expend resources on legal fees, result in the distraction of our management team, and harm our business and ability to achieve our strategic objectives.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66" w:name="page67"/>
    <w:bookmarkEnd w:id="66"/>
    <w:p>
      <w:pPr>
        <w:ind w:left="54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“SGHT” since July 15, 2021. Prior to this date, there was no public market for our common stock.</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As of February 27, 2025, there were approximately 9 holders of record of our common stock. The actual number of stockholders is greater than this number of holders of record and includes stockholders who are beneficial owners but whose shares are held in street name by brokers and other nominees.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On July 14, 2021, our registration statement on Form S-1 (File No. 333-257320) relating to our initial public offering ("IPO") of common stock became effective. The IPO closed on July 15, 2021, at which time we issued 11,500,000 shares of our common stock at a price of $24.00 per share.</w:t>
      </w:r>
    </w:p>
    <w:p>
      <w:pPr>
        <w:spacing w:after="0" w:line="54"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dated July 14, 2021 and filed with the SEC on July 15, 2021 pursuant to Rule 424(b) under the Securities Act.</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We have never declared or paid cash dividends on our capital stock. We currently intend to retain all available funds and future earnings, if any, to fund the operation,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Item 201(e) of Regulation S-K.</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from Registered Securities</w:t>
      </w:r>
    </w:p>
    <w:p>
      <w:pPr>
        <w:spacing w:after="0" w:line="121"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equity securities during the fiscal year ended December 31, 2024 that were not previously reported in a Quarterly Report on Form 10-Q or Current Report on Form 8-K.</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231F20"/>
        </w:rPr>
        <w:t>You should read the following discussion and analysis of our financial condition and results of operations together with the information presented in our financial statements and the related notes included in this Annual Report on Form 10-K. This discussion contains forward-looking statements based upon current plans, expectations, and beliefs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 Please also see the section of this Annual Report on Form 10-K titled “Special Note Regarding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72" w:lineRule="exact"/>
        <w:rPr>
          <w:sz w:val="20"/>
          <w:szCs w:val="20"/>
          <w:color w:val="auto"/>
        </w:rPr>
      </w:pPr>
    </w:p>
    <w:p>
      <w:pPr>
        <w:ind w:left="800" w:hanging="28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comprehensively understanding disease physiology;</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developing transformative technologies that are intended to preserve, protect and restore natural physiological functionality to diseased eyes;</w:t>
      </w:r>
    </w:p>
    <w:p>
      <w:pPr>
        <w:spacing w:after="0" w:line="53"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developing and marketing products with proven clinical evidence that achieve superior effectiveness versus current treatment paradigms while minimizing complications or side effects;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providing intuitive, patient-friendly, interventional solutions to ophthalmologists and optometrists (together, "ECPs"); and</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delivering compelling economic value to all stakeholders, including patients, providers and third-party payors such as Medicare and commercial insurers.</w:t>
      </w:r>
    </w:p>
    <w:p>
      <w:pPr>
        <w:spacing w:after="0" w:line="54"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000000"/>
        </w:rPr>
        <w:t>ur initial product development has focused on the treatment of two of the world’s most prevalent and underserved eye diseases, glaucoma and dry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eye disease (“DED”). We have commercialized products in each of our two reportable operating segments, Surgical Glaucoma and Dry Eye. Our Surgical Glaucoma revenue consists of sales of the OMNI® Surgical System ("OMNI") and the SION® Surgical Instrument ("SION"), while our Dry Eye revenue consists of sales of the TearCare® System ("TearCare"), and related components and accessories. Each product is primarily sold through a highly involved direct sales model that offers intensive education, training and customer service. We believe this model not only enables us to differentiate our products and company from competitors, but also expands our addressable market by educating ECPs, patients and other stakeholders on our products and evolving treatment paradigms. Outside of the U.S., we have established direct commercial operations in the United Kingdom and Germany. We also sell OMNI in several other countries in Europe through distributors.</w:t>
      </w:r>
    </w:p>
    <w:p>
      <w:pPr>
        <w:spacing w:after="0" w:line="8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We sell OMNI and SION to facilities where ophthalmic surgeons perform outpatient procedures, such as ambulatory surgery centers ("ASCs") and hospital outpatient departments ("</w:t>
      </w:r>
      <w:r>
        <w:rPr>
          <w:rFonts w:ascii="Times New Roman" w:cs="Times New Roman" w:eastAsia="Times New Roman" w:hAnsi="Times New Roman"/>
          <w:sz w:val="18"/>
          <w:szCs w:val="18"/>
          <w:color w:val="231F20"/>
        </w:rPr>
        <w:t>HOPDs"),</w:t>
      </w:r>
      <w:r>
        <w:rPr>
          <w:rFonts w:ascii="Times New Roman" w:cs="Times New Roman" w:eastAsia="Times New Roman" w:hAnsi="Times New Roman"/>
          <w:sz w:val="18"/>
          <w:szCs w:val="18"/>
          <w:color w:val="auto"/>
        </w:rPr>
        <w:t xml:space="preserve"> which are typically reimbursed by Medicare or private payors for procedures using our products. We are focused on educating surgeons on the clinical benefits of earlier interventions with the comprehensive OMNI procedure, re-engagement efforts with accounts highlighting reimbursement clarity, enhanced competitive counter selling, investments in targeted commercial resources, pseudophakic standalone market development, and an upcoming new product launch.</w:t>
      </w:r>
    </w:p>
    <w:p>
      <w:pPr>
        <w:spacing w:after="0" w:line="75"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We sell TearCare to ECPs. Currently, there is no meaningful reimbursement coverage by Medicare or private payors for DED procedures, including TearCare, and patients typically pay out-of-pocket for TearCare, although some payors may agree to provide case-based coverage outside of a formal policy. We are continuing our controlled commercial launch and are focused on our comprehensive, clinical data-driven long-term market development plan that aims to improve awareness and patient access to TearCare. In the fourth quarter of 2024, we instituted a price increase for our TearCare products to reflect the clinical value of our technology as we seek to establish broader coverage with commercial payors and Medicare. This increase materially reduced customer demand for TearCare in the fourth quarter of 2024 and we believe it will continue to impact demand in the future until broader reimbursement coverage can be established.</w:t>
      </w:r>
    </w:p>
    <w:p>
      <w:pPr>
        <w:spacing w:after="0" w:line="8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have dedicated meaningful resources to execute our commercial strategy as we reduce operating expenses and improve cost efficiencies to better align our operating structure for long-term, profitable growth. The overall success of our approach to eyecare to date is evidenced by over 295,000 estimated uses of Surgical Glaucoma products and their predicates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in over 2,100 hospitals and ASCs in the U.S. and Europe, and over 65,000 estimated uses of TearCare in over 1,500 eyecare facilities in the U.S. through December 31, 2024.</w:t>
      </w:r>
    </w:p>
    <w:p>
      <w:pPr>
        <w:spacing w:after="0" w:line="5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do not currently have any internal manufacturing capability or infrastructure and rely on a limited number of third-party manufacturers, many of which are single source suppliers, for our production requirements. We believe the manufacturing capacity provided by our suppliers will be adequate to meet our current and anticipated manufacturing needs across all of our product lines. We plan to continue to utilize third party contract manufacturers for our products and any related components.</w:t>
      </w:r>
    </w:p>
    <w:p>
      <w:pPr>
        <w:spacing w:after="0" w:line="7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Revenue in our Surgical Glaucoma segment for the years ended December 31, 2024 and 2023 was $75.9 million and $74.3 million, respectively, with gross margins for the same periods of 87.6% and 88.1%, respectively. Revenue in our Dry Eye segment for the years ended December 31, 2024 and 2023 was $4.0 million and $6.7 million, respectively, with gross margins for the same periods of 46.2% and 54.8%, respectively. For the year ended December 31, 2024, we generated approximately 95% of our revenue from customers in the U.S.</w:t>
      </w:r>
    </w:p>
    <w:p>
      <w:pPr>
        <w:spacing w:after="0" w:line="72"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Our Surgical Glaucoma revenue was relatively flat for the years ended December 31, 2024 and 2023 due to a number of factors, including reimbursement challenges and increased competition from other MIGS devices. We expect to continue to experience near-term revenue challenges arising out of the restrictions on the performance of multiple MIGS procedures in combination with cataract surgery for Medicare patients in the jurisdictions administered by the five MACS that issued the LCDs containing such restrictions, which restrictions became effective in the fourth quarter of 2024. We believe that these restrictions have led to a decrease in the number of overall MIGS devices used in procedures that are being performed, including procedures utilizing our OMNI technology. In addition, our Surgical Glaucoma gross margins will be adversely impacted in 2025 by the tariffs imposed by the U.S. on China, as our primary supplier manufacturers OMNI and SION products as well as SmartLids out of its China-based manufacturing facility.</w:t>
      </w:r>
    </w:p>
    <w:p>
      <w:pPr>
        <w:spacing w:after="0" w:line="8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 In addition, we experienced lower demand in the Dry Eye segment in the fourth quarter of 2024 due to our increase in dry eye pricing which took effect on October 1, 2024, and was a result of our focus on achieving reimbursed market access for TearCare procedures instead of cash-pay procedures. We expect TearCare procedure revenue will return to a growth trajectory upon receipt of positive payor coverage or payment determinations that provide for sufficient and equitable reimbursement. We currently anticipate that we and our customers will begin receiving coverage and payment determinations with respect to the TearCare procedure in 2025, though there is no guarantee that such determinations will be made in accordance with this time frame.</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in the importance of continued strategic investment in initiatives that:</w:t>
      </w:r>
    </w:p>
    <w:p>
      <w:pPr>
        <w:spacing w:after="0" w:line="117" w:lineRule="exact"/>
        <w:rPr>
          <w:sz w:val="20"/>
          <w:szCs w:val="20"/>
          <w:color w:val="auto"/>
        </w:rPr>
      </w:pPr>
    </w:p>
    <w:p>
      <w:pPr>
        <w:ind w:left="800" w:hanging="283"/>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demonstrate our products’ clinical effectiveness and safety to potential customers, patients, payors and regulators, including</w:t>
      </w:r>
    </w:p>
    <w:p>
      <w:pPr>
        <w:spacing w:after="0" w:line="27" w:lineRule="exact"/>
        <w:rPr>
          <w:rFonts w:ascii="Times New Roman" w:cs="Times New Roman" w:eastAsia="Times New Roman" w:hAnsi="Times New Roman"/>
          <w:sz w:val="18"/>
          <w:szCs w:val="18"/>
          <w:color w:val="auto"/>
        </w:rPr>
      </w:pPr>
    </w:p>
    <w:p>
      <w:pPr>
        <w:jc w:val="both"/>
        <w:ind w:left="800" w:right="700" w:firstLine="9"/>
        <w:spacing w:after="0" w:line="255" w:lineRule="auto"/>
        <w:tabs>
          <w:tab w:leader="none" w:pos="104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OMNI and SION as standards of care of interventional glaucoma treatment among MIGS-trained surgeons, (ii) developing the Standalone Market Segment with a focus on pseudophakic patients whose IOP is not well-controlled on two or more medications and who are at risk of disease progression, and (iii) pursuing coverage and equitable reimbursement for TearCare;</w:t>
      </w:r>
    </w:p>
    <w:p>
      <w:pPr>
        <w:spacing w:after="0" w:line="7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commercial capabilities and expertise, including resources dedicated to sales, marketing and education;</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broadest possible patient access to the treatment alternatives that our products are cleared to offer;</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improve upon our existing product technologies;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international markets and expand into new international markets; and</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create transformational and interventional technology innovation with new products, devices or drugs, in glaucoma and ocular surface disease or in new eye disease areas.</w:t>
      </w:r>
    </w:p>
    <w:p>
      <w:pPr>
        <w:spacing w:after="0" w:line="54"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As a result, we intend to continue to invest in product development, market access, sales and marketing, clinical studies, and education initiatives. Because of these and other factors, we expect to continue to incur net losses for at least the next several years, and we may seek additional debt and equity financing to fund our operations and planned growth.</w:t>
      </w:r>
    </w:p>
    <w:p>
      <w:pPr>
        <w:spacing w:after="0" w:line="68"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To date, our primary sources of capital have been private placements of redeemable convertible preferred stock, debt financing agreements, the sale of common stock in our IPO, and revenue from the sale of our products. As of December 31,</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69" w:name="page70"/>
    <w:bookmarkEnd w:id="6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2024, we had an outstanding term loan balance of $40.0 million (excluding debt discount and amortized debt issuance costs), cash and cash equivalents of $120.4 million and an accumulated deficit of $346.3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Business and Results of Operations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We believe there are several important factors that have impacted and that will continue to impact our business, financial condition, and results of operations. For additional information on risk factors that could impact our results, please refer to the sections entitled “Risk Factors” in this Annual Report on Form 10-K.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These factors affecting our business and results of operations include, but are not limited to: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Development</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We believe our product development approach is a key differentiator of our team and our company. We are focused on continuous innovation and design and utilize input from our network of expert employees (including ophthalmologists on staff), advisors and customers to rapidly iterate our pre-and post-commercial product designs with the aim of better satisfying the needs of our customers and their patients, delivering the most effective, safe, and consistent outcomes, and increasing adoption and utilization of our solutions. We believe it is critical to our product development approach to comprehensively understand the disease physiology, treat the underlying causes with an interventional mindset, and create products with an intuitive design and strong clinical evidence.</w:t>
      </w:r>
    </w:p>
    <w:p>
      <w:pPr>
        <w:spacing w:after="0" w:line="7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Once our products are launched, our customer feedback loop helps us further develop our products. This is particularly evident in the evolution of OMNI, which originated from the combined functionality of two internally developed, commercial predicate devices, each of which had their own multiple commercial iterations. Our future growth is dependent on our ability to continue innovating and applying our expertise of disease physiology to improve existing products and develop new products.</w:t>
      </w:r>
    </w:p>
    <w:p>
      <w:pPr>
        <w:spacing w:after="0" w:line="72"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We intend to add to the OMNI family and bring OMNI Edge to market in the first half of 2025. The addition of OMNI Edge is intended to accommodate varying physician preferences and patient needs in today’s evolving MIGS marketplace. OMNI Edge is designed to increase the amount of viscoelastic delivered with our patented motion synchronized delivery system to ensure the consistency, reproducibility, and safety surgeons have come to trust in the OMNI procedure. With this product, we are further advancing procedural intervention and reinforcing our commitment to best serving both our surgeon customers and the patients they care for. The addition of OMNI Edge reflects our ongoing dedication to enhancing outcomes and supporting the evolving needs of the eye care community.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Rates and Coverage</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In the U.S., healthcare providers use separate billing codes to report the provision of medical procedures and use of supplies to third-party payors, such as government programs or private insurance, and seek reimbursement for all or a portion of those costs. Physician fee payment rates for products covered by temporary Current Procedural Terminology (“CPT”) codes are set by the multi-state, regional contractors, or Medicare Administrative Contractors (“MACs”), which are responsible for administering Medicare claims. MACs have in the past, and may in the future, change coverage terms, and there can be no assurance that coverage and adequate reimbursement will be obtained from, or maintained by, the MACs.</w:t>
      </w:r>
    </w:p>
    <w:p>
      <w:pPr>
        <w:spacing w:after="0" w:line="75"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 xml:space="preserve">In June 2023, for instance, five of the seven MACs published draft local coverage determinations (the “Draft LCDs”), which identified certain procedures </w:t>
      </w:r>
      <w:r>
        <w:rPr>
          <w:rFonts w:ascii="Times New Roman" w:cs="Times New Roman" w:eastAsia="Times New Roman" w:hAnsi="Times New Roman"/>
          <w:sz w:val="18"/>
          <w:szCs w:val="18"/>
          <w:color w:val="000000"/>
        </w:rPr>
        <w:t>as investigational in patients over the age of 18 for glaucoma management, including canaloplasty in combination with trabeculotomy (ab</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interno), which is a procedure associated with OMNI. The Draft LCDs, as amended, were published in final form during the quarter ended December 31, 2023, with a future effective date of January 29, 2024, and subsequently withdrawn in late December 2023. Had the Draft LCDs, as amended, not been withdrawn, canaloplasty followed by trabeculotomy (ab interno) would have been rendered non-covered as of January 29, 2024 with respect to Medicare Part B beneficiaries in the states administered by these MACs. Further, each of the Final LCDs that became effective in November 2024 adopted a non-coverage policy when an aqueous shunt or stent procedure is performed with another surgical MIGS procedure, such as canaloplasty or goniotomy, at the same time in the same patient eye. We estimate that approximately 15% of total MIGS codes billed in the nine months ended September 30, 2024 were done in combination with another MIGS code and expect the non-coverage determination for multiple MIGS procedures will reduce overall MIGS procedure claims volumes, which may adversely impact our business, revenue and prospects. Any updated or new local coverage determinations or other coverage policies that may establish a policy of Medicare non-coverage, or materially restrict coverage, for one or more of our products would have materially and adversely impacted our business, financial condition, and results of operations.</w:t>
      </w:r>
    </w:p>
    <w:p>
      <w:pPr>
        <w:spacing w:after="0" w:line="82"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Further, we have historically only sold TearCare on a limited, cash pay basis while in parallel we have worked to develop robust clinical and health economics data to support equitable and sustainable reimbursement for the TearCare procedure. As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part of our reimbursement efforts, we revised TearCare pricing in the fourth quarter of 2024 to what we believe more accurately reflects the clinical value of the TearCare procedure. We are in the process of actively engaging with commercial payors and MACs to obtain appropriate coverage and payment determinations for the TearCare procedure. If we are not able to achieve sufficient reimbursement for the TearCare procedure, we will not be able to achieve broad customer acceptance and use of TearCare; thus, the future success of TearCare depends on our ability to successfully advocate for and achieve what we believe is fair coverage and reimbursement for the TearCare procedure.</w:t>
      </w:r>
    </w:p>
    <w:p>
      <w:pPr>
        <w:spacing w:after="0" w:line="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Proper reimbursement for our products is critical to the adoption of our products, and we plan to continue to focus on improving and expanding reimbursement coverage and payment amounts for our OMNI technology, and establishing reimbursement coverage and payment amounts for our TearCare technology.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Market Education and Training on the Benefit of Our Products vis-à-vis Existing Treatment Alternatives</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One of the key drivers of our success is educating ophthalmologists, optometrists, patients, and third-party payors about the clinical and safety benefits of our products and of the benefits of more proactive, interventional approach to treating glaucoma and DED. We believe the required market education and development is best accomplished through a differentiated, highly involved commercial approach. As such, we devote significant resources to onboarding our sales professionals and to continuously augmenting their knowledge and capabilities. Our sales professionals provide ECPs with the necessary education, training and support to adopt and continue to safely use our products. We believe that increasing acceptance and usage of our products will require continued investment in our sales force and education efforts to ensure ECPs, patients and third-party payors learn more about our products and appreciate our benefits to their target patient populations.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Maximizing Product Usage by Customers</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 xml:space="preserve">Demand for our products will be highly dependent on our ability to develop their potential addressable markets and maximize the breadth of patients our products can serve. OMNI is indicated for canaloplasty followed by trabeculotomy to reduce elevated intraocular pressure (“IOP”) in adult patients with primary open-angle glaucoma (“POAG”) in the U.S. and with open-angle glaucoma (“OAG”) in the EU. We believe OMNI is the only device that is authorized by the FDA as an </w:t>
      </w:r>
      <w:r>
        <w:rPr>
          <w:rFonts w:ascii="Times New Roman" w:cs="Times New Roman" w:eastAsia="Times New Roman" w:hAnsi="Times New Roman"/>
          <w:sz w:val="18"/>
          <w:szCs w:val="18"/>
          <w:i w:val="1"/>
          <w:iCs w:val="1"/>
          <w:color w:val="231F20"/>
        </w:rPr>
        <w:t>ab interno</w:t>
      </w:r>
      <w:r>
        <w:rPr>
          <w:rFonts w:ascii="Times New Roman" w:cs="Times New Roman" w:eastAsia="Times New Roman" w:hAnsi="Times New Roman"/>
          <w:sz w:val="18"/>
          <w:szCs w:val="18"/>
          <w:color w:val="231F20"/>
        </w:rPr>
        <w:t xml:space="preserve"> procedure to: reduce IOP in adult patients with POAG across the spectrum of disease severity; be used in mild-to-moderate Combination Cataract or Standalone Procedures; access 360 degrees of the diseased conventional outflow pathway through a single clear corneal incision; and facilitate two consecutive procedures, canaloplasty and trabeculotomy, to comprehensively treat all three known areas of resistance in the conventional outflow pathway in a single operating room visit. Our ability to establish OMNI as a standard of care for all POAG patients by continuing to grow its adoption and utilization in Combination Cataract Procedures and by pioneering the development of the market for interventional Standalone Procedures, with a focus on pseudophakic patients, will have a substantial impact on our future growth.</w:t>
      </w:r>
    </w:p>
    <w:p>
      <w:pPr>
        <w:spacing w:after="0" w:line="80"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We introduced our SION Surgical Instrument in the third quarter of 2022. SION satisfies the American Academy of Ophthalmology definition of goniotomy and is registered with the FDA as a Class I 510(k) exempt device. SION’s bladeless design, micro-engineered and precision manufactured using specialized lasers, excises tissue without cutting.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 SION allows us to serve specific subsets of customers who may prioritize a faster or simpler procedure. Our target customers for SION include three types of combination cataract MIGS surgeons that are distinct from target OMNI customers: (1) high volume cataract surgeons seeking to perform the quickest MIGS procedures, (2) surgeons who are initially less experienced with MIGS such as surgical fellows at academic institutions and (3) surgeons looking for the most cost effective MIGS procedures. We believe that these use cases have very little overlap with the use cases for our OMNI device. Our ability to establish SION as a product with differentiated ease of use, safety and efficacy will be an important driver of SION’s commercial growth and success.</w:t>
      </w:r>
    </w:p>
    <w:p>
      <w:pPr>
        <w:spacing w:after="0" w:line="86"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TearCare is a unique open-eye heating and expression device designed to melt and remove meibomian gland obstructions. We believe TearCare has a compelling physiological profile to address obstruction from meibomian gland disease ("MGD"), which is the primary cause of evaporative DED, a disease characterized by low quality tears that evaporate prematurely. The current DED treatment market primarily consists of an abundance of OTC and prescription eyedrops that seek to lubricate the ocular surface, alleviate inflammation and/or increase tear production. However, OTC and prescription eyedrops are incapable of clearing obstructions in the meibomian glands and do not address MGD’s eyelid-borne physiology and poor tear quality. MGD is associated with up to 86% of DED cases and is a leading root cause of evaporative DED, which is characterized by low quality tears that evaporate prematurely. Clinical studies have demonstrated that treating MGD by liquefying and removing clogged meibum is the most effective method to eliminate obstructions and restore the lipid layer</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231F20"/>
        </w:rPr>
        <w:t>of tear film, thereby preventing premature evaporation of tears. TearCare was designed to be administered during the course of a routine office visit to an ECP, which makes it convenient for patients, and allows providers to maintain procedural throughput in their practices. Our ability to improve patient access and market education on TearCare and the benefits of proactive MGD treatment will be key drivers of TearCare’s future growth. We believe that sufficiently reimbursed patient access to the TearCare procedure is necessary to drive broad customer acceptance and adoption.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Operational Excellence and Cost Efficiency</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We aim to achieve operating and financial milestones with optimal capital efficiency, and focus on our market value relative to invested capital as a key measurement of our performance. To date, we have raised $402.4 million in net proceeds from equity and debt financings, including $252.2 million from our IPO. With a portion of these net proceeds (our December 31, 2024 cash and equivalents was $120.4 million), we have developed and commercially launched two clinically differentiated products, funded multiple completed and ongoing clinical trials, and built our management team and company infrastructure to support the continued growth of our business. We believe this level of operational and commercial progress relative to our total capital investment to date compares favorably to medical technology peers and we seek to design products that can achieve attractive long-term gross margins.</w:t>
      </w:r>
    </w:p>
    <w:p>
      <w:pPr>
        <w:spacing w:after="0" w:line="8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However, during the year ended December 31, 2024 and in the first months of 2025, global and regional economies, as well as the markets we serve, have experienced significant volatility, including as a result of the impacts of macroeconomic conditions, such as tariffs, inflation, supply shortages, and geopolitical pressures. For example, in February and March 2025, the United States imposed additional tariffs on products from China. A significant portion of our OMNI and SION products, and certain of our TearCare system components, are produced and assembled in China by a single Taiwan-based manufacturer. These tariffs, as well as any future tariffs, by the United States or other countries could significantly increase the cost of our products and components, and will have a negative impact on our gross margins. However, the impact of any such tariffs will depend upon various factors, including the timing, amount, scope, and nature of the tariffs, as well as any mitigating actions we implement, including by diversifying our third-party suppliers.</w:t>
      </w:r>
    </w:p>
    <w:p>
      <w:pPr>
        <w:spacing w:after="0" w:line="8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While the impact of these macroeconomic factors is not readily determinable, we have not been materially impacted by these macroeconomic conditions, but there can be no assurance that our business operations and financial condition will not be materially adversely affected in the future. The duration and scope of these conditions cannot be predicted with certainty, and it is uncertain what impacts, if any, these pressures may have on our ability to support the efficient and sustainable growth of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We currently derive the majority of our U.S. revenue from the sale of our OMNI and SION products to ASCs and HOPDs and from the sales of our TearCare products to ECPs. To date, the revenue from our Surgical Glaucoma segment has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years ended December 31, 2024 and 2023.</w:t>
      </w:r>
    </w:p>
    <w:p>
      <w:pPr>
        <w:spacing w:after="0" w:line="8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growth of our revenue is primarily driven by the demand for elective surgery and treatment utilizing our products in the United States and Europe, product reimbursement rates and coverage criteria, and competition. Such demand is often lower during summer months because of ECP vacations and in winter months because of fewer business or surgery days due to holidays and adverse weather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Goods Sold</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Gross Profit and Gross Margin</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72" w:name="page73"/>
    <w:bookmarkEnd w:id="72"/>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We calculate gross margin as gross profit divided by revenue. Our gross margin has been, and we believe it will continue to be, affected by a variety of factors, including differences in segment gross margins, changes in average selling prices, changes in product reimbursement rates, product sales mix, production and ordering volumes, manufacturing costs, product yields, and headcount. In general, we expect our gross margins to increase over the long 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However, our gross margins could fluctuate from quarter to quarter due to a number of factors, including variations in product mix, changes in product reimbursement rates, transitions to new suppliers, introduction of new products by us or our competitors, adoption of new manufacturing processes and technologies, and responses to evolving macroeconomic, and geopolitical conditions, including the adoption of tariffs by the United States and China.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programs, develop new products, and improve our existing products.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 Expenses</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p>
    <w:p>
      <w:pPr>
        <w:spacing w:after="0" w:line="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Our SG&amp;A expenses as a percentage of revenue may vary over time depending on the level and timing of commercial expansion efforts. We expect our SG&amp;A expenses to increase for the next several years as we continue to invest in our commercial team, market access, and launch new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Income</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nvestment income primarily consists of interest and amortization on held-to-maturity investments in U.S. treasury securities and money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funds.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Expense</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incurred on our outstanding indebtedness and non-cash interest related to the accretion of debt discount and amortization of debt issuance costs associated with our term loan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Loss on Debt Extinguishment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loss on debt extinguishment is associated with our termination and settlement of the MidCap Term Loan.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Other income (expense), net primarily consists of income and expenses that do not originate from our primary business.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73" w:name="page74"/>
    <w:bookmarkEnd w:id="73"/>
    <w:p>
      <w:pPr>
        <w:ind w:left="120"/>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3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75,902</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74,310</w:t>
            </w:r>
          </w:p>
        </w:tc>
        <w:tc>
          <w:tcPr>
            <w:tcW w:w="3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5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95.0 %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91.7 %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(2,782 )</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(41.2 )</w:t>
            </w:r>
          </w:p>
        </w:tc>
      </w:tr>
      <w:tr>
        <w:trPr>
          <w:trHeight w:val="216"/>
        </w:trPr>
        <w:tc>
          <w:tcPr>
            <w:tcW w:w="5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5.0 %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8.3 %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(1,190 )</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(918 )</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(30.1 )</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(300 )</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(1,864 )</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(50.4 )</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(890 )</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87.6 %</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88.1 %</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46.2 %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54.8 %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85.5 %</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85.3 %</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100,826</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(8,067 )</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(7,632 )</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5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(50,532 )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(57,274 )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(11.8 )</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(1,372 )</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(4,662 )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(5,408 )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(13.8 )</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(1,962 )</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(1,962 )</w:t>
            </w:r>
          </w:p>
        </w:tc>
        <w:tc>
          <w:tcPr>
            <w:tcW w:w="3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(27.3 )</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42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26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(51,271 )</w:t>
            </w:r>
          </w:p>
        </w:tc>
        <w:tc>
          <w:tcPr>
            <w:tcW w:w="32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(55,437 )</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(51,507 )</w:t>
            </w:r>
          </w:p>
        </w:tc>
        <w:tc>
          <w:tcPr>
            <w:tcW w:w="3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(55,547 )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-3659505</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-3659505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-3659505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-3659505</wp:posOffset>
            </wp:positionV>
            <wp:extent cx="154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-3102610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-3102610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-3102610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-3102610</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-2545715</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-2545715</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-2545715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-2545715</wp:posOffset>
            </wp:positionV>
            <wp:extent cx="154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-1988185</wp:posOffset>
            </wp:positionV>
            <wp:extent cx="120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-1988185</wp:posOffset>
            </wp:positionV>
            <wp:extent cx="120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-1988185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-1988185</wp:posOffset>
            </wp:positionV>
            <wp:extent cx="1543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-1430655</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-1430655</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-1430655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-1430655</wp:posOffset>
            </wp:positionV>
            <wp:extent cx="154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-591185</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-591185</wp:posOffset>
            </wp:positionV>
            <wp:extent cx="120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-591185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-591185</wp:posOffset>
            </wp:positionV>
            <wp:extent cx="1543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11" w:lineRule="exact"/>
        <w:rPr>
          <w:sz w:val="20"/>
          <w:szCs w:val="20"/>
          <w:color w:val="auto"/>
        </w:rPr>
      </w:pPr>
    </w:p>
    <w:p>
      <w:pPr>
        <w:jc w:val="both"/>
        <w:ind w:left="120" w:right="60" w:firstLine="419"/>
        <w:spacing w:after="0" w:line="257" w:lineRule="auto"/>
        <w:rPr>
          <w:sz w:val="20"/>
          <w:szCs w:val="20"/>
          <w:color w:val="auto"/>
        </w:rPr>
      </w:pPr>
      <w:r>
        <w:rPr>
          <w:rFonts w:ascii="Times New Roman" w:cs="Times New Roman" w:eastAsia="Times New Roman" w:hAnsi="Times New Roman"/>
          <w:sz w:val="18"/>
          <w:szCs w:val="18"/>
          <w:i w:val="1"/>
          <w:iCs w:val="1"/>
          <w:color w:val="231F20"/>
        </w:rPr>
        <w:t>Revenue</w:t>
      </w:r>
      <w:r>
        <w:rPr>
          <w:rFonts w:ascii="Times New Roman" w:cs="Times New Roman" w:eastAsia="Times New Roman" w:hAnsi="Times New Roman"/>
          <w:sz w:val="18"/>
          <w:szCs w:val="18"/>
          <w:color w:val="231F20"/>
        </w:rPr>
        <w:t>. Revenue in the year ended December 31, 2024 was $79.9 million, a decrease of $1.2 million, or 1.5%, compared to the prior year. In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year ended December 31, 2024, Surgical Glaucoma and Dry Eye sales contributed $75.9 million and $4.0 million, respectively, compared to $74.3 million and $6.7 million, respectively, in the prior year. </w:t>
      </w:r>
      <w:r>
        <w:rPr>
          <w:rFonts w:ascii="Times New Roman" w:cs="Times New Roman" w:eastAsia="Times New Roman" w:hAnsi="Times New Roman"/>
          <w:sz w:val="18"/>
          <w:szCs w:val="18"/>
          <w:color w:val="000000"/>
        </w:rPr>
        <w:t>The overall increase in Surgical Glaucoma revenue was primarily attributable to an 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unit utilization per ordering account, partially offset by a slight decrease in the number of ordering facilities and lower prices due to product sales mix in the year ended December 31, 2024. Our Dry Eye revenue decreased in the year ended December 31, 2024 primarily due to fewer SmartHubs and SmartLids sales, which was the result of the Company’s focus on achieving market access for TearCare procedures instead of cash-pay procedures.</w:t>
      </w:r>
    </w:p>
    <w:p>
      <w:pPr>
        <w:spacing w:after="0" w:line="74" w:lineRule="exact"/>
        <w:rPr>
          <w:sz w:val="20"/>
          <w:szCs w:val="20"/>
          <w:color w:val="auto"/>
        </w:rPr>
      </w:pPr>
    </w:p>
    <w:p>
      <w:pPr>
        <w:jc w:val="both"/>
        <w:ind w:left="120" w:right="60" w:firstLine="419"/>
        <w:spacing w:after="0" w:line="261" w:lineRule="auto"/>
        <w:rPr>
          <w:sz w:val="20"/>
          <w:szCs w:val="20"/>
          <w:color w:val="auto"/>
        </w:rPr>
      </w:pPr>
      <w:r>
        <w:rPr>
          <w:rFonts w:ascii="Times New Roman" w:cs="Times New Roman" w:eastAsia="Times New Roman" w:hAnsi="Times New Roman"/>
          <w:sz w:val="18"/>
          <w:szCs w:val="18"/>
          <w:i w:val="1"/>
          <w:iCs w:val="1"/>
          <w:color w:val="231F20"/>
        </w:rPr>
        <w:t>Cost of Goods Sold</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Cost of goods sold during the year ended December 31, 2024, decreased $0.3 million, or 2.5%, compared to the prior year.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Our Surgical Glaucoma cost of goods sold increased $0.6 million compared to 2023. The increase was primarily driven by product sales mix and higher per unit cost, partially offset by higher scrap charges in the prior year. Dry Eye cost of goods sold decreased $0.9 million compared to the prior year, primarily driven by higher overhead costs per unit and lower sales volumes.</w:t>
      </w:r>
    </w:p>
    <w:p>
      <w:pPr>
        <w:spacing w:after="0" w:line="72" w:lineRule="exact"/>
        <w:rPr>
          <w:sz w:val="20"/>
          <w:szCs w:val="20"/>
          <w:color w:val="auto"/>
        </w:rPr>
      </w:pPr>
    </w:p>
    <w:p>
      <w:pPr>
        <w:jc w:val="both"/>
        <w:ind w:left="120" w:right="60" w:firstLine="419"/>
        <w:spacing w:after="0" w:line="284" w:lineRule="auto"/>
        <w:rPr>
          <w:sz w:val="20"/>
          <w:szCs w:val="20"/>
          <w:color w:val="auto"/>
        </w:rPr>
      </w:pPr>
      <w:r>
        <w:rPr>
          <w:rFonts w:ascii="Times New Roman" w:cs="Times New Roman" w:eastAsia="Times New Roman" w:hAnsi="Times New Roman"/>
          <w:sz w:val="18"/>
          <w:szCs w:val="18"/>
          <w:i w:val="1"/>
          <w:iCs w:val="1"/>
          <w:color w:val="231F20"/>
        </w:rPr>
        <w:t>Gross Profit and Gross Margin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Our total gross profit was $68.3 million for the year ended December 31, 2024, a decrease of $0.9 million,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1.3%, compared to the prior year. Total gross margin increased to 85.5% for the year ended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December 31, 2024, up from 85.3% in the prior year period. Gross margin in our Surgical Glaucoma segment was 87.6% for the year ended December 31, 2024, a decrease from 88.1% for the prior year period. The decrease in our Surgical Glaucoma gross margin was primarily due to product sales mix and higher per unit cost, partially offset by higher scrap charges in the prior year. In our Dry Eye segment, gross margin decreased from 54.8% in 2023, to 46.2% for the year ended December 31, 2024, primarily due to higher overhead costs per unit due to lower volumes.</w:t>
      </w:r>
    </w:p>
    <w:p>
      <w:pPr>
        <w:spacing w:after="0" w:line="70" w:lineRule="exact"/>
        <w:rPr>
          <w:sz w:val="20"/>
          <w:szCs w:val="20"/>
          <w:color w:val="auto"/>
        </w:rPr>
      </w:pPr>
    </w:p>
    <w:p>
      <w:pPr>
        <w:jc w:val="both"/>
        <w:ind w:firstLine="419"/>
        <w:spacing w:after="0" w:line="267" w:lineRule="auto"/>
        <w:rPr>
          <w:sz w:val="20"/>
          <w:szCs w:val="20"/>
          <w:color w:val="auto"/>
        </w:rPr>
      </w:pPr>
      <w:r>
        <w:rPr>
          <w:rFonts w:ascii="Times New Roman" w:cs="Times New Roman" w:eastAsia="Times New Roman" w:hAnsi="Times New Roman"/>
          <w:sz w:val="18"/>
          <w:szCs w:val="18"/>
          <w:i w:val="1"/>
          <w:iCs w:val="1"/>
          <w:color w:val="231F20"/>
        </w:rPr>
        <w:t>Research and Development Expenses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R&amp;D expenses were $18.0 million for the year ended December 31, 2024, an increase of $0.4 million,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2.5%, compared to the prior year. The increase was primarily attributable to a $1.0 million increase in personnel costs including payroll and related benefits and professional and outside services, which were partially offset by a decrease of $0.7 million in clinical study expenses.</w:t>
      </w:r>
    </w:p>
    <w:p>
      <w:pPr>
        <w:spacing w:after="0" w:line="6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i w:val="1"/>
          <w:iCs w:val="1"/>
          <w:color w:val="231F20"/>
        </w:rPr>
        <w:t>Selling, General, and Administrative Expenses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SG&amp;A expenses were $100.8 million for the year ended December 31, 2024, a decrease of $8.1</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million, or 7.4%, compared to the prior year. The decrease was primarily attributable to a $5.3 million decrease in personnel expenses, including payroll and related benefits, commissions, and incentive compensation. In addition, the Company saw a $1.7 million decrease in marketing expenses, a $1.6 million decrease in legal expenses, and a $0.9 million decrease in facilities expenses. These decreases were partially offset by a $2.4 million increase in stock-based compensation expense, and a $0.6 million increase in accounting and related expenses.</w:t>
      </w:r>
    </w:p>
    <w:p>
      <w:pPr>
        <w:spacing w:after="0" w:line="75" w:lineRule="exact"/>
        <w:rPr>
          <w:sz w:val="20"/>
          <w:szCs w:val="20"/>
          <w:color w:val="auto"/>
        </w:rPr>
      </w:pPr>
    </w:p>
    <w:p>
      <w:pPr>
        <w:jc w:val="both"/>
        <w:ind w:firstLine="419"/>
        <w:spacing w:after="0" w:line="284" w:lineRule="auto"/>
        <w:rPr>
          <w:sz w:val="20"/>
          <w:szCs w:val="20"/>
          <w:color w:val="auto"/>
        </w:rPr>
      </w:pPr>
      <w:r>
        <w:rPr>
          <w:rFonts w:ascii="Times New Roman" w:cs="Times New Roman" w:eastAsia="Times New Roman" w:hAnsi="Times New Roman"/>
          <w:sz w:val="18"/>
          <w:szCs w:val="18"/>
          <w:i w:val="1"/>
          <w:iCs w:val="1"/>
          <w:color w:val="231F20"/>
        </w:rPr>
        <w:t>Investment Income</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Investment income was $5.9 million for the year ended December 31, 2024, a decrease of $1.4 million, or 18.8%, from $7.3</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million in the prior year period. The decline was primarily due to lower investment balances during the current year.</w:t>
      </w:r>
    </w:p>
    <w:p>
      <w:pPr>
        <w:spacing w:after="0" w:line="50" w:lineRule="exact"/>
        <w:rPr>
          <w:sz w:val="20"/>
          <w:szCs w:val="20"/>
          <w:color w:val="auto"/>
        </w:rPr>
      </w:pPr>
    </w:p>
    <w:p>
      <w:pPr>
        <w:jc w:val="both"/>
        <w:ind w:firstLine="419"/>
        <w:spacing w:after="0" w:line="267" w:lineRule="auto"/>
        <w:rPr>
          <w:sz w:val="20"/>
          <w:szCs w:val="20"/>
          <w:color w:val="auto"/>
        </w:rPr>
      </w:pPr>
      <w:r>
        <w:rPr>
          <w:rFonts w:ascii="Times New Roman" w:cs="Times New Roman" w:eastAsia="Times New Roman" w:hAnsi="Times New Roman"/>
          <w:sz w:val="18"/>
          <w:szCs w:val="18"/>
          <w:i w:val="1"/>
          <w:iCs w:val="1"/>
          <w:color w:val="231F20"/>
        </w:rPr>
        <w:t>Interest Expense</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Interest expense was $4.7 million in the year ended December 31, 2024, a decrease of $0.7 million, or 13.8%, compared to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prior year period due to lower lending rates associated with the Hercules Loan Agreement. See the section titled “Hercules Capital Loan Agreement” below, for additional information.</w:t>
      </w:r>
    </w:p>
    <w:p>
      <w:pPr>
        <w:spacing w:after="0" w:line="65" w:lineRule="exact"/>
        <w:rPr>
          <w:sz w:val="20"/>
          <w:szCs w:val="20"/>
          <w:color w:val="auto"/>
        </w:rPr>
      </w:pPr>
    </w:p>
    <w:p>
      <w:pPr>
        <w:jc w:val="both"/>
        <w:ind w:firstLine="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Debt Extinguishment. </w:t>
      </w:r>
      <w:r>
        <w:rPr>
          <w:rFonts w:ascii="Times New Roman" w:cs="Times New Roman" w:eastAsia="Times New Roman" w:hAnsi="Times New Roman"/>
          <w:sz w:val="18"/>
          <w:szCs w:val="18"/>
          <w:color w:val="auto"/>
        </w:rPr>
        <w:t>Loss on debt extinguishment was $2.0 million for the year ended December 31, 2024 compared to $0.0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The increase in the current year was driven by our loss on the termination and settlement of the MidCap Term Loan.</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 xml:space="preserve">Other Expense, Net. </w:t>
      </w:r>
      <w:r>
        <w:rPr>
          <w:rFonts w:ascii="Times New Roman" w:cs="Times New Roman" w:eastAsia="Times New Roman" w:hAnsi="Times New Roman"/>
          <w:sz w:val="18"/>
          <w:szCs w:val="18"/>
          <w:color w:val="000000"/>
        </w:rPr>
        <w:t>Other expense, net was expense of less than $0.1 million for both the years ended December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indicated (in thousands):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9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(22,351 )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(47,184 )</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(791 )</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(17,772 )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(46,871 )</w:t>
            </w:r>
          </w:p>
        </w:tc>
      </w:tr>
      <w:tr>
        <w:trPr>
          <w:trHeight w:val="20"/>
        </w:trPr>
        <w:tc>
          <w:tcPr>
            <w:tcW w:w="6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-170815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-170815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Used in Operating Activities</w:t>
      </w:r>
    </w:p>
    <w:p>
      <w:pPr>
        <w:spacing w:after="0" w:line="11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$22.4 million, consisting primarily of a net loss of $51.5 million, partially offset by non-cash charges of $20.1 million and a net change in our operating assets and liabilities of $9.0 million. The $9.0 million change in our net operating assets and liabilities included decreases of $3.5 million in accounts receivable and $1.6 million in inventory, as well as increases of $5.2 million in accrued compensation and $0.3 million accounts payable. These were partially offset by a $1.6 million decrease in other noncurrent liabilities. The non-cash charges primarily consisted of $17.1 million related to stock-based compensation, $1.0 million of noncash loss on debt extinguishment, $0.8 of accretion of debt discount and debt issuance costs, $0.7 million of depreciation and amortization, and $0.6 million of noncash operating lease expense.</w:t>
      </w:r>
    </w:p>
    <w:p>
      <w:pPr>
        <w:spacing w:after="0" w:line="8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$47.2 million, consisting primarily of a net loss of $55.5 million and a net change in our operating assets and liabilities of $9.1 million, partially offset by non-cash charges of $17.5 million. The change in our net operating assets and liabilities was primarily due to a $7.4 million decrease in accrued and other current liabilities and accrued compensation. This was due to a decline in sales commissions and incentive compensation, as well as reduced inventory purchases following the publication of the Draft LCDs in the fourth quarter of 2023. The Company also had a $2.2 million increase in inventory to support its planned growth in operations.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These were partially offset by $0.8 million decrease in prepaid expenses and other current assets due to lower insurance premiums, as well as a $0.7 million decrease in accounts receivable. The non-cash charges primarily consisted of $14.6 million related to stock-based compensation, $0.6 million of depreciation, $0.6 million of accretion of debt discount and amortization of debt issuance costs, and $1.0 million of noncash operating lease expense.</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Used in Investing Activities</w:t>
      </w:r>
    </w:p>
    <w:p>
      <w:pPr>
        <w:spacing w:after="0" w:line="11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Net cash used in investing activities in the years ended December 31, 2024 and 2023 was $0.4 million and $0.8 million, respectively, consisting of purchases of property and equipment.</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Provided by Financing Activities</w:t>
      </w:r>
    </w:p>
    <w:p>
      <w:pPr>
        <w:spacing w:after="0" w:line="11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Net cash provided by financing activities for the year ended December 31, 2024 was $5.0 million, consisting primarily of proceeds from the Hercules Loan Agreement, partially offset by costs associated with refinancing the term loan agreement. Net cash provided by financing activities for the year ended December 31, 2023 was $1.1 million, which primarily related to proceeds from the exercise of common stock options and proceeds from employee stock purchase plan purchases.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21"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231F20"/>
        </w:rPr>
        <w:t>To date, our primary sources of capital have been private placements of redeemable convertible preferred stock, the sale of common stock in our IPO, debt financing arrangements, and revenue from the sale of our products. Since our inception through December 31, 2024, we have raised an aggregate of approximately $402.4 million in net proceeds from sales of our redeemable convertible preferred stock and common stock and borrowed an aggregate of approximately $37.9 million of net proceeds under our term loans.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funded under the Hercules Loan Agreement to discharge our indebtedness under our prior secured credit facility with MidCap Financial Trust and certain of its affiliates (the “Prior Lenders”). In December 2024, we consummated the drawdown of the $5.0 million Tranche I(b) term loan advance (the "Tranche I(b) Loan") contemplated by the Hercules Loan Agreement. While our indebtedness to the Lenders remains outstanding, we are required to use commercially reasonable efforts to grant to the Lenders the option to invest up to $3.0 million in our next round of equity financing, if any, broadly marketed to multiple investors on the same terms, conditions and pricing offered to investors in such subsequent equity financing.</w:t>
      </w:r>
    </w:p>
    <w:p>
      <w:pPr>
        <w:spacing w:after="0" w:line="8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As of December 31, 2024, we had cash and cash equivalents of $120.4 million, an accumulated deficit of $346.3 million and $40.0 million outstanding under the Hercules Loan Agreement (before debt discounts and amortized debt issuance costs). Based on our currently planned operations and strategic objectives, we expect our cash and cash equivalents and additional borrowings available under the Hercules Loan Agreement will enable us to fund our operations for at least the next 12 months.</w:t>
      </w:r>
    </w:p>
    <w:p>
      <w:pPr>
        <w:spacing w:after="0" w:line="72" w:lineRule="exact"/>
        <w:rPr>
          <w:sz w:val="20"/>
          <w:szCs w:val="20"/>
          <w:color w:val="auto"/>
        </w:rPr>
      </w:pPr>
    </w:p>
    <w:p>
      <w:pPr>
        <w:jc w:val="both"/>
        <w:ind w:firstLine="419"/>
        <w:spacing w:after="0" w:line="269" w:lineRule="auto"/>
        <w:rPr>
          <w:sz w:val="20"/>
          <w:szCs w:val="20"/>
          <w:color w:val="auto"/>
        </w:rPr>
      </w:pPr>
      <w:r>
        <w:rPr>
          <w:rFonts w:ascii="Times New Roman" w:cs="Times New Roman" w:eastAsia="Times New Roman" w:hAnsi="Times New Roman"/>
          <w:sz w:val="17"/>
          <w:szCs w:val="17"/>
          <w:color w:val="231F20"/>
        </w:rPr>
        <w:t>Our historical cash outflows have been primarily been associated with cash used for operating activities such as sales, marketing and commercialization of our products, research and development activities, regulatory and market access activities, intellectual property portfolio expansion and enforcement, capital expenditures and debt service costs. Our cash requirements will depend extensively on our ability to obtain and maintain sufficient reimbursement for our products, including our ability to successfully protect reimbursement for our Surgical Glaucoma products and establish reimbursement for our Dry Eye products. Our requirements also will be significantly impacted by our ability to manage and grow our business by maintaining and expanding our sales to existing customers or introducing our products to new customers, the level of our investment in commercialization and research and development including clinical trials, whether we make strategic acquisitions, entry and expansion into new markets, and competition. We cannot accurately predict our long-term cash requirements at this time. An extended period of global supply chain, geopolitical or trade tensions, or economic disruption could materially affect our business, results of operations, access to sources of liquidity, and financial condition. We may seek additional sources of liquidity and capital resources through equity or debt financings, such as additional securities offerings or through borrowings under a new or existing credit facility. There can be no assurance that such transactions will be available to us on favorable terms, if at all.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Hercules Capital Loan Agreement</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In January 2024, we entered into the Hercules Loan Agreement, which provides for a maximum $65.0 million credit facility. An initial tranche of $35.0 million (the “Initial Loan”) was funded under the credit agreement on January 22, 2024 (the “Closing Date”). On December 10, 2024, we consummated the Tranche 1(b) Drawdown (together with the Initial Loan, the "Tranche I Commitment"). In addition to the Initial Loan and Tranche 1(b) Drawdown, the Hercules Loan Agreement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231F20"/>
        </w:rPr>
        <w:t>provides additional tranches available to the Company (the “Tranche Loans,” and together with the Initial Loan, the “Term Loans). Tranche 2 consists of $10.0 million available to draw upon through September 15, 2025, contingent upon the achievement of certain performance milestones. The Company does not currently anticipate achieving these milestones prior to the June 30, 2025 performance deadline. Tranche 3 consists of $15.0 million available for us to draw through the interest only period in increments of $5.0 million, subject to the sole approval of Hercules' investment committee.</w:t>
      </w:r>
    </w:p>
    <w:p>
      <w:pPr>
        <w:spacing w:after="0" w:line="72"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Hercules Loan Agreement includes a maturity date of July 1, 2028, with an interest-only period running for a 30 months, extendable up to 36 months upon the achievement of certain milestones. The agreement contains a floating rate of the greater of 10.35% or the Prime Rate plus 2.35%, with the initial interest rate under the agreement of 10.85%. The final payment fee is set at 5.95% of the funded balance. In conjunction with the funding of the Initial Loan, we issued seven-year warrants to the Lenders to purchase up to an aggregate of 135,686 shares of our common stock at an exercise price of $5.159 per share. In connection with the funding of Tranche 1(b) Drawdown, in December 2024 we issued seven-year warrants to the Lenders to purchase up to an aggregate of 26,095 shares of our common stock at an exercise price of $3.83 per share.</w:t>
      </w:r>
    </w:p>
    <w:p>
      <w:pPr>
        <w:spacing w:after="0" w:line="7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Our obligations under the Hercules Loan Agreement are guaranteed by us and our future subsidiaries, subject to exceptions for certain foreign subsidiaries. Our obligations under the agreement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minimum revenue covenants under the Hercules Loan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MidCap Loan Agreements</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 xml:space="preserve">In January 2019, we entered into credit and security agreements with the Prior Lenders. These agreements were amended and restated in November 2020, providing for a maximum $40.0 million credit facility consisting of a $35.0 million senior secured term loan (the "2020 Term Loan") and a $5.0 million revolving loan (the "2020 Revolver” and together with the 2020 Term Loan, the “MidCap Credit Facility”). </w:t>
      </w:r>
      <w:r>
        <w:rPr>
          <w:rFonts w:ascii="Times New Roman" w:cs="Times New Roman" w:eastAsia="Times New Roman" w:hAnsi="Times New Roman"/>
          <w:sz w:val="18"/>
          <w:szCs w:val="18"/>
          <w:color w:val="231F20"/>
        </w:rPr>
        <w:t>In January 2024, we terminated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MidCap Term Loan Agreement and paid off in full the secured obligations thereunder in connection with our entry into the Hercules Loan Agreement.</w:t>
      </w:r>
    </w:p>
    <w:p>
      <w:pPr>
        <w:spacing w:after="0" w:line="7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 xml:space="preserve">The Amended and Restated Credit and Security Agreement (Term Loan) evidencing the 2020 Term Loan (the “MidCap Term Loan Agreement”) extended the maturity date of the 2020 Term Loan to November 1, 2025 and adjusted the stated floating interest rate to reserve-adjusted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7.00%. Principal payments under the MidCap Term Loan Agreement were extended and scheduled to begin in December 2024. The final payment fee was amended to 6.0%.</w:t>
      </w:r>
    </w:p>
    <w:p>
      <w:pPr>
        <w:spacing w:after="0" w:line="72"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Our obligations under the MidCap Term Loan Agreement were guaranteed by us and our future subsidiaries, subject to exceptions for certain foreign subsidiaries. Our obligations under the agreements were secured by substantially all of our assets, including our material intellectual property. Additionally, we were subject to customary affirmative and negative covenants, including covenants that limited or restricted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w:t>
      </w:r>
    </w:p>
    <w:p>
      <w:pPr>
        <w:spacing w:after="0" w:line="75"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MidCap Credit Term Loan Agreement contained events of default that included, among others, non-payment of principal, interest or fees, breach of covenants, inaccuracy of representations and warranties, cross-defaults and bankruptcy and insolvency events.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Off-Balance Sheet Arrangements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Our financial statements have been prepared in accordance with U.S. generally accepted accounting principles, or GAAP.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75"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While our significant accounting policies are more fully described in Note 2 to our financial statements included in this Annual Report on Form 10-K, we believe the following discussion addresses our most critical accounting estimates, which</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77" w:name="page78"/>
    <w:bookmarkEnd w:id="77"/>
    <w:p>
      <w:pPr>
        <w:ind w:right="240"/>
        <w:spacing w:after="0" w:line="375" w:lineRule="auto"/>
        <w:rPr>
          <w:sz w:val="20"/>
          <w:szCs w:val="20"/>
          <w:color w:val="auto"/>
        </w:rPr>
      </w:pPr>
      <w:r>
        <w:rPr>
          <w:rFonts w:ascii="Times New Roman" w:cs="Times New Roman" w:eastAsia="Times New Roman" w:hAnsi="Times New Roman"/>
          <w:sz w:val="18"/>
          <w:szCs w:val="18"/>
          <w:color w:val="231F20"/>
        </w:rPr>
        <w:t xml:space="preserve">are those that are most important to our financial condition and results of operations and require our most difficult, subjective and complex judgments. </w:t>
      </w:r>
      <w:r>
        <w:rPr>
          <w:rFonts w:ascii="Times New Roman" w:cs="Times New Roman" w:eastAsia="Times New Roman" w:hAnsi="Times New Roman"/>
          <w:sz w:val="18"/>
          <w:szCs w:val="18"/>
          <w:b w:val="1"/>
          <w:bCs w:val="1"/>
          <w:i w:val="1"/>
          <w:iCs w:val="1"/>
          <w:color w:val="231F20"/>
        </w:rPr>
        <w:t>Stock-Based Compensation</w:t>
      </w:r>
    </w:p>
    <w:p>
      <w:pPr>
        <w:spacing w:after="0" w:line="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We maintain an equity incentive plan that permits the grant of stock-based awards, such as stock options and restricted stock units ("RSUs"), to employees, directors, and consultants. We recognize equity-based compensation expense for awards of equity instruments based on the grant date fair value of those awards. We estimate the fair value of our stock option awards based on the estimated fair values as of the grant date using the Black-Scholes-Merton ("Black-Scholes") option-pricing model, net of estimated forfeitures. The model requires us to make a number of assumptions, including expected volatility, expected term, risk-free interest rate, and expected dividend yield.</w:t>
      </w:r>
    </w:p>
    <w:p>
      <w:pPr>
        <w:spacing w:after="0" w:line="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fair value of RSU awards is determined based on the number of units granted and the closing price of the Company's common stock as of the grant date. We expense the fair value of our equity-based compensation awards on a straight-line basis over the requisite service period, which is the period during which the related services are provided.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in this Annual Report on Form 10-K for more information about recent accounting pronouncements, the timing of their adoption, and our assessment with respect to their impact on our financial statements and related disclosures.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Our exposure to interest rate risk is principally confined to our cash and cash equivalents and our outstanding credit agreement. As of December 31, 2024, we had cash, cash equivalents and investments of $120.4 million, which consisted of bank deposits, money market funds, and U.S. treasury bills. The primary objectives of our investment activities are the preservation of capital and support of our liquidity requirements. We place our cash, cash equivalents, and investments with high-quality financial institutions and have established investment guidelines relative to diversification and maturities designed to maintain safety and liquidity. We believe that we do not have any material exposure to changes in the fair value of these assets as a result of changes in interest rates due to the short-term nature of our cash, cash equivalents and short-term investments.</w:t>
      </w:r>
    </w:p>
    <w:p>
      <w:pPr>
        <w:spacing w:after="0" w:line="7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In January 2024, we entered into a credit agreement with Hercules Capital. The Hercules Loan Agreement contains a floating rate equal to the greater of 10.35% or the Prime Rate plus 2.35%, with the initial interest rate under the agreement of 10.85%. As of December 31, 2024, the balance outstanding under the agreement is $40.0 million and the interest rate was 10.35%. Based upon the balance outstanding, a hypothetical 1.0% (100 basis points) change in interest rates would not have a material impact on our financial statements.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238"/>
        </w:trPr>
        <w:tc>
          <w:tcPr>
            <w:tcW w:w="83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680" w:type="dxa"/>
            <w:vAlign w:val="bottom"/>
          </w:tcPr>
          <w:p>
            <w:pPr>
              <w:spacing w:after="0"/>
              <w:rPr>
                <w:sz w:val="20"/>
                <w:szCs w:val="20"/>
                <w:color w:val="auto"/>
              </w:rPr>
            </w:pPr>
          </w:p>
        </w:tc>
      </w:tr>
      <w:tr>
        <w:trPr>
          <w:trHeight w:val="540"/>
        </w:trPr>
        <w:tc>
          <w:tcPr>
            <w:tcW w:w="3180" w:type="dxa"/>
            <w:vAlign w:val="bottom"/>
          </w:tcPr>
          <w:p>
            <w:pPr>
              <w:spacing w:after="0"/>
              <w:rPr>
                <w:sz w:val="24"/>
                <w:szCs w:val="24"/>
                <w:color w:val="auto"/>
              </w:rPr>
            </w:pPr>
          </w:p>
        </w:tc>
        <w:tc>
          <w:tcPr>
            <w:tcW w:w="51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680" w:type="dxa"/>
            <w:vAlign w:val="bottom"/>
          </w:tcPr>
          <w:p>
            <w:pPr>
              <w:spacing w:after="0"/>
              <w:rPr>
                <w:sz w:val="24"/>
                <w:szCs w:val="24"/>
                <w:color w:val="auto"/>
              </w:rPr>
            </w:pPr>
          </w:p>
        </w:tc>
      </w:tr>
      <w:tr>
        <w:trPr>
          <w:trHeight w:val="432"/>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34)</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and 2023</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and 2023</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2023</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31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Sight Sciences,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Sight Sciences, Inc. and subsidiaries (the "Company") as of December 31, 2024 and 2023, the related consolidated statements of operations and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89" w:right="4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120,357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138,129</w:t>
            </w:r>
          </w:p>
        </w:tc>
        <w:tc>
          <w:tcPr>
            <w:tcW w:w="100" w:type="dxa"/>
            <w:vAlign w:val="bottom"/>
            <w:shd w:val="clear" w:color="auto" w:fill="CFF0FC"/>
          </w:tcPr>
          <w:p>
            <w:pPr>
              <w:spacing w:after="0"/>
              <w:rPr>
                <w:sz w:val="18"/>
                <w:szCs w:val="18"/>
                <w:color w:val="auto"/>
              </w:rPr>
            </w:pPr>
          </w:p>
        </w:tc>
      </w:tr>
      <w:tr>
        <w:trPr>
          <w:trHeight w:val="198"/>
        </w:trPr>
        <w:tc>
          <w:tcPr>
            <w:tcW w:w="77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$689 and $1,186 at December 31, 2024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tcPr>
          <w:p>
            <w:pPr>
              <w:spacing w:after="0"/>
              <w:rPr>
                <w:sz w:val="20"/>
                <w:szCs w:val="20"/>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162,871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142,839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 long-term debt, net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FF0FC"/>
          </w:tcPr>
          <w:p>
            <w:pPr>
              <w:spacing w:after="0"/>
              <w:rPr>
                <w:sz w:val="18"/>
                <w:szCs w:val="18"/>
                <w:color w:val="auto"/>
              </w:rPr>
            </w:pPr>
          </w:p>
        </w:tc>
      </w:tr>
      <w:tr>
        <w:trPr>
          <w:trHeight w:val="210"/>
        </w:trPr>
        <w:tc>
          <w:tcPr>
            <w:tcW w:w="77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par value $0.001 per share; 10,000,000 shares authorized; no shares issued and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2024 and 2023, respectively</w:t>
            </w: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par value $0.001 per share; 200,000,000 shares authorized; 50,937,999 and</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49,131,363 shares issued and outstanding as of December 31, 2024 and 2023,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414,956</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(346,297 )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(294,790 )</w:t>
            </w:r>
          </w:p>
        </w:tc>
      </w:tr>
      <w:tr>
        <w:trPr>
          <w:trHeight w:val="210"/>
        </w:trPr>
        <w:tc>
          <w:tcPr>
            <w:tcW w:w="77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87,523</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120,215</w:t>
            </w:r>
          </w:p>
        </w:tc>
        <w:tc>
          <w:tcPr>
            <w:tcW w:w="100" w:type="dxa"/>
            <w:vAlign w:val="bottom"/>
            <w:tcBorders>
              <w:top w:val="single" w:sz="8" w:color="CFF0FC"/>
            </w:tcBorders>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142,839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166,651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-2836545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-2819400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-1988185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-1422400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100,826</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108,893</w:t>
            </w:r>
          </w:p>
        </w:tc>
        <w:tc>
          <w:tcPr>
            <w:tcW w:w="100" w:type="dxa"/>
            <w:vAlign w:val="bottom"/>
          </w:tcPr>
          <w:p>
            <w:pPr>
              <w:spacing w:after="0"/>
              <w:rPr>
                <w:sz w:val="18"/>
                <w:szCs w:val="18"/>
                <w:color w:val="auto"/>
              </w:rPr>
            </w:pPr>
          </w:p>
        </w:tc>
      </w:tr>
      <w:tr>
        <w:trPr>
          <w:trHeight w:val="209"/>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(50,532 )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(57,274 )</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(4,662 )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(5,408 )</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(1,962 )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(51,271 )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(55,437 )</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(51,507 )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(55,547 )</w:t>
            </w: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50,134,104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48,628,940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-1439545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34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8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234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20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48,298,138</w:t>
            </w:r>
          </w:p>
        </w:tc>
        <w:tc>
          <w:tcPr>
            <w:tcW w:w="1140" w:type="dxa"/>
            <w:vAlign w:val="bottom"/>
            <w:gridSpan w:val="3"/>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399,271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(239,243 )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243,665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Withholding taxes on net share settlement of restricted</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purchases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(55,547 )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(55,547 )</w:t>
            </w: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(294,790 )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207,104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3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Withholding taxes on net share settlement of restricted</w:t>
            </w: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purchases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issuance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(51,507 )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(51,507 )</w:t>
            </w: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50,937,999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(346,297 )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-1550670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-1550670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-1550670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-1550670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-170815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(51,507 )</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(55,547 )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debt discount and debt issuance costs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(42 )</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(benefit) for excess and obsolete inventories</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(106 )</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loss on debt extinguishment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common stock warrants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(2,156 )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(51 )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(470 )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(883 )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compensation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(2,823 )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(347 )</w:t>
            </w:r>
          </w:p>
        </w:tc>
        <w:tc>
          <w:tcPr>
            <w:tcW w:w="9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(4,605 )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(1,563 )</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FF0FC"/>
          </w:tcPr>
          <w:p>
            <w:pPr>
              <w:spacing w:after="0"/>
              <w:rPr>
                <w:sz w:val="17"/>
                <w:szCs w:val="17"/>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(22,351 )</w:t>
            </w:r>
          </w:p>
        </w:tc>
        <w:tc>
          <w:tcPr>
            <w:tcW w:w="9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(47,184 )</w:t>
            </w: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(385 )</w:t>
            </w:r>
          </w:p>
        </w:tc>
        <w:tc>
          <w:tcPr>
            <w:tcW w:w="9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(791 )</w:t>
            </w:r>
          </w:p>
        </w:tc>
      </w:tr>
      <w:tr>
        <w:trPr>
          <w:trHeight w:val="20"/>
        </w:trPr>
        <w:tc>
          <w:tcPr>
            <w:tcW w:w="7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(385 )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(791 )</w:t>
            </w:r>
          </w:p>
        </w:tc>
      </w:tr>
      <w:tr>
        <w:trPr>
          <w:trHeight w:val="19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proceeds from Hercules Loan Agreement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39,526</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MidCap Loan Agreement</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(35,375 )</w:t>
            </w:r>
          </w:p>
        </w:tc>
        <w:tc>
          <w:tcPr>
            <w:tcW w:w="9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(238 )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paid on net settlement of restricted stock units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(224 )</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 purchases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(17,772 )</w:t>
            </w:r>
          </w:p>
        </w:tc>
        <w:tc>
          <w:tcPr>
            <w:tcW w:w="9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(46,871 )</w:t>
            </w: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138,129</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120,357</w:t>
            </w: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138,129</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280" w:type="dxa"/>
            <w:vAlign w:val="bottom"/>
          </w:tcPr>
          <w:p>
            <w:pPr>
              <w:spacing w:after="0"/>
              <w:rPr>
                <w:sz w:val="17"/>
                <w:szCs w:val="17"/>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information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 included in accounts payable and accrued liabilities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80" w:type="dxa"/>
            <w:vAlign w:val="bottom"/>
          </w:tcPr>
          <w:p>
            <w:pPr>
              <w:spacing w:after="0"/>
              <w:rPr>
                <w:sz w:val="17"/>
                <w:szCs w:val="17"/>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warrants issued upon execution of Hercules Loan Agreement</w:t>
            </w: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-2785110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-2245360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-1199515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w:t>
      </w:r>
    </w:p>
    <w:p>
      <w:pPr>
        <w:spacing w:after="0" w:line="72"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Company's product portfolio aligns with its two reportable operating segments: Surgical Glaucoma and Dry Eye. The products for the Surgical Glaucoma segment include the OMNI® Surgical System ("OMNI"), which is an implant-free, handheld, single-use, therapeutic technology that enables ophthalmic surgeons to perform a comprehensive procedure (i) indicated in the United States to reduce intraocular pressure in adult patients with primary open-angle glaucoma, and (ii) CE Marked for the catheterization and transluminal viscodilation of Schlemm’s canal and cutting of the trabecular meshwork to reduce intraocular pressure in adult patients with open-angle glaucoma; and the SION® Surgical Instrument ("SION"), a bladeless, manually operated device used in ophthalmic surgical procedures to excise trabecular meshwork. The product portfolio for the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Considerations</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incurred losses and negative cash flows from operations. As of December 31, 2024, the Company had an accumulated deficit of $346.3 million and recorded a net loss of $51.5 million for the year then ended and expects to incur additional losses in the future.</w:t>
      </w:r>
    </w:p>
    <w:p>
      <w:pPr>
        <w:spacing w:after="0" w:line="54"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The Company believes its cash and cash equivalents balance, and other existing sources of liquidity will satisfy its working capital and capital resource requirements for at least 12 months from the date of issuance of its consolidated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If the Company is unable to improve its financial performance, or to secure additional funding when desired, it may need to delay the development of its products, reduce research and development activities, modify, or abandon planned future expenditures or reduce operating costs, any of which could harm its business, require it to change its business strategy or scale back its operations, or limit its ability to achieve its strategic objectives.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Presentation Reclassification</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current year presentation. This reclassification was to report investment income separately from other income (expense), net in the consolidated statements of operations and comprehensive income. This reclassification had no effect on the reported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consolidated financial statements have been prepared in accordance with accounting principles generally accepted in the United States of America ("US GAAP"). The Company’s consolidated financial statements include the accounts of the Company and its wholly owned subsidiaries, Sight Sciences UK, Ltd and Sight Sciences GmbH. All intercompany balances and transactions have been eliminated in consolidation.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disclosure of contingent liabilities at the date of the financial statements, and the reported amounts of revenue and expense during the reporting period. The most significant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85" w:name="page86"/>
    <w:bookmarkEnd w:id="85"/>
    <w:p>
      <w:pPr>
        <w:jc w:val="both"/>
        <w:spacing w:after="0" w:line="255" w:lineRule="auto"/>
        <w:rPr>
          <w:sz w:val="20"/>
          <w:szCs w:val="20"/>
          <w:color w:val="auto"/>
        </w:rPr>
      </w:pPr>
      <w:r>
        <w:rPr>
          <w:rFonts w:ascii="Times New Roman" w:cs="Times New Roman" w:eastAsia="Times New Roman" w:hAnsi="Times New Roman"/>
          <w:sz w:val="18"/>
          <w:szCs w:val="18"/>
          <w:color w:val="231F20"/>
        </w:rPr>
        <w:t>estimates relate to the allowance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existing and known circumstances, authoritative accounting guidance, and other factors management believes to be reasonable, including an assessment of current and anticipated future macroeconomic conditions, and makes adjustments when facts and circumstances dictate. These estimates are based on information available as of the date of the financial statements. Actual results could differ from these estimates, which may result in material effects on the Company’s financial condition, results of operations and liquidity. To the extent there are differences between these estimates and actual results, the Company’s consolidated financial statements may be materially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of Financial Instruments</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Company’s financial instruments typically consist of cash and cash equivalents, accounts receivable, accounts payable, accrued and other current liabilities, common stock warrants, and short-term and long-term debt. The Company's cash equivalents are comprised of U.S. treasury securities that are classified as held-to-maturity and recorded at amortized cost in the financial statements, and money market accounts. The Company states accounts receivable, accounts payable, and accrued and other current liabilities at their carrying value, which approximates fair value due to the short time to the expected receipt or payment. The carrying amount of the Company’s debt approximates its fair value as the effective interest rate approximates market rates currently available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and Supply Chain Risk</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Financial instruments that subject the Company to concentration of credit risk consist of cash and cash equivalents and accounts receivable. The Company’s cash and cash equivalents are deposited with a high-quality financial institution. Deposits at this institution may, at times, exceed federally insured limits. Management believes that this financial institution is financially sound and, that minimal credit risk exists with respect to these deposits. The Company has not experienced any losses on its deposits of cash and cash equivalents.</w:t>
      </w:r>
    </w:p>
    <w:p>
      <w:pPr>
        <w:spacing w:after="0" w:line="72"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The Company relies on third-party contract manufacturers for the manufacture of all of its commercial products. The Company also depends on a limited number of single source suppliers to provide some of the components, accessories and materials used in the manufacture and assembly of its commercial products. Any failure on the part of the Company’s manufacturers or suppliers to timely provide products or components to the Company, or any other disruptions in the Company’s supply chain, would have a negative impact on the Company’s financial condition, results of operations and liquidity.</w:t>
      </w:r>
    </w:p>
    <w:p>
      <w:pPr>
        <w:spacing w:after="0" w:line="75" w:lineRule="exact"/>
        <w:rPr>
          <w:sz w:val="20"/>
          <w:szCs w:val="20"/>
          <w:color w:val="auto"/>
        </w:rPr>
      </w:pPr>
    </w:p>
    <w:p>
      <w:pPr>
        <w:ind w:right="1080" w:firstLine="419"/>
        <w:spacing w:after="0" w:line="375" w:lineRule="auto"/>
        <w:rPr>
          <w:sz w:val="20"/>
          <w:szCs w:val="20"/>
          <w:color w:val="auto"/>
        </w:rPr>
      </w:pPr>
      <w:r>
        <w:rPr>
          <w:rFonts w:ascii="Times New Roman" w:cs="Times New Roman" w:eastAsia="Times New Roman" w:hAnsi="Times New Roman"/>
          <w:sz w:val="18"/>
          <w:szCs w:val="18"/>
          <w:color w:val="231F20"/>
        </w:rPr>
        <w:t xml:space="preserve">For the years ended December 31, 2024 and 2023, there were no customers that represented 10% or more of the Company's revenue. </w:t>
      </w:r>
      <w:r>
        <w:rPr>
          <w:rFonts w:ascii="Times New Roman" w:cs="Times New Roman" w:eastAsia="Times New Roman" w:hAnsi="Times New Roman"/>
          <w:sz w:val="18"/>
          <w:szCs w:val="18"/>
          <w:b w:val="1"/>
          <w:bCs w:val="1"/>
          <w:i w:val="1"/>
          <w:iCs w:val="1"/>
          <w:color w:val="231F20"/>
        </w:rPr>
        <w:t>Cash and Cash Equivalents</w:t>
      </w:r>
    </w:p>
    <w:p>
      <w:pPr>
        <w:spacing w:after="0" w:line="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The Company considers all highly liquid investments with an original maturity of 90 days or less, when purchased, to be cash and cash equivalents. As of December 31, 2024 and 2023, cash and cash equivalents includes $106.5 million and $129.1 million of U.S. treasury securities that are classified as held-to-maturity and recorded at amortized cost in the financial statements, respectively. As of December 31, 2024 and 2023, the remainder of cash and cash equivalents consists of checking and savings deposits, as well as money market funds, recorded at cost, which approximates fair value. The Company’s cash balances exceed those that are federally insured. To date, the Company has not recognized any losses as a result of uninsured balances.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and Provision for Credit Losses</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231F20"/>
        </w:rPr>
        <w:t>Accounts receivable are stated at invoiced amounts, net of estimated allowance for credit losses. The Company’s provision for credit losses methodology for accounts receivables is developed using its historical collection experience, current and anticipated future macroeconomic conditions, and a review of the current aging status and financial condition of its customers. The Company uses its reasonable judgment, based on the available information, and records a provision against amounts due to reduce the receivable to the amount that is expected to be collected. These specific provisions are reevaluated and adjusted as additional information is received that impacts the amount reserved. To date, the Company has not experienced material credit-related losses. The allowance for credit losses was $0.7 million and $1.2 million as of December 31, 2024 and 2023, respectively.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231F20"/>
        </w:rPr>
        <w:t>Inventory, net</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Inventory represents raw materials and finished goods purchased from third-party suppliers and manufacturers. Inventory is valued at the lower of cost or net realizable value. Cost is determined using actual costs on a first-in, first-out basis for all inventory. Net realizable value is determined as the estimated selling prices in the ordinary course of business, less reasonably predictable costs of completion, disposal, and transportation. As of December 31, 2024, the Company’s inventory balance consisted of finished goods of $5.6 million and raw materials of $1.0 million. As of December 31, 2023, the Company’s inventory consisted of finished goods of $7.3 million and raw materials of $1.0 million.</w:t>
      </w:r>
    </w:p>
    <w:p>
      <w:pPr>
        <w:spacing w:after="0" w:line="75"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Company regularly reviews inventory quantities in consideration of its actual inventory loss experiences, projected future demand for its products, and remaining shelf life to record a provision for excess and obsolete inventory when appropriate. The Company’s policy is to write down inventory that has become obsolete, inventory that has a cost basis in excess of the lower of cost or expected net realizable value, and inventory in excess of expected product demand. The estimate of excess quantities requires the Company to exercise judgment and is primarily dependent on the Company’s estimates of future demand for the particular product. As of December 31, 2024 and 2023, the Company has reserves for excess and obsolete inventory of $0.3 million and $0.5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Property and equipment are recorded at cost, less accumulated depreciation. Repairs and maintenance costs are expensed as incurred. Depreciation is calculated using the straight-line method over the estimated useful lives of the assets, typically two to five years. When assets are retired or otherwise disposed of, the cost and accumulated depreciation are removed from the consolidated balance sheets and any resulting gain or loss is reflected in the consolidated statements of operations and consolidated loss in the period realized.</w:t>
      </w:r>
    </w:p>
    <w:p>
      <w:pPr>
        <w:spacing w:after="0" w:line="7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Construction-in-process assets consist primarily of tools and equipment used to manufacture the Company’s products that have not yet been placed in service. These assets are stated at cost and are not initially depreciated. Once the assets are placed into service, assets are reclassified to the appropriate asset class based on their nature, and are depreciated in accordance with their respective useful lives as indicated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Company assesses long-lived assets, including property and equipment, whenever events or changes in business circumstances indicate that the carrying amount of such assets may not be fully recoverable. If indicators of impairment exist, an impairment loss may be recognized when estimated undiscounted future cash flows expected to result from the use of the assets and their eventual disposition are less than their carrying amount. Impairment, if any, is measured as the amount by which the carrying amount of the long-lived assets exceeds their fair value. Fair value is determined through various valuation techniques, including discounted cash flow models, quoted market values, and third-party independent appraisals, as considered necessary. The Company did not record any impairment of long-lived assets for the years ended December 31, 2024 and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Contractual arrangements that meet the definition of a lease are classified as operating or finance leases and are recorded on the consolidated balance sheets as both a right-of-use asset (“ROU asset”) and lease liability, calculated by discounting fixed lease payments over the lease term at the Company’s incremental borrowing rate (“IBR”). Lease ROU assets and lease liabilities are recognized based on the present value of the future minimum lease payments over the lease term at commencement date. The Company currently does not have any finance leases.</w:t>
      </w:r>
    </w:p>
    <w:p>
      <w:pPr>
        <w:spacing w:after="0" w:line="7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As the implicit rates for the Company's operating leases are not determinable, the Company uses an IBR based on the information available at the respective lease commencement dates to determine the present value of future payments. IBR represents the interest rate that the Company would expect to incur at lease commencement to borrow an amount equal to the lease payments on a collateralized basis with similar terms and payments, in an economic environment where the leased asset is located.</w:t>
      </w:r>
    </w:p>
    <w:p>
      <w:pPr>
        <w:spacing w:after="0" w:line="7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Company does not recognize lease ROU assets or lease liabilities for short-term leases, if any, having initial terms of 12 months or less at lease commencement as an accounting policy election. The Company recognizes rent expense on a straight-line basis over the lease term for these short-term leases.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Common Stock Warrants</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common stock warrants issued by the Company pursuant to the Hercules Loan Agreement (as defined in Note 5. Debt) are classified in equity, as they meet all the criteria for equity classification. The fair value of the common stock</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87" w:name="page88"/>
    <w:bookmarkEnd w:id="87"/>
    <w:p>
      <w:pPr>
        <w:jc w:val="both"/>
        <w:spacing w:after="0" w:line="282" w:lineRule="auto"/>
        <w:rPr>
          <w:sz w:val="20"/>
          <w:szCs w:val="20"/>
          <w:color w:val="auto"/>
        </w:rPr>
      </w:pPr>
      <w:r>
        <w:rPr>
          <w:rFonts w:ascii="Times New Roman" w:cs="Times New Roman" w:eastAsia="Times New Roman" w:hAnsi="Times New Roman"/>
          <w:sz w:val="18"/>
          <w:szCs w:val="18"/>
          <w:color w:val="231F20"/>
        </w:rPr>
        <w:t>warrants was calculated using the Black-Scholes option pricing method and are recorded at fair value upon issuance in additional paid-in capital in the consolidated balance sheets. These common stock warrants are not remeasured after the issuance date.</w:t>
      </w:r>
    </w:p>
    <w:p>
      <w:pPr>
        <w:spacing w:after="0" w:line="54"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Company’s unissued common stock warrants under the Hercules Loan Agreement are classified as liabilities in the consolidated balance sheets. These common stock warrants are remeasured at each reporting date using the BackSolve Method, with the gain or loss recorded in the Company’s consolidated statements of operations and comprehensive loss.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See Note 5. Debt and Note 7. Stockholders' Equity, for additional information regarding the common stock warrants.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Company applies the following five steps to determine the appropriate amount of revenue to be recognized as it fulfills its obligations under each of its arrangements:</w:t>
      </w:r>
    </w:p>
    <w:p>
      <w:pPr>
        <w:spacing w:after="0" w:line="54" w:lineRule="exact"/>
        <w:rPr>
          <w:sz w:val="20"/>
          <w:szCs w:val="20"/>
          <w:color w:val="auto"/>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contract with a customer,</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Allocate the transaction price to performance obligations in the contract,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Recognize revenue as the performance obligations are satisfied.</w:t>
      </w:r>
    </w:p>
    <w:p>
      <w:pPr>
        <w:spacing w:after="0" w:line="117"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Revenue recognized during the years ended December 31, 2024 and 2023 relates entirely to the sale of the Company’s products within the Surgical Glaucoma and Dry Eye segments. These sales are primarily to hospitals, medical centers, and eyecare professionals ("ECPs") throughout the United States. Sales are generally made through sales representatives and distributors.</w:t>
      </w:r>
    </w:p>
    <w:p>
      <w:pPr>
        <w:spacing w:after="0" w:line="68"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The Company’s revenue arrangements consist of a single performance obligation. Revenue is recognized at the point in time when control of the promised goods transfer to the Company’s customers. Revenue is measured at the amount of consideration expected to be received in exchange for the transfer of goods. The amount of revenue that is recognized is based on the transaction price, which represents the invoiced amounts and includes estimates of variable consideration, such as discounts, where applicable. The Company does not offer right of return, except in the case where items are defective as manufactured, and the Company does not typically provide customers with a right to a refund. The amount of variable consideration included in the transaction price may be constrained and is included only to the extent it is probable that a significant reversal in the amount of the cumulative revenue recognized under the contract will not occur in a future period. Payment terms, typically 30 days, are offered to customers and do not include a significant financing component. The Company extends credit to customers based upon their financial condition and credit history and generally require no collateral. The Company does not have any contract balances related to product sales.</w:t>
      </w:r>
    </w:p>
    <w:p>
      <w:pPr>
        <w:spacing w:after="0" w:line="80"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Shipping and handling costs incurred for the delivery of goods to customers are included in cost of goods sold. In cases where the Company bills shipping and handling costs to customers, the Company classifies those amounts in net revenue. 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 and comprehensive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Goods Sold</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Company purchases products, components, accessories, and materials from third-party suppliers and manufacturers. Cost of goods sold consists primarily of costs related to materials, manufacturing overhead costs, reserves for excess, and obsolete and non-sellable inventories. Cost of goods sold also includes depreciation expense for production equipment and certain direct costs, such as shipping and handling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The Company expenses research and development costs as incurred. Research and development expenses consist primarily of product development, clinical studies to develop and support the Company’s products, regulatory expenses, medical affairs, and other costs associated with products and technologies that are in development. Research and development expenses include employee compensation (including stock-based compensation), supplies, consulting, prototyping, testing, materials, travel expenses, depreciation, and an allocation of facility overhead expenses.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p>
      <w:pPr>
        <w:spacing w:after="0" w:line="121" w:lineRule="exact"/>
        <w:rPr>
          <w:sz w:val="20"/>
          <w:szCs w:val="20"/>
          <w:color w:val="auto"/>
        </w:rPr>
      </w:pPr>
    </w:p>
    <w:p>
      <w:pPr>
        <w:jc w:val="both"/>
        <w:ind w:right="20" w:firstLine="419"/>
        <w:spacing w:after="0" w:line="266" w:lineRule="auto"/>
        <w:rPr>
          <w:sz w:val="20"/>
          <w:szCs w:val="20"/>
          <w:color w:val="auto"/>
        </w:rPr>
      </w:pPr>
      <w:r>
        <w:rPr>
          <w:rFonts w:ascii="Times New Roman" w:cs="Times New Roman" w:eastAsia="Times New Roman" w:hAnsi="Times New Roman"/>
          <w:sz w:val="18"/>
          <w:szCs w:val="18"/>
          <w:color w:val="231F20"/>
        </w:rPr>
        <w:t>Selling, general and administrative expenses include compensation (including stock-based compensation) and employee benefits for executive management, commercial, finance, and human resources personnel; facility costs (including rent); bad debt costs; professional service fees; and other general overhead costs, including depreciation.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Advertising Expense</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Company expenses advertising costs as incurred. Advertising expenses for fiscal years 2024 and 2023 were $1.4 million and $2.1 million, respectively, included in selling, general and administrative expenses in the consolidated statements of operations and comprehensive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Company's equity incentive plan permits the grant of stock-based awards, such as stock options and restricted stock units ("RSUs"), to employees, directors and consultants. The Company’s employee stock purchase plan (“ESPP”) allows employees to purchase stock from the Company at a discount. The Company measures and records the expense related to stock-based payment awards based on the fair value of those awards as determined on the date of grant. The Company recognizes stock-based compensation expense over the requisite service period of the individual grant, which is generally equal to the vesting period and uses the straight- line method to recognize stock-based compensation, and accounts for forfeitures as they occur.</w:t>
      </w:r>
    </w:p>
    <w:p>
      <w:pPr>
        <w:spacing w:after="0" w:line="7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The Company selected the Black-Scholes option-pricing model as the method for determining the estimated fair value for stock options and awards granted pursuant to the ESPP. The Black-Scholes option-pricing model requires the use of highly subjective and complex assumptions, which determine the fair value of share-based awards, including the stock option’s expected term, expected volatility of the underlying stock, risk-free interest rate and expected dividend yield.</w:t>
      </w:r>
    </w:p>
    <w:p>
      <w:pPr>
        <w:spacing w:after="0" w:line="72"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fair value of RSU awards is determined based on the number of units granted and the closing price of the Company's common stock as of the grant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Income</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Company’s investment income consists primarily of interest and amortization on held-to-maturity investments in treasury securities. All treasury securities are purchased with maturities of less than 90 days and recorded at amortized costs in the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Currency Remeasurement</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Foreign currency transaction gains and losses are recorded in other income (expense), net in the Company’s consolidated statements of operations and comprehensive loss. Such amounts have not been material for all periods 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assesses the likelihood that the resulting deferred tax assets will be realized. A valuation allowance is provided when it is more likely than not that some portion or all off a deferred tax asset will not be realized. Due to the Company's historical operating performance and the recorded cumulative net losses in prior fiscal periods, the net deferred tax assets have been fully offset by a valuation allowance.</w:t>
      </w:r>
    </w:p>
    <w:p>
      <w:pPr>
        <w:spacing w:after="0" w:line="7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231F20"/>
        </w:rPr>
        <w:t>The Company recognizes uncertain income tax positions at the largest amount that is more likely than not to be sustained upon audit by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 as a component of provision for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Comprehensive loss represents all changes in stockholders’ equity except those resulting from distributions to stockholders. There have been no items qualifying as other comprehensive income (loss) and, therefore, for all periods presented, there was no difference between comprehensive loss and the Company’s reported net loss.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231F20"/>
        </w:rPr>
        <w:t>Net Loss Per Share Attributable to Common Stockholders</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Basic and diluted net loss per share attributable to common stockholders is presented in conformity with the two-class method required for participating securities. Basic and diluted net loss per share attributable to common stockholders is computed by dividing the net loss attributable to common stockholders by the weighted-average number of common shares outstanding for the period without consideration of potentially dilutive securities. The Company’s potentially dilutive shares, which consist of outstanding common stock options and RSUs, were excluded in the computation of diluted net loss per share for the period as the result would have been anti-dilutive due to the Company's net loss position in each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Emerging Growth Company and Smaller Reporting Company</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231F20"/>
        </w:rPr>
        <w:t>The Company is an “emerging growth company” as defined in the Jumpstart Our Business Startups Act of 2012, as well as a "smaller reporting company, as defined by the Securities and Exchange Commission per Rule 12b-2 of the Exchange Act. As such the Company is eligible for exemptions from various reporting requirements applicable to other public companies that are not emerging growth companies or smaller reporting companies, including reduced reporting and extended transition periods to comply with new or revised accounting standards for public business entities. The Company has elected to avail themselves of this exemption and, therefore, will not be subject to the timeline for adopting new or revised accounting standards for public business entities that are not emerging growth companies, and will follow the transition guidance applicable to private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1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Reportable Segment Disclosures. </w:t>
      </w:r>
      <w:r>
        <w:rPr>
          <w:rFonts w:ascii="Times New Roman" w:cs="Times New Roman" w:eastAsia="Times New Roman" w:hAnsi="Times New Roman"/>
          <w:sz w:val="18"/>
          <w:szCs w:val="18"/>
          <w:color w:val="auto"/>
        </w:rPr>
        <w:t>The ASU updates reportable segment disclosure requirements, primarily through requiring enhanced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significant segment expenses and information used to assess segment performance. The ASU is effective on a retrospective basis for fiscal years beginning after December 15, 2023, and interim periods within fiscal years beginning after December 15, 2024. The Company adopted ASU 2023-07 with no material impact on the Company's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is currently evaluating the impact of adopting this ASU on its financial statements and related disclosures.</w:t>
      </w:r>
    </w:p>
    <w:p>
      <w:pPr>
        <w:spacing w:after="0" w:line="75" w:lineRule="exact"/>
        <w:rPr>
          <w:sz w:val="20"/>
          <w:szCs w:val="20"/>
          <w:color w:val="auto"/>
        </w:rPr>
      </w:pPr>
    </w:p>
    <w:p>
      <w:pPr>
        <w:jc w:val="both"/>
        <w:ind w:firstLine="41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ASU requires additional disclosure in the notes the financial statements of specified information about certain expenses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inventory, employee compensation, depreciation, intangible asset amortization, and depreciation and other expenses which are presented in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this new standard will have on the related disclosures in the consolidated financial statements.</w:t>
      </w:r>
    </w:p>
    <w:p>
      <w:pPr>
        <w:spacing w:after="0" w:line="76"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As of December 31, 2024, there are no additional ASUs issued and not yet adopted that are expected to have a material impact on the Company's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90" w:name="page91"/>
    <w:bookmarkEnd w:id="90"/>
    <w:p>
      <w:pPr>
        <w:jc w:val="both"/>
        <w:ind w:left="120" w:right="60" w:firstLine="419"/>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120" w:right="80" w:firstLine="419"/>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jc w:val="both"/>
        <w:ind w:left="120" w:right="60" w:firstLine="419"/>
        <w:spacing w:after="0" w:line="282" w:lineRule="auto"/>
        <w:rPr>
          <w:sz w:val="20"/>
          <w:szCs w:val="20"/>
          <w:color w:val="auto"/>
        </w:rPr>
      </w:pPr>
      <w:r>
        <w:rPr>
          <w:rFonts w:ascii="Times New Roman" w:cs="Times New Roman" w:eastAsia="Times New Roman" w:hAnsi="Times New Roman"/>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54" w:lineRule="exact"/>
        <w:rPr>
          <w:sz w:val="20"/>
          <w:szCs w:val="20"/>
          <w:color w:val="auto"/>
        </w:rPr>
      </w:pPr>
    </w:p>
    <w:p>
      <w:pPr>
        <w:jc w:val="both"/>
        <w:ind w:left="120" w:right="60" w:firstLine="419"/>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included Level 1 investments in U.S. treasury securities and money market funds. The Company had money market funds of $6.4 million and $5.4 million as of December 31, 2024 and 2023, respectively. In addition, the Company had investments in U.S. treasury securities of $106.5 and $129.1 million as of December 31, 2024 and 2023, respectively. These U.S. treasury securities are classified as held-to-maturity and all have been purchased with original maturities of 90 days or less. Held-to-maturity debt securities are recorded at amortized cost in the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Aggregate Fair Value</w:t>
            </w:r>
          </w:p>
        </w:tc>
        <w:tc>
          <w:tcPr>
            <w:tcW w:w="100" w:type="dxa"/>
            <w:vAlign w:val="bottom"/>
          </w:tcPr>
          <w:p>
            <w:pPr>
              <w:spacing w:after="0"/>
              <w:rPr>
                <w:sz w:val="12"/>
                <w:szCs w:val="12"/>
                <w:color w:val="auto"/>
              </w:rPr>
            </w:pPr>
          </w:p>
        </w:tc>
      </w:tr>
      <w:tr>
        <w:trPr>
          <w:trHeight w:val="210"/>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106,535</w:t>
            </w:r>
          </w:p>
        </w:tc>
        <w:tc>
          <w:tcPr>
            <w:tcW w:w="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88"/>
              </w:rPr>
              <w:t>37</w:t>
            </w:r>
          </w:p>
        </w:tc>
        <w:tc>
          <w:tcPr>
            <w:tcW w:w="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3"/>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106,572</w:t>
            </w:r>
          </w:p>
        </w:tc>
        <w:tc>
          <w:tcPr>
            <w:tcW w:w="100" w:type="dxa"/>
            <w:vAlign w:val="bottom"/>
            <w:shd w:val="clear" w:color="auto" w:fill="CFF0FC"/>
          </w:tcPr>
          <w:p>
            <w:pPr>
              <w:spacing w:after="0"/>
              <w:rPr>
                <w:sz w:val="18"/>
                <w:szCs w:val="18"/>
                <w:color w:val="auto"/>
              </w:rPr>
            </w:pPr>
          </w:p>
        </w:tc>
      </w:tr>
      <w:tr>
        <w:trPr>
          <w:trHeight w:val="364"/>
        </w:trPr>
        <w:tc>
          <w:tcPr>
            <w:tcW w:w="4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Aggregate Fair Value</w:t>
            </w:r>
          </w:p>
        </w:tc>
        <w:tc>
          <w:tcPr>
            <w:tcW w:w="120" w:type="dxa"/>
            <w:vAlign w:val="bottom"/>
            <w:gridSpan w:val="2"/>
          </w:tcPr>
          <w:p>
            <w:pPr>
              <w:spacing w:after="0"/>
              <w:rPr>
                <w:sz w:val="12"/>
                <w:szCs w:val="12"/>
                <w:color w:val="auto"/>
              </w:rPr>
            </w:pPr>
          </w:p>
        </w:tc>
      </w:tr>
      <w:tr>
        <w:trPr>
          <w:trHeight w:val="20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129,113</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28</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outstanding debt for disclosure purposes on a recurring basis. As of December 31, 2024 and 2023, total debt of $39.4 million and $33.9 million is reported at amortized cost, respectively. This outstanding debt is classified as Level 2 as it is not actively traded. The amortized cost of the outstanding debt approximates the fair value.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the unissued common stock warrants to be issued pursuant to the Hercules Loan Agreement using the Black-Scholes option pricing method. These are classified as Level 3 liabilities, with an overall value of less than $0.1 million as of December 31, 2024. The unissued warrants are remeasured at each reporting date following execution of the Hercules Loan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statements as of December 31, 2024 and 2023, do not include any assets or liabilities that are measured at fair value on a nonrecurring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(2,106 )</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(1,627 )</w:t>
            </w:r>
          </w:p>
        </w:tc>
      </w:tr>
      <w:tr>
        <w:trPr>
          <w:trHeight w:val="210"/>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6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was $0.5 million and $0.6 million for the years ended December 31, 2024 and 2023 respectively.</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Accrued and Other Current Liabilities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2,113</w:t>
            </w:r>
          </w:p>
        </w:tc>
        <w:tc>
          <w:tcPr>
            <w:tcW w:w="80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interest payable</w:t>
            </w:r>
          </w:p>
        </w:tc>
        <w:tc>
          <w:tcPr>
            <w:tcW w:w="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0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4,097</w:t>
            </w:r>
          </w:p>
        </w:tc>
        <w:tc>
          <w:tcPr>
            <w:tcW w:w="80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shd w:val="clear" w:color="auto" w:fill="CFF0FC"/>
          </w:tcPr>
          <w:p>
            <w:pPr>
              <w:spacing w:after="0"/>
              <w:rPr>
                <w:sz w:val="21"/>
                <w:szCs w:val="21"/>
                <w:color w:val="auto"/>
              </w:rPr>
            </w:pPr>
          </w:p>
        </w:tc>
      </w:tr>
      <w:tr>
        <w:trPr>
          <w:trHeight w:val="305"/>
        </w:trPr>
        <w:tc>
          <w:tcPr>
            <w:tcW w:w="76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Other Noncurrent Liabilities</w:t>
            </w:r>
          </w:p>
        </w:tc>
        <w:tc>
          <w:tcPr>
            <w:tcW w:w="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76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2"/>
        </w:trPr>
        <w:tc>
          <w:tcPr>
            <w:tcW w:w="76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0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interest payable</w:t>
            </w:r>
          </w:p>
        </w:tc>
        <w:tc>
          <w:tcPr>
            <w:tcW w:w="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0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-1276350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Hercules Capital Loan Agreement</w:t>
      </w:r>
    </w:p>
    <w:p>
      <w:pPr>
        <w:spacing w:after="0" w:line="121" w:lineRule="exact"/>
        <w:rPr>
          <w:sz w:val="20"/>
          <w:szCs w:val="20"/>
          <w:color w:val="auto"/>
        </w:rPr>
      </w:pPr>
    </w:p>
    <w:p>
      <w:pPr>
        <w:jc w:val="both"/>
        <w:ind w:left="120" w:right="60" w:firstLine="419"/>
        <w:spacing w:after="0" w:line="254" w:lineRule="auto"/>
        <w:rPr>
          <w:sz w:val="20"/>
          <w:szCs w:val="20"/>
          <w:color w:val="auto"/>
        </w:rPr>
      </w:pPr>
      <w:r>
        <w:rPr>
          <w:rFonts w:ascii="Times New Roman" w:cs="Times New Roman" w:eastAsia="Times New Roman" w:hAnsi="Times New Roman"/>
          <w:sz w:val="18"/>
          <w:szCs w:val="18"/>
          <w:color w:val="231F20"/>
        </w:rPr>
        <w:t>In January 2024, the Company entered into the Hercules Loan Agreement, which provides for a maximum $65.0 million credit facility. An initial tranche of $35.0 million (the “Initial Loan”) was funded under the credit agreement on January 22, 2024 (the “Closing Date”). On December 10, 2024, we consummated the Tranche 1(b) Drawdown (together with the Initial Loan, the "Tranche I Commitment"). In addition to the Initial Loan and Tranche 1(b) Drawdown, the Hercules Loan Agreement provides additional tranches available to the Company (the “Tranche Loans,” and together with the Initial Loan, the “Term Loans). Tranche 2 consists of $10.0 million available to draw upon through September 15, 2025, contingent upon the achievement of certain performance milestones. The Company does not currently anticipate achieving these milestones prior to the deadline of June 30, 2025 performance deadline. Tranche 3 consists of $15.0 million available for us to draw through the interest only period in increments of $5.0 million, subject to the sole approval of Hercules' investment committee.</w:t>
      </w:r>
    </w:p>
    <w:p>
      <w:pPr>
        <w:spacing w:after="0" w:line="84"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auto"/>
        </w:rPr>
        <w:t>On December 10, 2024, the Company consummated the drawdown of the $5.0 million Tranche 1(b) Term Loan Advance (the “Tranche Loan”) under the Hercules Loan Agreement. Upon consummation of the Tranche Loan, the aggregate principal amount of borrowings under the Loan Agreement was $40.0 million.</w:t>
      </w:r>
    </w:p>
    <w:p>
      <w:pPr>
        <w:spacing w:after="0" w:line="68" w:lineRule="exact"/>
        <w:rPr>
          <w:sz w:val="20"/>
          <w:szCs w:val="20"/>
          <w:color w:val="auto"/>
        </w:rPr>
      </w:pPr>
    </w:p>
    <w:p>
      <w:pPr>
        <w:jc w:val="both"/>
        <w:ind w:left="120" w:right="60" w:firstLine="419"/>
        <w:spacing w:after="0" w:line="258" w:lineRule="auto"/>
        <w:rPr>
          <w:sz w:val="20"/>
          <w:szCs w:val="20"/>
          <w:color w:val="auto"/>
        </w:rPr>
      </w:pPr>
      <w:r>
        <w:rPr>
          <w:rFonts w:ascii="Times New Roman" w:cs="Times New Roman" w:eastAsia="Times New Roman" w:hAnsi="Times New Roman"/>
          <w:sz w:val="18"/>
          <w:szCs w:val="18"/>
          <w:color w:val="auto"/>
        </w:rPr>
        <w:t>The Hercules Loan Agreement provides for a maturity date of July 1, 2028, with an interest only period running for the first 30 months of the agreement term, extendable for an additional six months for a total of 36 months upon the achievement of certain milestones. The Term Loans accrue interest at a floating annual rate equal to the greater of 10.35% or the Wall Street Journal prime rate plus 2.35%, with the interest rate under the Term Loans equal to 10.35% at December 31, 2024. The final payment fee is set at 5.95% of the funded balance, which is recognized as a debt discount and is being accreted into the amortization of debt issuance costs using the effective interest rate method over the term of the loan.</w:t>
      </w:r>
    </w:p>
    <w:p>
      <w:pPr>
        <w:spacing w:after="0" w:line="75" w:lineRule="exact"/>
        <w:rPr>
          <w:sz w:val="20"/>
          <w:szCs w:val="20"/>
          <w:color w:val="auto"/>
        </w:rPr>
      </w:pPr>
    </w:p>
    <w:p>
      <w:pPr>
        <w:jc w:val="both"/>
        <w:ind w:left="120" w:right="60" w:firstLine="419"/>
        <w:spacing w:after="0" w:line="255" w:lineRule="auto"/>
        <w:rPr>
          <w:sz w:val="20"/>
          <w:szCs w:val="20"/>
          <w:color w:val="auto"/>
        </w:rPr>
      </w:pPr>
      <w:r>
        <w:rPr>
          <w:rFonts w:ascii="Times New Roman" w:cs="Times New Roman" w:eastAsia="Times New Roman" w:hAnsi="Times New Roman"/>
          <w:sz w:val="18"/>
          <w:szCs w:val="18"/>
          <w:color w:val="auto"/>
        </w:rPr>
        <w:t>In conjunction with the funding of the Initial Loan, the Company issued warrants to the Lenders to purchase up to an aggregate of 135,686 shares of its common stock at an exercise price of $5.159 per share, which were recorded and classified as equity. On December 10, 2024, upon the funding of the Tranche 1(b) Drawdown, the Company issued additional warrants to the Lenders to purchase 26,095 shares of its common stock at an exercise price of $3.83. Each warrant is exercisable for a period of seven years from the date of issuance. If the additional Term Loans are funded, the Company will be obligated to issue to the Lenders additional warrants to purchase common stock in an amount equal to 2.0% of the funded balance of each tranche, divided by the exercise price on the date the Company draws funds from such tranche. The exercise price will be calculated using the five-day volume-weighted average stock price as of such date. See Note 7, Stockholders' Equity, for additional information regarding these common stock warrants.</w:t>
      </w:r>
    </w:p>
    <w:p>
      <w:pPr>
        <w:spacing w:after="0" w:line="81"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auto"/>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December 31, 2024.</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MidCap Loan Agreement</w:t>
      </w:r>
    </w:p>
    <w:p>
      <w:pPr>
        <w:spacing w:after="0" w:line="121" w:lineRule="exact"/>
        <w:rPr>
          <w:sz w:val="20"/>
          <w:szCs w:val="20"/>
          <w:color w:val="auto"/>
        </w:rPr>
      </w:pPr>
    </w:p>
    <w:p>
      <w:pPr>
        <w:jc w:val="both"/>
        <w:ind w:left="120" w:right="60" w:firstLine="419"/>
        <w:spacing w:after="0" w:line="258" w:lineRule="auto"/>
        <w:rPr>
          <w:sz w:val="20"/>
          <w:szCs w:val="20"/>
          <w:color w:val="auto"/>
        </w:rPr>
      </w:pPr>
      <w:r>
        <w:rPr>
          <w:rFonts w:ascii="Times New Roman" w:cs="Times New Roman" w:eastAsia="Times New Roman" w:hAnsi="Times New Roman"/>
          <w:sz w:val="18"/>
          <w:szCs w:val="18"/>
          <w:color w:val="auto"/>
        </w:rPr>
        <w:t>The Company previously entered into credit and security agreements with certain entities affiliated with MidCap Financial Services (such entities collectively, “MidCap”), which provided for a $35.0 million senior secured term loan (the “MidCap Term Loan”). In January 2024, the Company terminated the Amended and Restated Credit and Security Agreement (Term Loan) (the “MidCap Term Loan Agreement”) evidencing the MidCap Term Loan and paid off in full the secured obligations thereunder in connection with its entry into the Hercules Loan Agreement. The Company recorded a loss on debt extinguishment of $2.0 million during the year ended December 31, 2024.</w:t>
      </w:r>
    </w:p>
    <w:p>
      <w:pPr>
        <w:spacing w:after="0" w:line="75" w:lineRule="exact"/>
        <w:rPr>
          <w:sz w:val="20"/>
          <w:szCs w:val="20"/>
          <w:color w:val="auto"/>
        </w:rPr>
      </w:pPr>
    </w:p>
    <w:p>
      <w:pPr>
        <w:jc w:val="both"/>
        <w:ind w:left="120" w:right="60" w:firstLine="419"/>
        <w:spacing w:after="0" w:line="258" w:lineRule="auto"/>
        <w:rPr>
          <w:sz w:val="20"/>
          <w:szCs w:val="20"/>
          <w:color w:val="auto"/>
        </w:rPr>
      </w:pPr>
      <w:r>
        <w:rPr>
          <w:rFonts w:ascii="Times New Roman" w:cs="Times New Roman" w:eastAsia="Times New Roman" w:hAnsi="Times New Roman"/>
          <w:sz w:val="18"/>
          <w:szCs w:val="18"/>
          <w:color w:val="231F20"/>
        </w:rPr>
        <w:t>The commitment obligations under the MidCap Term Loan Agreement were guaranteed by the Company’s current and future subsidiaries, subject to exceptions for certain foreign subsidiaries, and secured by substantially all assets of the Company, including material intellectual property. The MidCap Term Loan Agreement had a maturity date of November 1, 2025. In addition, the MidCap Term Loan Agreement provided for a stated floating interest rate that was equal to the reserve-adjusted Secured Overnight Finance Rate, plus 7.00%, and a provision for a final payment fee of 6.0% of the $35.0 million MidCap Term Loan balance, which was recorded as a long-term interest payable as of December 31, 2023.</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Maturities Schedule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Long-term and short-term debt, as of December 31, 2024 and 2023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48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 due</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debt discount related to warrant liability and issuance costs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(644 )</w:t>
            </w: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(1,073 )</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amounts outstanding</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39,356</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(2,219 )</w:t>
            </w:r>
          </w:p>
        </w:tc>
        <w:tc>
          <w:tcPr>
            <w:tcW w:w="0" w:type="dxa"/>
            <w:vAlign w:val="bottom"/>
          </w:tcPr>
          <w:p>
            <w:pPr>
              <w:spacing w:after="0"/>
              <w:rPr>
                <w:sz w:val="1"/>
                <w:szCs w:val="1"/>
                <w:color w:val="auto"/>
              </w:rPr>
            </w:pPr>
          </w:p>
        </w:tc>
      </w:tr>
      <w:tr>
        <w:trPr>
          <w:trHeight w:val="210"/>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39,356</w:t>
            </w:r>
          </w:p>
        </w:tc>
        <w:tc>
          <w:tcPr>
            <w:tcW w:w="28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-745490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repayment schedule relating to the principal amount of the Hercules Term Loan as of December 31, 2024, is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repayments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121" w:lineRule="exact"/>
        <w:rPr>
          <w:sz w:val="20"/>
          <w:szCs w:val="20"/>
          <w:color w:val="auto"/>
        </w:rPr>
      </w:pPr>
    </w:p>
    <w:p>
      <w:pPr>
        <w:jc w:val="both"/>
        <w:ind w:left="120" w:right="60" w:firstLine="41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various operating leases, which include facility leases and equipment leases. Operating leases are recorded on the consolidated balance sheets as both a right-of-use asset ("ROU asset") and lease liability. </w:t>
      </w:r>
      <w:r>
        <w:rPr>
          <w:rFonts w:ascii="Times New Roman" w:cs="Times New Roman" w:eastAsia="Times New Roman" w:hAnsi="Times New Roman"/>
          <w:sz w:val="18"/>
          <w:szCs w:val="18"/>
          <w:color w:val="231F20"/>
        </w:rPr>
        <w:t>which are recognized based on the present value of the future minimum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payments over the lease term. </w:t>
      </w:r>
      <w:r>
        <w:rPr>
          <w:rFonts w:ascii="Times New Roman" w:cs="Times New Roman" w:eastAsia="Times New Roman" w:hAnsi="Times New Roman"/>
          <w:sz w:val="18"/>
          <w:szCs w:val="18"/>
          <w:color w:val="000000"/>
        </w:rPr>
        <w:t>In determining the present value of these lease payments, the Company uses its incremental borrowing rate ("IBR") 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on the information available at the lease commencement date if the rate implicit in the lease is not readily determinable. The Company</w:t>
      </w:r>
      <w:r>
        <w:rPr>
          <w:rFonts w:ascii="Times New Roman" w:cs="Times New Roman" w:eastAsia="Times New Roman" w:hAnsi="Times New Roman"/>
          <w:sz w:val="18"/>
          <w:szCs w:val="18"/>
          <w:color w:val="231F20"/>
        </w:rPr>
        <w:t>’s IBR represents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the interest rate that the Company would expect to incur at lease commencement to borrow an amount equal to the lease payments on a collateralized basis with similar terms and payments, in an economic environment where the leased asset is located. </w:t>
      </w:r>
      <w:r>
        <w:rPr>
          <w:rFonts w:ascii="Times New Roman" w:cs="Times New Roman" w:eastAsia="Times New Roman" w:hAnsi="Times New Roman"/>
          <w:sz w:val="18"/>
          <w:szCs w:val="18"/>
          <w:color w:val="000000"/>
        </w:rPr>
        <w:t>In determining the lease term,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includes all renewal options that are reasonably probable to be executed.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Company leases its corporate headquarters in Menlo Park, California. The lease commenced in August 2021 and was originally for a term of 37 months from the commencement date. In December 2023, the Company entered into an amendment to the lease, extending the lease term an additional 26 months. Upon signing the amendment, the Company recorded an aggregate lease ROU asset and lease liability of $1.2 million. The lease ROU asset and corresponding lease liability were estimated using a weighted-average IBR of 11.40%. Total base rent for the remaining 34 months under the amended lease agreement is approximately $1.5 million.</w:t>
      </w:r>
    </w:p>
    <w:p>
      <w:pPr>
        <w:spacing w:after="0" w:line="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 supply agreement with an expected term of approximately 18 months. The supply agreement contained provisions that, when evaluated, indicated an embedded lease was present and the Company recorded an aggregate lease ROU asset and lease liability of $0.7 million, which were estimated using a weighted-average IBR of 10.75%. Total base rent under the agreement is approximately $0.7 million.</w:t>
      </w:r>
    </w:p>
    <w:p>
      <w:pPr>
        <w:spacing w:after="0" w:line="7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noncancelable lease term. The Company’s rent expense was $0.8 million and $1.2 million for the years ended December 31, 2024 and 2023, respectively. As of December 31, 2024, the weighted average remaining lease term for the Company's leases was 1.8 years.</w:t>
      </w:r>
    </w:p>
    <w:p>
      <w:pPr>
        <w:spacing w:after="0" w:line="68"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Operating lease expense and supplemental cash flow information related to operating leases for the years ended December 31, 2024 and 2023 were as follows (in thousands):</w:t>
      </w:r>
    </w:p>
    <w:p>
      <w:pPr>
        <w:spacing w:after="0" w:line="47"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3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88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tcPr>
          <w:p>
            <w:pPr>
              <w:spacing w:after="0"/>
              <w:rPr>
                <w:sz w:val="18"/>
                <w:szCs w:val="18"/>
                <w:color w:val="auto"/>
              </w:rPr>
            </w:pPr>
          </w:p>
        </w:tc>
      </w:tr>
      <w:tr>
        <w:trPr>
          <w:trHeight w:val="198"/>
        </w:trPr>
        <w:tc>
          <w:tcPr>
            <w:tcW w:w="6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New operating lease assets obtained in exchange for</w:t>
            </w:r>
          </w:p>
        </w:tc>
        <w:tc>
          <w:tcPr>
            <w:tcW w:w="8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Aggregate future minimum lease payments at December 31, 2024 under these noncancelable operating leases were as follows (in thousands):</w:t>
      </w:r>
    </w:p>
    <w:p>
      <w:pPr>
        <w:spacing w:after="0" w:line="9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r>
      <w:tr>
        <w:trPr>
          <w:trHeight w:val="21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r>
      <w:tr>
        <w:trPr>
          <w:trHeight w:val="21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20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(533 )</w:t>
            </w:r>
          </w:p>
        </w:tc>
      </w:tr>
      <w:tr>
        <w:trPr>
          <w:trHeight w:val="250"/>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6323965</wp:posOffset>
            </wp:positionH>
            <wp:positionV relativeFrom="paragraph">
              <wp:posOffset>-24765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-7620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Legal Proceedings</w:t>
      </w:r>
    </w:p>
    <w:p>
      <w:pPr>
        <w:spacing w:after="0" w:line="121" w:lineRule="exact"/>
        <w:rPr>
          <w:sz w:val="20"/>
          <w:szCs w:val="20"/>
          <w:color w:val="auto"/>
        </w:rPr>
      </w:pPr>
    </w:p>
    <w:p>
      <w:pPr>
        <w:jc w:val="both"/>
        <w:ind w:firstLine="419"/>
        <w:spacing w:after="0" w:line="252" w:lineRule="auto"/>
        <w:rPr>
          <w:sz w:val="20"/>
          <w:szCs w:val="20"/>
          <w:color w:val="auto"/>
        </w:rPr>
      </w:pPr>
      <w:r>
        <w:rPr>
          <w:rFonts w:ascii="Times New Roman" w:cs="Times New Roman" w:eastAsia="Times New Roman" w:hAnsi="Times New Roman"/>
          <w:sz w:val="18"/>
          <w:szCs w:val="18"/>
          <w:color w:val="auto"/>
        </w:rPr>
        <w:t>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U.S. Patent Office.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held an in-person hearing to hear the parties’ oral arguments on their post-trial briefings at the conclusion of which, the Court ordered the parties to engage in non-binding mediation. In early March 2025, we and Alcon informed the Court that we had not resolved our dispute through mediation, and asked the Court to decide the parties’ post-trial motions and</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94" w:name="page95"/>
    <w:bookmarkEnd w:id="94"/>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enter a judgement, which judgement will be subject to appeal. The Company is presently unable to predict the outcome of this lawsuit or to reasonably estimate the potential financial impact of the lawsuit on the Company, if any.</w:t>
      </w:r>
    </w:p>
    <w:p>
      <w:pPr>
        <w:spacing w:after="0" w:line="54" w:lineRule="exact"/>
        <w:rPr>
          <w:sz w:val="20"/>
          <w:szCs w:val="20"/>
          <w:color w:val="auto"/>
        </w:rPr>
      </w:pPr>
    </w:p>
    <w:p>
      <w:pPr>
        <w:jc w:val="both"/>
        <w:ind w:left="120" w:right="60" w:firstLine="419"/>
        <w:spacing w:after="0" w:line="254" w:lineRule="auto"/>
        <w:rPr>
          <w:sz w:val="20"/>
          <w:szCs w:val="20"/>
          <w:color w:val="auto"/>
        </w:rPr>
      </w:pPr>
      <w:r>
        <w:rPr>
          <w:rFonts w:ascii="Times New Roman" w:cs="Times New Roman" w:eastAsia="Times New Roman" w:hAnsi="Times New Roman"/>
          <w:sz w:val="18"/>
          <w:szCs w:val="18"/>
          <w:color w:val="auto"/>
        </w:rPr>
        <w:t>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w:t>
      </w:r>
    </w:p>
    <w:p>
      <w:pPr>
        <w:spacing w:after="0" w:line="84"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auto"/>
        </w:rPr>
        <w:t>Except as described above, as of December 31, 2024 and 2023, the Company was not a party to any legal proceedings, regulatory matters, or other disputes or claims which, if determined adversely, would, individually or taken together, have a material adverse effect on the Company’s business, financial condition, operating results, liquidity, or future prospects.</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Indemnification</w:t>
      </w:r>
    </w:p>
    <w:p>
      <w:pPr>
        <w:spacing w:after="0" w:line="121" w:lineRule="exact"/>
        <w:rPr>
          <w:sz w:val="20"/>
          <w:szCs w:val="20"/>
          <w:color w:val="auto"/>
        </w:rPr>
      </w:pPr>
    </w:p>
    <w:p>
      <w:pPr>
        <w:jc w:val="both"/>
        <w:ind w:left="120" w:right="60" w:firstLine="41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72" w:lineRule="exact"/>
        <w:rPr>
          <w:sz w:val="20"/>
          <w:szCs w:val="20"/>
          <w:color w:val="auto"/>
        </w:rPr>
      </w:pPr>
    </w:p>
    <w:p>
      <w:pPr>
        <w:jc w:val="both"/>
        <w:ind w:left="120" w:right="60" w:firstLine="419"/>
        <w:spacing w:after="0" w:line="255" w:lineRule="auto"/>
        <w:rPr>
          <w:sz w:val="20"/>
          <w:szCs w:val="20"/>
          <w:color w:val="auto"/>
        </w:rPr>
      </w:pPr>
      <w:r>
        <w:rPr>
          <w:rFonts w:ascii="Times New Roman" w:cs="Times New Roman" w:eastAsia="Times New Roman" w:hAnsi="Times New Roman"/>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December 31, 2024 and 2023.</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Common Stock</w:t>
      </w:r>
    </w:p>
    <w:p>
      <w:pPr>
        <w:spacing w:after="0" w:line="121" w:lineRule="exact"/>
        <w:rPr>
          <w:sz w:val="20"/>
          <w:szCs w:val="20"/>
          <w:color w:val="auto"/>
        </w:rPr>
      </w:pPr>
    </w:p>
    <w:p>
      <w:pPr>
        <w:jc w:val="both"/>
        <w:ind w:left="120" w:right="60" w:firstLine="419"/>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December 31, 2024, no dividends have been declared. Each share of common stock is entitled to one vote.</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 December 31, 2024 and 2023, the Company had reserved common stock for future issuances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30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160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4,464,388</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available for future grant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5,931,302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6,033,176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4,341,818</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2,721,361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purchase under ESPP</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1,631,076</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1,488,227</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16,368,584</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15,222,954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jc w:val="both"/>
        <w:ind w:left="120" w:right="60" w:firstLine="419"/>
        <w:spacing w:after="0" w:line="258" w:lineRule="auto"/>
        <w:rPr>
          <w:sz w:val="20"/>
          <w:szCs w:val="20"/>
          <w:color w:val="auto"/>
        </w:rPr>
      </w:pPr>
      <w:r>
        <w:rPr>
          <w:rFonts w:ascii="Times New Roman" w:cs="Times New Roman" w:eastAsia="Times New Roman" w:hAnsi="Times New Roman"/>
          <w:sz w:val="18"/>
          <w:szCs w:val="18"/>
          <w:color w:val="auto"/>
        </w:rPr>
        <w:t>On January 22, 2024, in conjunction with the funding of the Initial Loan under the Hercules Loan Agreement, the Company issued common stock warrants to the Lenders to purchase up to an aggregate of 135,686 shares of our common stock at an exercise price of $5.159 per share. On December 10, 2024, upon the funding of the Tranche I(b) Loan, the Company issued additional warrants to the Lenders to purchase 26,095 shares of its common stock at an exercise price of $3.83. Each warrant is exercisable for up to seven years from the date of issuance. The warrants are classified as equity. During the year ended December 31, 2024, the fair value of the issued warrants recorded was $0.7 million, which was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8"/>
          <w:szCs w:val="18"/>
          <w:color w:val="auto"/>
        </w:rPr>
        <w:t>calculated using the Black-Scholes option-pricing model. These warrants were recorded at fair value upon their issuance in additional paid-in capital in the consolidated balance sheet. The issued warrants are not remeasured after the issuance date.</w:t>
      </w:r>
    </w:p>
    <w:p>
      <w:pPr>
        <w:spacing w:after="0" w:line="54"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If the additional Term Loans are funded, the Company will be obligated to issue to the Lenders additional warrants to purchase common stock in an amount equal to 2.0% of the funded balance of each tranche, divided by the exercise price on the date the Company draws funds from such tranche, or the issuance date. The exercise price will be calculated using the five-day volume-weighted average stock price as of such date.</w:t>
      </w:r>
    </w:p>
    <w:p>
      <w:pPr>
        <w:spacing w:after="0" w:line="68"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unissued warrants do not meet the requirements for classification in equity, and are recorded as liabilities in other noncurrent liabilities in the financial statements. The fair value of the unissued common stock warrants was calculated using the Black-Scholes option-pricing method and they were recorded at fair value upon the funding of the Hercules Loan Agreement. The unissued warrants are remeasured at each reporting date after the issuance date. According to the fair value measurement criteria, the unissued warrants are considered Level 3 liabilities, with an overall value of less than $0.1 million as of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color w:val="231F20"/>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2011 Stock Option Plan and 2021 Equity Incentive Plan</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In 2011, the Company approved the 2011 Stock Option Plan (the “2011 Plan”) that provided for the granting of stock options to employees and nonemployees of the Company.</w:t>
      </w:r>
    </w:p>
    <w:p>
      <w:pPr>
        <w:spacing w:after="0" w:line="54"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RSUs.</w:t>
      </w:r>
    </w:p>
    <w:p>
      <w:pPr>
        <w:spacing w:after="0" w:line="68"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Stock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Stock options granted to new hires generally vest over a four-year period, with 25% of the shares vesting on the first anniversary of the grant date and the remaining shares vesting in 36 equal monthly installments thereafter; stock options granted as merit awards generally vest in 48 equal monthly installments following the grant date.</w:t>
      </w:r>
    </w:p>
    <w:p>
      <w:pPr>
        <w:spacing w:after="0" w:line="81"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RSUs are share awards that entitle the holder to receive shares of common stock upon vesting and settlement of the awards. RSUs granted generally vest over a four-year period with straight-line vesting in equal amounts, either in annual or quarterly installments.</w:t>
      </w:r>
    </w:p>
    <w:p>
      <w:pPr>
        <w:spacing w:after="0" w:line="54"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2,456,568 and 2,414,907 shares on January 1, 2024 and 2023, respectively.</w:t>
      </w:r>
    </w:p>
    <w:p>
      <w:pPr>
        <w:spacing w:after="0" w:line="75"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5,931,302 shares and 6,033,176 shares, respectively, of common stock available for issuance under the 2021 Plan.</w:t>
      </w:r>
    </w:p>
    <w:p>
      <w:pPr>
        <w:spacing w:after="0" w:line="54"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2011 Plan was superseded by the 2021 Plan at the time of the initial public offering of the Company's common stock, which closed on July 15, 2021, and no further grants have been made under the 2011 Plan from the date the 2021 Plan became effective. The terms under the 2011 Plan are consistent with those described above for the 2021 Plan.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96" w:name="page97"/>
    <w:bookmarkEnd w:id="96"/>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2011 and 2021 Plans: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9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00" w:type="dxa"/>
            <w:vAlign w:val="bottom"/>
          </w:tcPr>
          <w:p>
            <w:pPr>
              <w:spacing w:after="0"/>
              <w:rPr>
                <w:sz w:val="13"/>
                <w:szCs w:val="13"/>
                <w:color w:val="auto"/>
              </w:rPr>
            </w:pPr>
          </w:p>
        </w:tc>
        <w:tc>
          <w:tcPr>
            <w:tcW w:w="1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Intrinsic Value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Forfeited/cancelled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(316,075 )</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(207,104 )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4,464,388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Borders>
              <w:bottom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62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Vested and exercisable as of December 31,</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3,353,744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Vested and expected to vest as of December</w:t>
            </w: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4,464,388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-574040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-556895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120" w:right="60" w:firstLine="419"/>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values of stock options granted during the year ended December 31, 2024 and 2023 was $2.71 per share and $3.78 per share, respectively. The aggregate intrinsic value of stock options exercised was $0.9 million during the year ended December 31, 2024. The aggregate intrinsic value was calculated as the difference between the exercise prices of the underlying stock options and the estimated fair value of the common stock on the date of exercise.</w:t>
      </w:r>
    </w:p>
    <w:p>
      <w:pPr>
        <w:spacing w:after="0" w:line="72"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stock-based compensation expense of $7.8 million and $8.5 million, respectively, related to stock options. As of December 31, 2024, the unrecognized stock-based compensation of unvested stock options was $5.6 million, which is expected to be recognized over a weighted-average period of 1.2 years.</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Determination of Fair Value</w:t>
      </w:r>
    </w:p>
    <w:p>
      <w:pPr>
        <w:spacing w:after="0" w:line="119"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1300" w:type="dxa"/>
            <w:vAlign w:val="bottom"/>
            <w:tcBorders>
              <w:bottom w:val="single" w:sz="8" w:color="auto"/>
            </w:tcBorders>
          </w:tcPr>
          <w:p>
            <w:pPr>
              <w:jc w:val="center"/>
              <w:ind w:left="4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shd w:val="clear" w:color="auto" w:fill="CFF0FC"/>
          </w:tcPr>
          <w:p>
            <w:pPr>
              <w:jc w:val="center"/>
              <w:ind w:left="494"/>
              <w:spacing w:after="0"/>
              <w:rPr>
                <w:sz w:val="20"/>
                <w:szCs w:val="20"/>
                <w:color w:val="auto"/>
              </w:rPr>
            </w:pPr>
            <w:r>
              <w:rPr>
                <w:rFonts w:ascii="Times New Roman" w:cs="Times New Roman" w:eastAsia="Times New Roman" w:hAnsi="Times New Roman"/>
                <w:sz w:val="18"/>
                <w:szCs w:val="18"/>
                <w:color w:val="auto"/>
              </w:rPr>
              <w:t>6.13</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6.07</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rPr>
              <w:t>61.67%</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61.80%</w:t>
            </w: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FF0FC"/>
          </w:tcPr>
          <w:p>
            <w:pPr>
              <w:jc w:val="center"/>
              <w:ind w:left="474"/>
              <w:spacing w:after="0"/>
              <w:rPr>
                <w:sz w:val="20"/>
                <w:szCs w:val="20"/>
                <w:color w:val="auto"/>
              </w:rPr>
            </w:pPr>
            <w:r>
              <w:rPr>
                <w:rFonts w:ascii="Times New Roman" w:cs="Times New Roman" w:eastAsia="Times New Roman" w:hAnsi="Times New Roman"/>
                <w:sz w:val="18"/>
                <w:szCs w:val="18"/>
                <w:color w:val="auto"/>
                <w:w w:val="98"/>
              </w:rPr>
              <w:t>4.28%</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0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spacing w:after="0"/>
              <w:rPr>
                <w:sz w:val="21"/>
                <w:szCs w:val="21"/>
                <w:color w:val="auto"/>
              </w:rPr>
            </w:pPr>
          </w:p>
        </w:tc>
      </w:tr>
    </w:tbl>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19" w:lineRule="exact"/>
        <w:rPr>
          <w:sz w:val="20"/>
          <w:szCs w:val="20"/>
          <w:color w:val="auto"/>
        </w:rPr>
      </w:pPr>
    </w:p>
    <w:p>
      <w:pPr>
        <w:jc w:val="both"/>
        <w:ind w:left="120" w:right="60" w:firstLine="419"/>
        <w:spacing w:after="0" w:line="258" w:lineRule="auto"/>
        <w:rPr>
          <w:sz w:val="20"/>
          <w:szCs w:val="20"/>
          <w:color w:val="auto"/>
        </w:rPr>
      </w:pPr>
      <w:r>
        <w:rPr>
          <w:rFonts w:ascii="Times New Roman" w:cs="Times New Roman" w:eastAsia="Times New Roman" w:hAnsi="Times New Roman"/>
          <w:sz w:val="18"/>
          <w:szCs w:val="18"/>
          <w:color w:val="auto"/>
        </w:rPr>
        <w:t>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19" w:lineRule="exact"/>
        <w:rPr>
          <w:sz w:val="20"/>
          <w:szCs w:val="20"/>
          <w:color w:val="auto"/>
        </w:rPr>
      </w:pPr>
    </w:p>
    <w:p>
      <w:pPr>
        <w:jc w:val="both"/>
        <w:ind w:left="120" w:right="60" w:firstLine="419"/>
        <w:spacing w:after="0" w:line="261" w:lineRule="auto"/>
        <w:rPr>
          <w:sz w:val="20"/>
          <w:szCs w:val="20"/>
          <w:color w:val="auto"/>
        </w:rPr>
      </w:pPr>
      <w:r>
        <w:rPr>
          <w:rFonts w:ascii="Times New Roman" w:cs="Times New Roman" w:eastAsia="Times New Roman" w:hAnsi="Times New Roman"/>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19" w:lineRule="exact"/>
        <w:rPr>
          <w:sz w:val="20"/>
          <w:szCs w:val="20"/>
          <w:color w:val="auto"/>
        </w:rPr>
      </w:pPr>
    </w:p>
    <w:p>
      <w:pPr>
        <w:jc w:val="both"/>
        <w:ind w:left="120" w:right="60" w:firstLine="419"/>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implied yield currently available on U.S. Treasury zero-coupon issues with remaining terms equivalent to the expected term of a stock award.</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Dividend Rate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7" w:name="page98"/>
    <w:bookmarkEnd w:id="97"/>
    <w:p>
      <w:pPr>
        <w:jc w:val="both"/>
        <w:ind w:left="100" w:firstLine="419"/>
        <w:spacing w:after="0" w:line="282" w:lineRule="auto"/>
        <w:rPr>
          <w:sz w:val="20"/>
          <w:szCs w:val="20"/>
          <w:color w:val="auto"/>
        </w:rPr>
      </w:pPr>
      <w:r>
        <w:rPr>
          <w:rFonts w:ascii="Times New Roman" w:cs="Times New Roman" w:eastAsia="Times New Roman" w:hAnsi="Times New Roman"/>
          <w:sz w:val="18"/>
          <w:szCs w:val="18"/>
          <w:color w:val="auto"/>
        </w:rPr>
        <w:t>The Company has not paid, and does not anticipate paying any dividends in the near future. Accordingly, the Company has estimated the dividend yield to be 0%.</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231F20"/>
        </w:rPr>
        <w:t>Restricted Stock Units</w:t>
      </w:r>
    </w:p>
    <w:p>
      <w:pPr>
        <w:spacing w:after="0" w:line="121" w:lineRule="exact"/>
        <w:rPr>
          <w:sz w:val="20"/>
          <w:szCs w:val="20"/>
          <w:color w:val="auto"/>
        </w:rPr>
      </w:pPr>
    </w:p>
    <w:p>
      <w:pPr>
        <w:jc w:val="both"/>
        <w:ind w:left="100" w:firstLine="419"/>
        <w:spacing w:after="0" w:line="261" w:lineRule="auto"/>
        <w:rPr>
          <w:sz w:val="20"/>
          <w:szCs w:val="20"/>
          <w:color w:val="auto"/>
        </w:rPr>
      </w:pPr>
      <w:r>
        <w:rPr>
          <w:rFonts w:ascii="Times New Roman" w:cs="Times New Roman" w:eastAsia="Times New Roman" w:hAnsi="Times New Roman"/>
          <w:sz w:val="18"/>
          <w:szCs w:val="18"/>
          <w:color w:val="auto"/>
        </w:rPr>
        <w:t>RSUs are share awards that entitle the holder to receive shares of common stock upon vesting and settlement. RSUs cannot be transferred, and the awards are subject to forfeiture if the holder’s employment terminates prior to the release of the vesting restrictions. RSUs granted generally vest over a four-year period with straight-line vesting in equal amounts (either in annual or quarterly installments), provided the employee remains continuously employed with the Company. The fair value of an RSU is equal to the closing price of the Company’s common stock on the grant date.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2021 Plan:</w:t>
      </w:r>
    </w:p>
    <w:p>
      <w:pPr>
        <w:spacing w:after="0" w:line="9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73"/>
        </w:trPr>
        <w:tc>
          <w:tcPr>
            <w:tcW w:w="5820" w:type="dxa"/>
            <w:vAlign w:val="bottom"/>
          </w:tcPr>
          <w:p>
            <w:pPr>
              <w:spacing w:after="0"/>
              <w:rPr>
                <w:sz w:val="15"/>
                <w:szCs w:val="15"/>
                <w:color w:val="auto"/>
              </w:rPr>
            </w:pPr>
          </w:p>
        </w:tc>
        <w:tc>
          <w:tcPr>
            <w:tcW w:w="18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2,721,361</w:t>
            </w:r>
          </w:p>
        </w:tc>
        <w:tc>
          <w:tcPr>
            <w:tcW w:w="20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FF0FC"/>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3,344,312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8"/>
                <w:szCs w:val="18"/>
                <w:color w:val="auto"/>
              </w:rPr>
            </w:pPr>
          </w:p>
        </w:tc>
      </w:tr>
      <w:tr>
        <w:trPr>
          <w:trHeight w:val="216"/>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(477,172 )</w:t>
            </w:r>
          </w:p>
        </w:tc>
        <w:tc>
          <w:tcPr>
            <w:tcW w:w="7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FF0FC"/>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(1,246,683 )</w:t>
            </w:r>
          </w:p>
        </w:tc>
        <w:tc>
          <w:tcPr>
            <w:tcW w:w="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8"/>
                <w:szCs w:val="18"/>
                <w:color w:val="auto"/>
              </w:rPr>
            </w:pP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4,341,818</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-25400</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-7620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left="100" w:firstLine="41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stock-based compensation of $8.7 million and $5.5 million, respectively, related to RSUs. As of December 31, 2024, the unrecognized stock-based compensation associated with unvested RSUs was $19.2 million, which is expected to be recognized over a weighted-average period of 2.6 years.</w:t>
      </w: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231F20"/>
        </w:rPr>
        <w:t>Employee Stock Purchase Plan</w:t>
      </w:r>
    </w:p>
    <w:p>
      <w:pPr>
        <w:spacing w:after="0" w:line="121" w:lineRule="exact"/>
        <w:rPr>
          <w:sz w:val="20"/>
          <w:szCs w:val="20"/>
          <w:color w:val="auto"/>
        </w:rPr>
      </w:pPr>
    </w:p>
    <w:p>
      <w:pPr>
        <w:jc w:val="both"/>
        <w:ind w:left="100" w:firstLine="419"/>
        <w:spacing w:after="0" w:line="258" w:lineRule="auto"/>
        <w:rPr>
          <w:sz w:val="20"/>
          <w:szCs w:val="20"/>
          <w:color w:val="auto"/>
        </w:rPr>
      </w:pPr>
      <w:r>
        <w:rPr>
          <w:rFonts w:ascii="Times New Roman" w:cs="Times New Roman" w:eastAsia="Times New Roman" w:hAnsi="Times New Roman"/>
          <w:sz w:val="18"/>
          <w:szCs w:val="18"/>
          <w:color w:val="auto"/>
        </w:rPr>
        <w:t>In July 2021, the board of directors and stockholders adopted and approved the 2021 Employee Stock Purchase Plan (the “ESPP”). The ESPP permits participants to purchase shares of common stock at a discount through payroll deductions of up to a specified percentage of their eligible compensation. Shares of common stock are offered during two offering periods annually, each running for six-months, with the first offering period typically beginning in the second quarter, and the second offering period typically beginning in the fourth quarter. The purchase of shares for participants in the ESPP occurs at the conclusion of each offering period.</w:t>
      </w:r>
    </w:p>
    <w:p>
      <w:pPr>
        <w:spacing w:after="0" w:line="75" w:lineRule="exact"/>
        <w:rPr>
          <w:sz w:val="20"/>
          <w:szCs w:val="20"/>
          <w:color w:val="auto"/>
        </w:rPr>
      </w:pPr>
    </w:p>
    <w:p>
      <w:pPr>
        <w:jc w:val="both"/>
        <w:ind w:left="100" w:firstLine="419"/>
        <w:spacing w:after="0" w:line="258" w:lineRule="auto"/>
        <w:rPr>
          <w:sz w:val="20"/>
          <w:szCs w:val="20"/>
          <w:color w:val="auto"/>
        </w:rPr>
      </w:pPr>
      <w:r>
        <w:rPr>
          <w:rFonts w:ascii="Times New Roman" w:cs="Times New Roman" w:eastAsia="Times New Roman" w:hAnsi="Times New Roman"/>
          <w:sz w:val="18"/>
          <w:szCs w:val="18"/>
          <w:color w:val="auto"/>
        </w:rPr>
        <w:t>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491,313 and 482,981 shares on January 1, 2024 and 2023, respectively.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2023, there were 1,631,076 shares and 1,488,227 shares of common stock available for issuance under the ESPP.</w:t>
      </w:r>
    </w:p>
    <w:p>
      <w:pPr>
        <w:spacing w:after="0" w:line="117" w:lineRule="exact"/>
        <w:rPr>
          <w:sz w:val="20"/>
          <w:szCs w:val="20"/>
          <w:color w:val="auto"/>
        </w:rPr>
      </w:pPr>
    </w:p>
    <w:p>
      <w:pPr>
        <w:jc w:val="both"/>
        <w:ind w:left="100" w:firstLine="41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participants in the ESPP purchased 348,464 shares for a total of $0.8 million. As of December 31, 2024, the Company has collected payroll withholdings of $0.1 million in the current offering period for the purchase of shares under the ESPP. For the years ended December 31, 2024 and 2023, the Company recorded stock-based compensation expense associated with the ESPP of $0.6 million and $0.6 million, respectively.</w:t>
      </w:r>
    </w:p>
    <w:p>
      <w:pPr>
        <w:spacing w:after="0" w:line="72" w:lineRule="exact"/>
        <w:rPr>
          <w:sz w:val="20"/>
          <w:szCs w:val="20"/>
          <w:color w:val="auto"/>
        </w:rPr>
      </w:pPr>
    </w:p>
    <w:p>
      <w:pPr>
        <w:jc w:val="both"/>
        <w:ind w:left="100" w:firstLine="419"/>
        <w:spacing w:after="0" w:line="282" w:lineRule="auto"/>
        <w:rPr>
          <w:sz w:val="20"/>
          <w:szCs w:val="20"/>
          <w:color w:val="auto"/>
        </w:rPr>
      </w:pPr>
      <w:r>
        <w:rPr>
          <w:rFonts w:ascii="Times New Roman" w:cs="Times New Roman" w:eastAsia="Times New Roman" w:hAnsi="Times New Roman"/>
          <w:sz w:val="18"/>
          <w:szCs w:val="18"/>
          <w:color w:val="auto"/>
        </w:rPr>
        <w:t>The fair value of shares to be issued under the ESPP was estimated using the Black-Scholes valuation model with the following assumptions for the years ended December 31, 2024 and 2023, respectively:</w:t>
      </w:r>
    </w:p>
    <w:p>
      <w:pPr>
        <w:sectPr>
          <w:pgSz w:w="11900" w:h="16838" w:orient="portrait"/>
          <w:cols w:equalWidth="0" w:num="1">
            <w:col w:w="11160"/>
          </w:cols>
          <w:pgMar w:left="340" w:top="1201" w:right="39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8"/>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- 0.50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- 0.50</w:t>
            </w:r>
          </w:p>
        </w:tc>
      </w:tr>
      <w:tr>
        <w:trPr>
          <w:trHeight w:val="216"/>
        </w:trPr>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72.80% - 197.51%</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66.72% - 197.51%</w:t>
            </w:r>
          </w:p>
        </w:tc>
      </w:tr>
      <w:tr>
        <w:trPr>
          <w:trHeight w:val="234"/>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- 5.40%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- 5.40%</w:t>
            </w:r>
          </w:p>
        </w:tc>
      </w:tr>
      <w:tr>
        <w:trPr>
          <w:trHeight w:val="243"/>
        </w:trPr>
        <w:tc>
          <w:tcPr>
            <w:tcW w:w="1000" w:type="dxa"/>
            <w:vAlign w:val="bottom"/>
          </w:tcPr>
          <w:p>
            <w:pPr>
              <w:spacing w:after="0"/>
              <w:rPr>
                <w:sz w:val="21"/>
                <w:szCs w:val="21"/>
                <w:color w:val="auto"/>
              </w:rPr>
            </w:pPr>
          </w:p>
        </w:tc>
        <w:tc>
          <w:tcPr>
            <w:tcW w:w="12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spacing w:after="0"/>
              <w:rPr>
                <w:sz w:val="21"/>
                <w:szCs w:val="21"/>
                <w:color w:val="auto"/>
              </w:rPr>
            </w:pPr>
          </w:p>
        </w:tc>
        <w:tc>
          <w:tcPr>
            <w:tcW w:w="11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-582295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-290830</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500"/>
          </w:cols>
          <w:pgMar w:left="340" w:top="1201" w:right="39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01" w:right="399" w:bottom="1440" w:gutter="0" w:footer="0" w:header="0"/>
          <w:type w:val="continuous"/>
        </w:sectPr>
      </w:pPr>
    </w:p>
    <w:bookmarkStart w:id="98" w:name="page99"/>
    <w:bookmarkEnd w:id="98"/>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is a summary of stock-based compensation expense by function (in thousands):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9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14,606</w:t>
            </w: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12,181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17,077</w:t>
            </w:r>
          </w:p>
        </w:tc>
        <w:tc>
          <w:tcPr>
            <w:tcW w:w="98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14,581</w:t>
            </w:r>
          </w:p>
        </w:tc>
        <w:tc>
          <w:tcPr>
            <w:tcW w:w="8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color w:val="231F20"/>
        </w:rPr>
        <w:t>Net Loss per Share Attributable to Common Stockholders</w:t>
      </w:r>
    </w:p>
    <w:p>
      <w:pPr>
        <w:spacing w:after="0" w:line="229"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common shares outstanding for the period. As the Company reported a net loss for the years ended December 31, 2024 and 2023, basic net loss per share is the same as diluted net loss per share as the inclusion of potentially dilutive shares would have been antidilutive if included in the calculation.</w:t>
      </w:r>
    </w:p>
    <w:p>
      <w:pPr>
        <w:spacing w:after="0" w:line="68" w:lineRule="exact"/>
        <w:rPr>
          <w:sz w:val="20"/>
          <w:szCs w:val="20"/>
          <w:color w:val="auto"/>
        </w:rPr>
      </w:pPr>
    </w:p>
    <w:p>
      <w:pPr>
        <w:jc w:val="both"/>
        <w:ind w:left="120" w:right="60" w:firstLine="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(51,507 )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(55,547 )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50,134,104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48,628,940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740" w:type="dxa"/>
            <w:vAlign w:val="bottom"/>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(1.03 )</w:t>
            </w:r>
          </w:p>
        </w:tc>
        <w:tc>
          <w:tcPr>
            <w:tcW w:w="3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4"/>
        </w:trPr>
        <w:tc>
          <w:tcPr>
            <w:tcW w:w="474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stockholders—basic and diluted</w:t>
            </w:r>
          </w:p>
        </w:tc>
        <w:tc>
          <w:tcPr>
            <w:tcW w:w="32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-25400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left="120" w:right="60" w:firstLine="41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4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8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4,464,388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4,341,818</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2,721,361</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0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161,783</w:t>
            </w:r>
          </w:p>
        </w:tc>
        <w:tc>
          <w:tcPr>
            <w:tcW w:w="24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8,967,989</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7,701,551</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-170815</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b w:val="1"/>
          <w:bCs w:val="1"/>
          <w:color w:val="231F20"/>
        </w:rPr>
        <w:t>Income Taxes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The Company’s income tax provision for the years ended December 31, 2024 and 2023, consists of the following (in thousands):</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11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r>
      <w:tr>
        <w:trPr>
          <w:trHeight w:val="216"/>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-170815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jc w:val="both"/>
        <w:ind w:left="120" w:right="60" w:firstLine="419"/>
        <w:spacing w:after="0" w:line="266" w:lineRule="auto"/>
        <w:rPr>
          <w:sz w:val="20"/>
          <w:szCs w:val="20"/>
          <w:color w:val="auto"/>
        </w:rPr>
      </w:pPr>
      <w:r>
        <w:rPr>
          <w:rFonts w:ascii="Times New Roman" w:cs="Times New Roman" w:eastAsia="Times New Roman" w:hAnsi="Times New Roman"/>
          <w:sz w:val="18"/>
          <w:szCs w:val="18"/>
          <w:color w:val="231F20"/>
        </w:rPr>
        <w:t>The Company's components of income/(loss) before the provision for income taxes includes domestic loss of $51.3 million and $55.7 million for the years ended December 31, 2024 and 2023, respectively. Foreign income for the years ended December 31, 2024 and 2023 was $0.1 million and $0.2 million,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Deferred tax assets and liabilities reflect the net tax effect of temporary differences between carrying value of assets and liabilities for financial reporting purposes and the tax basis of these assets and liabilities as measured by income tax law. The income tax effect of temporary differences that give rise to deferred tax assets and (liabilities) consist of the following (in thousands):</w:t>
      </w:r>
    </w:p>
    <w:p>
      <w:pPr>
        <w:spacing w:after="0" w:line="61"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69,105</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60,753</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Disallowed interest expense carryover</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(87,666 )</w:t>
            </w: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(74,655 )</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(244 )</w:t>
            </w: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(381 )</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(244 )</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(381 )</w:t>
            </w:r>
          </w:p>
        </w:tc>
      </w:tr>
      <w:tr>
        <w:trPr>
          <w:trHeight w:val="209"/>
        </w:trPr>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-170815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-170815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Internal Revenue Code (IRC) Section 382 limits the use of federal net operating losses and income tax credit carryforwards in certain situations where changes occur in stock ownership of a company. If the Company should have an ownership change of more than 50% of the value of the Company’s capital stock, utilization of the carryforwards could be restricted.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reconciliation of the statutory federal income tax rate to the Company’s effective tax rate is as follows (in thousands):</w:t>
      </w:r>
    </w:p>
    <w:p>
      <w:pPr>
        <w:spacing w:after="0" w:line="1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1020" w:type="dxa"/>
        <w:tblCellMar>
          <w:top w:w="0" w:type="dxa"/>
          <w:left w:w="0" w:type="dxa"/>
          <w:bottom w:w="0" w:type="dxa"/>
          <w:right w:w="0" w:type="dxa"/>
        </w:tblCellMar>
      </w:tblPr>
      <w:tr>
        <w:trPr>
          <w:trHeight w:val="142"/>
        </w:trPr>
        <w:tc>
          <w:tcPr>
            <w:tcW w:w="59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(22 )%</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50"/>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-24765</wp:posOffset>
            </wp:positionV>
            <wp:extent cx="1543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-8255</wp:posOffset>
            </wp:positionV>
            <wp:extent cx="1543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-24765</wp:posOffset>
            </wp:positionV>
            <wp:extent cx="1543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-8255</wp:posOffset>
            </wp:positionV>
            <wp:extent cx="1543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0"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231F20"/>
        </w:rPr>
        <w:t>A valuation allowance is recorded when it is more likely than not that some portion of the deferred tax assets will not be realized. As of each reporting date, the Company's management considers all evidence, both positive and negative, that could impact management's view with regard to future realization of deferred tax assets. As of December 31, 2024, a full valuation allowance for deferred tax assets was recorded as management believes it is not more likely than not that all of the deferred tax assets will be realized. At December 31, 2024 and 2023, the Company has a net operating loss carryforward for federal income tax purposes of approximately $269.2 million and $235.5 million, respectively. At December 31, 2024 and 2023, the Company has a net operating loss carryforward for state income tax purposes of approximately $245.0 million and $201.6 million, respectively. Of the Company's federal net operating loss carryovers, $14.8 million was generated before January 1, 2018 and is subject to a 20-year carryforward period. The remaining $254.4 million can be carried forward indefinitely but is subject to an 80% taxable income limitation. The pre-2018 federal and certain state net operating losses will begin to expire in 2031 and 2032, respectively, if not utilized.</w:t>
      </w:r>
    </w:p>
    <w:p>
      <w:pPr>
        <w:spacing w:after="0" w:line="80"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231F20"/>
        </w:rPr>
        <w:t>As of December 31, 2024 and 2023, the Company has federal research and development income tax credit carryforwards of approximately $2.8 million and $1.9 million, respectively. As of December 31, 2024 and 2023, the Company has state research and development income tax credit carryforwards of approximately $2.3 million and $1.7 million, respectively. The Federal income tax credits begin to expire in 2033. The California research and development credits can be carried forward indefinitely. The total amount of uncertain tax positions ("UTP") on research and development tax credits is $1.3 million and</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100" w:name="page101"/>
    <w:bookmarkEnd w:id="100"/>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$0.9 million as of December 31, 2024 and 2023, respectively. The Company does not expect any significant change to the UTP balances in the next 12 months.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As of December 31, 2024 and 2023, the Company has business interest expense carryforwards of $0.0 million and $0.8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Business interest expense can be carried forward indefinitely.</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summarizes the activity related to the unrecognized tax benefits (in thousands):</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at the beginning of the year</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the end of the year</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-170815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-170815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231F20"/>
        </w:rPr>
        <w:t>The Company does not have any material uncertain tax positions as of December 31, 2024 and does not expect any significant change to such balances in the next twelve months.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currently has no federal or state tax examinations in progress nor has it had any federal or state tax examinations since its inception.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Due to the history of net operating losses, the Company’s federal and state tax returns remain open to examination by the tax authorities.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color w:val="231F20"/>
        </w:rPr>
        <w:t>Segment Information</w:t>
      </w:r>
    </w:p>
    <w:p>
      <w:pPr>
        <w:spacing w:after="0" w:line="229"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who is the Company’s Chief Operating Decision Maker (“CODM”), manages the business through two operating segments, consistent with how the Company’s Chief Executive Officer: (i) assesses operating performance on a regular basis, (ii) makes resource allocation decisions, and (iii) designates responsibilities of his direct reports. The Company’s operating segments, which also qualify as reportable segments include: (i) Surgical Glaucoma and (ii) Dry Eye. These segments are generally determined based on the decision-making structure and the grouping of similar products and services.</w:t>
      </w:r>
    </w:p>
    <w:p>
      <w:pPr>
        <w:spacing w:after="0" w:line="7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Company’s CODM uses segment gross profit to assess the operating performance and make resource allocation decisions for each of its segments. Segment gross profit represents revenue reduced by cost of goods sold within each of the operating and reportable segments. The CODM reviews a monthly executive reporting package based on consolidated results of the Company when making decisions about allocating resources and assessing performance. The CODM evaluates actual segment performance to budget and forecast, including monthly sales performance, when allocating capital and personnel.</w:t>
      </w:r>
    </w:p>
    <w:p>
      <w:pPr>
        <w:spacing w:after="0" w:line="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Company does not have any intercompany transactions between segments that require elimination. The CODM does not review operating expenses separately for its segments, as the Company does not allocate operating expenses, with many operating costs shared between the segments, and therefore, this is not considered when allocating resources and assessing performance. The Company evaluated the monthly executive reporting package and did not identify any significant or other expenses for disclosure that are not already presented.</w:t>
      </w:r>
    </w:p>
    <w:p>
      <w:pPr>
        <w:spacing w:after="0" w:line="72"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In reviewing and assessing segment performance and managing operations, management does not review segment assets. Substantially all of the Company’s revenue is generated from sales in the United States.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101" w:name="page102"/>
    <w:bookmarkEnd w:id="101"/>
    <w:p>
      <w:pPr>
        <w:ind w:left="540"/>
        <w:spacing w:after="0"/>
        <w:rPr>
          <w:sz w:val="20"/>
          <w:szCs w:val="20"/>
          <w:color w:val="auto"/>
        </w:rPr>
      </w:pPr>
      <w:r>
        <w:rPr>
          <w:rFonts w:ascii="Times New Roman" w:cs="Times New Roman" w:eastAsia="Times New Roman" w:hAnsi="Times New Roman"/>
          <w:sz w:val="18"/>
          <w:szCs w:val="18"/>
          <w:color w:val="auto"/>
        </w:rPr>
        <w:t>The following table summarizes select operating results information for each reportable segment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expense</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(118,817 )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(126,449 )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(4,662 )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(5,408 )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(1,962 )</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2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(51,271 )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(55,437 )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0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-3171190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-3171190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-2614295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-2614295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-2056765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-2056765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-1216660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-1216660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and accounting officer, as appropriate to allow timely decisions regarding required disclosure.</w:t>
      </w:r>
    </w:p>
    <w:p>
      <w:pPr>
        <w:spacing w:after="0" w:line="84"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concluded that as of December 31, 2024, our disclosure controls and procedures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as defined in Rules 13a-15(f) and 15d-15(f) under the Exchange Act, means a process designed to provide reasonable assurance regarding the reliability of financial reporting and the preparation of financial statements for external purposes in accordance with GAAP. Our management, with the participation and supervision of our principal executive officer and our principal financial and accounting officer, assessed the effectiveness of our internal control over financial reporting.</w:t>
      </w:r>
    </w:p>
    <w:p>
      <w:pPr>
        <w:spacing w:after="0" w:line="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In making this assessment, our management used the criteria set forth in Internal Control – Integrated Framework (2013) as issued by the Committee of Sponsoring Organizations of the Treadway Commission (commonly referred to as COSO). Based on this assessment as of the end of the period covered by this Annual Report on Form 10-K, our management concluded that our internal control over financial reporting was effective based on those criteria.</w:t>
      </w:r>
    </w:p>
    <w:p>
      <w:pPr>
        <w:spacing w:after="0" w:line="72"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due to an exemption established by SEC rules for emerging growth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 13a-15(d) of the Exchange Act during the fiscal year ended December 31, 2024,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 and Procedures</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and not absolute assurance of achieving the desired control objectives. In assessing whether our disclosure controls and procedures were effective at a reasonable level of assurance, management necessarily was required to apply its judgment in evaluating the cost-benefit relationship of possible controls and procedures. There are inherent limitations to the effectiveness of any system of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certifications of our principal executive officer and principal financial and accounting officer required by Rule 13a-14(a) of the Exchange Act are filed as Exhibit 31.1 and Exhibit 31.2, and furnished as Exhibit 32.1 and Exhibit 32.2, respectively, to this Annual Report on Form 10-K. The disclosure in this Item 9A should be read in conjunction with such</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197" w:right="399" w:bottom="1440" w:gutter="0" w:footer="0" w:header="0"/>
        </w:sectPr>
      </w:pPr>
    </w:p>
    <w:bookmarkStart w:id="103" w:name="page104"/>
    <w:bookmarkEnd w:id="103"/>
    <w:p>
      <w:pPr>
        <w:ind w:left="120"/>
        <w:spacing w:after="0"/>
        <w:rPr>
          <w:sz w:val="20"/>
          <w:szCs w:val="20"/>
          <w:color w:val="auto"/>
        </w:rPr>
      </w:pPr>
      <w:r>
        <w:rPr>
          <w:rFonts w:ascii="Times New Roman" w:cs="Times New Roman" w:eastAsia="Times New Roman" w:hAnsi="Times New Roman"/>
          <w:sz w:val="18"/>
          <w:szCs w:val="18"/>
          <w:color w:val="auto"/>
        </w:rPr>
        <w:t>certifications for a more complete understanding of our disclosure controls and procedures and internal control over financial reporting.</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adopted, terminated, or modified a Rule 10b5-1 trading arrangement or a non-Rule 10b5-1 trading arrangement.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Officers and Directors</w:t>
      </w:r>
    </w:p>
    <w:p>
      <w:pPr>
        <w:spacing w:after="0" w:line="119" w:lineRule="exact"/>
        <w:rPr>
          <w:sz w:val="20"/>
          <w:szCs w:val="20"/>
          <w:color w:val="auto"/>
        </w:rPr>
      </w:pPr>
    </w:p>
    <w:p>
      <w:pPr>
        <w:jc w:val="both"/>
        <w:ind w:firstLine="4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Paul Badawi, 50, </w:t>
      </w:r>
      <w:r>
        <w:rPr>
          <w:rFonts w:ascii="Times New Roman" w:cs="Times New Roman" w:eastAsia="Times New Roman" w:hAnsi="Times New Roman"/>
          <w:sz w:val="18"/>
          <w:szCs w:val="18"/>
          <w:color w:val="auto"/>
        </w:rPr>
        <w:t>is a co-founder of our Company and has served as our Chief Executive Officer and a member of our Board since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founded in 2011. Prior to launching Sight Sciences, Mr. Badawi led the U.S. healthcare venture capital practice for 3i Group, a global private equity firm. Mr. Badawi holds an M.B.A. from the University of California, Los Angeles and a B.S. in Biological Sciences from the University of Chicago.</w:t>
      </w:r>
    </w:p>
    <w:p>
      <w:pPr>
        <w:spacing w:after="0" w:line="65" w:lineRule="exact"/>
        <w:rPr>
          <w:sz w:val="20"/>
          <w:szCs w:val="20"/>
          <w:color w:val="auto"/>
        </w:rPr>
      </w:pPr>
    </w:p>
    <w:p>
      <w:pPr>
        <w:jc w:val="both"/>
        <w:ind w:firstLine="4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Badawi, M.D., 55, </w:t>
      </w:r>
      <w:r>
        <w:rPr>
          <w:rFonts w:ascii="Times New Roman" w:cs="Times New Roman" w:eastAsia="Times New Roman" w:hAnsi="Times New Roman"/>
          <w:sz w:val="18"/>
          <w:szCs w:val="18"/>
          <w:color w:val="auto"/>
        </w:rPr>
        <w:t>is a co-founder of our Company and has served as our Chief Technology Officer and a member of our Board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was founded in 2011. Since 2012, Dr. Badawi has also served as the president and a practicing ophthalmologist at Central Eye Care Ltd, an ophthalmology practice. Dr. Badawi holds an M.D. from Georgetown University and a B.S. in Microbiology from the University of Maryland.</w:t>
      </w:r>
    </w:p>
    <w:p>
      <w:pPr>
        <w:spacing w:after="0" w:line="65"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Alison Bauerlein, 43, </w:t>
      </w:r>
      <w:r>
        <w:rPr>
          <w:rFonts w:ascii="Times New Roman" w:cs="Times New Roman" w:eastAsia="Times New Roman" w:hAnsi="Times New Roman"/>
          <w:sz w:val="18"/>
          <w:szCs w:val="18"/>
          <w:color w:val="auto"/>
        </w:rPr>
        <w:t>has served as our Chief Financial Officer and Treasurer since April 2023. Ms. Bauerlein co-founded Inogen, Inc. (“Inogen”)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INGN), a publicly traded medical technology company, in 2001, and previously served as Inogen’s Executive Advisor from December 2021 to April 2022, Chief Financial Officer, from 2009 until December 2021, Executive Vice President of Finance from March 2014 until December 2021, Corporate Secretary from 2002 until July 2021, and Corporate Treasurer from 2002 until December 2021. Ms. Bauerlein also serves as a member of the board of directors of Koya Medical, Inc. and Balance Ophthalmics, Inc, two private medical device companies. Ms. Bauerlein previously served as a member of the board of Pear Therapeutics, Inc., a software-based digital therapeutics company, from December 2021 to May 2024, and served as a member of the board of directors of Gelesis Holdings, Inc, a biotherapeutics company, from January 2022 until October 2023 and as a member of the board of directors of Equinox Ophthalmic, Inc. from June 2020 until March 2023. Ms. Bauerlein received a B.A. in economics/mathematics with high honors from the University of California, Santa Barbara.</w:t>
      </w:r>
    </w:p>
    <w:p>
      <w:pPr>
        <w:spacing w:after="0" w:line="80"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Matthew Link, 50, </w:t>
      </w:r>
      <w:r>
        <w:rPr>
          <w:rFonts w:ascii="Times New Roman" w:cs="Times New Roman" w:eastAsia="Times New Roman" w:hAnsi="Times New Roman"/>
          <w:sz w:val="18"/>
          <w:szCs w:val="18"/>
          <w:color w:val="auto"/>
        </w:rPr>
        <w:t>has served as our Chief Commercial Officer since September 2023. Mr. Link also serves as Managing Partner at Orion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Advisors, LLC (“Orion”), a consulting services provider from 2021 to present. Before Orion, Mr. Link served in increasing leadership positions at NuVasive Inc. (“NuVasive”), a global leader in surgical implants and enabling technology for spine surgery and orthopedics, from 2006 to 2021. Mr. Link joined NuVasive as an Area Business Manager and rose to the level of President where his responsibilities included oversight of global business units in spine, neurophysiology and orthopedics. Prior to NuVasive, Mr. Link held commercial leadership roles at Depuy Orthopedics and Depuy Spine. He currently serves as a member of the board of directors of and a member of the compensation committee and nominating committee of Fibrobiologics (Nasdaq: FBLG), and as a member of the board of directors of Springbok Analytics, Intravu, Cavalier Futures, and DinamicOR. He also serves on the board of directors of the Coulter Translational Research Endowment at the University of Virginia. Mr. Link received a BSEd in Physical Education and Sports Medicine from the University of Virginia.</w:t>
      </w:r>
    </w:p>
    <w:p>
      <w:pPr>
        <w:spacing w:after="0" w:line="80"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Jeremy Hayden, 55, </w:t>
      </w:r>
      <w:r>
        <w:rPr>
          <w:rFonts w:ascii="Times New Roman" w:cs="Times New Roman" w:eastAsia="Times New Roman" w:hAnsi="Times New Roman"/>
          <w:sz w:val="18"/>
          <w:szCs w:val="18"/>
          <w:color w:val="auto"/>
        </w:rPr>
        <w:t>has served as our Chief Legal Officer since April 2020. Prior to joining us, Mr. Hayden served as General Counsel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Endologix, Inc. from August 2017 to April 2020. Prior to that, Mr. Hayden served as General Counsel and Vice President, Business Development at Cytori Therapeutics, Inc. from July 2015 to August 2017, and from May 2012 to July 2015 he served as Assistant General Counsel at Volcano Corporation, a publicly traded medical device company that was acquired by Royal Phillips in 2015. Mr. Hayden holds a J.D. from the University of Michigan Law School and an A.B. in Politics from Princeton University.</w:t>
      </w:r>
    </w:p>
    <w:p>
      <w:pPr>
        <w:spacing w:after="0" w:line="75"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Brenton Taylor, 43, </w:t>
      </w:r>
      <w:r>
        <w:rPr>
          <w:rFonts w:ascii="Times New Roman" w:cs="Times New Roman" w:eastAsia="Times New Roman" w:hAnsi="Times New Roman"/>
          <w:sz w:val="18"/>
          <w:szCs w:val="18"/>
          <w:color w:val="auto"/>
        </w:rPr>
        <w:t>has served as our Executive Vice President of Operations since November 2024. Prior to joining us, he worked at NEXT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Technologies, a photovoltaic technology company, between January 2022 and November 2024, where he served in roles of increasing responsibility as Executive Vice President of Engineering from January 2022 to January 2023, as Chief Operating Officer from January 2023 to July 2023 and as Chief Executive Officer from July 2023 to November 2024. Prior to NEXT Energy Technologies, Mr. Taylor served as Executive Vice President of Engineering of Inogen, Inc., a respiratory products company, of which he was a co-founder, from 2001 to 2022. Mr. Taylor has over 20 years of experience in medical technology operations, including product engineering and manufacturing. Mr. Taylor received a B.S. in Microbiology with high honors from the University of California, Santa Barbara.</w:t>
      </w:r>
    </w:p>
    <w:p>
      <w:pPr>
        <w:spacing w:after="0" w:line="7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Manohar Raheja, 66, </w:t>
      </w:r>
      <w:r>
        <w:rPr>
          <w:rFonts w:ascii="Times New Roman" w:cs="Times New Roman" w:eastAsia="Times New Roman" w:hAnsi="Times New Roman"/>
          <w:sz w:val="18"/>
          <w:szCs w:val="18"/>
          <w:color w:val="auto"/>
        </w:rPr>
        <w:t>has served as our Executive Vice President of Research &amp; Development since November 2024. From May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2024, Dr. Raheja served as an advisor, working with emerging ophthalmic companies and not-for-profit entrepreneurial institutions. Prior to that, Dr. Raheja served as the Global Head, Surgical Vision R&amp;D at Johnson &amp; Johnson Vision from 2009 to April 2023. Prior roles include Chief Technology Officer for CIBA Vision (a Novartis Company), President and Chief Operating Officer of Hill Top Research, Inc., a private equity-funded clinical</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research organization, and Vice President, Research Development &amp; Engineering at Bausch &amp; Lomb. Dr. Raheja has more than 35 years of experience in ophthalmology medical device innovation, overseeing global ophthalmic R&amp;D organizations responsible for bringing over 70 ophthalmic innovations to market. Dr. Raheja holds a Ph.D. from the University of Massachusetts and an Executive M.B.A. from Boston University.</w:t>
      </w:r>
    </w:p>
    <w:p>
      <w:pPr>
        <w:spacing w:after="0" w:line="66"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Staffan Encrantz, 73, </w:t>
      </w:r>
      <w:r>
        <w:rPr>
          <w:rFonts w:ascii="Times New Roman" w:cs="Times New Roman" w:eastAsia="Times New Roman" w:hAnsi="Times New Roman"/>
          <w:sz w:val="18"/>
          <w:szCs w:val="18"/>
          <w:color w:val="auto"/>
        </w:rPr>
        <w:t>has served as a member of our Board since 2017. Mr. Encrantz is the President of Allegro Investment Inc.,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of Allegro Investment Fund, L.P., a role in which he has served since 1997. He has actively led investments in and operation of a variety of companies for over 30 years and has led the growth and development of both early-stage companies and established businesses in a wide variety of fields. Mr. Encrantz holds a law degree (summa cum laude) from Uppsala University, Sweden.</w:t>
      </w:r>
    </w:p>
    <w:p>
      <w:pPr>
        <w:spacing w:after="0" w:line="72"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Brenda Becker, 65, </w:t>
      </w:r>
      <w:r>
        <w:rPr>
          <w:rFonts w:ascii="Times New Roman" w:cs="Times New Roman" w:eastAsia="Times New Roman" w:hAnsi="Times New Roman"/>
          <w:sz w:val="18"/>
          <w:szCs w:val="18"/>
          <w:color w:val="auto"/>
        </w:rPr>
        <w:t>has served as a member of our Board since March 2022. Since 2007, Ms. Becker has served as Senior Vice President,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Affairs of Boston Scientific. Prior to joining Boston Scientific, Ms. Becker served in the George W. Bush administration under former Vice President Dick Cheney as Assistant to the Vice President for Legislative Affairs. In that capacity, she advised the Vice President and senior White House staff on legislative strategy from 2004 to 2007. In addition, from 2001 to 2004, Ms. Becker served as the Assistant Secretary for Legislative and Intergovernmental Affairs at the U.S. Department of Commerce where she provided counsel to the Secretary of Commerce and other senior commerce officials. Ms. Becker holds a B.A. in Political Science and Public Administration from Michigan State University and an M.B.A. from Central Michigan University.</w:t>
      </w:r>
    </w:p>
    <w:p>
      <w:pPr>
        <w:spacing w:after="0" w:line="75"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Tamara Fountain, M.D., 62, </w:t>
      </w:r>
      <w:r>
        <w:rPr>
          <w:rFonts w:ascii="Times New Roman" w:cs="Times New Roman" w:eastAsia="Times New Roman" w:hAnsi="Times New Roman"/>
          <w:sz w:val="18"/>
          <w:szCs w:val="18"/>
          <w:color w:val="auto"/>
        </w:rPr>
        <w:t>has served as a member of our Board since July 2022. Dr. Fountain served as the 2021 President of the American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of Ophthalmology and rejoined leadership as Secretary for Global Relations in January 2025. Dr. Fountain was named to the board of directors of the American Board of Ophthalmology in January 2022, where she serves on the finance and credentialing committees. She has also served as a member of the board of directors and a member of the audit committee of RxSight (Nasdaq: RXST) since January 2022. She has been on faculty at Rush University Medical Center in Chicago since May 1998, where she is professor of ophthalmology and section chair emeritus of ophthalmic plastic and reconstructive surgery. She has maintained a private practice, Ophthalmology Partners, Ltd., on Chicago’s North Shore since December 2000. Dr. Fountain was chair for Alumni Fund Giving at Harvard Medical School from January 2016 to June 2019 and served as President of the American Society of Ophthalmic Plastic and Reconstructive Surgery in 2018 and as a member of the board of directors from January 2016 to January 2020. She served 15 years on the board of directors of Ophthalmic Mutual Insurance Company (“OMIC”). At the end of her term, Dr. Fountain was elected OMIC’s first woman chair of its board of directors and chair of its audit committee, serving January 2014 to December 2015. Dr. Fountain was President of the Illinois Society of Eye Physicians and Surgeons from January 2002 to December 2005. Dr. Fountain received her B.A. in Human Biology from Stanford University, her M.D. from Harvard Medical School, and in 1992, completed her residency in ophthalmology at Johns Hopkins Hospital’s Wilmer Eye Institute.</w:t>
      </w:r>
    </w:p>
    <w:p>
      <w:pPr>
        <w:spacing w:after="0" w:line="79" w:lineRule="exact"/>
        <w:rPr>
          <w:sz w:val="20"/>
          <w:szCs w:val="20"/>
          <w:color w:val="auto"/>
        </w:rPr>
      </w:pPr>
    </w:p>
    <w:p>
      <w:pPr>
        <w:jc w:val="both"/>
        <w:ind w:firstLine="4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Erica Rogers, 61, </w:t>
      </w:r>
      <w:r>
        <w:rPr>
          <w:rFonts w:ascii="Times New Roman" w:cs="Times New Roman" w:eastAsia="Times New Roman" w:hAnsi="Times New Roman"/>
          <w:sz w:val="18"/>
          <w:szCs w:val="18"/>
          <w:color w:val="auto"/>
        </w:rPr>
        <w:t>has served as a member of our Board since November 2019. From October 2012 to November 2023, Ms. Rogers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Executive Officer and a member of the board of Silk Road Medical (Nasdaq: SILK), a publicly traded medical device company. She is also a director of HistoSonics, a privately held medical device company, Medicines360, a global women’s health company, and Axena Health, Inc., a privately held women’s health device company, and serves as an advisor to Venture Investors. Ms. Rogers also served as a member of the board of directors and member of the compensation committee and audit committee of Lucira Health, Inc., a publicly traded diagnostics company acquired by Pfizer Inc. in 2023, from August 2020 to September 2022. Ms. Rogers holds a B.S. in Zoology from San Diego State University.</w:t>
      </w:r>
    </w:p>
    <w:p>
      <w:pPr>
        <w:spacing w:after="0" w:line="7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Donald Zurbay, 57, </w:t>
      </w:r>
      <w:r>
        <w:rPr>
          <w:rFonts w:ascii="Times New Roman" w:cs="Times New Roman" w:eastAsia="Times New Roman" w:hAnsi="Times New Roman"/>
          <w:sz w:val="18"/>
          <w:szCs w:val="18"/>
          <w:color w:val="auto"/>
        </w:rPr>
        <w:t>has served as a member of our Board since July 2020. Since October 2022, Mr. Zurbay has served as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Patterson Companies, Inc. (Nasdaq: PDCO), a publicly traded global medical device company. From June 2018 to October 2022, Mr. Zurbay served as the Chief Financial Officer of Patterson Companies. From March 2004 to February 2017, Mr. Zurbay held various leadership positions at St. Jude Medical, Inc., where he most recently served as Vice President and Chief Financial Officer from August 2012 to January 2017. Mr. Zurbay currently serves as a member of the board and member of the audit committee and compensation committee of Silk Road Medical (NASDAQ: SILK) and served as a member of the board and member of the audit committee of Avedro, Inc., a publicly traded medical technology company acquired by Glaukos Corporation in 2019, from July 2017 to November 2019. Mr. Zurbay holds a B.S. in Business Accounting from the University of Minnesota.</w:t>
      </w:r>
    </w:p>
    <w:p>
      <w:pPr>
        <w:spacing w:after="0" w:line="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Catherine Mazzacco, 60, </w:t>
      </w:r>
      <w:r>
        <w:rPr>
          <w:rFonts w:ascii="Times New Roman" w:cs="Times New Roman" w:eastAsia="Times New Roman" w:hAnsi="Times New Roman"/>
          <w:sz w:val="18"/>
          <w:szCs w:val="18"/>
          <w:color w:val="auto"/>
        </w:rPr>
        <w:t>has served as a member of our Board since June 2023. Ms. Mazzacco was Chief Executive Officer and President of LEO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 a privately owned global pharmaceutical company, and a member of its board of directors, from August 2019 to November 2021. Prior to this role, Ms. Mazzacco was Senior Vice President, Global Commercial Operations, Life Sciences Division at GE HealthCare Technologies, Inc. (Nasdaq: GEHC), a leading publicly</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106" w:name="page107"/>
    <w:bookmarkEnd w:id="106"/>
    <w:p>
      <w:pPr>
        <w:jc w:val="both"/>
        <w:spacing w:after="0" w:line="255" w:lineRule="auto"/>
        <w:rPr>
          <w:sz w:val="20"/>
          <w:szCs w:val="20"/>
          <w:color w:val="auto"/>
        </w:rPr>
      </w:pPr>
      <w:r>
        <w:rPr>
          <w:rFonts w:ascii="Times New Roman" w:cs="Times New Roman" w:eastAsia="Times New Roman" w:hAnsi="Times New Roman"/>
          <w:sz w:val="18"/>
          <w:szCs w:val="18"/>
          <w:color w:val="auto"/>
        </w:rPr>
        <w:t>traded global medical technology company, from February 2018 to May 2019. Before joining GE HealthCare, Ms. Mazzacco spent over 25 years at Abbott Laboratories (NYSE: ABT), a multinational publicly traded healthcare company, where she held several global senior operational and strategic leadership roles, including, most recently, Vice President, Global Commercial Operations, Abbott Vision Division, from 2011 to 2017. Ms. Mazzacco has served as a member of the board of directors and a member of the nominating and governance committee of Krystal Biotech, Inc. (Nasdaq: KRYS), a publicly traded gene therapy biotechnology company, since March 2023. Ms. Mazzacco has served as a member of the supervisory board and remuneration and nomination committee of Servier SAS, a privately owned global pharmaceutical company, since February 2022. Ms. Mazzacco holds a Bachelor of Science in Engineering, Option Biotechnology from the University of Compiègne in France.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or the Code of Business Conduct and Ethics, which applies to our directors, officers and employees, including our principal executive officer, principal financial officer, principal accounting officer or controller, and persons performing similar functions. Our Code of Business Conduct and Ethics is available on our website at </w:t>
      </w:r>
      <w:r>
        <w:rPr>
          <w:rFonts w:ascii="Times New Roman" w:cs="Times New Roman" w:eastAsia="Times New Roman" w:hAnsi="Times New Roman"/>
          <w:sz w:val="18"/>
          <w:szCs w:val="18"/>
          <w:i w:val="1"/>
          <w:iCs w:val="1"/>
          <w:u w:val="single" w:color="auto"/>
          <w:color w:val="auto"/>
        </w:rPr>
        <w:t>www.sightsciences.com</w:t>
      </w:r>
      <w:r>
        <w:rPr>
          <w:rFonts w:ascii="Times New Roman" w:cs="Times New Roman" w:eastAsia="Times New Roman" w:hAnsi="Times New Roman"/>
          <w:sz w:val="18"/>
          <w:szCs w:val="18"/>
          <w:color w:val="auto"/>
        </w:rPr>
        <w:t xml:space="preserve"> in the “Corporate Governance” section of the “Investors” page. In addition, we intend to post on our website all disclosures that are required by law concerning any amendments to, or waivers from, any provision of our Code of Business Conduct and Ethics. The inclusion of our website address in this Annual Report on Form 10-K does not include or incorporate by reference the information on the website into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18" w:lineRule="exact"/>
        <w:rPr>
          <w:sz w:val="20"/>
          <w:szCs w:val="20"/>
          <w:color w:val="auto"/>
        </w:rPr>
      </w:pPr>
    </w:p>
    <w:p>
      <w:pPr>
        <w:jc w:val="both"/>
        <w:ind w:right="20" w:firstLine="419"/>
        <w:spacing w:after="0" w:line="281" w:lineRule="auto"/>
        <w:rPr>
          <w:sz w:val="20"/>
          <w:szCs w:val="20"/>
          <w:color w:val="auto"/>
        </w:rPr>
      </w:pPr>
      <w:r>
        <w:rPr>
          <w:rFonts w:ascii="Times New Roman" w:cs="Times New Roman" w:eastAsia="Times New Roman" w:hAnsi="Times New Roman"/>
          <w:sz w:val="17"/>
          <w:szCs w:val="17"/>
          <w:color w:val="auto"/>
        </w:rPr>
        <w:t>We have adopted an Insider Trading Compliance Policy, which applies to all of our directors, officers and employees and any entities they control. The Insider Trading Compliance Policy is filed as an exhibit to this Annual Report on Form 10-K.</w:t>
      </w:r>
    </w:p>
    <w:p>
      <w:pPr>
        <w:spacing w:after="0" w:line="59"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for our 2025 Annual Meeting of Stockholders ("the 2025 Proxy Statement"), to be filed with the SEC no later than 120 days after December 31, 2024,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80" w:hanging="467"/>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17" w:lineRule="exact"/>
        <w:rPr>
          <w:sz w:val="20"/>
          <w:szCs w:val="20"/>
          <w:color w:val="auto"/>
        </w:rPr>
      </w:pPr>
    </w:p>
    <w:p>
      <w:pPr>
        <w:ind w:left="1040" w:hanging="466"/>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150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the amounts are immaterial or the required information is presented in the financial statements and notes thereto.</w:t>
      </w:r>
    </w:p>
    <w:p>
      <w:pPr>
        <w:spacing w:after="0" w:line="54" w:lineRule="exact"/>
        <w:rPr>
          <w:sz w:val="20"/>
          <w:szCs w:val="20"/>
          <w:color w:val="auto"/>
        </w:rPr>
      </w:pPr>
    </w:p>
    <w:p>
      <w:pPr>
        <w:ind w:left="1040" w:hanging="466"/>
        <w:spacing w:after="0"/>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Index has been submitted as a separate section of this Annual Report on Form 10-K.</w:t>
      </w:r>
    </w:p>
    <w:p>
      <w:pPr>
        <w:spacing w:after="0" w:line="117" w:lineRule="exact"/>
        <w:rPr>
          <w:rFonts w:ascii="Times New Roman" w:cs="Times New Roman" w:eastAsia="Times New Roman" w:hAnsi="Times New Roman"/>
          <w:sz w:val="18"/>
          <w:szCs w:val="18"/>
          <w:color w:val="auto"/>
        </w:rPr>
      </w:pPr>
    </w:p>
    <w:p>
      <w:pPr>
        <w:ind w:left="580" w:hanging="471"/>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Exhibit Index has been submitted as a separate section of this Annual Report on Form 10-K.</w:t>
      </w:r>
    </w:p>
    <w:p>
      <w:pPr>
        <w:spacing w:after="0" w:line="117" w:lineRule="exact"/>
        <w:rPr>
          <w:sz w:val="20"/>
          <w:szCs w:val="20"/>
          <w:color w:val="auto"/>
        </w:rPr>
      </w:pPr>
    </w:p>
    <w:p>
      <w:pPr>
        <w:ind w:left="580" w:hanging="471"/>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20"/>
            <w:vMerge w:val="restart"/>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9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20"/>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21"/>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5100" w:type="dxa"/>
            <w:vAlign w:val="bottom"/>
            <w:gridSpan w:val="24"/>
          </w:tcPr>
          <w:p>
            <w:pPr>
              <w:spacing w:after="0" w:line="16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Restated Certificate of Incorporation of Sight Sciences, Inc.</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07/19/2021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Amended and Restated Bylaws of Sight Sciences, Inc.</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07/19/2021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Third Amended and Restated Investors' Rights Agreement, dated</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November 23, 2020, as amended</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Specimen Stock Certificate evidencing the shares of common stock</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Description of Capital Stock</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3/13/2024</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Warrant</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1/23/2024</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Sight Sciences, Inc. 2011 Stock Incentive Plan, as amended, and</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6/23/2021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U.K. sub-plan and forms of agreements thereunder</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Sight Sciences, Inc. 2021 Incentive Award Plan and forms of option</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agreements thereunder</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Sight Sciences, Inc. 2021 Incentive Award Plan Sub-Plan for UK</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05/10/2022</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Employees and forms of Agreements thereunder</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5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Sight Sciences, Inc. Non-Employee Director Compensation Program</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Sight Sciences, Inc. 2021 Employee Stock Purchase Plan</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Indemnification Agreement for Directors and Officers</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Employment Agreement between Sight Sciences, Inc. and Paul</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Badawi, dated July 7, 2021</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Employment Agreement between Sight Sciences, Inc. and David</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Badawi, M.D., dated July 7, 2021</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Employment Agreement between Sight Sciences, Inc. and Jeremy</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0001-40587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3/16/2023</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Hayden, dated July 7, 2021</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Employment Agreement between Sight Sciences, Inc. and Alison</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5/8/2023</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Bauerlein, dated April 3, 2023</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Employment Agreement between Sight Sciences, Inc. and Matthew</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11/07/2023</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Link, dated September 11, 2023</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gridSpan w:val="5"/>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5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between Sight Sciences, Inc. and Brenton</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Taylor, effective as of November 4, 2024</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5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between Sight Sciences, Inc. and Manohar</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K Raheja, effective as of November 4, 2024</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Multi-Tenant Space Lease between Sight Sciences and Deerfield</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06/23/2021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Campbell, LLC, dated February 5, 2021.</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First Amendment to Multi-Tenant Space Lease between Sight</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3/13/2024</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80" w:type="dxa"/>
            <w:vAlign w:val="bottom"/>
            <w:tcBorders>
              <w:right w:val="single" w:sz="8" w:color="0000FF"/>
            </w:tcBorders>
            <w:gridSpan w:val="1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Sciences and Deerfield Campbell, LLC, dated December 15, 2023</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FF"/>
            </w:tcBorders>
            <w:gridSpan w:val="1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Supply Agreement between Sight Sciences, Inc. and Peter's</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06/23/2021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80" w:type="dxa"/>
            <w:vAlign w:val="bottom"/>
            <w:tcBorders>
              <w:right w:val="single" w:sz="8" w:color="0000FF"/>
            </w:tcBorders>
            <w:gridSpan w:val="1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Technology (Suzhou CO., LTD., dated January 14, 2021</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EE"/>
            </w:tcBorders>
            <w:gridSpan w:val="14"/>
            <w:shd w:val="clear" w:color="auto" w:fill="0000FF"/>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Amendment #1 to Supply Agreement between Sight Sciences, Inc.</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03/24/2022</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820" w:type="dxa"/>
            <w:vAlign w:val="bottom"/>
            <w:gridSpan w:val="2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00" w:type="dxa"/>
            <w:vAlign w:val="bottom"/>
            <w:gridSpan w:val="2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and Peter's Technology (Suzhou) CO. LTD., dated January 28, 2022</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40" w:type="dxa"/>
            <w:vAlign w:val="bottom"/>
          </w:tcPr>
          <w:p>
            <w:pPr>
              <w:spacing w:after="0"/>
              <w:rPr>
                <w:sz w:val="24"/>
                <w:szCs w:val="24"/>
                <w:color w:val="auto"/>
              </w:rPr>
            </w:pPr>
          </w:p>
        </w:tc>
        <w:tc>
          <w:tcPr>
            <w:tcW w:w="4820" w:type="dxa"/>
            <w:vAlign w:val="bottom"/>
            <w:tcBorders>
              <w:top w:val="single" w:sz="8" w:color="0000FF"/>
            </w:tcBorders>
            <w:gridSpan w:val="2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940" w:type="dxa"/>
            <w:vAlign w:val="bottom"/>
            <w:gridSpan w:val="11"/>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Amendment #2 to Supply Agreement between Sight Sciences, Inc.</w:t>
              </w:r>
            </w:hyperlink>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001-40587</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8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11/10/2022</w:t>
            </w:r>
          </w:p>
        </w:tc>
      </w:tr>
      <w:tr>
        <w:trPr>
          <w:trHeight w:val="20"/>
        </w:trPr>
        <w:tc>
          <w:tcPr>
            <w:tcW w:w="9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and Peter's Technology (Suzhou) CO. LTD., dated July 19, 2022</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4940" w:type="dxa"/>
            <w:vAlign w:val="bottom"/>
            <w:gridSpan w:val="11"/>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Loan and Security Agreement, by and among Sight Sciences, Inc.,</w:t>
              </w:r>
            </w:hyperlink>
          </w:p>
        </w:tc>
        <w:tc>
          <w:tcPr>
            <w:tcW w:w="96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001-40587</w:t>
            </w:r>
          </w:p>
        </w:tc>
        <w:tc>
          <w:tcPr>
            <w:tcW w:w="8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40" w:type="dxa"/>
            <w:vAlign w:val="bottom"/>
          </w:tcPr>
          <w:p>
            <w:pPr>
              <w:jc w:val="center"/>
              <w:ind w:right="390"/>
              <w:spacing w:after="0" w:line="196" w:lineRule="exact"/>
              <w:rPr>
                <w:sz w:val="20"/>
                <w:szCs w:val="20"/>
                <w:color w:val="auto"/>
              </w:rPr>
            </w:pPr>
            <w:r>
              <w:rPr>
                <w:rFonts w:ascii="Times New Roman" w:cs="Times New Roman" w:eastAsia="Times New Roman" w:hAnsi="Times New Roman"/>
                <w:sz w:val="18"/>
                <w:szCs w:val="18"/>
                <w:color w:val="auto"/>
                <w:w w:val="98"/>
              </w:rPr>
              <w:t>1/23/2024</w:t>
            </w:r>
          </w:p>
        </w:tc>
      </w:tr>
      <w:tr>
        <w:trPr>
          <w:trHeight w:val="20"/>
        </w:trPr>
        <w:tc>
          <w:tcPr>
            <w:tcW w:w="9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and certain affiliates of Hercules Capital Inc., and Hercules Capital</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Inc., dated January 22, 2024</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Sight Sciences, Inc. Insider Trading Compliance Policy</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jc w:val="center"/>
              <w:ind w:left="1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940" w:type="dxa"/>
            <w:vAlign w:val="bottom"/>
            <w:gridSpan w:val="11"/>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Subsidiaries of Sight Sciences, Inc.</w:t>
              </w:r>
            </w:hyperlink>
          </w:p>
        </w:tc>
        <w:tc>
          <w:tcPr>
            <w:tcW w:w="96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001-40587</w:t>
            </w:r>
          </w:p>
        </w:tc>
        <w:tc>
          <w:tcPr>
            <w:tcW w:w="8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840" w:type="dxa"/>
            <w:vAlign w:val="bottom"/>
          </w:tcPr>
          <w:p>
            <w:pPr>
              <w:jc w:val="center"/>
              <w:ind w:right="390"/>
              <w:spacing w:after="0" w:line="196" w:lineRule="exact"/>
              <w:rPr>
                <w:sz w:val="20"/>
                <w:szCs w:val="20"/>
                <w:color w:val="auto"/>
              </w:rPr>
            </w:pPr>
            <w:r>
              <w:rPr>
                <w:rFonts w:ascii="Times New Roman" w:cs="Times New Roman" w:eastAsia="Times New Roman" w:hAnsi="Times New Roman"/>
                <w:sz w:val="18"/>
                <w:szCs w:val="18"/>
                <w:color w:val="auto"/>
                <w:w w:val="98"/>
              </w:rPr>
              <w:t>3/13/2024</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jc w:val="center"/>
              <w:ind w:left="1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jc w:val="center"/>
              <w:ind w:left="1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pursuant to Rule 13a-</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jc w:val="center"/>
              <w:ind w:left="1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14(a) under the Exchange Act, as adopted pursuant to Section 302 of</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jc w:val="center"/>
              <w:ind w:left="1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14(a) under the Exchange Act, as adopted pursuant to Section 302 of</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pursuant to 18 U.S.C.</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jc w:val="center"/>
              <w:ind w:left="157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1350 , as adopted pursuant to Section 906 of the Sarbanes-</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the Principal Financial Officer pursuant to 18 U.S.C.</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jc w:val="center"/>
              <w:ind w:left="157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1350 , as adopted pursuant to Section 906 of the Sarbanes-</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940" w:type="dxa"/>
            <w:vAlign w:val="bottom"/>
            <w:gridSpan w:val="11"/>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Sight Sciences, Inc. Policy for Recovery of Erroneously Awarded</w:t>
              </w:r>
            </w:hyperlink>
          </w:p>
        </w:tc>
        <w:tc>
          <w:tcPr>
            <w:tcW w:w="96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001-40587</w:t>
            </w:r>
          </w:p>
        </w:tc>
        <w:tc>
          <w:tcPr>
            <w:tcW w:w="8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840" w:type="dxa"/>
            <w:vAlign w:val="bottom"/>
          </w:tcPr>
          <w:p>
            <w:pPr>
              <w:jc w:val="center"/>
              <w:ind w:right="370"/>
              <w:spacing w:after="0" w:line="196" w:lineRule="exact"/>
              <w:rPr>
                <w:sz w:val="20"/>
                <w:szCs w:val="20"/>
                <w:color w:val="auto"/>
              </w:rPr>
            </w:pPr>
            <w:r>
              <w:rPr>
                <w:rFonts w:ascii="Times New Roman" w:cs="Times New Roman" w:eastAsia="Times New Roman" w:hAnsi="Times New Roman"/>
                <w:sz w:val="18"/>
                <w:szCs w:val="18"/>
                <w:color w:val="auto"/>
                <w:w w:val="99"/>
              </w:rPr>
              <w:t>03/13/2024</w:t>
            </w:r>
          </w:p>
        </w:tc>
      </w:tr>
      <w:tr>
        <w:trPr>
          <w:trHeight w:val="20"/>
        </w:trPr>
        <w:tc>
          <w:tcPr>
            <w:tcW w:w="92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40" w:type="dxa"/>
            <w:vAlign w:val="bottom"/>
            <w:gridSpan w:val="11"/>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Compensation</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Taxonomy Extension Calculation Linkbase Document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8"/>
              </w:rPr>
              <w:t>Inline XBRL Taxonomy Extension Presentation Linkbase Document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20" w:type="dxa"/>
            <w:vAlign w:val="bottom"/>
          </w:tcPr>
          <w:p>
            <w:pPr>
              <w:spacing w:after="0"/>
              <w:rPr>
                <w:sz w:val="20"/>
                <w:szCs w:val="20"/>
                <w:color w:val="auto"/>
              </w:rPr>
            </w:pP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17" w:lineRule="exact"/>
        <w:rPr>
          <w:sz w:val="20"/>
          <w:szCs w:val="20"/>
          <w:color w:val="auto"/>
        </w:rPr>
      </w:pPr>
    </w:p>
    <w:p>
      <w:pPr>
        <w:ind w:firstLine="8"/>
        <w:spacing w:after="0" w:line="282" w:lineRule="auto"/>
        <w:tabs>
          <w:tab w:leader="none" w:pos="1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The Company agrees to furnish an unredacted copy of such exhibit, or a copy of any omitted schedule or exhibit,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SIGHT SCIENCES,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2025</w:t>
            </w:r>
          </w:p>
        </w:tc>
        <w:tc>
          <w:tcPr>
            <w:tcW w:w="2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Alison Bauerlein</w:t>
            </w:r>
          </w:p>
        </w:tc>
      </w:tr>
      <w:tr>
        <w:trPr>
          <w:trHeight w:val="191"/>
        </w:trPr>
        <w:tc>
          <w:tcPr>
            <w:tcW w:w="3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Alison Bauerlein</w:t>
            </w:r>
          </w:p>
        </w:tc>
      </w:tr>
      <w:tr>
        <w:trPr>
          <w:trHeight w:val="234"/>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Paul Badawi</w:t>
      </w:r>
    </w:p>
    <w:p>
      <w:pPr>
        <w:spacing w:after="0" w:line="7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Alison Bauerlein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Alison Bauerlein</w:t>
      </w:r>
    </w:p>
    <w:p>
      <w:pPr>
        <w:spacing w:after="0" w:line="7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Staffan Encrantz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Staffan Encrantz</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David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David Badawi, M.D.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Tamara Fountain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Tamara Fountain, M.D.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Brenda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Brenda Becker</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Erica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Erica Rogers</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Catherine Mazzacco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Catherine Mazzacco</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Donald Zurbay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Donald Zurbay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8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92"/>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Accounting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1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bl>
    <w:p>
      <w:pPr>
        <w:spacing w:after="0" w:line="347"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10.4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ight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ciences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231"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color w:val="auto"/>
        </w:rPr>
        <w:t xml:space="preserve">Non-employee members of the board of directors (the “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Sight 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became effective upon consummation of the Company’s initial public offering of its common stock on July 14, 2021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schedule of annual retainers (the “</w:t>
      </w:r>
      <w:r>
        <w:rPr>
          <w:rFonts w:ascii="Times New Roman" w:cs="Times New Roman" w:eastAsia="Times New Roman" w:hAnsi="Times New Roman"/>
          <w:sz w:val="22"/>
          <w:szCs w:val="22"/>
          <w:b w:val="1"/>
          <w:bCs w:val="1"/>
          <w:i w:val="1"/>
          <w:iCs w:val="1"/>
          <w:color w:val="auto"/>
        </w:rPr>
        <w:t>Annual Retainers</w:t>
      </w:r>
      <w:r>
        <w:rPr>
          <w:rFonts w:ascii="Times New Roman" w:cs="Times New Roman" w:eastAsia="Times New Roman" w:hAnsi="Times New Roman"/>
          <w:sz w:val="22"/>
          <w:szCs w:val="22"/>
          <w:color w:val="auto"/>
        </w:rPr>
        <w:t>”) for the Non-Employee Directors is as follows:</w:t>
      </w:r>
    </w:p>
    <w:p>
      <w:pPr>
        <w:spacing w:after="0" w:line="216" w:lineRule="exact"/>
        <w:rPr>
          <w:sz w:val="20"/>
          <w:szCs w:val="20"/>
          <w:color w:val="auto"/>
        </w:rPr>
      </w:pPr>
    </w:p>
    <w:tbl>
      <w:tblPr>
        <w:tblLayout w:type="fixed"/>
        <w:tblInd w:w="970" w:type="dxa"/>
        <w:tblCellMar>
          <w:top w:w="0" w:type="dxa"/>
          <w:left w:w="0" w:type="dxa"/>
          <w:bottom w:w="0" w:type="dxa"/>
          <w:right w:w="0" w:type="dxa"/>
        </w:tblCellMar>
      </w:tblPr>
      <w:tr>
        <w:trPr>
          <w:trHeight w:val="219"/>
        </w:trPr>
        <w:tc>
          <w:tcPr>
            <w:tcW w:w="2620" w:type="dxa"/>
            <w:vAlign w:val="bottom"/>
            <w:tcBorders>
              <w:top w:val="single" w:sz="8" w:color="auto"/>
              <w:left w:val="single" w:sz="8" w:color="auto"/>
            </w:tcBorders>
            <w:shd w:val="clear" w:color="auto" w:fill="BFBFBF"/>
          </w:tcPr>
          <w:p>
            <w:pPr>
              <w:spacing w:after="0"/>
              <w:rPr>
                <w:sz w:val="19"/>
                <w:szCs w:val="19"/>
                <w:color w:val="auto"/>
              </w:rPr>
            </w:pPr>
          </w:p>
        </w:tc>
        <w:tc>
          <w:tcPr>
            <w:tcW w:w="3780" w:type="dxa"/>
            <w:vAlign w:val="bottom"/>
            <w:tcBorders>
              <w:top w:val="single" w:sz="8" w:color="auto"/>
              <w:right w:val="single" w:sz="8" w:color="auto"/>
            </w:tcBorders>
            <w:gridSpan w:val="2"/>
            <w:shd w:val="clear" w:color="auto" w:fill="BFBFBF"/>
          </w:tcPr>
          <w:p>
            <w:pPr>
              <w:spacing w:after="0" w:line="220" w:lineRule="exact"/>
              <w:rPr>
                <w:sz w:val="20"/>
                <w:szCs w:val="20"/>
                <w:color w:val="auto"/>
              </w:rPr>
            </w:pPr>
            <w:r>
              <w:rPr>
                <w:rFonts w:ascii="Times New Roman" w:cs="Times New Roman" w:eastAsia="Times New Roman" w:hAnsi="Times New Roman"/>
                <w:sz w:val="22"/>
                <w:szCs w:val="22"/>
                <w:b w:val="1"/>
                <w:bCs w:val="1"/>
                <w:color w:val="auto"/>
              </w:rPr>
              <w:t>Position</w:t>
            </w:r>
          </w:p>
        </w:tc>
        <w:tc>
          <w:tcPr>
            <w:tcW w:w="600" w:type="dxa"/>
            <w:vAlign w:val="bottom"/>
            <w:tcBorders>
              <w:top w:val="single" w:sz="8" w:color="auto"/>
            </w:tcBorders>
            <w:shd w:val="clear" w:color="auto" w:fill="BFBFBF"/>
          </w:tcPr>
          <w:p>
            <w:pPr>
              <w:spacing w:after="0"/>
              <w:rPr>
                <w:sz w:val="19"/>
                <w:szCs w:val="19"/>
                <w:color w:val="auto"/>
              </w:rPr>
            </w:pPr>
          </w:p>
        </w:tc>
        <w:tc>
          <w:tcPr>
            <w:tcW w:w="1540" w:type="dxa"/>
            <w:vAlign w:val="bottom"/>
            <w:tcBorders>
              <w:top w:val="single" w:sz="8" w:color="auto"/>
              <w:right w:val="single" w:sz="8" w:color="auto"/>
            </w:tcBorders>
            <w:gridSpan w:val="2"/>
            <w:shd w:val="clear" w:color="auto" w:fill="BFBFBF"/>
          </w:tcPr>
          <w:p>
            <w:pPr>
              <w:spacing w:after="0" w:line="220" w:lineRule="exact"/>
              <w:rPr>
                <w:sz w:val="20"/>
                <w:szCs w:val="20"/>
                <w:color w:val="auto"/>
              </w:rPr>
            </w:pPr>
            <w:r>
              <w:rPr>
                <w:rFonts w:ascii="Times New Roman" w:cs="Times New Roman" w:eastAsia="Times New Roman" w:hAnsi="Times New Roman"/>
                <w:sz w:val="22"/>
                <w:szCs w:val="22"/>
                <w:b w:val="1"/>
                <w:bCs w:val="1"/>
                <w:color w:val="auto"/>
              </w:rPr>
              <w:t>Amount</w:t>
            </w:r>
          </w:p>
        </w:tc>
      </w:tr>
      <w:tr>
        <w:trPr>
          <w:trHeight w:val="253"/>
        </w:trPr>
        <w:tc>
          <w:tcPr>
            <w:tcW w:w="2620" w:type="dxa"/>
            <w:vAlign w:val="bottom"/>
            <w:tcBorders>
              <w:top w:val="single" w:sz="8" w:color="BFBFBF"/>
              <w:left w:val="single" w:sz="8" w:color="auto"/>
              <w:bottom w:val="single" w:sz="8" w:color="auto"/>
            </w:tcBorders>
            <w:shd w:val="clear" w:color="auto" w:fill="BFBFBF"/>
          </w:tcPr>
          <w:p>
            <w:pPr>
              <w:spacing w:after="0"/>
              <w:rPr>
                <w:sz w:val="22"/>
                <w:szCs w:val="22"/>
                <w:color w:val="auto"/>
              </w:rPr>
            </w:pPr>
          </w:p>
        </w:tc>
        <w:tc>
          <w:tcPr>
            <w:tcW w:w="740" w:type="dxa"/>
            <w:vAlign w:val="bottom"/>
            <w:tcBorders>
              <w:top w:val="single" w:sz="8" w:color="auto"/>
              <w:bottom w:val="single" w:sz="8" w:color="auto"/>
            </w:tcBorders>
            <w:shd w:val="clear" w:color="auto" w:fill="BFBFBF"/>
          </w:tcPr>
          <w:p>
            <w:pPr>
              <w:spacing w:after="0"/>
              <w:rPr>
                <w:sz w:val="22"/>
                <w:szCs w:val="22"/>
                <w:color w:val="auto"/>
              </w:rPr>
            </w:pPr>
          </w:p>
        </w:tc>
        <w:tc>
          <w:tcPr>
            <w:tcW w:w="304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c>
          <w:tcPr>
            <w:tcW w:w="600" w:type="dxa"/>
            <w:vAlign w:val="bottom"/>
            <w:tcBorders>
              <w:top w:val="single" w:sz="8" w:color="BFBFBF"/>
              <w:bottom w:val="single" w:sz="8" w:color="auto"/>
            </w:tcBorders>
            <w:shd w:val="clear" w:color="auto" w:fill="BFBFBF"/>
          </w:tcPr>
          <w:p>
            <w:pPr>
              <w:spacing w:after="0"/>
              <w:rPr>
                <w:sz w:val="22"/>
                <w:szCs w:val="22"/>
                <w:color w:val="auto"/>
              </w:rPr>
            </w:pPr>
          </w:p>
        </w:tc>
        <w:tc>
          <w:tcPr>
            <w:tcW w:w="760" w:type="dxa"/>
            <w:vAlign w:val="bottom"/>
            <w:tcBorders>
              <w:top w:val="single" w:sz="8" w:color="auto"/>
              <w:bottom w:val="single" w:sz="8" w:color="auto"/>
            </w:tcBorders>
            <w:shd w:val="clear" w:color="auto" w:fill="BFBFBF"/>
          </w:tcPr>
          <w:p>
            <w:pPr>
              <w:spacing w:after="0"/>
              <w:rPr>
                <w:sz w:val="22"/>
                <w:szCs w:val="22"/>
                <w:color w:val="auto"/>
              </w:rPr>
            </w:pPr>
          </w:p>
        </w:tc>
        <w:tc>
          <w:tcPr>
            <w:tcW w:w="78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r>
      <w:tr>
        <w:trPr>
          <w:trHeight w:val="220"/>
        </w:trPr>
        <w:tc>
          <w:tcPr>
            <w:tcW w:w="6400" w:type="dxa"/>
            <w:vAlign w:val="bottom"/>
            <w:tcBorders>
              <w:left w:val="single" w:sz="8" w:color="auto"/>
              <w:bottom w:val="single" w:sz="8" w:color="auto"/>
              <w:right w:val="single" w:sz="8" w:color="auto"/>
            </w:tcBorders>
            <w:gridSpan w:val="3"/>
          </w:tcPr>
          <w:p>
            <w:pPr>
              <w:ind w:left="120"/>
              <w:spacing w:after="0" w:line="220" w:lineRule="exact"/>
              <w:rPr>
                <w:sz w:val="20"/>
                <w:szCs w:val="20"/>
                <w:color w:val="auto"/>
              </w:rPr>
            </w:pPr>
            <w:r>
              <w:rPr>
                <w:rFonts w:ascii="Times New Roman" w:cs="Times New Roman" w:eastAsia="Times New Roman" w:hAnsi="Times New Roman"/>
                <w:sz w:val="22"/>
                <w:szCs w:val="22"/>
                <w:color w:val="auto"/>
              </w:rPr>
              <w:t>Annual Retainer</w:t>
            </w:r>
          </w:p>
        </w:tc>
        <w:tc>
          <w:tcPr>
            <w:tcW w:w="1360" w:type="dxa"/>
            <w:vAlign w:val="bottom"/>
            <w:tcBorders>
              <w:bottom w:val="single" w:sz="8" w:color="auto"/>
            </w:tcBorders>
            <w:gridSpan w:val="2"/>
          </w:tcPr>
          <w:p>
            <w:pPr>
              <w:ind w:left="80"/>
              <w:spacing w:after="0" w:line="220" w:lineRule="exact"/>
              <w:rPr>
                <w:sz w:val="20"/>
                <w:szCs w:val="20"/>
                <w:color w:val="auto"/>
              </w:rPr>
            </w:pPr>
            <w:r>
              <w:rPr>
                <w:rFonts w:ascii="Times New Roman" w:cs="Times New Roman" w:eastAsia="Times New Roman" w:hAnsi="Times New Roman"/>
                <w:sz w:val="22"/>
                <w:szCs w:val="22"/>
                <w:color w:val="auto"/>
              </w:rPr>
              <w:t>$45,000</w:t>
            </w:r>
          </w:p>
        </w:tc>
        <w:tc>
          <w:tcPr>
            <w:tcW w:w="780" w:type="dxa"/>
            <w:vAlign w:val="bottom"/>
            <w:tcBorders>
              <w:bottom w:val="single" w:sz="8" w:color="auto"/>
              <w:right w:val="single" w:sz="8" w:color="auto"/>
            </w:tcBorders>
          </w:tcPr>
          <w:p>
            <w:pPr>
              <w:spacing w:after="0"/>
              <w:rPr>
                <w:sz w:val="19"/>
                <w:szCs w:val="19"/>
                <w:color w:val="auto"/>
              </w:rPr>
            </w:pPr>
          </w:p>
        </w:tc>
      </w:tr>
      <w:tr>
        <w:trPr>
          <w:trHeight w:val="237"/>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Non-Executive Board Chair</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$40,000</w:t>
            </w:r>
          </w:p>
        </w:tc>
        <w:tc>
          <w:tcPr>
            <w:tcW w:w="780" w:type="dxa"/>
            <w:vAlign w:val="bottom"/>
            <w:tcBorders>
              <w:bottom w:val="single" w:sz="8" w:color="auto"/>
              <w:right w:val="single" w:sz="8" w:color="auto"/>
            </w:tcBorders>
          </w:tcPr>
          <w:p>
            <w:pPr>
              <w:spacing w:after="0"/>
              <w:rPr>
                <w:sz w:val="20"/>
                <w:szCs w:val="20"/>
                <w:color w:val="auto"/>
              </w:rPr>
            </w:pPr>
          </w:p>
        </w:tc>
      </w:tr>
      <w:tr>
        <w:trPr>
          <w:trHeight w:val="237"/>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Lead Independent Director</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$25,000</w:t>
            </w:r>
          </w:p>
        </w:tc>
        <w:tc>
          <w:tcPr>
            <w:tcW w:w="780" w:type="dxa"/>
            <w:vAlign w:val="bottom"/>
            <w:tcBorders>
              <w:bottom w:val="single" w:sz="8" w:color="auto"/>
              <w:right w:val="single" w:sz="8" w:color="auto"/>
            </w:tcBorders>
          </w:tcPr>
          <w:p>
            <w:pPr>
              <w:spacing w:after="0"/>
              <w:rPr>
                <w:sz w:val="20"/>
                <w:szCs w:val="20"/>
                <w:color w:val="auto"/>
              </w:rPr>
            </w:pPr>
          </w:p>
        </w:tc>
      </w:tr>
      <w:tr>
        <w:trPr>
          <w:trHeight w:val="236"/>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Chair of Audit Committee</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$20,000</w:t>
            </w:r>
          </w:p>
        </w:tc>
        <w:tc>
          <w:tcPr>
            <w:tcW w:w="780" w:type="dxa"/>
            <w:vAlign w:val="bottom"/>
            <w:tcBorders>
              <w:bottom w:val="single" w:sz="8" w:color="auto"/>
              <w:right w:val="single" w:sz="8" w:color="auto"/>
            </w:tcBorders>
          </w:tcPr>
          <w:p>
            <w:pPr>
              <w:spacing w:after="0"/>
              <w:rPr>
                <w:sz w:val="20"/>
                <w:szCs w:val="20"/>
                <w:color w:val="auto"/>
              </w:rPr>
            </w:pPr>
          </w:p>
        </w:tc>
      </w:tr>
      <w:tr>
        <w:trPr>
          <w:trHeight w:val="237"/>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Chair of Compensation Committee</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$15,000</w:t>
            </w:r>
          </w:p>
        </w:tc>
        <w:tc>
          <w:tcPr>
            <w:tcW w:w="780" w:type="dxa"/>
            <w:vAlign w:val="bottom"/>
            <w:tcBorders>
              <w:bottom w:val="single" w:sz="8" w:color="auto"/>
              <w:right w:val="single" w:sz="8" w:color="auto"/>
            </w:tcBorders>
          </w:tcPr>
          <w:p>
            <w:pPr>
              <w:spacing w:after="0"/>
              <w:rPr>
                <w:sz w:val="20"/>
                <w:szCs w:val="20"/>
                <w:color w:val="auto"/>
              </w:rPr>
            </w:pPr>
          </w:p>
        </w:tc>
      </w:tr>
      <w:tr>
        <w:trPr>
          <w:trHeight w:val="236"/>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Chair of Nominating and Corporate Governance Committee</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$10,000</w:t>
            </w:r>
          </w:p>
        </w:tc>
        <w:tc>
          <w:tcPr>
            <w:tcW w:w="780" w:type="dxa"/>
            <w:vAlign w:val="bottom"/>
            <w:tcBorders>
              <w:bottom w:val="single" w:sz="8" w:color="auto"/>
              <w:right w:val="single" w:sz="8" w:color="auto"/>
            </w:tcBorders>
          </w:tcPr>
          <w:p>
            <w:pPr>
              <w:spacing w:after="0"/>
              <w:rPr>
                <w:sz w:val="20"/>
                <w:szCs w:val="20"/>
                <w:color w:val="auto"/>
              </w:rPr>
            </w:pPr>
          </w:p>
        </w:tc>
      </w:tr>
      <w:tr>
        <w:trPr>
          <w:trHeight w:val="237"/>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Chair of Commercial Strategy Committee</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$12,000</w:t>
            </w:r>
          </w:p>
        </w:tc>
        <w:tc>
          <w:tcPr>
            <w:tcW w:w="780" w:type="dxa"/>
            <w:vAlign w:val="bottom"/>
            <w:tcBorders>
              <w:bottom w:val="single" w:sz="8" w:color="auto"/>
              <w:right w:val="single" w:sz="8" w:color="auto"/>
            </w:tcBorders>
          </w:tcPr>
          <w:p>
            <w:pPr>
              <w:spacing w:after="0"/>
              <w:rPr>
                <w:sz w:val="20"/>
                <w:szCs w:val="20"/>
                <w:color w:val="auto"/>
              </w:rPr>
            </w:pPr>
          </w:p>
        </w:tc>
      </w:tr>
      <w:tr>
        <w:trPr>
          <w:trHeight w:val="236"/>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Member of Audit Committee (non-Chair)</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$10,000</w:t>
            </w:r>
          </w:p>
        </w:tc>
        <w:tc>
          <w:tcPr>
            <w:tcW w:w="780" w:type="dxa"/>
            <w:vAlign w:val="bottom"/>
            <w:tcBorders>
              <w:bottom w:val="single" w:sz="8" w:color="auto"/>
              <w:right w:val="single" w:sz="8" w:color="auto"/>
            </w:tcBorders>
          </w:tcPr>
          <w:p>
            <w:pPr>
              <w:spacing w:after="0"/>
              <w:rPr>
                <w:sz w:val="20"/>
                <w:szCs w:val="20"/>
                <w:color w:val="auto"/>
              </w:rPr>
            </w:pPr>
          </w:p>
        </w:tc>
      </w:tr>
      <w:tr>
        <w:trPr>
          <w:trHeight w:val="237"/>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Member of Compensation Committee (non-Chair)</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$7,500</w:t>
            </w:r>
          </w:p>
        </w:tc>
        <w:tc>
          <w:tcPr>
            <w:tcW w:w="780" w:type="dxa"/>
            <w:vAlign w:val="bottom"/>
            <w:tcBorders>
              <w:bottom w:val="single" w:sz="8" w:color="auto"/>
              <w:right w:val="single" w:sz="8" w:color="auto"/>
            </w:tcBorders>
          </w:tcPr>
          <w:p>
            <w:pPr>
              <w:spacing w:after="0"/>
              <w:rPr>
                <w:sz w:val="20"/>
                <w:szCs w:val="20"/>
                <w:color w:val="auto"/>
              </w:rPr>
            </w:pPr>
          </w:p>
        </w:tc>
      </w:tr>
      <w:tr>
        <w:trPr>
          <w:trHeight w:val="209"/>
        </w:trPr>
        <w:tc>
          <w:tcPr>
            <w:tcW w:w="6400" w:type="dxa"/>
            <w:vAlign w:val="bottom"/>
            <w:tcBorders>
              <w:left w:val="single" w:sz="8" w:color="auto"/>
              <w:right w:val="single" w:sz="8" w:color="auto"/>
            </w:tcBorders>
            <w:gridSpan w:val="3"/>
          </w:tcPr>
          <w:p>
            <w:pPr>
              <w:ind w:left="120"/>
              <w:spacing w:after="0" w:line="209" w:lineRule="exact"/>
              <w:rPr>
                <w:sz w:val="20"/>
                <w:szCs w:val="20"/>
                <w:color w:val="auto"/>
              </w:rPr>
            </w:pPr>
            <w:r>
              <w:rPr>
                <w:rFonts w:ascii="Times New Roman" w:cs="Times New Roman" w:eastAsia="Times New Roman" w:hAnsi="Times New Roman"/>
                <w:sz w:val="22"/>
                <w:szCs w:val="22"/>
                <w:color w:val="auto"/>
              </w:rPr>
              <w:t>Member of Nominating and Corporate Governance Committee</w:t>
            </w:r>
          </w:p>
        </w:tc>
        <w:tc>
          <w:tcPr>
            <w:tcW w:w="136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22"/>
                <w:szCs w:val="22"/>
                <w:color w:val="auto"/>
              </w:rPr>
              <w:t>$5,000</w:t>
            </w:r>
          </w:p>
        </w:tc>
        <w:tc>
          <w:tcPr>
            <w:tcW w:w="780" w:type="dxa"/>
            <w:vAlign w:val="bottom"/>
            <w:tcBorders>
              <w:right w:val="single" w:sz="8" w:color="auto"/>
            </w:tcBorders>
          </w:tcPr>
          <w:p>
            <w:pPr>
              <w:spacing w:after="0"/>
              <w:rPr>
                <w:sz w:val="18"/>
                <w:szCs w:val="18"/>
                <w:color w:val="auto"/>
              </w:rPr>
            </w:pPr>
          </w:p>
        </w:tc>
      </w:tr>
      <w:tr>
        <w:trPr>
          <w:trHeight w:val="270"/>
        </w:trPr>
        <w:tc>
          <w:tcPr>
            <w:tcW w:w="64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(non-Chair)</w:t>
            </w:r>
          </w:p>
        </w:tc>
        <w:tc>
          <w:tcPr>
            <w:tcW w:w="6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spacing w:after="0"/>
              <w:rPr>
                <w:sz w:val="23"/>
                <w:szCs w:val="23"/>
                <w:color w:val="auto"/>
              </w:rPr>
            </w:pPr>
          </w:p>
        </w:tc>
      </w:tr>
      <w:tr>
        <w:trPr>
          <w:trHeight w:val="236"/>
        </w:trPr>
        <w:tc>
          <w:tcPr>
            <w:tcW w:w="6400" w:type="dxa"/>
            <w:vAlign w:val="bottom"/>
            <w:tcBorders>
              <w:left w:val="single" w:sz="8" w:color="auto"/>
              <w:bottom w:val="single" w:sz="8" w:color="auto"/>
              <w:right w:val="single" w:sz="8" w:color="auto"/>
            </w:tcBorders>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Member of Commercial Strategy Committee (non-Chair)</w:t>
            </w:r>
          </w:p>
        </w:tc>
        <w:tc>
          <w:tcPr>
            <w:tcW w:w="1360" w:type="dxa"/>
            <w:vAlign w:val="bottom"/>
            <w:tcBorders>
              <w:bottom w:val="single" w:sz="8" w:color="auto"/>
            </w:tcBorders>
            <w:gridSpan w:val="2"/>
          </w:tcPr>
          <w:p>
            <w:pPr>
              <w:ind w:left="80"/>
              <w:spacing w:after="0" w:line="237" w:lineRule="exact"/>
              <w:rPr>
                <w:sz w:val="20"/>
                <w:szCs w:val="20"/>
                <w:color w:val="auto"/>
              </w:rPr>
            </w:pPr>
            <w:r>
              <w:rPr>
                <w:rFonts w:ascii="Times New Roman" w:cs="Times New Roman" w:eastAsia="Times New Roman" w:hAnsi="Times New Roman"/>
                <w:sz w:val="22"/>
                <w:szCs w:val="22"/>
                <w:color w:val="auto"/>
              </w:rPr>
              <w:t>$6,000</w:t>
            </w:r>
          </w:p>
        </w:tc>
        <w:tc>
          <w:tcPr>
            <w:tcW w:w="780" w:type="dxa"/>
            <w:vAlign w:val="bottom"/>
            <w:tcBorders>
              <w:bottom w:val="single" w:sz="8" w:color="auto"/>
              <w:right w:val="single" w:sz="8" w:color="auto"/>
            </w:tcBorders>
          </w:tcPr>
          <w:p>
            <w:pPr>
              <w:spacing w:after="0"/>
              <w:rPr>
                <w:sz w:val="20"/>
                <w:szCs w:val="20"/>
                <w:color w:val="auto"/>
              </w:rPr>
            </w:pP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2" w:name="page113"/>
    <w:bookmarkEnd w:id="112"/>
    <w:p>
      <w:pPr>
        <w:jc w:val="both"/>
        <w:spacing w:after="0" w:line="224" w:lineRule="auto"/>
        <w:rPr>
          <w:sz w:val="20"/>
          <w:szCs w:val="20"/>
          <w:color w:val="auto"/>
        </w:rPr>
      </w:pPr>
      <w:r>
        <w:rPr>
          <w:rFonts w:ascii="Times New Roman" w:cs="Times New Roman" w:eastAsia="Times New Roman" w:hAnsi="Times New Roman"/>
          <w:sz w:val="22"/>
          <w:szCs w:val="22"/>
          <w:color w:val="auto"/>
        </w:rPr>
        <w:t>and shall be paid in cash by the Company in arrears not later than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end of each calendar quarter. In the event a Non-Employee Director does not serve as a Non-Employee Director, or in the applicable position, for an entire calendar quarter, the retainer paid to such Non-Employee Director shall be prorated for the portion of such calendar quarter actually served as a Non-Employee Director, or in such position, as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04"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 xml:space="preserve">Each Non-Employee Director shall be granted the following awards of Restricted Stock Units (each, an “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under and subject to the terms and provisions of the Equity Plan under and within the meaning of the Company’s 2021 Incentive Award Plan or any other applicable Company equity incentive plan then-maintained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Each RSU Award shall be granted subject to an award agreement in substantially the form previously approved by the Board, and in the following amounts: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000" w:type="dxa"/>
            <w:vAlign w:val="bottom"/>
            <w:tcBorders>
              <w:top w:val="single" w:sz="8" w:color="auto"/>
              <w:left w:val="single" w:sz="8" w:color="auto"/>
              <w:right w:val="single" w:sz="8" w:color="auto"/>
            </w:tcBorders>
          </w:tcPr>
          <w:p>
            <w:pPr>
              <w:ind w:left="120"/>
              <w:spacing w:after="0" w:line="232" w:lineRule="exact"/>
              <w:rPr>
                <w:sz w:val="20"/>
                <w:szCs w:val="20"/>
                <w:color w:val="auto"/>
              </w:rPr>
            </w:pPr>
            <w:r>
              <w:rPr>
                <w:rFonts w:ascii="Times New Roman" w:cs="Times New Roman" w:eastAsia="Times New Roman" w:hAnsi="Times New Roman"/>
                <w:sz w:val="22"/>
                <w:szCs w:val="22"/>
                <w:b w:val="1"/>
                <w:bCs w:val="1"/>
                <w:i w:val="1"/>
                <w:iCs w:val="1"/>
                <w:color w:val="auto"/>
              </w:rPr>
              <w:t>Initial RSU Award</w:t>
            </w:r>
          </w:p>
        </w:tc>
        <w:tc>
          <w:tcPr>
            <w:tcW w:w="6240" w:type="dxa"/>
            <w:vAlign w:val="bottom"/>
            <w:tcBorders>
              <w:top w:val="single" w:sz="8" w:color="auto"/>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22"/>
                <w:szCs w:val="22"/>
                <w:color w:val="auto"/>
              </w:rPr>
              <w:t>A number of Restricted Stock Units (rounded to the nearest whole</w:t>
            </w:r>
          </w:p>
        </w:tc>
      </w:tr>
      <w:tr>
        <w:trPr>
          <w:trHeight w:val="282"/>
        </w:trPr>
        <w:tc>
          <w:tcPr>
            <w:tcW w:w="5000" w:type="dxa"/>
            <w:vAlign w:val="bottom"/>
            <w:tcBorders>
              <w:left w:val="single" w:sz="8" w:color="auto"/>
              <w:right w:val="single" w:sz="8" w:color="auto"/>
            </w:tcBorders>
          </w:tcPr>
          <w:p>
            <w:pPr>
              <w:spacing w:after="0"/>
              <w:rPr>
                <w:sz w:val="24"/>
                <w:szCs w:val="24"/>
                <w:color w:val="auto"/>
              </w:rPr>
            </w:pPr>
          </w:p>
        </w:tc>
        <w:tc>
          <w:tcPr>
            <w:tcW w:w="6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number) equal to $240,000 divided by the Reference Price.</w:t>
            </w:r>
          </w:p>
        </w:tc>
      </w:tr>
      <w:tr>
        <w:trPr>
          <w:trHeight w:val="241"/>
        </w:trPr>
        <w:tc>
          <w:tcPr>
            <w:tcW w:w="5000" w:type="dxa"/>
            <w:vAlign w:val="bottom"/>
            <w:tcBorders>
              <w:left w:val="single" w:sz="8" w:color="auto"/>
              <w:bottom w:val="single" w:sz="8" w:color="auto"/>
              <w:right w:val="single" w:sz="8" w:color="auto"/>
            </w:tcBorders>
          </w:tcPr>
          <w:p>
            <w:pPr>
              <w:spacing w:after="0"/>
              <w:rPr>
                <w:sz w:val="20"/>
                <w:szCs w:val="20"/>
                <w:color w:val="auto"/>
              </w:rPr>
            </w:pPr>
          </w:p>
        </w:tc>
        <w:tc>
          <w:tcPr>
            <w:tcW w:w="6240" w:type="dxa"/>
            <w:vAlign w:val="bottom"/>
            <w:tcBorders>
              <w:bottom w:val="single" w:sz="8" w:color="auto"/>
              <w:right w:val="single" w:sz="8" w:color="auto"/>
            </w:tcBorders>
          </w:tcPr>
          <w:p>
            <w:pPr>
              <w:spacing w:after="0"/>
              <w:rPr>
                <w:sz w:val="20"/>
                <w:szCs w:val="20"/>
                <w:color w:val="auto"/>
              </w:rPr>
            </w:pPr>
          </w:p>
        </w:tc>
      </w:tr>
      <w:tr>
        <w:trPr>
          <w:trHeight w:val="172"/>
        </w:trPr>
        <w:tc>
          <w:tcPr>
            <w:tcW w:w="5000" w:type="dxa"/>
            <w:vAlign w:val="bottom"/>
            <w:tcBorders>
              <w:left w:val="single" w:sz="8" w:color="auto"/>
              <w:right w:val="single" w:sz="8" w:color="auto"/>
            </w:tcBorders>
          </w:tcPr>
          <w:p>
            <w:pPr>
              <w:ind w:left="120"/>
              <w:spacing w:after="0" w:line="173" w:lineRule="exact"/>
              <w:rPr>
                <w:sz w:val="20"/>
                <w:szCs w:val="20"/>
                <w:color w:val="auto"/>
              </w:rPr>
            </w:pPr>
            <w:r>
              <w:rPr>
                <w:rFonts w:ascii="Times New Roman" w:cs="Times New Roman" w:eastAsia="Times New Roman" w:hAnsi="Times New Roman"/>
                <w:sz w:val="19"/>
                <w:szCs w:val="19"/>
                <w:b w:val="1"/>
                <w:bCs w:val="1"/>
                <w:i w:val="1"/>
                <w:iCs w:val="1"/>
                <w:color w:val="auto"/>
              </w:rPr>
              <w:t>Subsequent RSU Award</w:t>
            </w:r>
          </w:p>
        </w:tc>
        <w:tc>
          <w:tcPr>
            <w:tcW w:w="624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9"/>
                <w:szCs w:val="19"/>
                <w:color w:val="auto"/>
              </w:rPr>
              <w:t>A number of Restricted Stock Units (rounded to the nearest whole</w:t>
            </w:r>
          </w:p>
        </w:tc>
      </w:tr>
      <w:tr>
        <w:trPr>
          <w:trHeight w:val="282"/>
        </w:trPr>
        <w:tc>
          <w:tcPr>
            <w:tcW w:w="5000" w:type="dxa"/>
            <w:vAlign w:val="bottom"/>
            <w:tcBorders>
              <w:left w:val="single" w:sz="8" w:color="auto"/>
              <w:right w:val="single" w:sz="8" w:color="auto"/>
            </w:tcBorders>
          </w:tcPr>
          <w:p>
            <w:pPr>
              <w:spacing w:after="0"/>
              <w:rPr>
                <w:sz w:val="24"/>
                <w:szCs w:val="24"/>
                <w:color w:val="auto"/>
              </w:rPr>
            </w:pPr>
          </w:p>
        </w:tc>
        <w:tc>
          <w:tcPr>
            <w:tcW w:w="6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number) equal to $130,000 divided by the Reference Price.</w:t>
            </w:r>
          </w:p>
        </w:tc>
      </w:tr>
      <w:tr>
        <w:trPr>
          <w:trHeight w:val="204"/>
        </w:trPr>
        <w:tc>
          <w:tcPr>
            <w:tcW w:w="5000" w:type="dxa"/>
            <w:vAlign w:val="bottom"/>
            <w:tcBorders>
              <w:left w:val="single" w:sz="8" w:color="auto"/>
              <w:bottom w:val="single" w:sz="8" w:color="auto"/>
              <w:right w:val="single" w:sz="8" w:color="auto"/>
            </w:tcBorders>
          </w:tcPr>
          <w:p>
            <w:pPr>
              <w:spacing w:after="0"/>
              <w:rPr>
                <w:sz w:val="17"/>
                <w:szCs w:val="17"/>
                <w:color w:val="auto"/>
              </w:rPr>
            </w:pPr>
          </w:p>
        </w:tc>
        <w:tc>
          <w:tcPr>
            <w:tcW w:w="6240" w:type="dxa"/>
            <w:vAlign w:val="bottom"/>
            <w:tcBorders>
              <w:bottom w:val="single" w:sz="8" w:color="auto"/>
              <w:right w:val="single" w:sz="8" w:color="auto"/>
            </w:tcBorders>
          </w:tcPr>
          <w:p>
            <w:pPr>
              <w:spacing w:after="0"/>
              <w:rPr>
                <w:sz w:val="17"/>
                <w:szCs w:val="17"/>
                <w:color w:val="auto"/>
              </w:rPr>
            </w:pPr>
          </w:p>
        </w:tc>
      </w:tr>
    </w:tbl>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purposes of this Program, the “</w:t>
      </w:r>
      <w:r>
        <w:rPr>
          <w:rFonts w:ascii="Times New Roman" w:cs="Times New Roman" w:eastAsia="Times New Roman" w:hAnsi="Times New Roman"/>
          <w:sz w:val="22"/>
          <w:szCs w:val="22"/>
          <w:b w:val="1"/>
          <w:bCs w:val="1"/>
          <w:i w:val="1"/>
          <w:iCs w:val="1"/>
          <w:color w:val="auto"/>
        </w:rPr>
        <w:t>Reference Price</w:t>
      </w:r>
      <w:r>
        <w:rPr>
          <w:rFonts w:ascii="Times New Roman" w:cs="Times New Roman" w:eastAsia="Times New Roman" w:hAnsi="Times New Roman"/>
          <w:sz w:val="22"/>
          <w:szCs w:val="22"/>
          <w:color w:val="auto"/>
        </w:rPr>
        <w:t>” shall mean (i) the closing sales price of one share of the Company’s common stock on the date of grant if the grant is made when the Company is in an “open window”, or (ii) the closing sales price of one share of the Company’s common stock on the first trading day on or following the date of approval of the RSU Award by the Compensation Committee during which the Company is in an “open window” pursuant to the Company’s Insider Trading Compliance Policy.</w:t>
      </w:r>
    </w:p>
    <w:p>
      <w:pPr>
        <w:spacing w:after="0" w:line="177" w:lineRule="exact"/>
        <w:rPr>
          <w:sz w:val="20"/>
          <w:szCs w:val="20"/>
          <w:color w:val="auto"/>
        </w:rPr>
      </w:pPr>
    </w:p>
    <w:p>
      <w:pPr>
        <w:jc w:val="both"/>
        <w:ind w:firstLine="1189"/>
        <w:spacing w:after="0" w:line="244" w:lineRule="auto"/>
        <w:tabs>
          <w:tab w:leader="none" w:pos="161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RSU Awards</w:t>
      </w:r>
      <w:r>
        <w:rPr>
          <w:rFonts w:ascii="Times New Roman" w:cs="Times New Roman" w:eastAsia="Times New Roman" w:hAnsi="Times New Roman"/>
          <w:sz w:val="22"/>
          <w:szCs w:val="22"/>
          <w:color w:val="auto"/>
        </w:rPr>
        <w:t>. Each Non-Employee Director who is initially elected or appointed to the Board after the Effective Date shall receive the Initial RSU Award on the date of such initial election or appointment. No Non-Employee Director shall be granted more than one Initial RSU Award.</w:t>
      </w:r>
    </w:p>
    <w:p>
      <w:pPr>
        <w:spacing w:after="0" w:line="173" w:lineRule="exact"/>
        <w:rPr>
          <w:rFonts w:ascii="Times New Roman" w:cs="Times New Roman" w:eastAsia="Times New Roman" w:hAnsi="Times New Roman"/>
          <w:sz w:val="22"/>
          <w:szCs w:val="22"/>
          <w:color w:val="auto"/>
        </w:rPr>
      </w:pPr>
    </w:p>
    <w:p>
      <w:pPr>
        <w:jc w:val="both"/>
        <w:ind w:firstLine="1189"/>
        <w:spacing w:after="0" w:line="236" w:lineRule="auto"/>
        <w:tabs>
          <w:tab w:leader="none" w:pos="1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RSU Awards</w:t>
      </w:r>
      <w:r>
        <w:rPr>
          <w:rFonts w:ascii="Times New Roman" w:cs="Times New Roman" w:eastAsia="Times New Roman" w:hAnsi="Times New Roman"/>
          <w:sz w:val="22"/>
          <w:szCs w:val="22"/>
          <w:color w:val="auto"/>
        </w:rPr>
        <w:t>. A Non-Employee Director who (i) has been serving as a Non-Employee Director on the Board for at least six (6) months as of the date of any annual meeting of the Company’s stockholders after the Effective Date and (ii) will continue to serve as a Non-Employee Director immediately following such meeting, shall be automatically granted a Subsequent RSU Award on the date of such annual meeting. For the avoidance of doubt, a Non-Employee Director elected for the first time to the Board at an annual meeting of the Company’s stockholders shall only receive an Initial RSU Award in connection with such election, and shall not receive any Subsequent RSU Award on the date of such meeting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1242695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3" w:name="page114"/>
    <w:bookmarkEnd w:id="113"/>
    <w:p>
      <w:pPr>
        <w:jc w:val="both"/>
        <w:ind w:firstLine="1505"/>
        <w:spacing w:after="0" w:line="255" w:lineRule="auto"/>
        <w:tabs>
          <w:tab w:leader="none" w:pos="194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of Employee Directors</w:t>
      </w:r>
      <w:r>
        <w:rPr>
          <w:rFonts w:ascii="Times New Roman" w:cs="Times New Roman" w:eastAsia="Times New Roman" w:hAnsi="Times New Roman"/>
          <w:sz w:val="21"/>
          <w:szCs w:val="21"/>
          <w:color w:val="auto"/>
        </w:rPr>
        <w:t>. Members of the Board who are employees of the Company or any subsidiary of the Company who subsequently terminate their employment with the Company and subsidiary of the Company and remain on the Board will not receive an Initial RSU Award, but to the extent that they are otherwise entitled, will receive, after termination of employment with the Company and any subsidiary of the Company, a Subsequent RSU Award.</w:t>
      </w:r>
    </w:p>
    <w:p>
      <w:pPr>
        <w:spacing w:after="0" w:line="161"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RSU Awards Granted to Non-Employee Directors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2060" w:hanging="439"/>
        <w:spacing w:after="0"/>
        <w:tabs>
          <w:tab w:leader="none" w:pos="20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768"/>
        <w:spacing w:after="0" w:line="22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Initial RSU Awards</w:t>
      </w:r>
      <w:r>
        <w:rPr>
          <w:rFonts w:ascii="Times New Roman" w:cs="Times New Roman" w:eastAsia="Times New Roman" w:hAnsi="Times New Roman"/>
          <w:sz w:val="22"/>
          <w:szCs w:val="22"/>
          <w:color w:val="auto"/>
        </w:rPr>
        <w:t xml:space="preserve"> . Each Initial RSU Award shall vest and become exercisable in substantially equal installments on each of the first three (3) anniversaries of the date of grant, such that the Initial RSU Award shall be fully vested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date of grant, subject to the Non-Employee Director continuing in service as a Non-Employee Director through each such vesting date.</w:t>
      </w:r>
    </w:p>
    <w:p>
      <w:pPr>
        <w:spacing w:after="0" w:line="174" w:lineRule="exact"/>
        <w:rPr>
          <w:rFonts w:ascii="Times New Roman" w:cs="Times New Roman" w:eastAsia="Times New Roman" w:hAnsi="Times New Roman"/>
          <w:sz w:val="22"/>
          <w:szCs w:val="22"/>
          <w:color w:val="auto"/>
        </w:rPr>
      </w:pPr>
    </w:p>
    <w:p>
      <w:pPr>
        <w:jc w:val="both"/>
        <w:ind w:firstLine="1736"/>
        <w:spacing w:after="0" w:line="246" w:lineRule="auto"/>
        <w:tabs>
          <w:tab w:leader="none" w:pos="2187"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Subsequent RSU Awards</w:t>
      </w:r>
      <w:r>
        <w:rPr>
          <w:rFonts w:ascii="Times New Roman" w:cs="Times New Roman" w:eastAsia="Times New Roman" w:hAnsi="Times New Roman"/>
          <w:sz w:val="22"/>
          <w:szCs w:val="22"/>
          <w:color w:val="auto"/>
        </w:rPr>
        <w:t>. Each Subsequent RSU Award shall vest in a single installment on the earlier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date of the next annual meeting of the Company’s stockholders or the first anniversary of the date of grant, subject to the Non-Employee Director continuing in service as a Non-Employee Director through such vesting date.</w:t>
      </w:r>
    </w:p>
    <w:p>
      <w:pPr>
        <w:spacing w:after="0" w:line="167" w:lineRule="exact"/>
        <w:rPr>
          <w:rFonts w:ascii="Times New Roman" w:cs="Times New Roman" w:eastAsia="Times New Roman" w:hAnsi="Times New Roman"/>
          <w:sz w:val="22"/>
          <w:szCs w:val="22"/>
          <w:color w:val="auto"/>
        </w:rPr>
      </w:pPr>
    </w:p>
    <w:p>
      <w:pPr>
        <w:jc w:val="both"/>
        <w:ind w:firstLine="1736"/>
        <w:spacing w:after="0" w:line="237" w:lineRule="auto"/>
        <w:tabs>
          <w:tab w:leader="none" w:pos="2254"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Forfeiture of RSU Awards; Change in Control Vesting</w:t>
      </w:r>
      <w:r>
        <w:rPr>
          <w:rFonts w:ascii="Times New Roman" w:cs="Times New Roman" w:eastAsia="Times New Roman" w:hAnsi="Times New Roman"/>
          <w:sz w:val="22"/>
          <w:szCs w:val="22"/>
          <w:color w:val="auto"/>
        </w:rPr>
        <w:t>. Unless the Board otherwise determines,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portion of an Initial RSU Award or Subsequent RSU Award which is unvested at the time of a Non-Employee Director’s termination of service on the Board as a Non-Employee Director shall be immediately forfeited upon such termination of service and shall not thereafter become vested. All of a Non-Employee Director’s Initial RSU Awards and Subsequent RSU Awards shall vest in full immediately prior to the occurrence of a Change in Control (as defined in the Equity Plan), to the extent outstanding at such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eimbursement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xpenses</w:t>
      </w:r>
    </w:p>
    <w:p>
      <w:pPr>
        <w:spacing w:after="0" w:line="210" w:lineRule="exact"/>
        <w:rPr>
          <w:sz w:val="20"/>
          <w:szCs w:val="20"/>
          <w:color w:val="auto"/>
        </w:rPr>
      </w:pPr>
    </w:p>
    <w:p>
      <w:pPr>
        <w:jc w:val="both"/>
        <w:ind w:left="40" w:firstLine="708"/>
        <w:spacing w:after="0" w:line="239" w:lineRule="auto"/>
        <w:rPr>
          <w:sz w:val="20"/>
          <w:szCs w:val="20"/>
          <w:color w:val="auto"/>
        </w:rPr>
      </w:pPr>
      <w:r>
        <w:rPr>
          <w:rFonts w:ascii="Times New Roman" w:cs="Times New Roman" w:eastAsia="Times New Roman" w:hAnsi="Times New Roman"/>
          <w:sz w:val="22"/>
          <w:szCs w:val="22"/>
          <w:color w:val="auto"/>
        </w:rPr>
        <w:t>The Non-Employee Directors will be reimbursed for reasonable travel and out-of-pocket expenses incurred in connection with attending our Board and Committee meetings. Nothing in this Policy shall limit the extent to which members of the Board who are employees are eligible to receive reimbursement for expenses pursuant to the Company’s applicable expense reimbursement policies and procedures.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effective as of November 4, 2024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is made by and between Sight Sciences, Inc., a Delaware corporation (together with any successor thereto,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Brenton Taylor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ind w:left="760" w:right="20" w:hanging="752"/>
        <w:spacing w:after="0" w:line="269" w:lineRule="auto"/>
        <w:tabs>
          <w:tab w:leader="none" w:pos="40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desire of the Company to assure itself of the services of Executive as of the Effective Date and thereafter by entering into this Agreement.</w:t>
      </w:r>
    </w:p>
    <w:p>
      <w:pPr>
        <w:spacing w:after="0" w:line="15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mutually desire that Executive provide services to the Company on the terms herein provided.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69"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firstLine="757"/>
        <w:spacing w:after="0" w:line="269" w:lineRule="auto"/>
        <w:tabs>
          <w:tab w:leader="none" w:pos="101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Effective on the Effective Date, the Company shall commence employment of Executive for the period and in the positions set forth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and subject to the other terms and conditions herein provided.</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xml:space="preserve">. The Company and Executive acknowledge that Executive’s employment is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shall commence on the Effective Date and end on the date this Agreement is terminated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Executive Vice President, Operations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of Directors of the Company or an authorized committee of the Board (in either case,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provided that Executive shall be permitted to (i) manage Executive’s personal, financial and legal affairs, (ii) participate in trade associations, (iii) continue to serve on those private and public company boards of directors on which Executive is serving as of the Effective Date, and (iv) serve on the board of directors of not-for-profit or tax-exempt charitable organizations, in each case, subject to compliance with this Agreement and provided that such activities do not materially interfere with Executive’s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1358265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$390,000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Commencing on January 1, 2025 and thereafter during the Term, Executive will be eligible to participate in an annual incentive program established by the Board. Executive’s annual incentive compensation under such incentive program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shall be targeted at 45% of Executive’s Annual Base Salary (such target, as may be adjusted by the Board from time to time, the “</w:t>
      </w:r>
      <w:r>
        <w:rPr>
          <w:rFonts w:ascii="Times New Roman" w:cs="Times New Roman" w:eastAsia="Times New Roman" w:hAnsi="Times New Roman"/>
          <w:sz w:val="20"/>
          <w:szCs w:val="20"/>
          <w:u w:val="single" w:color="auto"/>
          <w:color w:val="auto"/>
        </w:rPr>
        <w:t>Target Annual Bonus</w:t>
      </w:r>
      <w:r>
        <w:rPr>
          <w:rFonts w:ascii="Times New Roman" w:cs="Times New Roman" w:eastAsia="Times New Roman" w:hAnsi="Times New Roman"/>
          <w:sz w:val="20"/>
          <w:szCs w:val="20"/>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During the Term, Executive shall be entitled to paid personal leave in accordance with the Company’s Policies. Any vacation shall be taken at the reasonable and mutual convenience of the Company and Executive.</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7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Key Person Insurance</w:t>
      </w:r>
      <w:r>
        <w:rPr>
          <w:rFonts w:ascii="Times New Roman" w:cs="Times New Roman" w:eastAsia="Times New Roman" w:hAnsi="Times New Roman"/>
          <w:sz w:val="20"/>
          <w:szCs w:val="20"/>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ind w:left="520" w:hanging="512"/>
        <w:spacing w:after="0"/>
        <w:tabs>
          <w:tab w:leader="none" w:pos="5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5"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 its sole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87"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w:t>
      </w:r>
      <w:r>
        <w:rPr>
          <w:rFonts w:ascii="Times New Roman" w:cs="Times New Roman" w:eastAsia="Times New Roman" w:hAnsi="Times New Roman"/>
          <w:sz w:val="20"/>
          <w:szCs w:val="20"/>
          <w:color w:val="auto"/>
        </w:rPr>
        <w:t xml:space="preserve">. Upon termination of Executive’s employment pursuant to any of the circumstances listed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and (iii) any amount accrued and arising from Executive’s participation in, or benefits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45" w:lineRule="auto"/>
        <w:rPr>
          <w:sz w:val="20"/>
          <w:szCs w:val="20"/>
          <w:color w:val="auto"/>
        </w:rPr>
      </w:pPr>
      <w:r>
        <w:rPr>
          <w:rFonts w:ascii="Times New Roman" w:cs="Times New Roman" w:eastAsia="Times New Roman" w:hAnsi="Times New Roman"/>
          <w:sz w:val="20"/>
          <w:szCs w:val="20"/>
          <w:color w:val="auto"/>
        </w:rPr>
        <w:t>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0"/>
          <w:szCs w:val="20"/>
          <w:u w:val="single" w:color="auto"/>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as applicable.</w:t>
      </w:r>
    </w:p>
    <w:p>
      <w:pPr>
        <w:spacing w:after="0" w:line="184" w:lineRule="exact"/>
        <w:rPr>
          <w:sz w:val="20"/>
          <w:szCs w:val="20"/>
          <w:color w:val="auto"/>
        </w:rPr>
      </w:pPr>
    </w:p>
    <w:p>
      <w:pPr>
        <w:ind w:firstLine="757"/>
        <w:spacing w:after="0" w:line="269" w:lineRule="auto"/>
        <w:tabs>
          <w:tab w:leader="none" w:pos="101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68"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or Resignation from the Company Without Good Reason</w:t>
      </w:r>
      <w:r>
        <w:rPr>
          <w:rFonts w:ascii="Times New Roman" w:cs="Times New Roman" w:eastAsia="Times New Roman" w:hAnsi="Times New Roman"/>
          <w:sz w:val="20"/>
          <w:szCs w:val="20"/>
          <w:color w:val="auto"/>
        </w:rPr>
        <w:t xml:space="preserve">. If Executive’s employment shall terminate as a result of Executive’s death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or Disability pursuant to </w:t>
      </w:r>
      <w:r>
        <w:rPr>
          <w:rFonts w:ascii="Times New Roman" w:cs="Times New Roman" w:eastAsia="Times New Roman" w:hAnsi="Times New Roman"/>
          <w:sz w:val="20"/>
          <w:szCs w:val="20"/>
          <w:u w:val="single" w:color="auto"/>
          <w:color w:val="auto"/>
        </w:rPr>
        <w:t>Section 3(a)(ii)</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3(a)(iii)</w:t>
      </w:r>
      <w:r>
        <w:rPr>
          <w:rFonts w:ascii="Times New Roman" w:cs="Times New Roman" w:eastAsia="Times New Roman" w:hAnsi="Times New Roman"/>
          <w:sz w:val="20"/>
          <w:szCs w:val="20"/>
          <w:color w:val="auto"/>
        </w:rPr>
        <w:t xml:space="preserve"> for Cause, or pursuant to </w:t>
      </w:r>
      <w:r>
        <w:rPr>
          <w:rFonts w:ascii="Times New Roman" w:cs="Times New Roman" w:eastAsia="Times New Roman" w:hAnsi="Times New Roman"/>
          <w:sz w:val="20"/>
          <w:szCs w:val="20"/>
          <w:u w:val="single" w:color="auto"/>
          <w:color w:val="auto"/>
        </w:rPr>
        <w:t>Section 3(a)(vi)</w:t>
      </w:r>
      <w:r>
        <w:rPr>
          <w:rFonts w:ascii="Times New Roman" w:cs="Times New Roman" w:eastAsia="Times New Roman" w:hAnsi="Times New Roman"/>
          <w:sz w:val="20"/>
          <w:szCs w:val="20"/>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or Resignation from the Company with Good Reason</w:t>
      </w:r>
      <w:r>
        <w:rPr>
          <w:rFonts w:ascii="Times New Roman" w:cs="Times New Roman" w:eastAsia="Times New Roman" w:hAnsi="Times New Roman"/>
          <w:sz w:val="20"/>
          <w:szCs w:val="20"/>
          <w:color w:val="auto"/>
        </w:rPr>
        <w:t xml:space="preserve">. If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then except as otherwise provided under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and subject to Executive signing on or before the 21st day following Executive’s Separation from Service (as defined below), and not revoking, a release of claims substantially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1.0 times the Annual Base Salary, payable in the form of salary continuation in regular installments over the 12 month period following the date of Executive’s Separation from Service (the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in accordance with the Company’s normal payroll practices; provided, however, that the Company may elect at its sole discretion to pay such amount in lump sum within ten (10) business days following its receipt of the executed Release from Executive ; provided, further, that no such lump sum payment shall serve to otherwise shorten the Severance Period for purposes of this agreement);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unpaid as of the Date of Termination, an amount in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360"/>
        <w:spacing w:after="0" w:line="255" w:lineRule="auto"/>
        <w:rPr>
          <w:sz w:val="20"/>
          <w:szCs w:val="20"/>
          <w:color w:val="auto"/>
        </w:rPr>
      </w:pPr>
      <w:r>
        <w:rPr>
          <w:rFonts w:ascii="Times New Roman" w:cs="Times New Roman" w:eastAsia="Times New Roman" w:hAnsi="Times New Roman"/>
          <w:sz w:val="19"/>
          <w:szCs w:val="19"/>
          <w:color w:val="auto"/>
        </w:rPr>
        <w:t>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9"/>
          <w:szCs w:val="19"/>
          <w:u w:val="single" w:color="auto"/>
          <w:color w:val="auto"/>
        </w:rPr>
        <w:t>COBRA Continuation Period</w:t>
      </w:r>
      <w:r>
        <w:rPr>
          <w:rFonts w:ascii="Times New Roman" w:cs="Times New Roman" w:eastAsia="Times New Roman" w:hAnsi="Times New Roman"/>
          <w:sz w:val="19"/>
          <w:szCs w:val="19"/>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for the remainder of the COBRA Continuation Period.</w:t>
      </w:r>
    </w:p>
    <w:p>
      <w:pPr>
        <w:spacing w:after="0" w:line="182" w:lineRule="exact"/>
        <w:rPr>
          <w:sz w:val="20"/>
          <w:szCs w:val="20"/>
          <w:color w:val="auto"/>
        </w:rPr>
      </w:pPr>
    </w:p>
    <w:p>
      <w:pPr>
        <w:jc w:val="both"/>
        <w:ind w:left="-400" w:firstLine="757"/>
        <w:spacing w:after="0" w:line="246" w:lineRule="auto"/>
        <w:tabs>
          <w:tab w:leader="none" w:pos="6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In lieu of the payments and benefits set forth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xml:space="preserve">, in the event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the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164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the Annual Base Salary, payable in equal installments over the 18 month period following the date of Executive’s Separation from Service (the “</w:t>
      </w:r>
      <w:r>
        <w:rPr>
          <w:rFonts w:ascii="Times New Roman" w:cs="Times New Roman" w:eastAsia="Times New Roman" w:hAnsi="Times New Roman"/>
          <w:sz w:val="20"/>
          <w:szCs w:val="20"/>
          <w:u w:val="single" w:color="auto"/>
          <w:color w:val="auto"/>
        </w:rPr>
        <w:t>CIC Severance Period</w:t>
      </w:r>
      <w:r>
        <w:rPr>
          <w:rFonts w:ascii="Times New Roman" w:cs="Times New Roman" w:eastAsia="Times New Roman" w:hAnsi="Times New Roman"/>
          <w:sz w:val="20"/>
          <w:szCs w:val="20"/>
          <w:color w:val="auto"/>
        </w:rPr>
        <w:t>”) in accordance with the Company’s normal payroll practices;</w:t>
      </w:r>
    </w:p>
    <w:p>
      <w:pPr>
        <w:spacing w:after="0" w:line="174" w:lineRule="exact"/>
        <w:rPr>
          <w:rFonts w:ascii="Times New Roman" w:cs="Times New Roman" w:eastAsia="Times New Roman" w:hAnsi="Times New Roman"/>
          <w:sz w:val="20"/>
          <w:szCs w:val="20"/>
          <w:color w:val="auto"/>
        </w:rPr>
      </w:pPr>
    </w:p>
    <w:p>
      <w:pPr>
        <w:ind w:left="1640" w:hanging="535"/>
        <w:spacing w:after="0"/>
        <w:tabs>
          <w:tab w:leader="none" w:pos="164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set forth in </w:t>
      </w:r>
      <w:r>
        <w:rPr>
          <w:rFonts w:ascii="Times New Roman" w:cs="Times New Roman" w:eastAsia="Times New Roman" w:hAnsi="Times New Roman"/>
          <w:sz w:val="20"/>
          <w:szCs w:val="20"/>
          <w:u w:val="single" w:color="auto"/>
          <w:color w:val="auto"/>
        </w:rPr>
        <w:t>Section 4(b)(ii)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60" w:firstLine="745"/>
        <w:spacing w:after="0" w:line="269" w:lineRule="auto"/>
        <w:tabs>
          <w:tab w:leader="none" w:pos="164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benefits set forth in </w:t>
      </w:r>
      <w:r>
        <w:rPr>
          <w:rFonts w:ascii="Times New Roman" w:cs="Times New Roman" w:eastAsia="Times New Roman" w:hAnsi="Times New Roman"/>
          <w:sz w:val="20"/>
          <w:szCs w:val="20"/>
          <w:u w:val="single" w:color="auto"/>
          <w:color w:val="auto"/>
        </w:rPr>
        <w:t>Section 4(b)(iii)</w:t>
      </w:r>
      <w:r>
        <w:rPr>
          <w:rFonts w:ascii="Times New Roman" w:cs="Times New Roman" w:eastAsia="Times New Roman" w:hAnsi="Times New Roman"/>
          <w:sz w:val="20"/>
          <w:szCs w:val="20"/>
          <w:color w:val="auto"/>
        </w:rPr>
        <w:t>, provided that for this purpose, the “Severance Period” will mean the CIC Severance Period;</w:t>
      </w:r>
    </w:p>
    <w:p>
      <w:pPr>
        <w:spacing w:after="0" w:line="159" w:lineRule="exact"/>
        <w:rPr>
          <w:rFonts w:ascii="Times New Roman" w:cs="Times New Roman" w:eastAsia="Times New Roman" w:hAnsi="Times New Roman"/>
          <w:sz w:val="20"/>
          <w:szCs w:val="20"/>
          <w:color w:val="auto"/>
        </w:rPr>
      </w:pPr>
    </w:p>
    <w:p>
      <w:pPr>
        <w:ind w:left="360" w:firstLine="745"/>
        <w:spacing w:after="0" w:line="269" w:lineRule="auto"/>
        <w:tabs>
          <w:tab w:leader="none" w:pos="164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the Target Annual Bonus, payable in a lump sum on the Company’s first ordinary payroll date that occurs after the Date of Termination; and</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164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spacing w:after="0" w:line="174" w:lineRule="exact"/>
        <w:rPr>
          <w:rFonts w:ascii="Times New Roman" w:cs="Times New Roman" w:eastAsia="Times New Roman" w:hAnsi="Times New Roman"/>
          <w:sz w:val="20"/>
          <w:szCs w:val="20"/>
          <w:color w:val="auto"/>
        </w:rPr>
      </w:pPr>
    </w:p>
    <w:p>
      <w:pPr>
        <w:ind w:left="-400" w:firstLine="757"/>
        <w:spacing w:after="0" w:line="269" w:lineRule="auto"/>
        <w:tabs>
          <w:tab w:leader="none" w:pos="6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Notwithstanding anything to the contrary in this Agreement, the provisions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5 through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will survive the termination of Executive’s employment and the termination of the Term.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1081405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19" w:name="page120"/>
    <w:bookmarkEnd w:id="119"/>
    <w:p>
      <w:pPr>
        <w:jc w:val="both"/>
        <w:ind w:firstLine="8"/>
        <w:spacing w:after="0" w:line="241" w:lineRule="auto"/>
        <w:tabs>
          <w:tab w:leader="none" w:pos="509"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acknowledges that Executive is subject to the terms and provisions of an Employee Proprietary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and Inventions Assignment Agreement, effective as of November 4, 2024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Executive agrees to abide by the terms of the Restrictive Covenant Agreement, which is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99"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95"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048"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material breach of a Policy, this Agreement or any other material agreement between the Executive and the Company (including, without limitation, the Restrictive Covenant Agreement);</w:t>
      </w:r>
    </w:p>
    <w:p>
      <w:pPr>
        <w:spacing w:after="0" w:line="155"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Executive’s conviction, plea of no contest,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or imposition of unadjudicated probation for any felony or crime involving moral turpitude;</w:t>
      </w:r>
    </w:p>
    <w:p>
      <w:pPr>
        <w:spacing w:after="0" w:line="15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any act of fraud or material dishonesty, embezzlement, misappropriation, willful misconduct, or breach of fiduciary duty against the Company or any of its affiliates;</w:t>
      </w:r>
    </w:p>
    <w:p>
      <w:pPr>
        <w:spacing w:after="0" w:line="15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Executive’s termination will not be considered for Cause unless and until (a) the Company has provided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within 60 days of the Company’s knowledge of the occurrence of the</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46" w:lineRule="auto"/>
        <w:rPr>
          <w:sz w:val="20"/>
          <w:szCs w:val="20"/>
          <w:color w:val="auto"/>
        </w:rPr>
      </w:pPr>
      <w:r>
        <w:rPr>
          <w:rFonts w:ascii="Times New Roman" w:cs="Times New Roman" w:eastAsia="Times New Roman" w:hAnsi="Times New Roman"/>
          <w:sz w:val="20"/>
          <w:szCs w:val="20"/>
          <w:color w:val="auto"/>
        </w:rPr>
        <w:t>facts and circumstances underlying the Cause event, written notice stating with reasonable specificity the applicable facts and circumstances underlying such finding of Cause and (b) in the case of alleged Cause under clause (i) or (ii) of the foregoing definition (except with respect to a breach of the Restrictive Covenant Agreement) and to the extent the applicable condition or event is reasonably capable of being cured, Executive shall have failed to cure such condition or event within 30 days after the receipt of such notice, provided that Executive need not have been provided an opportunity to cure more than once in any twelve month period.</w:t>
      </w:r>
    </w:p>
    <w:p>
      <w:pPr>
        <w:spacing w:after="0" w:line="185" w:lineRule="exact"/>
        <w:rPr>
          <w:sz w:val="20"/>
          <w:szCs w:val="20"/>
          <w:color w:val="auto"/>
        </w:rPr>
      </w:pPr>
    </w:p>
    <w:p>
      <w:pPr>
        <w:ind w:left="1020" w:hanging="263"/>
        <w:spacing w:after="0"/>
        <w:tabs>
          <w:tab w:leader="none" w:pos="10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“Change in Control” shall have the meaning set forth in the Sight Sciences, Inc. 2021 Incentive Award Plan.</w:t>
      </w:r>
    </w:p>
    <w:p>
      <w:pPr>
        <w:spacing w:after="0" w:line="227"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shall mean the Internal Revenue Code of 1986, as amended, and the regulations and guidance promulgated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0"/>
          <w:szCs w:val="20"/>
          <w:u w:val="single" w:color="auto"/>
          <w:color w:val="auto"/>
        </w:rPr>
        <w:t>Section 3(a)(ii)</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either the date indicated in the Notice of Termination or the date specified by the Company pursuant to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whichever is earlier.</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“Good Reason” means the occurrence of any of the following events, unless Executive consents in writing to the applicable event: (i) a reduction in Executive’s Annual Base Salary or Target Annual Bonus (excluding any reduction in Annual Base Salary that is proportionate to a reduction of base salaries affecting substantially all other executive officers of the Company), (ii) a material decrease in Executive’s authority or areas of responsibility as are commensurate with Executive’s title or position with the Company (other than in connection with a Change in Control transaction where the Executive continues to have substantially the same authority and duties with respect to the Company’s business, substantially as such business exists prior to the date of consummation of such corporate transaction, but does not hold such position with respect to the successor or surviving entity (or its ultimate parent)), (iii) the relocation of Executive’s primary office to a location more than thirty-five (35) miles from the Executive’s primary office as of the date of this Agreement, (iv) the failure of any successor of all or substantially all of the Company’s assets to assume this Agreement, to the extent such assumption does not occur automatically by operation of law, or (v) the Company’s breach of a material provision of this Agreement or any other material agreement between the Company and the Executive. Notwithstanding the</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63" w:lineRule="auto"/>
        <w:rPr>
          <w:sz w:val="20"/>
          <w:szCs w:val="20"/>
          <w:color w:val="auto"/>
        </w:rPr>
      </w:pPr>
      <w:r>
        <w:rPr>
          <w:rFonts w:ascii="Times New Roman" w:cs="Times New Roman" w:eastAsia="Times New Roman" w:hAnsi="Times New Roman"/>
          <w:sz w:val="19"/>
          <w:szCs w:val="19"/>
          <w:color w:val="auto"/>
        </w:rPr>
        <w:t>foregoing, Executive’s resignation of employment will not be for Good Reason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to the extent reasonably capable of cure, the Company has had an opportunity to cure the same for thirty (30) days after the receipt of such notice; (c) the Company shall have failed to so cure within such period; and (d) Executive resigns within 60 days following the end of such cure period.</w:t>
      </w:r>
    </w:p>
    <w:p>
      <w:pPr>
        <w:spacing w:after="0" w:line="176"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2" w:lineRule="auto"/>
        <w:tabs>
          <w:tab w:leader="none" w:pos="101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being hereinafter referred to as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in part)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the Total Payments shall be reduced (in the order provided in </w:t>
      </w:r>
      <w:r>
        <w:rPr>
          <w:rFonts w:ascii="Times New Roman" w:cs="Times New Roman" w:eastAsia="Times New Roman" w:hAnsi="Times New Roman"/>
          <w:sz w:val="20"/>
          <w:szCs w:val="20"/>
          <w:u w:val="single" w:color="auto"/>
          <w:color w:val="auto"/>
        </w:rPr>
        <w:t>Section 8(b)</w:t>
      </w:r>
      <w:r>
        <w:rPr>
          <w:rFonts w:ascii="Times New Roman" w:cs="Times New Roman" w:eastAsia="Times New Roman" w:hAnsi="Times New Roman"/>
          <w:sz w:val="20"/>
          <w:szCs w:val="20"/>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7"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Payments shall be reduced in the following order: (i) reduction on a pro rata basis of any cash severance payments that are exempt from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determinations regarding the application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made by an accounting firm or consulting group with experience in performing calculations regarding the applicability of Section 280G of the Code and the Excise Tax selected by the Company (the “</w:t>
      </w:r>
      <w:r>
        <w:rPr>
          <w:rFonts w:ascii="Times New Roman" w:cs="Times New Roman" w:eastAsia="Times New Roman" w:hAnsi="Times New Roman"/>
          <w:sz w:val="20"/>
          <w:szCs w:val="20"/>
          <w:u w:val="single" w:color="auto"/>
          <w:color w:val="auto"/>
        </w:rPr>
        <w:t>Independent Advisors</w:t>
      </w:r>
      <w:r>
        <w:rPr>
          <w:rFonts w:ascii="Times New Roman" w:cs="Times New Roman" w:eastAsia="Times New Roman" w:hAnsi="Times New Roman"/>
          <w:sz w:val="20"/>
          <w:szCs w:val="20"/>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ind w:left="-8" w:firstLine="757"/>
        <w:spacing w:after="0" w:line="269" w:lineRule="auto"/>
        <w:tabs>
          <w:tab w:leader="none" w:pos="101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it is later determined that a greater reduction in the Total Payments should have been made to implement the objective and intent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excess amount shall be returned promptly by Executive to the Company.</w:t>
      </w:r>
    </w:p>
    <w:p>
      <w:pPr>
        <w:spacing w:after="0" w:line="168" w:lineRule="exact"/>
        <w:rPr>
          <w:rFonts w:ascii="Times New Roman" w:cs="Times New Roman" w:eastAsia="Times New Roman" w:hAnsi="Times New Roman"/>
          <w:sz w:val="20"/>
          <w:szCs w:val="20"/>
          <w:color w:val="auto"/>
        </w:rPr>
      </w:pPr>
    </w:p>
    <w:p>
      <w:pPr>
        <w:ind w:left="512" w:hanging="512"/>
        <w:spacing w:after="0"/>
        <w:tabs>
          <w:tab w:leader="none" w:pos="512"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left="-8" w:firstLine="757"/>
        <w:spacing w:after="0" w:line="249" w:lineRule="auto"/>
        <w:tabs>
          <w:tab w:leader="none" w:pos="101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State of Delaware without reference to the principles of conflicts of law of the State of Delaware or any other jurisdiction that would result in the application of the laws of a jurisdiction other than the State of Delaware, and where applicable, the laws of the United States.</w:t>
      </w:r>
    </w:p>
    <w:p>
      <w:pPr>
        <w:spacing w:after="0" w:line="179" w:lineRule="exact"/>
        <w:rPr>
          <w:rFonts w:ascii="Times New Roman" w:cs="Times New Roman" w:eastAsia="Times New Roman" w:hAnsi="Times New Roman"/>
          <w:sz w:val="20"/>
          <w:szCs w:val="20"/>
          <w:color w:val="auto"/>
        </w:rPr>
      </w:pPr>
    </w:p>
    <w:p>
      <w:pPr>
        <w:ind w:left="-8" w:right="20" w:firstLine="757"/>
        <w:spacing w:after="0" w:line="269" w:lineRule="auto"/>
        <w:tabs>
          <w:tab w:leader="none" w:pos="101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jc w:val="both"/>
        <w:ind w:left="-8" w:right="20" w:firstLine="757"/>
        <w:spacing w:after="0" w:line="254" w:lineRule="auto"/>
        <w:tabs>
          <w:tab w:leader="none" w:pos="101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74" w:lineRule="exact"/>
        <w:rPr>
          <w:rFonts w:ascii="Times New Roman" w:cs="Times New Roman" w:eastAsia="Times New Roman" w:hAnsi="Times New Roman"/>
          <w:sz w:val="20"/>
          <w:szCs w:val="20"/>
          <w:color w:val="auto"/>
        </w:rPr>
      </w:pPr>
    </w:p>
    <w:p>
      <w:pPr>
        <w:ind w:left="2032" w:hanging="535"/>
        <w:spacing w:after="0"/>
        <w:tabs>
          <w:tab w:leader="none" w:pos="203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Chief Executive Officer of the Company at the Company’s headquarters,</w:t>
      </w:r>
    </w:p>
    <w:p>
      <w:pPr>
        <w:spacing w:after="0" w:line="215" w:lineRule="exact"/>
        <w:rPr>
          <w:rFonts w:ascii="Times New Roman" w:cs="Times New Roman" w:eastAsia="Times New Roman" w:hAnsi="Times New Roman"/>
          <w:sz w:val="20"/>
          <w:szCs w:val="20"/>
          <w:color w:val="auto"/>
        </w:rPr>
      </w:pPr>
    </w:p>
    <w:p>
      <w:pPr>
        <w:ind w:left="2032" w:hanging="535"/>
        <w:spacing w:after="0"/>
        <w:tabs>
          <w:tab w:leader="none" w:pos="203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2032" w:hanging="535"/>
        <w:spacing w:after="0"/>
        <w:tabs>
          <w:tab w:leader="none" w:pos="203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5" w:lineRule="exact"/>
        <w:rPr>
          <w:rFonts w:ascii="Times New Roman" w:cs="Times New Roman" w:eastAsia="Times New Roman" w:hAnsi="Times New Roman"/>
          <w:sz w:val="20"/>
          <w:szCs w:val="20"/>
          <w:color w:val="auto"/>
        </w:rPr>
      </w:pPr>
    </w:p>
    <w:p>
      <w:pPr>
        <w:jc w:val="both"/>
        <w:ind w:left="-8" w:firstLine="757"/>
        <w:spacing w:after="0" w:line="254" w:lineRule="auto"/>
        <w:tabs>
          <w:tab w:leader="none" w:pos="101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PDF, DocuSign (or similar electronic signature) shall be deemed effective for all purposes.</w:t>
      </w:r>
    </w:p>
    <w:p>
      <w:pPr>
        <w:spacing w:after="0" w:line="174" w:lineRule="exact"/>
        <w:rPr>
          <w:rFonts w:ascii="Times New Roman" w:cs="Times New Roman" w:eastAsia="Times New Roman" w:hAnsi="Times New Roman"/>
          <w:sz w:val="20"/>
          <w:szCs w:val="20"/>
          <w:color w:val="auto"/>
        </w:rPr>
      </w:pPr>
    </w:p>
    <w:p>
      <w:pPr>
        <w:jc w:val="both"/>
        <w:ind w:left="-8" w:firstLine="757"/>
        <w:spacing w:after="0" w:line="245" w:lineRule="auto"/>
        <w:tabs>
          <w:tab w:leader="none" w:pos="101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The terms of this Agreement, and the Restrictive Covenant Agreement incorporated herein by reference as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4"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01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 and no</w:t>
      </w:r>
    </w:p>
    <w:p>
      <w:pPr>
        <w:spacing w:after="0" w:line="185"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1081405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23" w:name="page124"/>
    <w:bookmarkEnd w:id="123"/>
    <w:p>
      <w:pPr>
        <w:spacing w:after="0" w:line="269" w:lineRule="auto"/>
        <w:rPr>
          <w:sz w:val="20"/>
          <w:szCs w:val="20"/>
          <w:color w:val="auto"/>
        </w:rPr>
      </w:pPr>
      <w:r>
        <w:rPr>
          <w:rFonts w:ascii="Times New Roman" w:cs="Times New Roman" w:eastAsia="Times New Roman" w:hAnsi="Times New Roman"/>
          <w:sz w:val="20"/>
          <w:szCs w:val="20"/>
          <w:color w:val="auto"/>
        </w:rPr>
        <w:t>delay in exercising any right, remedy, or power hereunder will preclude any other or further exercise of any other right, remedy, or power provided herein or by law or in equity.</w:t>
      </w:r>
    </w:p>
    <w:p>
      <w:pPr>
        <w:spacing w:after="0" w:line="159" w:lineRule="exact"/>
        <w:rPr>
          <w:sz w:val="20"/>
          <w:szCs w:val="20"/>
          <w:color w:val="auto"/>
        </w:rPr>
      </w:pPr>
    </w:p>
    <w:p>
      <w:pPr>
        <w:jc w:val="both"/>
        <w:ind w:firstLine="757"/>
        <w:spacing w:after="0" w:line="242"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92"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Any controversy, claim or dispute arising out of or relating to this Agreement, shall be settled solely and exclusively by a binding arbitration process administered by JAMS/Endispute in San Jose, California. Such arbitration shall be conducted in accordance with the then-existing JAMS/Endispute Rules of Practice and Procedure, with the following exceptions if in conflict: (i) one arbitrator who is a retired judge shall be chosen by JAMS/Endispute; (ii) all fees and costs unique to arbitration, including all fees charged by the arbitrator, shall be paid by the Company; and (iii) arbitration may proceed in the absence of any Party if written notice (pursuant to the JAMS/Endispute rules and regulations) of the proceedings has been given to such Party. Each Party shall bear its own attorney’s fees and expenses; provided that the arbitrator may award the prevailing Party its attorney’s fees and costs to the extent permitted by applicable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cs="Times New Roman" w:eastAsia="Times New Roman" w:hAnsi="Times New Roman"/>
          <w:sz w:val="20"/>
          <w:szCs w:val="20"/>
          <w:u w:val="single" w:color="auto"/>
          <w:color w:val="auto"/>
        </w:rPr>
        <w:t>AAA</w:t>
      </w:r>
      <w:r>
        <w:rPr>
          <w:rFonts w:ascii="Times New Roman" w:cs="Times New Roman" w:eastAsia="Times New Roman" w:hAnsi="Times New Roman"/>
          <w:sz w:val="20"/>
          <w:szCs w:val="20"/>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190"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in terms to such illegal, invalid or unenforceable provision as may be possible and be legal, valid and enforceable.</w:t>
      </w:r>
    </w:p>
    <w:p>
      <w:pPr>
        <w:spacing w:after="0" w:line="216" w:lineRule="exact"/>
        <w:rPr>
          <w:sz w:val="20"/>
          <w:szCs w:val="20"/>
          <w:color w:val="auto"/>
        </w:rPr>
      </w:pPr>
    </w:p>
    <w:p>
      <w:pPr>
        <w:jc w:val="both"/>
        <w:ind w:firstLine="757"/>
        <w:spacing w:after="0" w:line="254"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204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w:t>
      </w:r>
    </w:p>
    <w:p>
      <w:pPr>
        <w:spacing w:after="0" w:line="168"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any compensation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xml:space="preserve">”) and, except as provided below, any such compensation or benefits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shall not be paid, or, in the case of installments, shall not commence payment, until the thirtieth (30th) day following Executive’s Separation from Service (the “</w:t>
      </w:r>
      <w:r>
        <w:rPr>
          <w:rFonts w:ascii="Times New Roman" w:cs="Times New Roman" w:eastAsia="Times New Roman" w:hAnsi="Times New Roman"/>
          <w:sz w:val="20"/>
          <w:szCs w:val="20"/>
          <w:u w:val="single" w:color="auto"/>
          <w:color w:val="auto"/>
        </w:rPr>
        <w:t>First Payment Date</w:t>
      </w:r>
      <w:r>
        <w:rPr>
          <w:rFonts w:ascii="Times New Roman" w:cs="Times New Roman" w:eastAsia="Times New Roman" w:hAnsi="Times New Roman"/>
          <w:sz w:val="20"/>
          <w:szCs w:val="20"/>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78"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any continuation salary payments that are payable on</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9"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62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EXECUTIVE</w:t>
            </w:r>
          </w:p>
        </w:tc>
        <w:tc>
          <w:tcPr>
            <w:tcW w:w="420" w:type="dxa"/>
            <w:vAlign w:val="bottom"/>
          </w:tcPr>
          <w:p>
            <w:pPr>
              <w:spacing w:after="0"/>
              <w:rPr>
                <w:sz w:val="23"/>
                <w:szCs w:val="23"/>
                <w:color w:val="auto"/>
              </w:rPr>
            </w:pPr>
          </w:p>
        </w:tc>
      </w:tr>
      <w:tr>
        <w:trPr>
          <w:trHeight w:val="869"/>
        </w:trPr>
        <w:tc>
          <w:tcPr>
            <w:tcW w:w="5620" w:type="dxa"/>
            <w:vAlign w:val="bottom"/>
          </w:tcPr>
          <w:p>
            <w:pPr>
              <w:spacing w:after="0"/>
              <w:rPr>
                <w:sz w:val="20"/>
                <w:szCs w:val="20"/>
                <w:color w:val="auto"/>
              </w:rPr>
            </w:pPr>
            <w:r>
              <w:rPr>
                <w:rFonts w:ascii="Times New Roman" w:cs="Times New Roman" w:eastAsia="Times New Roman" w:hAnsi="Times New Roman"/>
                <w:sz w:val="21"/>
                <w:szCs w:val="21"/>
                <w:color w:val="auto"/>
              </w:rPr>
              <w:t>Dated: November 1, 2024</w:t>
            </w:r>
          </w:p>
        </w:tc>
        <w:tc>
          <w:tcPr>
            <w:tcW w:w="2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/s/ Brenton Taylor</w:t>
            </w:r>
          </w:p>
        </w:tc>
        <w:tc>
          <w:tcPr>
            <w:tcW w:w="420" w:type="dxa"/>
            <w:vAlign w:val="bottom"/>
          </w:tcPr>
          <w:p>
            <w:pPr>
              <w:spacing w:after="0"/>
              <w:rPr>
                <w:sz w:val="24"/>
                <w:szCs w:val="24"/>
                <w:color w:val="auto"/>
              </w:rPr>
            </w:pPr>
          </w:p>
        </w:tc>
      </w:tr>
      <w:tr>
        <w:trPr>
          <w:trHeight w:val="272"/>
        </w:trPr>
        <w:tc>
          <w:tcPr>
            <w:tcW w:w="562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Brenton Taylor</w:t>
            </w:r>
          </w:p>
        </w:tc>
        <w:tc>
          <w:tcPr>
            <w:tcW w:w="420" w:type="dxa"/>
            <w:vAlign w:val="bottom"/>
          </w:tcPr>
          <w:p>
            <w:pPr>
              <w:spacing w:after="0"/>
              <w:rPr>
                <w:sz w:val="23"/>
                <w:szCs w:val="23"/>
                <w:color w:val="auto"/>
              </w:rPr>
            </w:pPr>
          </w:p>
        </w:tc>
      </w:tr>
      <w:tr>
        <w:trPr>
          <w:trHeight w:val="918"/>
        </w:trPr>
        <w:tc>
          <w:tcPr>
            <w:tcW w:w="562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SIGHT SCIENCES, INC.</w:t>
            </w:r>
          </w:p>
        </w:tc>
        <w:tc>
          <w:tcPr>
            <w:tcW w:w="420" w:type="dxa"/>
            <w:vAlign w:val="bottom"/>
          </w:tcPr>
          <w:p>
            <w:pPr>
              <w:spacing w:after="0"/>
              <w:rPr>
                <w:sz w:val="24"/>
                <w:szCs w:val="24"/>
                <w:color w:val="auto"/>
              </w:rPr>
            </w:pPr>
          </w:p>
        </w:tc>
      </w:tr>
      <w:tr>
        <w:trPr>
          <w:trHeight w:val="870"/>
        </w:trPr>
        <w:tc>
          <w:tcPr>
            <w:tcW w:w="5620" w:type="dxa"/>
            <w:vAlign w:val="bottom"/>
          </w:tcPr>
          <w:p>
            <w:pPr>
              <w:spacing w:after="0"/>
              <w:rPr>
                <w:sz w:val="20"/>
                <w:szCs w:val="20"/>
                <w:color w:val="auto"/>
              </w:rPr>
            </w:pPr>
            <w:r>
              <w:rPr>
                <w:rFonts w:ascii="Times New Roman" w:cs="Times New Roman" w:eastAsia="Times New Roman" w:hAnsi="Times New Roman"/>
                <w:sz w:val="21"/>
                <w:szCs w:val="21"/>
                <w:color w:val="auto"/>
              </w:rPr>
              <w:t>Dated: November 1, 2024</w:t>
            </w:r>
          </w:p>
        </w:tc>
        <w:tc>
          <w:tcPr>
            <w:tcW w:w="29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By: /s/ Paul Badawi</w:t>
            </w:r>
          </w:p>
        </w:tc>
        <w:tc>
          <w:tcPr>
            <w:tcW w:w="42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1"/>
          <w:szCs w:val="21"/>
          <w:color w:val="auto"/>
        </w:rPr>
        <w:t>Name: Paul Badawi</w:t>
      </w:r>
    </w:p>
    <w:p>
      <w:pPr>
        <w:spacing w:after="0" w:line="2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1"/>
          <w:szCs w:val="21"/>
          <w:color w:val="auto"/>
        </w:rPr>
        <w:t>Title: President and Chief Executive Officer</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854710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27" w:name="page128"/>
    <w:bookmarkEnd w:id="127"/>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20"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 xml:space="preserve">This Separation Agreement and Release (“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by and between Brenton Taylor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and Sight Sciences,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(collectively referred to as the “Parties” or individually referred to as a “Party”). Capitalized terms used but not defined in this Agreement shall have the meanings set forth in the Employment Agreement (as defined below).</w:t>
      </w:r>
    </w:p>
    <w:p>
      <w:pPr>
        <w:spacing w:after="0" w:line="66"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dated as of November 4, 2024,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and that certain Employee Proprietary Information and Inventions Assignment Agreement, effective as of November 4, 2024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and</w:t>
      </w:r>
    </w:p>
    <w:p>
      <w:pPr>
        <w:spacing w:after="0" w:line="66" w:lineRule="exact"/>
        <w:rPr>
          <w:sz w:val="20"/>
          <w:szCs w:val="20"/>
          <w:color w:val="auto"/>
        </w:rPr>
      </w:pPr>
    </w:p>
    <w:p>
      <w:pPr>
        <w:jc w:val="both"/>
        <w:ind w:firstLine="614"/>
        <w:spacing w:after="0" w:line="250"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________, 20__, the Parties wish to resolve any and all disputes, claims, complaints, grievances, charges, actions,</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 w:cs="Times New Roman" w:eastAsia="Times New Roman" w:hAnsi="Times New Roman"/>
          <w:sz w:val="20"/>
          <w:szCs w:val="20"/>
          <w:u w:val="single" w:color="auto"/>
          <w:color w:val="auto"/>
        </w:rPr>
        <w:t>Retained Claims</w:t>
      </w:r>
      <w:r>
        <w:rPr>
          <w:rFonts w:ascii="Times New Roman" w:cs="Times New Roman" w:eastAsia="Times New Roman" w:hAnsi="Times New Roman"/>
          <w:sz w:val="20"/>
          <w:szCs w:val="20"/>
          <w:color w:val="auto"/>
        </w:rPr>
        <w:t>”).</w:t>
      </w:r>
    </w:p>
    <w:p>
      <w:pPr>
        <w:spacing w:after="0" w:line="79"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66" w:lineRule="exact"/>
        <w:rPr>
          <w:sz w:val="20"/>
          <w:szCs w:val="20"/>
          <w:color w:val="auto"/>
        </w:rPr>
      </w:pPr>
    </w:p>
    <w:p>
      <w:pPr>
        <w:jc w:val="both"/>
        <w:ind w:firstLine="404"/>
        <w:spacing w:after="0" w:line="246" w:lineRule="auto"/>
        <w:tabs>
          <w:tab w:leader="none" w:pos="80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cs="Times New Roman" w:eastAsia="Times New Roman" w:hAnsi="Times New Roman"/>
          <w:sz w:val="20"/>
          <w:szCs w:val="20"/>
          <w:u w:val="single" w:color="auto"/>
          <w:color w:val="auto"/>
        </w:rPr>
        <w:t>3(c)</w:t>
      </w:r>
      <w:r>
        <w:rPr>
          <w:rFonts w:ascii="Times New Roman" w:cs="Times New Roman" w:eastAsia="Times New Roman" w:hAnsi="Times New Roman"/>
          <w:sz w:val="20"/>
          <w:szCs w:val="20"/>
          <w:color w:val="auto"/>
        </w:rPr>
        <w:t xml:space="preserve"> of the Employment Agreement, subject to and in accordance with the terms thereof.</w:t>
      </w:r>
    </w:p>
    <w:p>
      <w:pPr>
        <w:spacing w:after="0" w:line="184" w:lineRule="exact"/>
        <w:rPr>
          <w:rFonts w:ascii="Times New Roman" w:cs="Times New Roman" w:eastAsia="Times New Roman" w:hAnsi="Times New Roman"/>
          <w:sz w:val="20"/>
          <w:szCs w:val="20"/>
          <w:color w:val="auto"/>
        </w:rPr>
      </w:pPr>
    </w:p>
    <w:p>
      <w:pPr>
        <w:jc w:val="both"/>
        <w:ind w:firstLine="404"/>
        <w:spacing w:after="0" w:line="243" w:lineRule="auto"/>
        <w:tabs>
          <w:tab w:leader="none" w:pos="8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1354455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may possess against any of the Releasees arising from any omissions, acts, facts, or damages that have occurred up until and including the date Executive signs this Agreement, including, without limitation:</w:t>
      </w:r>
    </w:p>
    <w:p>
      <w:pPr>
        <w:spacing w:after="0" w:line="159" w:lineRule="exact"/>
        <w:rPr>
          <w:sz w:val="20"/>
          <w:szCs w:val="20"/>
          <w:color w:val="auto"/>
        </w:rPr>
      </w:pPr>
    </w:p>
    <w:p>
      <w:pPr>
        <w:ind w:right="20" w:firstLine="799"/>
        <w:spacing w:after="0" w:line="269" w:lineRule="auto"/>
        <w:tabs>
          <w:tab w:leader="none" w:pos="11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right="20" w:firstLine="799"/>
        <w:spacing w:after="0" w:line="254" w:lineRule="auto"/>
        <w:tabs>
          <w:tab w:leader="none" w:pos="11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ind w:firstLine="799"/>
        <w:spacing w:after="0" w:line="246" w:lineRule="auto"/>
        <w:tabs>
          <w:tab w:leader="none" w:pos="11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799"/>
        <w:spacing w:after="0" w:line="243" w:lineRule="auto"/>
        <w:tabs>
          <w:tab w:leader="none" w:pos="11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Worker Adjustment and Retraining Notification Act; the California Fair Employment and Housing Act; the California Family Rights Act; the California Paid Family Leave Act; the California Consumer Credit Reporting Agencies Act; the California Military and Veterans Code; California Business &amp; Professions Code Section 17200; and the California Labor Code;</w:t>
      </w:r>
    </w:p>
    <w:p>
      <w:pPr>
        <w:spacing w:after="0" w:line="18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15" w:lineRule="exact"/>
        <w:rPr>
          <w:rFonts w:ascii="Times New Roman" w:cs="Times New Roman" w:eastAsia="Times New Roman" w:hAnsi="Times New Roman"/>
          <w:sz w:val="20"/>
          <w:szCs w:val="20"/>
          <w:color w:val="auto"/>
        </w:rPr>
      </w:pPr>
    </w:p>
    <w:p>
      <w:pPr>
        <w:ind w:right="20" w:firstLine="799"/>
        <w:spacing w:after="0" w:line="269" w:lineRule="auto"/>
        <w:tabs>
          <w:tab w:leader="none" w:pos="11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59" w:lineRule="exact"/>
        <w:rPr>
          <w:rFonts w:ascii="Times New Roman" w:cs="Times New Roman" w:eastAsia="Times New Roman" w:hAnsi="Times New Roman"/>
          <w:sz w:val="20"/>
          <w:szCs w:val="20"/>
          <w:color w:val="auto"/>
        </w:rPr>
      </w:pPr>
    </w:p>
    <w:p>
      <w:pPr>
        <w:ind w:right="40" w:firstLine="799"/>
        <w:spacing w:after="0" w:line="269" w:lineRule="auto"/>
        <w:tabs>
          <w:tab w:leader="none" w:pos="11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5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Executive acknowledges that Executive has been advised of and is familiar with the provisions of California Civil Code Section 1542, which states:</w:t>
      </w: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46" w:lineRule="exact"/>
        <w:rPr>
          <w:sz w:val="20"/>
          <w:szCs w:val="20"/>
          <w:color w:val="auto"/>
        </w:rPr>
      </w:pPr>
    </w:p>
    <w:p>
      <w:pPr>
        <w:jc w:val="both"/>
        <w:ind w:left="760" w:right="76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Being aware of said code section, Executive expressly waives all rights Executive may have thereunder, as well as under any other law, including under common law principles of similar effect.</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spacing w:after="0" w:line="196" w:lineRule="exact"/>
        <w:rPr>
          <w:sz w:val="20"/>
          <w:szCs w:val="20"/>
          <w:color w:val="auto"/>
        </w:rPr>
      </w:pPr>
    </w:p>
    <w:p>
      <w:pPr>
        <w:jc w:val="both"/>
        <w:ind w:firstLine="404"/>
        <w:spacing w:after="0" w:line="254" w:lineRule="auto"/>
        <w:tabs>
          <w:tab w:leader="none" w:pos="832"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19"/>
          <w:szCs w:val="19"/>
          <w:u w:val="single" w:color="auto"/>
          <w:color w:val="auto"/>
        </w:rPr>
        <w:t>ADEA</w:t>
      </w:r>
      <w:r>
        <w:rPr>
          <w:rFonts w:ascii="Times New Roman" w:cs="Times New Roman" w:eastAsia="Times New Roman" w:hAnsi="Times New Roman"/>
          <w:sz w:val="19"/>
          <w:szCs w:val="19"/>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days following Executive’s execution of this Agreement to revoke this Agreement pursuant to written notice to the Chief Financial Officer of the Company;</w:t>
      </w:r>
    </w:p>
    <w:p>
      <w:pPr>
        <w:spacing w:after="0" w:line="6" w:lineRule="exact"/>
        <w:rPr>
          <w:rFonts w:ascii="Times New Roman" w:cs="Times New Roman" w:eastAsia="Times New Roman" w:hAnsi="Times New Roman"/>
          <w:sz w:val="19"/>
          <w:szCs w:val="19"/>
          <w:color w:val="auto"/>
        </w:rPr>
      </w:pPr>
    </w:p>
    <w:p>
      <w:pPr>
        <w:jc w:val="both"/>
        <w:ind w:firstLine="8"/>
        <w:spacing w:after="0" w:line="241" w:lineRule="auto"/>
        <w:tabs>
          <w:tab w:leader="none" w:pos="2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86"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46" w:lineRule="exact"/>
        <w:rPr>
          <w:sz w:val="20"/>
          <w:szCs w:val="20"/>
          <w:color w:val="auto"/>
        </w:rPr>
      </w:pPr>
    </w:p>
    <w:p>
      <w:pPr>
        <w:ind w:firstLine="799"/>
        <w:spacing w:after="0" w:line="243" w:lineRule="auto"/>
        <w:tabs>
          <w:tab w:leader="none" w:pos="118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and agrees that the post-termination obligations set forth in the Restrictive Covenant Agreement, including without limitation Executive’s obligations relating to confidentiality, non-use and non-disclosure of Proprietary Information (as defined in the Restrictive Covenant Agreement),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 (as defined below). However, nothing in this Agreement prevents Executive from engaging in communications protected by the National Labor Relations Act or discussing or disclosing information about unlawful acts in the workplace, such as harassment or discrimination or any other conduct that Executive has reason to believe is unlawful.</w:t>
      </w:r>
    </w:p>
    <w:p>
      <w:pPr>
        <w:spacing w:after="0" w:line="189" w:lineRule="exact"/>
        <w:rPr>
          <w:rFonts w:ascii="Times New Roman" w:cs="Times New Roman" w:eastAsia="Times New Roman" w:hAnsi="Times New Roman"/>
          <w:sz w:val="20"/>
          <w:szCs w:val="20"/>
          <w:color w:val="auto"/>
        </w:rPr>
      </w:pPr>
    </w:p>
    <w:p>
      <w:pPr>
        <w:jc w:val="both"/>
        <w:ind w:firstLine="799"/>
        <w:spacing w:after="0" w:line="245" w:lineRule="auto"/>
        <w:tabs>
          <w:tab w:leader="none" w:pos="118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continued compliance with the terms of the Restrictive Covenant Agreement is a material condition to receipt of the severance payments and benefits set forth in Section 1 of this Agreement. In the event Executive breaches the Restrictive Covenant Agreement,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spacing w:after="0" w:line="184" w:lineRule="exact"/>
        <w:rPr>
          <w:rFonts w:ascii="Times New Roman" w:cs="Times New Roman" w:eastAsia="Times New Roman" w:hAnsi="Times New Roman"/>
          <w:sz w:val="20"/>
          <w:szCs w:val="20"/>
          <w:color w:val="auto"/>
        </w:rPr>
      </w:pPr>
    </w:p>
    <w:p>
      <w:pPr>
        <w:jc w:val="both"/>
        <w:ind w:firstLine="404"/>
        <w:spacing w:after="0" w:line="254" w:lineRule="auto"/>
        <w:tabs>
          <w:tab w:leader="none" w:pos="7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Times New Roman" w:cs="Times New Roman" w:eastAsia="Times New Roman" w:hAnsi="Times New Roman"/>
          <w:sz w:val="20"/>
          <w:szCs w:val="20"/>
          <w:color w:val="auto"/>
        </w:rPr>
      </w:pPr>
    </w:p>
    <w:p>
      <w:pPr>
        <w:ind w:right="20" w:firstLine="404"/>
        <w:spacing w:after="0" w:line="269" w:lineRule="auto"/>
        <w:tabs>
          <w:tab w:leader="none" w:pos="7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59" w:lineRule="exact"/>
        <w:rPr>
          <w:rFonts w:ascii="Times New Roman" w:cs="Times New Roman" w:eastAsia="Times New Roman" w:hAnsi="Times New Roman"/>
          <w:sz w:val="20"/>
          <w:szCs w:val="20"/>
          <w:color w:val="auto"/>
        </w:rPr>
      </w:pPr>
    </w:p>
    <w:p>
      <w:pPr>
        <w:ind w:right="20" w:firstLine="404"/>
        <w:spacing w:after="0" w:line="269" w:lineRule="auto"/>
        <w:tabs>
          <w:tab w:leader="none" w:pos="8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9(a), 9(c), and 9(h) of the Employment Agreement.</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4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days after Executive signs this Agreement to revoke it and this Agreement will become effective on the eighth day following the date Executive signed this Agreement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404"/>
        <w:spacing w:after="0" w:line="244" w:lineRule="auto"/>
        <w:tabs>
          <w:tab w:leader="none" w:pos="87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-10795</wp:posOffset>
            </wp:positionV>
            <wp:extent cx="12566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Brenton Taylor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SIGHT SCIENCES,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4920" w:type="dxa"/>
            <w:vAlign w:val="bottom"/>
            <w:gridSpan w:val="2"/>
          </w:tcPr>
          <w:p>
            <w:pPr>
              <w:ind w:left="2540"/>
              <w:spacing w:after="0"/>
              <w:rPr>
                <w:sz w:val="20"/>
                <w:szCs w:val="20"/>
                <w:color w:val="auto"/>
              </w:rPr>
            </w:pPr>
            <w:r>
              <w:rPr>
                <w:rFonts w:ascii="Times New Roman" w:cs="Times New Roman" w:eastAsia="Times New Roman" w:hAnsi="Times New Roman"/>
                <w:sz w:val="20"/>
                <w:szCs w:val="20"/>
                <w:color w:val="auto"/>
              </w:rPr>
              <w:t>By:</w:t>
            </w:r>
          </w:p>
        </w:tc>
      </w:tr>
      <w:tr>
        <w:trPr>
          <w:trHeight w:val="20"/>
        </w:trPr>
        <w:tc>
          <w:tcPr>
            <w:tcW w:w="3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27"/>
        </w:trPr>
        <w:tc>
          <w:tcPr>
            <w:tcW w:w="3080" w:type="dxa"/>
            <w:vAlign w:val="bottom"/>
          </w:tcPr>
          <w:p>
            <w:pPr>
              <w:spacing w:after="0"/>
              <w:rPr>
                <w:sz w:val="19"/>
                <w:szCs w:val="19"/>
                <w:color w:val="auto"/>
              </w:rPr>
            </w:pPr>
          </w:p>
        </w:tc>
        <w:tc>
          <w:tcPr>
            <w:tcW w:w="4920" w:type="dxa"/>
            <w:vAlign w:val="bottom"/>
            <w:gridSpan w:val="2"/>
          </w:tcPr>
          <w:p>
            <w:pPr>
              <w:ind w:left="2720"/>
              <w:spacing w:after="0" w:line="228" w:lineRule="exact"/>
              <w:rPr>
                <w:sz w:val="20"/>
                <w:szCs w:val="20"/>
                <w:color w:val="auto"/>
              </w:rPr>
            </w:pPr>
            <w:r>
              <w:rPr>
                <w:rFonts w:ascii="Times New Roman" w:cs="Times New Roman" w:eastAsia="Times New Roman" w:hAnsi="Times New Roman"/>
                <w:sz w:val="20"/>
                <w:szCs w:val="20"/>
                <w:color w:val="auto"/>
              </w:rPr>
              <w:t>Name:</w:t>
            </w:r>
          </w:p>
        </w:tc>
      </w:tr>
      <w:tr>
        <w:trPr>
          <w:trHeight w:val="258"/>
        </w:trPr>
        <w:tc>
          <w:tcPr>
            <w:tcW w:w="3080" w:type="dxa"/>
            <w:vAlign w:val="bottom"/>
          </w:tcPr>
          <w:p>
            <w:pPr>
              <w:spacing w:after="0"/>
              <w:rPr>
                <w:sz w:val="22"/>
                <w:szCs w:val="22"/>
                <w:color w:val="auto"/>
              </w:rPr>
            </w:pPr>
          </w:p>
        </w:tc>
        <w:tc>
          <w:tcPr>
            <w:tcW w:w="4920" w:type="dxa"/>
            <w:vAlign w:val="bottom"/>
            <w:gridSpan w:val="2"/>
          </w:tcPr>
          <w:p>
            <w:pPr>
              <w:ind w:left="2720"/>
              <w:spacing w:after="0"/>
              <w:rPr>
                <w:sz w:val="20"/>
                <w:szCs w:val="20"/>
                <w:color w:val="auto"/>
              </w:rPr>
            </w:pPr>
            <w:r>
              <w:rPr>
                <w:rFonts w:ascii="Times New Roman" w:cs="Times New Roman" w:eastAsia="Times New Roman" w:hAnsi="Times New Roman"/>
                <w:sz w:val="20"/>
                <w:szCs w:val="20"/>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615315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22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effective as of November 4, 2024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made by and between Sight Sciences, Inc., a Delaware corporation (together with any successor thereto,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Manohar K. Raheja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(collectively referred to herein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or individually referred to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0" w:lineRule="exact"/>
        <w:rPr>
          <w:sz w:val="20"/>
          <w:szCs w:val="20"/>
          <w:color w:val="auto"/>
        </w:rPr>
      </w:pPr>
    </w:p>
    <w:p>
      <w:pPr>
        <w:ind w:left="760" w:right="20" w:hanging="752"/>
        <w:spacing w:after="0" w:line="270" w:lineRule="auto"/>
        <w:tabs>
          <w:tab w:leader="none" w:pos="42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desire of the Company to assure itself of the services of Executive as of the Effective Date and thereafter by entering into this Agreement.</w:t>
      </w:r>
    </w:p>
    <w:p>
      <w:pPr>
        <w:spacing w:after="0" w:line="158"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mutually desire that Executive provide services to the Company on the terms herein provided.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NOW, THEREFORE, in consideration of the foregoing and of the respective covenants and agreements set forth below,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Parties hereto agree as follows:</w:t>
      </w:r>
    </w:p>
    <w:p>
      <w:pPr>
        <w:spacing w:after="0" w:line="192"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Employment</w:t>
      </w:r>
      <w:r>
        <w:rPr>
          <w:rFonts w:ascii="Times New Roman" w:cs="Times New Roman" w:eastAsia="Times New Roman" w:hAnsi="Times New Roman"/>
          <w:sz w:val="21"/>
          <w:szCs w:val="21"/>
          <w:b w:val="1"/>
          <w:bCs w:val="1"/>
          <w:color w:val="auto"/>
        </w:rPr>
        <w:t>.</w:t>
      </w:r>
    </w:p>
    <w:p>
      <w:pPr>
        <w:spacing w:after="0" w:line="208" w:lineRule="exact"/>
        <w:rPr>
          <w:rFonts w:ascii="Times New Roman" w:cs="Times New Roman" w:eastAsia="Times New Roman" w:hAnsi="Times New Roman"/>
          <w:sz w:val="22"/>
          <w:szCs w:val="22"/>
          <w:b w:val="1"/>
          <w:bCs w:val="1"/>
          <w:color w:val="auto"/>
        </w:rPr>
      </w:pPr>
    </w:p>
    <w:p>
      <w:pPr>
        <w:ind w:right="20" w:firstLine="757"/>
        <w:spacing w:after="0" w:line="270"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Effective on the Effective Date, the Company shall commence employment of Executive for the period and in the positions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and subject to the other terms and conditions herein provided.</w:t>
      </w:r>
    </w:p>
    <w:p>
      <w:pPr>
        <w:spacing w:after="0" w:line="158"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The Company and Executive acknowledge that Executive’s employment is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shall commence on the Effective Date and end on the date this Agreement is terminated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Positions and Duties</w:t>
      </w:r>
      <w:r>
        <w:rPr>
          <w:rFonts w:ascii="Times New Roman" w:cs="Times New Roman" w:eastAsia="Times New Roman" w:hAnsi="Times New Roman"/>
          <w:sz w:val="21"/>
          <w:szCs w:val="21"/>
          <w:color w:val="auto"/>
        </w:rPr>
        <w:t>. During the Term, Executive shall serve as Executive Vice President, Research and Development of the Company, with such responsibilities, duties and authority normally associated with such position and as may from time to time be assigned to Executive by the Chief Executive Officer of the Company. Executive shall devote sixty percent (60%) of Executive’s working time and efforts (i.e., approximately 24 hours per week) to the business and affairs of the Company (which shall include service to its subsidiaries or affiliates, if applicable) and shall not engage in outside business activities (including serving on outside boards or committees) without the consent of the Board of Directors of the Company or an authorized committee of the Board (in either case,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provided that Executive shall be permitted to (i) manage Executive’s personal, financial and legal affairs, (ii) participate in trade associations, (iii) continue to serve on those private and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jc w:val="both"/>
        <w:spacing w:after="0" w:line="246" w:lineRule="auto"/>
        <w:rPr>
          <w:sz w:val="20"/>
          <w:szCs w:val="20"/>
          <w:color w:val="auto"/>
        </w:rPr>
      </w:pPr>
      <w:r>
        <w:rPr>
          <w:rFonts w:ascii="Times New Roman" w:cs="Times New Roman" w:eastAsia="Times New Roman" w:hAnsi="Times New Roman"/>
          <w:sz w:val="21"/>
          <w:szCs w:val="21"/>
          <w:color w:val="auto"/>
        </w:rPr>
        <w:t>company boards of directors on which Executive is serving as of the Effective Date, (iv) serve on the board of directors of not-for-profit or tax-exempt charitable organizations, and (v) provide services as a consultant to non-competitive businesses, in each case, subject to compliance with this Agreement and provided that such activities do not materially interfere with Executive’s performance of Executive’s duties and responsibilities hereunder. With respect to clause (v) of the preceding sentence, Executive shall notify the Company in advance of the nature of any such consulting services prior to performing any such services. Executive agrees to observe and comply with the rules and policies of the Company as adopted by the Company from time to time, in each case, as amended from time to time, and as delivered or made available to Executive (each, a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Compensation and Related Matters</w:t>
      </w:r>
      <w:r>
        <w:rPr>
          <w:rFonts w:ascii="Times New Roman" w:cs="Times New Roman" w:eastAsia="Times New Roman" w:hAnsi="Times New Roman"/>
          <w:sz w:val="21"/>
          <w:szCs w:val="21"/>
          <w:b w:val="1"/>
          <w:bCs w:val="1"/>
          <w:color w:val="auto"/>
        </w:rPr>
        <w:t>.</w:t>
      </w:r>
    </w:p>
    <w:p>
      <w:pPr>
        <w:spacing w:after="0" w:line="208" w:lineRule="exact"/>
        <w:rPr>
          <w:rFonts w:ascii="Times New Roman" w:cs="Times New Roman" w:eastAsia="Times New Roman" w:hAnsi="Times New Roman"/>
          <w:sz w:val="22"/>
          <w:szCs w:val="22"/>
          <w:b w:val="1"/>
          <w:bCs w:val="1"/>
          <w:color w:val="auto"/>
        </w:rPr>
      </w:pPr>
    </w:p>
    <w:p>
      <w:pPr>
        <w:jc w:val="both"/>
        <w:ind w:firstLine="757"/>
        <w:spacing w:after="0" w:line="251" w:lineRule="auto"/>
        <w:tabs>
          <w:tab w:leader="none" w:pos="1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During the Term, Executive shall receive a base salary at a rate of $234,000 per annum, which shall be paid in accordance with the customary payroll practices of the Company and shall be pro-rated for partial years of employment. Such annual base salary (i) reflects Executive’s part-time employment; and (ii) shall be reviewed (and may be adjusted) from time to time by the Board (such annual base salary, as it may be adjusted from time to time, the “</w:t>
      </w: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Annual Cash Bonus Opportunity</w:t>
      </w:r>
      <w:r>
        <w:rPr>
          <w:rFonts w:ascii="Times New Roman" w:cs="Times New Roman" w:eastAsia="Times New Roman" w:hAnsi="Times New Roman"/>
          <w:sz w:val="21"/>
          <w:szCs w:val="21"/>
          <w:color w:val="auto"/>
        </w:rPr>
        <w:t>. Commencing on January 1, 2025, and thereafter during the Term, Executive will be eligible to participate in an annual incentive program established by the Board. Executive’s annual incentive compensation under such incentive program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shall be targeted at 45% of Executive’s Annual Base Salary (such target, as may be adjusted by the Board from time to time, the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xml:space="preserve">”). The Annual Bonus payable under the incentive program shall be based on the achievement of Company and/or individual performance goals to be determined by the Board. The payment of any Annual Bonus pursuant to the incentive program shall be subject to Executive’s continued employment with the Company through the date of payment, except as otherwise provided in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48" w:lineRule="auto"/>
        <w:tabs>
          <w:tab w:leader="none" w:pos="1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xml:space="preserve">. During the Term, Executive shall be eligible to participate in employee benefit plans, programs and arrangements of the Company, subject to the terms and eligibility requirements thereof (including full-time employment and other requirements) and as such plans, programs and arrangements may be amended or in effect from time to time. In no event shall Executive be eligible to participate in any severance plan or program of the Company, except as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Agreement.</w:t>
      </w:r>
    </w:p>
    <w:p>
      <w:pPr>
        <w:spacing w:after="0" w:line="183" w:lineRule="exact"/>
        <w:rPr>
          <w:rFonts w:ascii="Times New Roman" w:cs="Times New Roman" w:eastAsia="Times New Roman" w:hAnsi="Times New Roman"/>
          <w:sz w:val="20"/>
          <w:szCs w:val="20"/>
          <w:color w:val="auto"/>
        </w:rPr>
      </w:pPr>
    </w:p>
    <w:p>
      <w:pPr>
        <w:ind w:firstLine="757"/>
        <w:spacing w:after="0" w:line="270" w:lineRule="auto"/>
        <w:tabs>
          <w:tab w:leader="none" w:pos="1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During the Term, Executive shall be entitled to paid personal leave in accordance with the Policies. Any vacation shall be taken at the reasonable and mutual convenience of the Company and Executive.</w:t>
      </w:r>
    </w:p>
    <w:p>
      <w:pPr>
        <w:spacing w:after="0" w:line="158"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75"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Key Person Insurance</w:t>
      </w:r>
      <w:r>
        <w:rPr>
          <w:rFonts w:ascii="Times New Roman" w:cs="Times New Roman" w:eastAsia="Times New Roman" w:hAnsi="Times New Roman"/>
          <w:sz w:val="21"/>
          <w:szCs w:val="21"/>
          <w:color w:val="auto"/>
        </w:rPr>
        <w:t>. At any time during the Term, the Company shall have the right (but not the obligation) to insure the life of Executive for the Company’s sole benefit. The Company shall have the right to determine the amount of insurance and the type of policy. Executive shall</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34" w:name="page135"/>
    <w:bookmarkEnd w:id="134"/>
    <w:p>
      <w:pPr>
        <w:jc w:val="both"/>
        <w:spacing w:after="0" w:line="248" w:lineRule="auto"/>
        <w:rPr>
          <w:sz w:val="20"/>
          <w:szCs w:val="20"/>
          <w:color w:val="auto"/>
        </w:rPr>
      </w:pPr>
      <w:r>
        <w:rPr>
          <w:rFonts w:ascii="Times New Roman" w:cs="Times New Roman" w:eastAsia="Times New Roman" w:hAnsi="Times New Roman"/>
          <w:sz w:val="21"/>
          <w:szCs w:val="21"/>
          <w:color w:val="auto"/>
        </w:rPr>
        <w:t>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81"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b w:val="1"/>
          <w:bCs w:val="1"/>
          <w:color w:val="auto"/>
        </w:rPr>
        <w:t>.</w:t>
      </w:r>
    </w:p>
    <w:p>
      <w:pPr>
        <w:spacing w:after="0" w:line="208"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Circumstances</w:t>
      </w:r>
      <w:r>
        <w:rPr>
          <w:rFonts w:ascii="Times New Roman" w:cs="Times New Roman" w:eastAsia="Times New Roman" w:hAnsi="Times New Roman"/>
          <w:sz w:val="21"/>
          <w:szCs w:val="21"/>
          <w:color w:val="auto"/>
        </w:rPr>
        <w:t>.</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Death</w:t>
      </w:r>
      <w:r>
        <w:rPr>
          <w:rFonts w:ascii="Times New Roman" w:cs="Times New Roman" w:eastAsia="Times New Roman" w:hAnsi="Times New Roman"/>
          <w:sz w:val="21"/>
          <w:szCs w:val="21"/>
          <w:color w:val="auto"/>
        </w:rPr>
        <w:t>. Executive’s employment hereunder shall terminate upon Executive’s death.</w:t>
      </w:r>
    </w:p>
    <w:p>
      <w:pPr>
        <w:spacing w:after="0" w:line="21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Disability</w:t>
      </w:r>
      <w:r>
        <w:rPr>
          <w:rFonts w:ascii="Times New Roman" w:cs="Times New Roman" w:eastAsia="Times New Roman" w:hAnsi="Times New Roman"/>
          <w:sz w:val="21"/>
          <w:szCs w:val="21"/>
          <w:color w:val="auto"/>
        </w:rPr>
        <w:t>. If Executive has incurred a Disability, as defined below, the Company may terminate Executive’s</w:t>
      </w:r>
    </w:p>
    <w:p>
      <w:pPr>
        <w:spacing w:after="0" w:line="27"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employment.</w:t>
      </w:r>
    </w:p>
    <w:p>
      <w:pPr>
        <w:spacing w:after="0" w:line="19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Termination for Cause</w:t>
      </w:r>
      <w:r>
        <w:rPr>
          <w:rFonts w:ascii="Times New Roman" w:cs="Times New Roman" w:eastAsia="Times New Roman" w:hAnsi="Times New Roman"/>
          <w:sz w:val="21"/>
          <w:szCs w:val="21"/>
          <w:color w:val="auto"/>
        </w:rPr>
        <w:t>. The Company may terminate Executive’s employment for Cause, as defined below.</w:t>
      </w:r>
    </w:p>
    <w:p>
      <w:pPr>
        <w:spacing w:after="0" w:line="21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Termination without Cause</w:t>
      </w:r>
      <w:r>
        <w:rPr>
          <w:rFonts w:ascii="Times New Roman" w:cs="Times New Roman" w:eastAsia="Times New Roman" w:hAnsi="Times New Roman"/>
          <w:sz w:val="21"/>
          <w:szCs w:val="21"/>
          <w:color w:val="auto"/>
        </w:rPr>
        <w:t>. The Company may terminate Executive’s employment without Cause.</w:t>
      </w:r>
    </w:p>
    <w:p>
      <w:pPr>
        <w:spacing w:after="0" w:line="217" w:lineRule="exact"/>
        <w:rPr>
          <w:rFonts w:ascii="Times New Roman" w:cs="Times New Roman" w:eastAsia="Times New Roman" w:hAnsi="Times New Roman"/>
          <w:sz w:val="20"/>
          <w:szCs w:val="20"/>
          <w:color w:val="auto"/>
        </w:rPr>
      </w:pPr>
    </w:p>
    <w:p>
      <w:pPr>
        <w:ind w:left="760" w:firstLine="745"/>
        <w:spacing w:after="0" w:line="272" w:lineRule="auto"/>
        <w:tabs>
          <w:tab w:leader="none" w:pos="204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 xml:space="preserve">Resignation from the Company with Good Reason. </w:t>
      </w:r>
      <w:r>
        <w:rPr>
          <w:rFonts w:ascii="Times New Roman" w:cs="Times New Roman" w:eastAsia="Times New Roman" w:hAnsi="Times New Roman"/>
          <w:sz w:val="21"/>
          <w:szCs w:val="21"/>
          <w:color w:val="auto"/>
        </w:rPr>
        <w:t>Executive may resign Executive’s employment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with Good Reason, as defined below.</w:t>
      </w:r>
    </w:p>
    <w:p>
      <w:pPr>
        <w:spacing w:after="0" w:line="154" w:lineRule="exact"/>
        <w:rPr>
          <w:rFonts w:ascii="Times New Roman" w:cs="Times New Roman" w:eastAsia="Times New Roman" w:hAnsi="Times New Roman"/>
          <w:sz w:val="20"/>
          <w:szCs w:val="20"/>
          <w:color w:val="auto"/>
        </w:rPr>
      </w:pPr>
    </w:p>
    <w:p>
      <w:pPr>
        <w:ind w:left="760" w:firstLine="745"/>
        <w:spacing w:after="0" w:line="272" w:lineRule="auto"/>
        <w:tabs>
          <w:tab w:leader="none" w:pos="204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Resignation from the Company without Good Reason</w:t>
      </w:r>
      <w:r>
        <w:rPr>
          <w:rFonts w:ascii="Times New Roman" w:cs="Times New Roman" w:eastAsia="Times New Roman" w:hAnsi="Times New Roman"/>
          <w:sz w:val="21"/>
          <w:szCs w:val="21"/>
          <w:color w:val="auto"/>
        </w:rPr>
        <w:t>. Executive may resign Executive’s employment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for any reason other than Good Reason or for no reason.</w:t>
      </w:r>
    </w:p>
    <w:p>
      <w:pPr>
        <w:spacing w:after="0" w:line="156"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termination of Executive’s employment by the Company or by Executive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(other than termination pursuant to </w:t>
      </w:r>
      <w:r>
        <w:rPr>
          <w:rFonts w:ascii="Times New Roman" w:cs="Times New Roman" w:eastAsia="Times New Roman" w:hAnsi="Times New Roman"/>
          <w:sz w:val="21"/>
          <w:szCs w:val="21"/>
          <w:u w:val="single" w:color="auto"/>
          <w:color w:val="auto"/>
        </w:rPr>
        <w:t>Section 3(a)(i))</w:t>
      </w:r>
      <w:r>
        <w:rPr>
          <w:rFonts w:ascii="Times New Roman" w:cs="Times New Roman" w:eastAsia="Times New Roman" w:hAnsi="Times New Roman"/>
          <w:sz w:val="21"/>
          <w:szCs w:val="21"/>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the event Executive delivers a Notice of Termination to the Company, the Company may, in its sole discretion, change the Date of Termination to any date that occurs following the date of the Company’s receipt of such Notice of Termination that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21"/>
          <w:szCs w:val="21"/>
          <w:color w:val="auto"/>
        </w:rPr>
        <w:t>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75" w:lineRule="exact"/>
        <w:rPr>
          <w:sz w:val="20"/>
          <w:szCs w:val="20"/>
          <w:color w:val="auto"/>
        </w:rPr>
      </w:pPr>
    </w:p>
    <w:p>
      <w:pPr>
        <w:jc w:val="both"/>
        <w:ind w:firstLine="757"/>
        <w:spacing w:after="0" w:line="244"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Company Obligations upon Termination</w:t>
      </w:r>
      <w:r>
        <w:rPr>
          <w:rFonts w:ascii="Times New Roman" w:cs="Times New Roman" w:eastAsia="Times New Roman" w:hAnsi="Times New Roman"/>
          <w:sz w:val="21"/>
          <w:szCs w:val="21"/>
          <w:color w:val="auto"/>
        </w:rPr>
        <w:t xml:space="preserve">. Upon termination of Executive’s employment pursuant to any of the circumstances listed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1"/>
          <w:szCs w:val="21"/>
          <w:u w:val="single" w:color="auto"/>
          <w:color w:val="auto"/>
        </w:rPr>
        <w:t>Company Arrangements</w:t>
      </w:r>
      <w:r>
        <w:rPr>
          <w:rFonts w:ascii="Times New Roman" w:cs="Times New Roman" w:eastAsia="Times New Roman" w:hAnsi="Times New Roman"/>
          <w:sz w:val="21"/>
          <w:szCs w:val="21"/>
          <w:color w:val="auto"/>
        </w:rPr>
        <w:t>”). Except as otherwise expressly required by law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xml:space="preserve">, COBRA), or as specifically provided herein, all of Executive’s rights to salary, severance, benefits, bonuses and other compensatory amounts hereunder (if any) shall cease upon the termination of Executive’s employment hereunder. In the event Executive’s employment is terminated by the Company for any reason, Executive’s sole and exclusive remedy shall be to receive the payments and benefits described in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as applicable.</w:t>
      </w:r>
    </w:p>
    <w:p>
      <w:pPr>
        <w:spacing w:after="0" w:line="190" w:lineRule="exact"/>
        <w:rPr>
          <w:rFonts w:ascii="Times New Roman" w:cs="Times New Roman" w:eastAsia="Times New Roman" w:hAnsi="Times New Roman"/>
          <w:sz w:val="20"/>
          <w:szCs w:val="20"/>
          <w:color w:val="auto"/>
        </w:rPr>
      </w:pPr>
    </w:p>
    <w:p>
      <w:pPr>
        <w:ind w:firstLine="757"/>
        <w:spacing w:after="0" w:line="270"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Deemed Resignation</w:t>
      </w:r>
      <w:r>
        <w:rPr>
          <w:rFonts w:ascii="Times New Roman" w:cs="Times New Roman" w:eastAsia="Times New Roman" w:hAnsi="Times New Roman"/>
          <w:sz w:val="21"/>
          <w:szCs w:val="21"/>
          <w:color w:val="auto"/>
        </w:rPr>
        <w:t>. Upon termination of Executive’s employment for any reason, Executive shall be deemed to have resigned from all offices and directorships, if any, then held with the Company, or any of its subsidiaries or affiliates.</w:t>
      </w:r>
    </w:p>
    <w:p>
      <w:pPr>
        <w:spacing w:after="0" w:line="156"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Severance Payments</w:t>
      </w:r>
      <w:r>
        <w:rPr>
          <w:rFonts w:ascii="Times New Roman" w:cs="Times New Roman" w:eastAsia="Times New Roman" w:hAnsi="Times New Roman"/>
          <w:sz w:val="21"/>
          <w:szCs w:val="21"/>
          <w:b w:val="1"/>
          <w:bCs w:val="1"/>
          <w:color w:val="auto"/>
        </w:rPr>
        <w:t>.</w:t>
      </w:r>
    </w:p>
    <w:p>
      <w:pPr>
        <w:spacing w:after="0" w:line="208" w:lineRule="exact"/>
        <w:rPr>
          <w:rFonts w:ascii="Times New Roman" w:cs="Times New Roman" w:eastAsia="Times New Roman" w:hAnsi="Times New Roman"/>
          <w:sz w:val="22"/>
          <w:szCs w:val="22"/>
          <w:b w:val="1"/>
          <w:bCs w:val="1"/>
          <w:color w:val="auto"/>
        </w:rPr>
      </w:pPr>
    </w:p>
    <w:p>
      <w:pPr>
        <w:jc w:val="both"/>
        <w:ind w:firstLine="757"/>
        <w:spacing w:after="0" w:line="251" w:lineRule="auto"/>
        <w:tabs>
          <w:tab w:leader="none" w:pos="101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Termination for Cause, or Termination Upon Death, Disability or Resignation from the Company Without Good Reason</w:t>
      </w:r>
      <w:r>
        <w:rPr>
          <w:rFonts w:ascii="Times New Roman" w:cs="Times New Roman" w:eastAsia="Times New Roman" w:hAnsi="Times New Roman"/>
          <w:sz w:val="21"/>
          <w:szCs w:val="21"/>
          <w:color w:val="auto"/>
        </w:rPr>
        <w:t xml:space="preserve">. If Executive’s employment shall terminate as a result of Executive’s death pursuant to </w:t>
      </w:r>
      <w:r>
        <w:rPr>
          <w:rFonts w:ascii="Times New Roman" w:cs="Times New Roman" w:eastAsia="Times New Roman" w:hAnsi="Times New Roman"/>
          <w:sz w:val="21"/>
          <w:szCs w:val="21"/>
          <w:u w:val="single" w:color="auto"/>
          <w:color w:val="auto"/>
        </w:rPr>
        <w:t>Section 3(a)(i)</w:t>
      </w:r>
      <w:r>
        <w:rPr>
          <w:rFonts w:ascii="Times New Roman" w:cs="Times New Roman" w:eastAsia="Times New Roman" w:hAnsi="Times New Roman"/>
          <w:sz w:val="21"/>
          <w:szCs w:val="21"/>
          <w:color w:val="auto"/>
        </w:rPr>
        <w:t xml:space="preserve"> or Disability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3(a)(ii)</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3(a)(iii)</w:t>
      </w:r>
      <w:r>
        <w:rPr>
          <w:rFonts w:ascii="Times New Roman" w:cs="Times New Roman" w:eastAsia="Times New Roman" w:hAnsi="Times New Roman"/>
          <w:sz w:val="21"/>
          <w:szCs w:val="21"/>
          <w:color w:val="auto"/>
        </w:rPr>
        <w:t xml:space="preserve"> for Cause, or pursuant to </w:t>
      </w:r>
      <w:r>
        <w:rPr>
          <w:rFonts w:ascii="Times New Roman" w:cs="Times New Roman" w:eastAsia="Times New Roman" w:hAnsi="Times New Roman"/>
          <w:sz w:val="21"/>
          <w:szCs w:val="21"/>
          <w:u w:val="single" w:color="auto"/>
          <w:color w:val="auto"/>
        </w:rPr>
        <w:t>Section 3(a)(vi)</w:t>
      </w:r>
      <w:r>
        <w:rPr>
          <w:rFonts w:ascii="Times New Roman" w:cs="Times New Roman" w:eastAsia="Times New Roman" w:hAnsi="Times New Roman"/>
          <w:sz w:val="21"/>
          <w:szCs w:val="21"/>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Termination without Cause or Resignation from the Company with Good Reason</w:t>
      </w:r>
      <w:r>
        <w:rPr>
          <w:rFonts w:ascii="Times New Roman" w:cs="Times New Roman" w:eastAsia="Times New Roman" w:hAnsi="Times New Roman"/>
          <w:sz w:val="21"/>
          <w:szCs w:val="21"/>
          <w:color w:val="auto"/>
        </w:rPr>
        <w:t xml:space="preserve">. If Executive’s employment terminates without Cause pursuant to </w:t>
      </w:r>
      <w:r>
        <w:rPr>
          <w:rFonts w:ascii="Times New Roman" w:cs="Times New Roman" w:eastAsia="Times New Roman" w:hAnsi="Times New Roman"/>
          <w:sz w:val="21"/>
          <w:szCs w:val="21"/>
          <w:u w:val="single" w:color="auto"/>
          <w:color w:val="auto"/>
        </w:rPr>
        <w:t>Section 3(a)(iv)</w:t>
      </w:r>
      <w:r>
        <w:rPr>
          <w:rFonts w:ascii="Times New Roman" w:cs="Times New Roman" w:eastAsia="Times New Roman" w:hAnsi="Times New Roman"/>
          <w:sz w:val="21"/>
          <w:szCs w:val="21"/>
          <w:color w:val="auto"/>
        </w:rPr>
        <w:t xml:space="preserve">, or pursuant to </w:t>
      </w:r>
      <w:r>
        <w:rPr>
          <w:rFonts w:ascii="Times New Roman" w:cs="Times New Roman" w:eastAsia="Times New Roman" w:hAnsi="Times New Roman"/>
          <w:sz w:val="21"/>
          <w:szCs w:val="21"/>
          <w:u w:val="single" w:color="auto"/>
          <w:color w:val="auto"/>
        </w:rPr>
        <w:t>Section 3(a)(v)</w:t>
      </w:r>
      <w:r>
        <w:rPr>
          <w:rFonts w:ascii="Times New Roman" w:cs="Times New Roman" w:eastAsia="Times New Roman" w:hAnsi="Times New Roman"/>
          <w:sz w:val="21"/>
          <w:szCs w:val="21"/>
          <w:color w:val="auto"/>
        </w:rPr>
        <w:t xml:space="preserve"> due to Executive’s resignation with Good Reason, then except as otherwise provided under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and subject to Executive signing on or before the 21</w:t>
      </w:r>
      <w:r>
        <w:rPr>
          <w:rFonts w:ascii="Times New Roman" w:cs="Times New Roman" w:eastAsia="Times New Roman" w:hAnsi="Times New Roman"/>
          <w:sz w:val="13"/>
          <w:szCs w:val="13"/>
          <w:color w:val="auto"/>
        </w:rPr>
        <w:t>st</w:t>
      </w:r>
      <w:r>
        <w:rPr>
          <w:rFonts w:ascii="Times New Roman" w:cs="Times New Roman" w:eastAsia="Times New Roman" w:hAnsi="Times New Roman"/>
          <w:sz w:val="21"/>
          <w:szCs w:val="21"/>
          <w:color w:val="auto"/>
        </w:rPr>
        <w:t xml:space="preserve"> day following Executive’s Separation from Service (as defined below), and not revoking, a release of claims substantially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Agreement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and Executive’s continued compliance with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Executive shall receive, in addition to payments and benefits set forth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the following:</w:t>
      </w:r>
    </w:p>
    <w:p>
      <w:pPr>
        <w:spacing w:after="0" w:line="183" w:lineRule="exact"/>
        <w:rPr>
          <w:sz w:val="20"/>
          <w:szCs w:val="20"/>
          <w:color w:val="auto"/>
        </w:rPr>
      </w:pPr>
    </w:p>
    <w:p>
      <w:pPr>
        <w:jc w:val="both"/>
        <w:ind w:left="760" w:firstLine="745"/>
        <w:spacing w:after="0" w:line="251" w:lineRule="auto"/>
        <w:tabs>
          <w:tab w:leader="none" w:pos="204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 amount in cash equal to 1.0 times the Annual Base Salary, payable in the form of salary continuation in regular installments over the 12 month period following the date of Executive’s Separation from Service (the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in accordance with the Company’s customary payroll practices; provided, however, that the Company may elect in its sole discretion to pay such amount in a lump sum following receipt of the executed Release</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36" w:name="page137"/>
    <w:bookmarkEnd w:id="136"/>
    <w:p>
      <w:pPr>
        <w:ind w:left="360"/>
        <w:spacing w:after="0"/>
        <w:rPr>
          <w:sz w:val="20"/>
          <w:szCs w:val="20"/>
          <w:color w:val="auto"/>
        </w:rPr>
      </w:pPr>
      <w:r>
        <w:rPr>
          <w:rFonts w:ascii="Times New Roman" w:cs="Times New Roman" w:eastAsia="Times New Roman" w:hAnsi="Times New Roman"/>
          <w:sz w:val="21"/>
          <w:szCs w:val="21"/>
          <w:color w:val="auto"/>
        </w:rPr>
        <w:t>from Executive; provided, further, that any such lump sum payment shall not shorten the Severance Period;</w:t>
      </w:r>
    </w:p>
    <w:p>
      <w:pPr>
        <w:spacing w:after="0" w:line="218" w:lineRule="exact"/>
        <w:rPr>
          <w:sz w:val="20"/>
          <w:szCs w:val="20"/>
          <w:color w:val="auto"/>
        </w:rPr>
      </w:pPr>
    </w:p>
    <w:p>
      <w:pPr>
        <w:jc w:val="both"/>
        <w:ind w:left="360" w:firstLine="745"/>
        <w:spacing w:after="0" w:line="248" w:lineRule="auto"/>
        <w:tabs>
          <w:tab w:leader="none" w:pos="164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the extent unpaid as of the Date of Termination, an amount in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83" w:lineRule="exact"/>
        <w:rPr>
          <w:rFonts w:ascii="Times New Roman" w:cs="Times New Roman" w:eastAsia="Times New Roman" w:hAnsi="Times New Roman"/>
          <w:sz w:val="20"/>
          <w:szCs w:val="20"/>
          <w:color w:val="auto"/>
        </w:rPr>
      </w:pPr>
    </w:p>
    <w:p>
      <w:pPr>
        <w:jc w:val="both"/>
        <w:ind w:left="360" w:firstLine="745"/>
        <w:spacing w:after="0" w:line="257" w:lineRule="auto"/>
        <w:tabs>
          <w:tab w:leader="none" w:pos="1648"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w:t>
      </w:r>
    </w:p>
    <w:p>
      <w:pPr>
        <w:spacing w:after="0" w:line="4" w:lineRule="exact"/>
        <w:rPr>
          <w:rFonts w:ascii="Times New Roman" w:cs="Times New Roman" w:eastAsia="Times New Roman" w:hAnsi="Times New Roman"/>
          <w:sz w:val="19"/>
          <w:szCs w:val="19"/>
          <w:color w:val="auto"/>
        </w:rPr>
      </w:pPr>
    </w:p>
    <w:p>
      <w:pPr>
        <w:jc w:val="both"/>
        <w:ind w:left="360" w:hanging="3"/>
        <w:spacing w:after="0" w:line="241" w:lineRule="auto"/>
        <w:tabs>
          <w:tab w:leader="none" w:pos="70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Executive and/or Executive’s covered dependents become no longer eligible for COBRA and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1"/>
          <w:szCs w:val="21"/>
          <w:u w:val="single" w:color="auto"/>
          <w:color w:val="auto"/>
        </w:rPr>
        <w:t>COBRA Continuation Period</w:t>
      </w:r>
      <w:r>
        <w:rPr>
          <w:rFonts w:ascii="Times New Roman" w:cs="Times New Roman" w:eastAsia="Times New Roman" w:hAnsi="Times New Roman"/>
          <w:sz w:val="21"/>
          <w:szCs w:val="21"/>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for the remainder of the COBRA Continuation Period.</w:t>
      </w:r>
    </w:p>
    <w:p>
      <w:pPr>
        <w:spacing w:after="0" w:line="198" w:lineRule="exact"/>
        <w:rPr>
          <w:sz w:val="20"/>
          <w:szCs w:val="20"/>
          <w:color w:val="auto"/>
        </w:rPr>
      </w:pPr>
    </w:p>
    <w:p>
      <w:pPr>
        <w:jc w:val="both"/>
        <w:ind w:left="-400" w:firstLine="757"/>
        <w:spacing w:after="0" w:line="248" w:lineRule="auto"/>
        <w:tabs>
          <w:tab w:leader="none" w:pos="6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In lieu of the payments and benefits set forth in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in the event Executive’s employment terminates without Cause pursuant to </w:t>
      </w:r>
      <w:r>
        <w:rPr>
          <w:rFonts w:ascii="Times New Roman" w:cs="Times New Roman" w:eastAsia="Times New Roman" w:hAnsi="Times New Roman"/>
          <w:sz w:val="21"/>
          <w:szCs w:val="21"/>
          <w:u w:val="single" w:color="auto"/>
          <w:color w:val="auto"/>
        </w:rPr>
        <w:t>Section 3(a)(iv)</w:t>
      </w:r>
      <w:r>
        <w:rPr>
          <w:rFonts w:ascii="Times New Roman" w:cs="Times New Roman" w:eastAsia="Times New Roman" w:hAnsi="Times New Roman"/>
          <w:sz w:val="21"/>
          <w:szCs w:val="21"/>
          <w:color w:val="auto"/>
        </w:rPr>
        <w:t xml:space="preserve">, or pursuant to </w:t>
      </w:r>
      <w:r>
        <w:rPr>
          <w:rFonts w:ascii="Times New Roman" w:cs="Times New Roman" w:eastAsia="Times New Roman" w:hAnsi="Times New Roman"/>
          <w:sz w:val="21"/>
          <w:szCs w:val="21"/>
          <w:u w:val="single" w:color="auto"/>
          <w:color w:val="auto"/>
        </w:rPr>
        <w:t>Section 3(a)(v)</w:t>
      </w:r>
      <w:r>
        <w:rPr>
          <w:rFonts w:ascii="Times New Roman" w:cs="Times New Roman" w:eastAsia="Times New Roman" w:hAnsi="Times New Roman"/>
          <w:sz w:val="21"/>
          <w:szCs w:val="21"/>
          <w:color w:val="auto"/>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Executive shall receive, in addition to the payments and benefits set forth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the following:</w:t>
      </w:r>
    </w:p>
    <w:p>
      <w:pPr>
        <w:spacing w:after="0" w:line="183" w:lineRule="exact"/>
        <w:rPr>
          <w:rFonts w:ascii="Times New Roman" w:cs="Times New Roman" w:eastAsia="Times New Roman" w:hAnsi="Times New Roman"/>
          <w:sz w:val="20"/>
          <w:szCs w:val="20"/>
          <w:color w:val="auto"/>
        </w:rPr>
      </w:pPr>
    </w:p>
    <w:p>
      <w:pPr>
        <w:jc w:val="both"/>
        <w:ind w:left="360" w:firstLine="745"/>
        <w:spacing w:after="0" w:line="255" w:lineRule="auto"/>
        <w:tabs>
          <w:tab w:leader="none" w:pos="164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 amount in cash equal to 1.5 times the Annual Base Salary, payable in equal installments over the 18 month period following the date of Executive’s Separation from Service (the “</w:t>
      </w:r>
      <w:r>
        <w:rPr>
          <w:rFonts w:ascii="Times New Roman" w:cs="Times New Roman" w:eastAsia="Times New Roman" w:hAnsi="Times New Roman"/>
          <w:sz w:val="21"/>
          <w:szCs w:val="21"/>
          <w:u w:val="single" w:color="auto"/>
          <w:color w:val="auto"/>
        </w:rPr>
        <w:t>CIC Severance Period</w:t>
      </w:r>
      <w:r>
        <w:rPr>
          <w:rFonts w:ascii="Times New Roman" w:cs="Times New Roman" w:eastAsia="Times New Roman" w:hAnsi="Times New Roman"/>
          <w:sz w:val="21"/>
          <w:szCs w:val="21"/>
          <w:color w:val="auto"/>
        </w:rPr>
        <w:t>”) in accordance with the Company’s customary payroll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1081405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6" w:right="339" w:bottom="1440" w:gutter="0" w:footer="0" w:header="0"/>
        </w:sectPr>
      </w:pPr>
    </w:p>
    <w:bookmarkStart w:id="137" w:name="page138"/>
    <w:bookmarkEnd w:id="137"/>
    <w:p>
      <w:pPr>
        <w:ind w:left="2040" w:hanging="535"/>
        <w:spacing w:after="0"/>
        <w:tabs>
          <w:tab w:leader="none" w:pos="204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the payment set forth in </w:t>
      </w:r>
      <w:r>
        <w:rPr>
          <w:rFonts w:ascii="Times New Roman" w:cs="Times New Roman" w:eastAsia="Times New Roman" w:hAnsi="Times New Roman"/>
          <w:sz w:val="21"/>
          <w:szCs w:val="21"/>
          <w:u w:val="single" w:color="auto"/>
          <w:color w:val="auto"/>
        </w:rPr>
        <w:t>Section 4(b)(ii)</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0"/>
          <w:szCs w:val="20"/>
          <w:color w:val="auto"/>
        </w:rPr>
      </w:pPr>
    </w:p>
    <w:p>
      <w:pPr>
        <w:ind w:left="760" w:right="20" w:firstLine="745"/>
        <w:spacing w:after="0" w:line="270" w:lineRule="auto"/>
        <w:tabs>
          <w:tab w:leader="none" w:pos="2048"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the benefits set forth in </w:t>
      </w:r>
      <w:r>
        <w:rPr>
          <w:rFonts w:ascii="Times New Roman" w:cs="Times New Roman" w:eastAsia="Times New Roman" w:hAnsi="Times New Roman"/>
          <w:sz w:val="21"/>
          <w:szCs w:val="21"/>
          <w:u w:val="single" w:color="auto"/>
          <w:color w:val="auto"/>
        </w:rPr>
        <w:t>Section 4(b)(iii)</w:t>
      </w:r>
      <w:r>
        <w:rPr>
          <w:rFonts w:ascii="Times New Roman" w:cs="Times New Roman" w:eastAsia="Times New Roman" w:hAnsi="Times New Roman"/>
          <w:sz w:val="21"/>
          <w:szCs w:val="21"/>
          <w:color w:val="auto"/>
        </w:rPr>
        <w:t>, provided that for this purpose, the “Severance Period” will mean the CIC Severance Period;</w:t>
      </w:r>
    </w:p>
    <w:p>
      <w:pPr>
        <w:spacing w:after="0" w:line="158" w:lineRule="exact"/>
        <w:rPr>
          <w:rFonts w:ascii="Times New Roman" w:cs="Times New Roman" w:eastAsia="Times New Roman" w:hAnsi="Times New Roman"/>
          <w:sz w:val="20"/>
          <w:szCs w:val="20"/>
          <w:color w:val="auto"/>
        </w:rPr>
      </w:pPr>
    </w:p>
    <w:p>
      <w:pPr>
        <w:ind w:left="760" w:firstLine="745"/>
        <w:spacing w:after="0" w:line="270" w:lineRule="auto"/>
        <w:tabs>
          <w:tab w:leader="none" w:pos="2048"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 amount in cash equal to 1.5 times the Target Annual Bonus, payable in a lump sum on the Company’s first customary payroll date that occurs after the Date of Termination; and</w:t>
      </w:r>
    </w:p>
    <w:p>
      <w:pPr>
        <w:spacing w:after="0" w:line="158"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2048"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spacing w:after="0" w:line="175" w:lineRule="exact"/>
        <w:rPr>
          <w:rFonts w:ascii="Times New Roman" w:cs="Times New Roman" w:eastAsia="Times New Roman" w:hAnsi="Times New Roman"/>
          <w:sz w:val="20"/>
          <w:szCs w:val="20"/>
          <w:color w:val="auto"/>
        </w:rPr>
      </w:pPr>
    </w:p>
    <w:p>
      <w:pPr>
        <w:ind w:firstLine="757"/>
        <w:spacing w:after="0" w:line="270" w:lineRule="auto"/>
        <w:tabs>
          <w:tab w:leader="none" w:pos="101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Notwithstanding anything to the contrary in this Agreement, the provisions of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5 through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will survive the termination of Executive’s employment and the termination of the Term.</w:t>
      </w:r>
    </w:p>
    <w:p>
      <w:pPr>
        <w:spacing w:after="0" w:line="156" w:lineRule="exact"/>
        <w:rPr>
          <w:rFonts w:ascii="Times New Roman" w:cs="Times New Roman" w:eastAsia="Times New Roman" w:hAnsi="Times New Roman"/>
          <w:sz w:val="20"/>
          <w:szCs w:val="20"/>
          <w:color w:val="auto"/>
        </w:rPr>
      </w:pPr>
    </w:p>
    <w:p>
      <w:pPr>
        <w:jc w:val="both"/>
        <w:ind w:firstLine="8"/>
        <w:spacing w:after="0" w:line="245" w:lineRule="auto"/>
        <w:tabs>
          <w:tab w:leader="none" w:pos="509"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acknowledges that Executive is subject to the terms and provisions of an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Proprietary Information and Inventions Assignment Agreement, effective as of November 4, 2024 (the “</w:t>
      </w:r>
      <w:r>
        <w:rPr>
          <w:rFonts w:ascii="Times New Roman" w:cs="Times New Roman" w:eastAsia="Times New Roman" w:hAnsi="Times New Roman"/>
          <w:sz w:val="21"/>
          <w:szCs w:val="21"/>
          <w:u w:val="single" w:color="auto"/>
          <w:color w:val="auto"/>
        </w:rPr>
        <w:t>Restrictive Covenant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Executive agrees to abide by the terms of the Restrictive Covenant Agreement, which is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83"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Assignment and Successors</w:t>
      </w:r>
      <w:r>
        <w:rPr>
          <w:rFonts w:ascii="Times New Roman" w:cs="Times New Roman" w:eastAsia="Times New Roman" w:hAnsi="Times New Roman"/>
          <w:sz w:val="21"/>
          <w:szCs w:val="21"/>
          <w:b w:val="1"/>
          <w:bCs w:val="1"/>
          <w:color w:val="auto"/>
        </w:rPr>
        <w:t>.</w:t>
      </w:r>
    </w:p>
    <w:p>
      <w:pPr>
        <w:spacing w:after="0" w:line="20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The Company may assign its rights and obligations under this Agreement to any of its subsidiaries or affiliates, or to any successor to all or substantially all of the business or the assets of the Company (by merger or otherwise), and may assign or encumber this Agreement and its rights hereunder as security for indebtedness of the Company and its subsidiaries or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82"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Certain Definitions</w:t>
      </w:r>
      <w:r>
        <w:rPr>
          <w:rFonts w:ascii="Times New Roman" w:cs="Times New Roman" w:eastAsia="Times New Roman" w:hAnsi="Times New Roman"/>
          <w:sz w:val="21"/>
          <w:szCs w:val="21"/>
          <w:b w:val="1"/>
          <w:bCs w:val="1"/>
          <w:color w:val="auto"/>
        </w:rPr>
        <w:t>.</w:t>
      </w:r>
    </w:p>
    <w:p>
      <w:pPr>
        <w:spacing w:after="0" w:line="208"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The Company shall have “Cause” to terminate Executive’s employment hereunder upon:</w:t>
      </w:r>
    </w:p>
    <w:p>
      <w:pPr>
        <w:spacing w:after="0" w:line="218" w:lineRule="exact"/>
        <w:rPr>
          <w:sz w:val="20"/>
          <w:szCs w:val="20"/>
          <w:color w:val="auto"/>
        </w:rPr>
      </w:pPr>
    </w:p>
    <w:p>
      <w:pPr>
        <w:ind w:left="2040" w:hanging="535"/>
        <w:spacing w:after="0"/>
        <w:tabs>
          <w:tab w:leader="none" w:pos="2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Board’s reasonable, good faith determination that Executive has refused</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38" w:name="page139"/>
    <w:bookmarkEnd w:id="138"/>
    <w:p>
      <w:pPr>
        <w:ind w:left="760"/>
        <w:spacing w:after="0" w:line="295" w:lineRule="auto"/>
        <w:rPr>
          <w:sz w:val="20"/>
          <w:szCs w:val="20"/>
          <w:color w:val="auto"/>
        </w:rPr>
      </w:pPr>
      <w:r>
        <w:rPr>
          <w:rFonts w:ascii="Times New Roman" w:cs="Times New Roman" w:eastAsia="Times New Roman" w:hAnsi="Times New Roman"/>
          <w:sz w:val="20"/>
          <w:szCs w:val="20"/>
          <w:color w:val="auto"/>
        </w:rPr>
        <w:t>to (A) substantially perform the duties associated with Executive’s position with the Company, or (B) carry out the reasonable and lawful instructions of the Board concerning duties or actions consistent with the Executive’s position with the Company;</w:t>
      </w:r>
    </w:p>
    <w:p>
      <w:pPr>
        <w:spacing w:after="0" w:line="137" w:lineRule="exact"/>
        <w:rPr>
          <w:sz w:val="20"/>
          <w:szCs w:val="20"/>
          <w:color w:val="auto"/>
        </w:rPr>
      </w:pPr>
    </w:p>
    <w:p>
      <w:pPr>
        <w:ind w:left="760" w:firstLine="745"/>
        <w:spacing w:after="0" w:line="270" w:lineRule="auto"/>
        <w:tabs>
          <w:tab w:leader="none" w:pos="20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Executive’s material breach of a Policy, this Agreement or any other material agreement between the Executive and the Company (including, without limitation, the Restrictive Covenant Agreement);</w:t>
      </w:r>
    </w:p>
    <w:p>
      <w:pPr>
        <w:spacing w:after="0" w:line="156" w:lineRule="exact"/>
        <w:rPr>
          <w:rFonts w:ascii="Times New Roman" w:cs="Times New Roman" w:eastAsia="Times New Roman" w:hAnsi="Times New Roman"/>
          <w:sz w:val="20"/>
          <w:szCs w:val="20"/>
          <w:color w:val="auto"/>
        </w:rPr>
      </w:pPr>
    </w:p>
    <w:p>
      <w:pPr>
        <w:ind w:left="760" w:firstLine="745"/>
        <w:spacing w:after="0" w:line="272" w:lineRule="auto"/>
        <w:tabs>
          <w:tab w:leader="none" w:pos="20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Executive’s conviction, plea of no contest,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or imposition of unadjudicated probation for any felony or crime involving moral turpitude;</w:t>
      </w:r>
    </w:p>
    <w:p>
      <w:pPr>
        <w:spacing w:after="0" w:line="156"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20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Executive’s unlawful use (including being under the influence) or possession of illegal drugs on the Company’s (or any of its subsidiary’s or affiliate’s) premises or while performing Executive’s duties and responsibilities under this Agreement; or</w:t>
      </w:r>
    </w:p>
    <w:p>
      <w:pPr>
        <w:spacing w:after="0" w:line="175" w:lineRule="exact"/>
        <w:rPr>
          <w:rFonts w:ascii="Times New Roman" w:cs="Times New Roman" w:eastAsia="Times New Roman" w:hAnsi="Times New Roman"/>
          <w:sz w:val="20"/>
          <w:szCs w:val="20"/>
          <w:color w:val="auto"/>
        </w:rPr>
      </w:pPr>
    </w:p>
    <w:p>
      <w:pPr>
        <w:ind w:left="760" w:firstLine="745"/>
        <w:spacing w:after="0" w:line="270" w:lineRule="auto"/>
        <w:tabs>
          <w:tab w:leader="none" w:pos="20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Executive’s commission of any act of fraud or material dishonesty, embezzlement, misappropriation, willful misconduct, or breach of fiduciary duty against the Company or any of its subsidiaries or affiliates;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Executive’s termination will not be considered for Cause unless and until (a) the Company has provided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or (ii) of the foregoing definition (except with respect to a breach of the Restrictive Covenant Agreement), and to the extent the applicable condition or event is reasonably capable of being cured, Executive shall have failed to cure such condition or event within 30 days after the receipt of such notice, provided that Executive need not have been provided an opportunity to cure more than once in any twelve month period.</w:t>
      </w:r>
    </w:p>
    <w:p>
      <w:pPr>
        <w:spacing w:after="0" w:line="186" w:lineRule="exact"/>
        <w:rPr>
          <w:sz w:val="20"/>
          <w:szCs w:val="20"/>
          <w:color w:val="auto"/>
        </w:rPr>
      </w:pPr>
    </w:p>
    <w:p>
      <w:pPr>
        <w:ind w:left="1020" w:hanging="263"/>
        <w:spacing w:after="0"/>
        <w:tabs>
          <w:tab w:leader="none" w:pos="102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“Change in Control” shall have the meaning set forth in the Sight Sciences, Inc. 2021 Incentive Award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Plan.</w:t>
      </w:r>
    </w:p>
    <w:p>
      <w:pPr>
        <w:spacing w:after="0" w:line="194" w:lineRule="exact"/>
        <w:rPr>
          <w:sz w:val="20"/>
          <w:szCs w:val="20"/>
          <w:color w:val="auto"/>
        </w:rPr>
      </w:pPr>
    </w:p>
    <w:p>
      <w:pPr>
        <w:ind w:left="1020" w:hanging="263"/>
        <w:spacing w:after="0"/>
        <w:tabs>
          <w:tab w:leader="none" w:pos="10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“Code” shall mean the Internal Revenue Code of 1986, as amended, and the regulations and guidance promulgated</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thereunder.</w:t>
      </w:r>
    </w:p>
    <w:p>
      <w:pPr>
        <w:spacing w:after="0" w:line="193"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1"/>
          <w:szCs w:val="21"/>
          <w:u w:val="single" w:color="auto"/>
          <w:color w:val="auto"/>
        </w:rPr>
        <w:t>Section 3(a)(ii)</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either the date indicated in the Notice of Termination or the date specified by the Company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whichever is earlier.</w:t>
      </w:r>
    </w:p>
    <w:p>
      <w:pPr>
        <w:spacing w:after="0" w:line="175"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“Disability” shall mean, at any time the Company or any of its subsidiaries or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39" w:name="page140"/>
    <w:bookmarkEnd w:id="139"/>
    <w:p>
      <w:pPr>
        <w:jc w:val="both"/>
        <w:spacing w:after="0" w:line="246" w:lineRule="auto"/>
        <w:rPr>
          <w:sz w:val="20"/>
          <w:szCs w:val="20"/>
          <w:color w:val="auto"/>
        </w:rPr>
      </w:pPr>
      <w:r>
        <w:rPr>
          <w:rFonts w:ascii="Times New Roman" w:cs="Times New Roman" w:eastAsia="Times New Roman" w:hAnsi="Times New Roman"/>
          <w:sz w:val="21"/>
          <w:szCs w:val="21"/>
          <w:color w:val="auto"/>
        </w:rPr>
        <w:t>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84" w:lineRule="exact"/>
        <w:rPr>
          <w:sz w:val="20"/>
          <w:szCs w:val="20"/>
          <w:color w:val="auto"/>
        </w:rPr>
      </w:pPr>
    </w:p>
    <w:p>
      <w:pPr>
        <w:jc w:val="both"/>
        <w:ind w:firstLine="757"/>
        <w:spacing w:after="0" w:line="257" w:lineRule="auto"/>
        <w:tabs>
          <w:tab w:leader="none" w:pos="1018"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“Good Reason” means the occurrence of any of the following events, unless Executive consents in writing to the applicable event: (i) a reduction in Executive’s Annual Base Salary or Target Annual Bonus (excluding any reduction in Annual Base Salary that is proportionate to a reduction of base salaries affecting substantially all other executive officers of the Company), (ii) a material decrease in Executive’s authority or areas of responsibility as are commensurate with Executive’s title or position with the Company (other than in connection with a Change in Control transaction where the Executive continues to have substantially the same authority and duties with respect to the Company’s business, substantially as such business exists prior to the date of consummation of such corporate transaction, but does not hold such position with respect to the successor or surviving entity (or its ultimate parent)),</w:t>
      </w:r>
    </w:p>
    <w:p>
      <w:pPr>
        <w:spacing w:after="0" w:line="1" w:lineRule="exact"/>
        <w:rPr>
          <w:rFonts w:ascii="Times New Roman" w:cs="Times New Roman" w:eastAsia="Times New Roman" w:hAnsi="Times New Roman"/>
          <w:sz w:val="19"/>
          <w:szCs w:val="19"/>
          <w:color w:val="auto"/>
        </w:rPr>
      </w:pPr>
    </w:p>
    <w:p>
      <w:pPr>
        <w:jc w:val="both"/>
        <w:ind w:firstLine="8"/>
        <w:spacing w:after="0" w:line="242" w:lineRule="auto"/>
        <w:tabs>
          <w:tab w:leader="none" w:pos="36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relocation of Executive’s primary office to a location more than thirty-five (35) miles from the Executive’s primary office as of the date of this Agreement, (iv) the failure of any successor of all or substantially all of the Company’s assets to assume this Agreement, to the extent such assumption does not occur automatically by operation of law, or (v) the Company’s breach of a material provision of this Agreement or any other material agreement between the Company and the Executive. Notwithstanding the foregoing, Executive’s resignation of employment will not be for Good Reason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to the extent reasonably capable of cure, the Company has had an opportunity to cure the same for thirty (30) days after the receipt of such notice; (c) the Company shall have failed to so cure within such period; and (d) Executive resigns within 60 days following the end of such cure period.</w:t>
      </w:r>
    </w:p>
    <w:p>
      <w:pPr>
        <w:spacing w:after="0" w:line="185"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Parachute Payments</w:t>
      </w:r>
      <w:r>
        <w:rPr>
          <w:rFonts w:ascii="Times New Roman" w:cs="Times New Roman" w:eastAsia="Times New Roman" w:hAnsi="Times New Roman"/>
          <w:sz w:val="21"/>
          <w:szCs w:val="21"/>
          <w:b w:val="1"/>
          <w:bCs w:val="1"/>
          <w:color w:val="auto"/>
        </w:rPr>
        <w:t>.</w:t>
      </w:r>
    </w:p>
    <w:p>
      <w:pPr>
        <w:spacing w:after="0" w:line="208" w:lineRule="exact"/>
        <w:rPr>
          <w:rFonts w:ascii="Times New Roman" w:cs="Times New Roman" w:eastAsia="Times New Roman" w:hAnsi="Times New Roman"/>
          <w:sz w:val="22"/>
          <w:szCs w:val="22"/>
          <w:b w:val="1"/>
          <w:bCs w:val="1"/>
          <w:color w:val="auto"/>
        </w:rPr>
      </w:pPr>
    </w:p>
    <w:p>
      <w:pPr>
        <w:jc w:val="both"/>
        <w:ind w:firstLine="757"/>
        <w:spacing w:after="0" w:line="245" w:lineRule="auto"/>
        <w:tabs>
          <w:tab w:leader="none" w:pos="101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Notwithstanding any other provisions of this Agreement or any Company equity plan or agreement, in the event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in part)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xml:space="preserve">”), then the Total Payments shall be reduced (in the order provided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8(b)</w:t>
      </w:r>
      <w:r>
        <w:rPr>
          <w:rFonts w:ascii="Times New Roman" w:cs="Times New Roman" w:eastAsia="Times New Roman" w:hAnsi="Times New Roman"/>
          <w:sz w:val="21"/>
          <w:szCs w:val="21"/>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40" w:name="page141"/>
    <w:bookmarkEnd w:id="140"/>
    <w:p>
      <w:pPr>
        <w:jc w:val="both"/>
        <w:spacing w:after="0" w:line="251" w:lineRule="auto"/>
        <w:rPr>
          <w:sz w:val="20"/>
          <w:szCs w:val="20"/>
          <w:color w:val="auto"/>
        </w:rPr>
      </w:pPr>
      <w:r>
        <w:rPr>
          <w:rFonts w:ascii="Times New Roman" w:cs="Times New Roman" w:eastAsia="Times New Roman" w:hAnsi="Times New Roman"/>
          <w:sz w:val="21"/>
          <w:szCs w:val="21"/>
          <w:color w:val="auto"/>
        </w:rPr>
        <w:t>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78" w:lineRule="exact"/>
        <w:rPr>
          <w:sz w:val="20"/>
          <w:szCs w:val="20"/>
          <w:color w:val="auto"/>
        </w:rPr>
      </w:pPr>
    </w:p>
    <w:p>
      <w:pPr>
        <w:jc w:val="both"/>
        <w:ind w:firstLine="757"/>
        <w:spacing w:after="0" w:line="246" w:lineRule="auto"/>
        <w:tabs>
          <w:tab w:leader="none" w:pos="101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Total Payments shall be reduced in the following order: (i) reduction on a pro rata basis of any cash severance payments that are exempt from Section 409A of the Code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4" w:lineRule="exact"/>
        <w:rPr>
          <w:rFonts w:ascii="Times New Roman" w:cs="Times New Roman" w:eastAsia="Times New Roman" w:hAnsi="Times New Roman"/>
          <w:sz w:val="20"/>
          <w:szCs w:val="20"/>
          <w:color w:val="auto"/>
        </w:rPr>
      </w:pPr>
    </w:p>
    <w:p>
      <w:pPr>
        <w:jc w:val="both"/>
        <w:ind w:firstLine="757"/>
        <w:spacing w:after="0" w:line="259" w:lineRule="auto"/>
        <w:tabs>
          <w:tab w:leader="none" w:pos="1018"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All determinations regarding the application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made by an accounting firm or consulting group with experience in performing calculations regarding the applicability of Section 280G of the Code and the Excise Tax selected by the Company (the “</w:t>
      </w:r>
      <w:r>
        <w:rPr>
          <w:rFonts w:ascii="Times New Roman" w:cs="Times New Roman" w:eastAsia="Times New Roman" w:hAnsi="Times New Roman"/>
          <w:sz w:val="20"/>
          <w:szCs w:val="20"/>
          <w:u w:val="single" w:color="auto"/>
          <w:color w:val="auto"/>
        </w:rPr>
        <w:t>Independent Advisors</w:t>
      </w:r>
      <w:r>
        <w:rPr>
          <w:rFonts w:ascii="Times New Roman" w:cs="Times New Roman" w:eastAsia="Times New Roman" w:hAnsi="Times New Roman"/>
          <w:sz w:val="20"/>
          <w:szCs w:val="20"/>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74" w:lineRule="exact"/>
        <w:rPr>
          <w:rFonts w:ascii="Times New Roman" w:cs="Times New Roman" w:eastAsia="Times New Roman" w:hAnsi="Times New Roman"/>
          <w:sz w:val="19"/>
          <w:szCs w:val="19"/>
          <w:color w:val="auto"/>
        </w:rPr>
      </w:pPr>
    </w:p>
    <w:p>
      <w:pPr>
        <w:ind w:firstLine="757"/>
        <w:spacing w:after="0" w:line="270" w:lineRule="auto"/>
        <w:tabs>
          <w:tab w:leader="none" w:pos="101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In the event it is later determined that a greater reduction in the Total Payments should have been made to implement the objective and intent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excess amount shall be returned promptly by Executive to the Company.</w:t>
      </w:r>
    </w:p>
    <w:p>
      <w:pPr>
        <w:spacing w:after="0" w:line="156"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Miscellaneous Provisions</w:t>
      </w:r>
      <w:r>
        <w:rPr>
          <w:rFonts w:ascii="Times New Roman" w:cs="Times New Roman" w:eastAsia="Times New Roman" w:hAnsi="Times New Roman"/>
          <w:sz w:val="21"/>
          <w:szCs w:val="21"/>
          <w:b w:val="1"/>
          <w:bCs w:val="1"/>
          <w:color w:val="auto"/>
        </w:rPr>
        <w:t>.</w:t>
      </w:r>
    </w:p>
    <w:p>
      <w:pPr>
        <w:spacing w:after="0" w:line="208" w:lineRule="exact"/>
        <w:rPr>
          <w:rFonts w:ascii="Times New Roman" w:cs="Times New Roman" w:eastAsia="Times New Roman" w:hAnsi="Times New Roman"/>
          <w:sz w:val="22"/>
          <w:szCs w:val="22"/>
          <w:b w:val="1"/>
          <w:bCs w:val="1"/>
          <w:color w:val="auto"/>
        </w:rPr>
      </w:pPr>
    </w:p>
    <w:p>
      <w:pPr>
        <w:jc w:val="both"/>
        <w:ind w:firstLine="757"/>
        <w:spacing w:after="0" w:line="251" w:lineRule="auto"/>
        <w:tabs>
          <w:tab w:leader="none" w:pos="101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construed, interpreted and enforced in accordance with its express terms, and otherwise in accordance with the substantive laws of the State of Delaware without reference to the principles of conflicts of law of the State of Delaware or any other jurisdiction that would result in the application of the laws of a jurisdiction other than the State of Delaware, and where applicable, the laws of the United States.</w:t>
      </w:r>
    </w:p>
    <w:p>
      <w:pPr>
        <w:spacing w:after="0" w:line="177" w:lineRule="exact"/>
        <w:rPr>
          <w:rFonts w:ascii="Times New Roman" w:cs="Times New Roman" w:eastAsia="Times New Roman" w:hAnsi="Times New Roman"/>
          <w:sz w:val="20"/>
          <w:szCs w:val="20"/>
          <w:color w:val="auto"/>
        </w:rPr>
      </w:pPr>
    </w:p>
    <w:p>
      <w:pPr>
        <w:ind w:firstLine="757"/>
        <w:spacing w:after="0" w:line="270" w:lineRule="auto"/>
        <w:tabs>
          <w:tab w:leader="none" w:pos="101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Validity</w:t>
      </w:r>
      <w:r>
        <w:rPr>
          <w:rFonts w:ascii="Times New Roman" w:cs="Times New Roman" w:eastAsia="Times New Roman" w:hAnsi="Times New Roman"/>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8"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41" w:name="page142"/>
    <w:bookmarkEnd w:id="141"/>
    <w:p>
      <w:pPr>
        <w:ind w:left="1640" w:hanging="535"/>
        <w:spacing w:after="0"/>
        <w:tabs>
          <w:tab w:leader="none" w:pos="16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If to the Company, to the Chief Executive Officer of the Company at the Company’s headquarters,</w:t>
      </w:r>
    </w:p>
    <w:p>
      <w:pPr>
        <w:spacing w:after="0" w:line="217" w:lineRule="exact"/>
        <w:rPr>
          <w:rFonts w:ascii="Times New Roman" w:cs="Times New Roman" w:eastAsia="Times New Roman" w:hAnsi="Times New Roman"/>
          <w:sz w:val="20"/>
          <w:szCs w:val="20"/>
          <w:color w:val="auto"/>
        </w:rPr>
      </w:pPr>
    </w:p>
    <w:p>
      <w:pPr>
        <w:ind w:left="1640" w:hanging="535"/>
        <w:spacing w:after="0"/>
        <w:tabs>
          <w:tab w:leader="none" w:pos="16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If to Executive, to the last address that the Company has in its personnel records for Executive, or</w:t>
      </w:r>
    </w:p>
    <w:p>
      <w:pPr>
        <w:spacing w:after="0" w:line="217" w:lineRule="exact"/>
        <w:rPr>
          <w:rFonts w:ascii="Times New Roman" w:cs="Times New Roman" w:eastAsia="Times New Roman" w:hAnsi="Times New Roman"/>
          <w:sz w:val="20"/>
          <w:szCs w:val="20"/>
          <w:color w:val="auto"/>
        </w:rPr>
      </w:pPr>
    </w:p>
    <w:p>
      <w:pPr>
        <w:ind w:left="1640" w:hanging="535"/>
        <w:spacing w:after="0"/>
        <w:tabs>
          <w:tab w:leader="none" w:pos="16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At any other address as any Party shall have specified by notice in writing to the other Party.</w:t>
      </w:r>
    </w:p>
    <w:p>
      <w:pPr>
        <w:spacing w:after="0" w:line="217" w:lineRule="exact"/>
        <w:rPr>
          <w:rFonts w:ascii="Times New Roman" w:cs="Times New Roman" w:eastAsia="Times New Roman" w:hAnsi="Times New Roman"/>
          <w:sz w:val="20"/>
          <w:szCs w:val="20"/>
          <w:color w:val="auto"/>
        </w:rPr>
      </w:pPr>
    </w:p>
    <w:p>
      <w:pPr>
        <w:jc w:val="both"/>
        <w:ind w:left="-400" w:firstLine="757"/>
        <w:spacing w:after="0" w:line="255" w:lineRule="auto"/>
        <w:tabs>
          <w:tab w:leader="none" w:pos="6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several counterparts, each of which shall be deemed to be an original, but all of which together will constitute one and the same Agreement. Signatures delivered by facsimile, PDF, DocuSign (or similar electronic signature) shall be deemed effective for all purposes.</w:t>
      </w:r>
    </w:p>
    <w:p>
      <w:pPr>
        <w:spacing w:after="0" w:line="175" w:lineRule="exact"/>
        <w:rPr>
          <w:rFonts w:ascii="Times New Roman" w:cs="Times New Roman" w:eastAsia="Times New Roman" w:hAnsi="Times New Roman"/>
          <w:sz w:val="20"/>
          <w:szCs w:val="20"/>
          <w:color w:val="auto"/>
        </w:rPr>
      </w:pPr>
    </w:p>
    <w:p>
      <w:pPr>
        <w:jc w:val="both"/>
        <w:ind w:left="-400" w:firstLine="757"/>
        <w:spacing w:after="0" w:line="247" w:lineRule="auto"/>
        <w:tabs>
          <w:tab w:leader="none" w:pos="6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The terms of this Agreement, and the Restrictive Covenant Agreement incorporated herein by reference as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2" w:lineRule="exact"/>
        <w:rPr>
          <w:rFonts w:ascii="Times New Roman" w:cs="Times New Roman" w:eastAsia="Times New Roman" w:hAnsi="Times New Roman"/>
          <w:sz w:val="20"/>
          <w:szCs w:val="20"/>
          <w:color w:val="auto"/>
        </w:rPr>
      </w:pPr>
    </w:p>
    <w:p>
      <w:pPr>
        <w:jc w:val="both"/>
        <w:ind w:left="-400" w:firstLine="757"/>
        <w:spacing w:after="0" w:line="246" w:lineRule="auto"/>
        <w:tabs>
          <w:tab w:leader="none" w:pos="6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Times New Roman" w:cs="Times New Roman" w:eastAsia="Times New Roman" w:hAnsi="Times New Roman"/>
          <w:sz w:val="20"/>
          <w:szCs w:val="20"/>
          <w:color w:val="auto"/>
        </w:rPr>
      </w:pPr>
    </w:p>
    <w:p>
      <w:pPr>
        <w:jc w:val="both"/>
        <w:ind w:left="-400" w:firstLine="757"/>
        <w:spacing w:after="0" w:line="244" w:lineRule="auto"/>
        <w:tabs>
          <w:tab w:leader="none" w:pos="61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1081405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6" w:right="339" w:bottom="1440" w:gutter="0" w:footer="0" w:header="0"/>
        </w:sectPr>
      </w:pPr>
    </w:p>
    <w:bookmarkStart w:id="142" w:name="page143"/>
    <w:bookmarkEnd w:id="142"/>
    <w:p>
      <w:pPr>
        <w:jc w:val="both"/>
        <w:ind w:left="-400" w:firstLine="757"/>
        <w:spacing w:after="0" w:line="243" w:lineRule="auto"/>
        <w:tabs>
          <w:tab w:leader="none" w:pos="6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Any controversy, claim or dispute arising out of or relating to this Agreement, shall be settled solely and exclusively by a binding arbitration process administered by JAMS/Endispute in San Jose, California. Such arbitration shall be conducted in accordance with the then-existing JAMS/Endispute Rules of Practice and Procedure, with the following exceptions if in conflict: (i) one arbitrator who is a retired judge shall be chosen by JAMS/Endispute; (ii) all fees and costs unique to arbitration, including all fees charged by the arbitrator, shall be paid by the Company; and (iii) arbitration may proceed in the absence of any Party if written notice (pursuant to the JAMS/Endispute rules and regulations) of the proceedings has been given to such Party. Each Party shall bear its own attorney’s fees and expenses; provided that the arbitrator may award the prevailing Party its attorney’s fees and costs to the extent permitted by applicable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188" w:lineRule="exact"/>
        <w:rPr>
          <w:rFonts w:ascii="Times New Roman" w:cs="Times New Roman" w:eastAsia="Times New Roman" w:hAnsi="Times New Roman"/>
          <w:sz w:val="20"/>
          <w:szCs w:val="20"/>
          <w:color w:val="auto"/>
        </w:rPr>
      </w:pPr>
    </w:p>
    <w:p>
      <w:pPr>
        <w:jc w:val="both"/>
        <w:ind w:left="-400" w:firstLine="757"/>
        <w:spacing w:after="0" w:line="246" w:lineRule="auto"/>
        <w:tabs>
          <w:tab w:leader="none" w:pos="6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Times New Roman" w:cs="Times New Roman" w:eastAsia="Times New Roman" w:hAnsi="Times New Roman"/>
          <w:sz w:val="20"/>
          <w:szCs w:val="20"/>
          <w:color w:val="auto"/>
        </w:rPr>
      </w:pPr>
    </w:p>
    <w:p>
      <w:pPr>
        <w:jc w:val="both"/>
        <w:ind w:left="-400" w:firstLine="757"/>
        <w:spacing w:after="0" w:line="255" w:lineRule="auto"/>
        <w:tabs>
          <w:tab w:leader="none" w:pos="6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5" w:lineRule="exact"/>
        <w:rPr>
          <w:rFonts w:ascii="Times New Roman" w:cs="Times New Roman" w:eastAsia="Times New Roman" w:hAnsi="Times New Roman"/>
          <w:sz w:val="20"/>
          <w:szCs w:val="20"/>
          <w:color w:val="auto"/>
        </w:rPr>
      </w:pPr>
    </w:p>
    <w:p>
      <w:pPr>
        <w:ind w:left="620" w:hanging="263"/>
        <w:spacing w:after="0"/>
        <w:tabs>
          <w:tab w:leader="none" w:pos="6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left="360" w:firstLine="745"/>
        <w:spacing w:after="0" w:line="256" w:lineRule="auto"/>
        <w:tabs>
          <w:tab w:leader="none" w:pos="164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The intent of the Parties is that the payments and benefits under this Agreement comply with or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exempt from Section 409A and, accordingly, to the maximum extent permitted, this Agreement shall be interpreted to be in compliance therewith.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1081405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6" w:right="339" w:bottom="1440" w:gutter="0" w:footer="0" w:header="0"/>
        </w:sectPr>
      </w:pPr>
    </w:p>
    <w:bookmarkStart w:id="143" w:name="page144"/>
    <w:bookmarkEnd w:id="143"/>
    <w:p>
      <w:pPr>
        <w:jc w:val="both"/>
        <w:ind w:left="760" w:firstLine="745"/>
        <w:spacing w:after="0" w:line="245" w:lineRule="auto"/>
        <w:tabs>
          <w:tab w:leader="none" w:pos="204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 xml:space="preserve">Separation from Service. </w:t>
      </w:r>
      <w:r>
        <w:rPr>
          <w:rFonts w:ascii="Times New Roman" w:cs="Times New Roman" w:eastAsia="Times New Roman" w:hAnsi="Times New Roman"/>
          <w:sz w:val="21"/>
          <w:szCs w:val="21"/>
          <w:color w:val="auto"/>
        </w:rPr>
        <w:t>Notwithstanding anything in this Agreement to the contrary, any compensation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xml:space="preserve">”) and, except as provided below, any such compensation or benefits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shall not be paid, or, in the case of installments, shall not commence payment, until the thirtieth (30th) day following Executive’s Separation from Service (the “</w:t>
      </w:r>
      <w:r>
        <w:rPr>
          <w:rFonts w:ascii="Times New Roman" w:cs="Times New Roman" w:eastAsia="Times New Roman" w:hAnsi="Times New Roman"/>
          <w:sz w:val="21"/>
          <w:szCs w:val="21"/>
          <w:u w:val="single" w:color="auto"/>
          <w:color w:val="auto"/>
        </w:rPr>
        <w:t>First Payment Date</w:t>
      </w:r>
      <w:r>
        <w:rPr>
          <w:rFonts w:ascii="Times New Roman" w:cs="Times New Roman" w:eastAsia="Times New Roman" w:hAnsi="Times New Roman"/>
          <w:sz w:val="21"/>
          <w:szCs w:val="21"/>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 xml:space="preserve">Specified Employee. </w:t>
      </w:r>
      <w:r>
        <w:rPr>
          <w:rFonts w:ascii="Times New Roman" w:cs="Times New Roman" w:eastAsia="Times New Roman" w:hAnsi="Times New Roman"/>
          <w:sz w:val="21"/>
          <w:szCs w:val="21"/>
          <w:color w:val="auto"/>
        </w:rPr>
        <w:t>Notwithstanding anything in this Agreement to the contrary, if Executive is deemed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 xml:space="preserve">Expense Reimbursements. </w:t>
      </w:r>
      <w:r>
        <w:rPr>
          <w:rFonts w:ascii="Times New Roman" w:cs="Times New Roman" w:eastAsia="Times New Roman" w:hAnsi="Times New Roman"/>
          <w:sz w:val="21"/>
          <w:szCs w:val="21"/>
          <w:color w:val="auto"/>
        </w:rPr>
        <w:t>To the extent that any reimbursements under this Agreement are subject to 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i w:val="1"/>
          <w:iCs w:val="1"/>
          <w:color w:val="auto"/>
        </w:rPr>
        <w:t xml:space="preserve">Installments. </w:t>
      </w:r>
      <w:r>
        <w:rPr>
          <w:rFonts w:ascii="Times New Roman" w:cs="Times New Roman" w:eastAsia="Times New Roman" w:hAnsi="Times New Roman"/>
          <w:sz w:val="21"/>
          <w:szCs w:val="21"/>
          <w:color w:val="auto"/>
        </w:rPr>
        <w:t>Executive’s right to receive any installment payments under this Agreement, including without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2"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u w:val="single" w:color="auto"/>
          <w:color w:val="auto"/>
        </w:rPr>
        <w:t>Executive Acknowledgement</w:t>
      </w:r>
      <w:r>
        <w:rPr>
          <w:rFonts w:ascii="Times New Roman" w:cs="Times New Roman" w:eastAsia="Times New Roman" w:hAnsi="Times New Roman"/>
          <w:sz w:val="21"/>
          <w:szCs w:val="21"/>
          <w:b w:val="1"/>
          <w:bCs w:val="1"/>
          <w:color w:val="auto"/>
        </w:rPr>
        <w:t>.</w:t>
      </w:r>
    </w:p>
    <w:p>
      <w:pPr>
        <w:spacing w:after="0" w:line="208"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Executive acknowledges that Executive has read and understands this Agreement, is fully aware of its legal effect, has not acted in reliance upon any representations or promises made by the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color w:val="auto"/>
        </w:rPr>
        <w:t>Company other than those contained in writing herein, and has entered into this Agreement freely based on Executive’s own judgment.</w:t>
      </w:r>
    </w:p>
    <w:p>
      <w:pPr>
        <w:sectPr>
          <w:pgSz w:w="11900" w:h="16838" w:orient="portrait"/>
          <w:cols w:equalWidth="0" w:num="1">
            <w:col w:w="11200"/>
          </w:cols>
          <w:pgMar w:left="320" w:top="1416" w:right="379" w:bottom="1440" w:gutter="0" w:footer="0" w:header="0"/>
        </w:sect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type w:val="continuous"/>
        </w:sectPr>
      </w:pPr>
    </w:p>
    <w:bookmarkStart w:id="145" w:name="page146"/>
    <w:bookmarkEnd w:id="145"/>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272"/>
        </w:trPr>
        <w:tc>
          <w:tcPr>
            <w:tcW w:w="56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EXECUTIVE</w:t>
            </w:r>
          </w:p>
        </w:tc>
        <w:tc>
          <w:tcPr>
            <w:tcW w:w="420" w:type="dxa"/>
            <w:vAlign w:val="bottom"/>
          </w:tcPr>
          <w:p>
            <w:pPr>
              <w:spacing w:after="0"/>
              <w:rPr>
                <w:sz w:val="23"/>
                <w:szCs w:val="23"/>
                <w:color w:val="auto"/>
              </w:rPr>
            </w:pPr>
          </w:p>
        </w:tc>
      </w:tr>
      <w:tr>
        <w:trPr>
          <w:trHeight w:val="870"/>
        </w:trPr>
        <w:tc>
          <w:tcPr>
            <w:tcW w:w="5620" w:type="dxa"/>
            <w:vAlign w:val="bottom"/>
          </w:tcPr>
          <w:p>
            <w:pPr>
              <w:spacing w:after="0"/>
              <w:rPr>
                <w:sz w:val="20"/>
                <w:szCs w:val="20"/>
                <w:color w:val="auto"/>
              </w:rPr>
            </w:pPr>
            <w:r>
              <w:rPr>
                <w:rFonts w:ascii="Times New Roman" w:cs="Times New Roman" w:eastAsia="Times New Roman" w:hAnsi="Times New Roman"/>
                <w:sz w:val="21"/>
                <w:szCs w:val="21"/>
                <w:color w:val="auto"/>
              </w:rPr>
              <w:t>Dated: 11/01/2024</w:t>
            </w:r>
          </w:p>
        </w:tc>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/s/Manohar K. Raheja</w:t>
            </w:r>
          </w:p>
        </w:tc>
        <w:tc>
          <w:tcPr>
            <w:tcW w:w="420" w:type="dxa"/>
            <w:vAlign w:val="bottom"/>
          </w:tcPr>
          <w:p>
            <w:pPr>
              <w:spacing w:after="0"/>
              <w:rPr>
                <w:sz w:val="24"/>
                <w:szCs w:val="24"/>
                <w:color w:val="auto"/>
              </w:rPr>
            </w:pPr>
          </w:p>
        </w:tc>
      </w:tr>
      <w:tr>
        <w:trPr>
          <w:trHeight w:val="271"/>
        </w:trPr>
        <w:tc>
          <w:tcPr>
            <w:tcW w:w="56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Manohar K. Raheja</w:t>
            </w:r>
          </w:p>
        </w:tc>
        <w:tc>
          <w:tcPr>
            <w:tcW w:w="420" w:type="dxa"/>
            <w:vAlign w:val="bottom"/>
          </w:tcPr>
          <w:p>
            <w:pPr>
              <w:spacing w:after="0"/>
              <w:rPr>
                <w:sz w:val="23"/>
                <w:szCs w:val="23"/>
                <w:color w:val="auto"/>
              </w:rPr>
            </w:pPr>
          </w:p>
        </w:tc>
      </w:tr>
      <w:tr>
        <w:trPr>
          <w:trHeight w:val="918"/>
        </w:trPr>
        <w:tc>
          <w:tcPr>
            <w:tcW w:w="562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SIGHT SCIENCES, INC.</w:t>
            </w:r>
          </w:p>
        </w:tc>
        <w:tc>
          <w:tcPr>
            <w:tcW w:w="420" w:type="dxa"/>
            <w:vAlign w:val="bottom"/>
          </w:tcPr>
          <w:p>
            <w:pPr>
              <w:spacing w:after="0"/>
              <w:rPr>
                <w:sz w:val="24"/>
                <w:szCs w:val="24"/>
                <w:color w:val="auto"/>
              </w:rPr>
            </w:pPr>
          </w:p>
        </w:tc>
      </w:tr>
      <w:tr>
        <w:trPr>
          <w:trHeight w:val="411"/>
        </w:trPr>
        <w:tc>
          <w:tcPr>
            <w:tcW w:w="5620" w:type="dxa"/>
            <w:vAlign w:val="bottom"/>
          </w:tcPr>
          <w:p>
            <w:pPr>
              <w:spacing w:after="0"/>
              <w:rPr>
                <w:sz w:val="20"/>
                <w:szCs w:val="20"/>
                <w:color w:val="auto"/>
              </w:rPr>
            </w:pPr>
            <w:r>
              <w:rPr>
                <w:rFonts w:ascii="Times New Roman" w:cs="Times New Roman" w:eastAsia="Times New Roman" w:hAnsi="Times New Roman"/>
                <w:sz w:val="21"/>
                <w:szCs w:val="21"/>
                <w:color w:val="auto"/>
              </w:rPr>
              <w:t>Dated: 11/01/2024</w:t>
            </w:r>
          </w:p>
        </w:tc>
        <w:tc>
          <w:tcPr>
            <w:tcW w:w="24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By: /s/ Paul Badawi</w:t>
            </w:r>
          </w:p>
        </w:tc>
        <w:tc>
          <w:tcPr>
            <w:tcW w:w="42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44"/>
        </w:trPr>
        <w:tc>
          <w:tcPr>
            <w:tcW w:w="5620" w:type="dxa"/>
            <w:vAlign w:val="bottom"/>
          </w:tcPr>
          <w:p>
            <w:pPr>
              <w:spacing w:after="0"/>
              <w:rPr>
                <w:sz w:val="21"/>
                <w:szCs w:val="21"/>
                <w:color w:val="auto"/>
              </w:rPr>
            </w:pPr>
          </w:p>
        </w:tc>
        <w:tc>
          <w:tcPr>
            <w:tcW w:w="248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Name: Paul Badawi</w:t>
            </w:r>
          </w:p>
        </w:tc>
        <w:tc>
          <w:tcPr>
            <w:tcW w:w="420" w:type="dxa"/>
            <w:vAlign w:val="bottom"/>
          </w:tcPr>
          <w:p>
            <w:pPr>
              <w:spacing w:after="0"/>
              <w:rPr>
                <w:sz w:val="21"/>
                <w:szCs w:val="21"/>
                <w:color w:val="auto"/>
              </w:rPr>
            </w:pPr>
          </w:p>
        </w:tc>
      </w:tr>
      <w:tr>
        <w:trPr>
          <w:trHeight w:val="270"/>
        </w:trPr>
        <w:tc>
          <w:tcPr>
            <w:tcW w:w="5620" w:type="dxa"/>
            <w:vAlign w:val="bottom"/>
          </w:tcPr>
          <w:p>
            <w:pPr>
              <w:spacing w:after="0"/>
              <w:rPr>
                <w:sz w:val="23"/>
                <w:szCs w:val="23"/>
                <w:color w:val="auto"/>
              </w:rPr>
            </w:pPr>
          </w:p>
        </w:tc>
        <w:tc>
          <w:tcPr>
            <w:tcW w:w="248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Title: CEO</w:t>
            </w:r>
          </w:p>
        </w:tc>
        <w:tc>
          <w:tcPr>
            <w:tcW w:w="420" w:type="dxa"/>
            <w:vAlign w:val="bottom"/>
          </w:tcPr>
          <w:p>
            <w:pPr>
              <w:spacing w:after="0"/>
              <w:rPr>
                <w:sz w:val="23"/>
                <w:szCs w:val="23"/>
                <w:color w:val="auto"/>
              </w:rPr>
            </w:pPr>
          </w:p>
        </w:tc>
      </w:tr>
    </w:tbl>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6" w:name="page147"/>
    <w:bookmarkEnd w:id="146"/>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Separation Agreement and Release</w:t>
      </w:r>
    </w:p>
    <w:p>
      <w:pPr>
        <w:spacing w:after="0" w:line="220" w:lineRule="exact"/>
        <w:rPr>
          <w:sz w:val="20"/>
          <w:szCs w:val="20"/>
          <w:color w:val="auto"/>
        </w:rPr>
      </w:pPr>
    </w:p>
    <w:p>
      <w:pPr>
        <w:jc w:val="both"/>
        <w:ind w:right="20" w:firstLine="632"/>
        <w:spacing w:after="0" w:line="255" w:lineRule="auto"/>
        <w:rPr>
          <w:sz w:val="20"/>
          <w:szCs w:val="20"/>
          <w:color w:val="auto"/>
        </w:rPr>
      </w:pPr>
      <w:r>
        <w:rPr>
          <w:rFonts w:ascii="Times New Roman" w:cs="Times New Roman" w:eastAsia="Times New Roman" w:hAnsi="Times New Roman"/>
          <w:sz w:val="21"/>
          <w:szCs w:val="21"/>
          <w:color w:val="auto"/>
        </w:rPr>
        <w:t>This Separation Agreement and Release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Manohar K. Raheja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Sight Sciences,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(collectively referred to as the “Parties” or individually referred to as a “Party”). Capitalized terms used but not defined in this Agreement shall have the meanings set forth in the Employment Agreement (as defined below).</w:t>
      </w:r>
    </w:p>
    <w:p>
      <w:pPr>
        <w:spacing w:after="0" w:line="175"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WHEREAS, the Parties have previously entered into that certain Employment Agreement, dated as of November 4, 2024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and that certain Employee Proprietary Information and Inventions Assignment Agreement, dated as of November __, 2024 (the “</w:t>
      </w:r>
      <w:r>
        <w:rPr>
          <w:rFonts w:ascii="Times New Roman" w:cs="Times New Roman" w:eastAsia="Times New Roman" w:hAnsi="Times New Roman"/>
          <w:sz w:val="21"/>
          <w:szCs w:val="21"/>
          <w:u w:val="single" w:color="auto"/>
          <w:color w:val="auto"/>
        </w:rPr>
        <w:t>Restrictive Covenant Agreement</w:t>
      </w:r>
      <w:r>
        <w:rPr>
          <w:rFonts w:ascii="Times New Roman" w:cs="Times New Roman" w:eastAsia="Times New Roman" w:hAnsi="Times New Roman"/>
          <w:sz w:val="21"/>
          <w:szCs w:val="21"/>
          <w:color w:val="auto"/>
        </w:rPr>
        <w:t>”); and</w:t>
      </w:r>
    </w:p>
    <w:p>
      <w:pPr>
        <w:spacing w:after="0" w:line="17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WHEREAS, in connection with Executive’s termination of employment with the Company, or any of its subsidiaries or affiliates, effective ________, 20__, the Parties wish to resolve any and all disputes, claims, complaints, grievances, charges, actions,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petitions, and demands that Executive may have against the Company and any of the Releasees (as defined below), including, but not limited to, any and all claims arising out of or in any way related to Executive’s employment with or separation from the Company, or any of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subsidiaries or affiliates, pursuant to contract or applicable law (collectively, the “</w:t>
      </w:r>
      <w:r>
        <w:rPr>
          <w:rFonts w:ascii="Times New Roman" w:cs="Times New Roman" w:eastAsia="Times New Roman" w:hAnsi="Times New Roman"/>
          <w:sz w:val="21"/>
          <w:szCs w:val="21"/>
          <w:u w:val="single" w:color="auto"/>
          <w:color w:val="auto"/>
        </w:rPr>
        <w:t>Retained Claims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NOW, THEREFORE, in consideration of the severance payments and benefits described in Section __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75" w:lineRule="exact"/>
        <w:rPr>
          <w:sz w:val="20"/>
          <w:szCs w:val="20"/>
          <w:color w:val="auto"/>
        </w:rPr>
      </w:pPr>
    </w:p>
    <w:p>
      <w:pPr>
        <w:jc w:val="both"/>
        <w:ind w:firstLine="422"/>
        <w:spacing w:after="0" w:line="248" w:lineRule="auto"/>
        <w:tabs>
          <w:tab w:leader="none" w:pos="88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Payments and Benefits; Salary and Benefits</w:t>
      </w:r>
      <w:r>
        <w:rPr>
          <w:rFonts w:ascii="Times New Roman" w:cs="Times New Roman" w:eastAsia="Times New Roman" w:hAnsi="Times New Roman"/>
          <w:sz w:val="21"/>
          <w:szCs w:val="21"/>
          <w:color w:val="auto"/>
        </w:rPr>
        <w:t xml:space="preserve">. The Company agrees to provide Executive with the severance payments and benefits described in Section __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cs="Times New Roman" w:eastAsia="Times New Roman" w:hAnsi="Times New Roman"/>
          <w:sz w:val="21"/>
          <w:szCs w:val="21"/>
          <w:u w:val="single" w:color="auto"/>
          <w:color w:val="auto"/>
        </w:rPr>
        <w:t>3(c)</w:t>
      </w:r>
      <w:r>
        <w:rPr>
          <w:rFonts w:ascii="Times New Roman" w:cs="Times New Roman" w:eastAsia="Times New Roman" w:hAnsi="Times New Roman"/>
          <w:sz w:val="21"/>
          <w:szCs w:val="21"/>
          <w:color w:val="auto"/>
        </w:rPr>
        <w:t xml:space="preserve"> of the Employment Agreement, subject to and in accordance with the terms thereof.</w:t>
      </w:r>
    </w:p>
    <w:p>
      <w:pPr>
        <w:spacing w:after="0" w:line="183" w:lineRule="exact"/>
        <w:rPr>
          <w:rFonts w:ascii="Times New Roman" w:cs="Times New Roman" w:eastAsia="Times New Roman" w:hAnsi="Times New Roman"/>
          <w:sz w:val="21"/>
          <w:szCs w:val="21"/>
          <w:color w:val="auto"/>
        </w:rPr>
      </w:pPr>
    </w:p>
    <w:p>
      <w:pPr>
        <w:jc w:val="both"/>
        <w:ind w:firstLine="422"/>
        <w:spacing w:after="0" w:line="262" w:lineRule="auto"/>
        <w:tabs>
          <w:tab w:leader="none" w:pos="89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subsidiaries and affiliates, and any of its or their current and former officers, directors, equityholders, managers, employees, agents, investors, attorneys, shareholders, administrators, affiliates, benefit plans, plan administrators, insurers, trustees, divisions, assigns, and predecessor and successor corporations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Executive, on Executive’s own behalf and on behalf of any of Executive’s affiliated companies or entities and any of their respective heirs, family members, executors, agents, and assigns, other than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83" w:lineRule="exact"/>
        <w:rPr>
          <w:sz w:val="20"/>
          <w:szCs w:val="20"/>
          <w:color w:val="auto"/>
        </w:rPr>
      </w:pPr>
    </w:p>
    <w:p>
      <w:pPr>
        <w:ind w:right="20" w:firstLine="836"/>
        <w:spacing w:after="0" w:line="270" w:lineRule="auto"/>
        <w:tabs>
          <w:tab w:leader="none" w:pos="124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relating to or arising from Executive’s employment or service relationship with the Company, or any of its subsidiaries or affiliates, and the termination of those relationships;</w:t>
      </w:r>
    </w:p>
    <w:p>
      <w:pPr>
        <w:spacing w:after="0" w:line="158" w:lineRule="exact"/>
        <w:rPr>
          <w:rFonts w:ascii="Times New Roman" w:cs="Times New Roman" w:eastAsia="Times New Roman" w:hAnsi="Times New Roman"/>
          <w:sz w:val="21"/>
          <w:szCs w:val="21"/>
          <w:color w:val="auto"/>
        </w:rPr>
      </w:pPr>
    </w:p>
    <w:p>
      <w:pPr>
        <w:jc w:val="both"/>
        <w:ind w:firstLine="836"/>
        <w:spacing w:after="0" w:line="251" w:lineRule="auto"/>
        <w:tabs>
          <w:tab w:leader="none" w:pos="124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relating to, or arising from, Executive’s right to purchase, or actual purchase of any shares of stock or other equity interests of the Company or any of its subsidiaries or affiliates, including, without limitation, any claims for fraud, misrepresentation, breach of fiduciary duty, breach of duty under applicable state law, and securities fraud under any state or federal law;</w:t>
      </w:r>
    </w:p>
    <w:p>
      <w:pPr>
        <w:spacing w:after="0" w:line="177" w:lineRule="exact"/>
        <w:rPr>
          <w:rFonts w:ascii="Times New Roman" w:cs="Times New Roman" w:eastAsia="Times New Roman" w:hAnsi="Times New Roman"/>
          <w:sz w:val="21"/>
          <w:szCs w:val="21"/>
          <w:color w:val="auto"/>
        </w:rPr>
      </w:pPr>
    </w:p>
    <w:p>
      <w:pPr>
        <w:ind w:firstLine="836"/>
        <w:spacing w:after="0" w:line="247" w:lineRule="auto"/>
        <w:tabs>
          <w:tab w:leader="none" w:pos="124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2" w:lineRule="exact"/>
        <w:rPr>
          <w:rFonts w:ascii="Times New Roman" w:cs="Times New Roman" w:eastAsia="Times New Roman" w:hAnsi="Times New Roman"/>
          <w:sz w:val="21"/>
          <w:szCs w:val="21"/>
          <w:color w:val="auto"/>
        </w:rPr>
      </w:pPr>
    </w:p>
    <w:p>
      <w:pPr>
        <w:jc w:val="both"/>
        <w:ind w:firstLine="836"/>
        <w:spacing w:after="0" w:line="245" w:lineRule="auto"/>
        <w:tabs>
          <w:tab w:leader="none" w:pos="124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Worker Adjustment and Retraining Notification Act; the California Fair Employment and Housing Act; the California Family Rights Act; the California Paid Family Leave Act; the California Consumer Credit Reporting Agencies Act; the California Military and Veterans Code; California Business &amp; Professions Code Section 17200; and the California Labor Code;</w:t>
      </w:r>
    </w:p>
    <w:p>
      <w:pPr>
        <w:spacing w:after="0" w:line="187" w:lineRule="exact"/>
        <w:rPr>
          <w:rFonts w:ascii="Times New Roman" w:cs="Times New Roman" w:eastAsia="Times New Roman" w:hAnsi="Times New Roman"/>
          <w:sz w:val="21"/>
          <w:szCs w:val="21"/>
          <w:color w:val="auto"/>
        </w:rPr>
      </w:pPr>
    </w:p>
    <w:p>
      <w:pPr>
        <w:ind w:left="1240" w:hanging="404"/>
        <w:spacing w:after="0"/>
        <w:tabs>
          <w:tab w:leader="none" w:pos="12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for violation of the federal or any state constitution;</w:t>
      </w:r>
    </w:p>
    <w:p>
      <w:pPr>
        <w:spacing w:after="0" w:line="217" w:lineRule="exact"/>
        <w:rPr>
          <w:rFonts w:ascii="Times New Roman" w:cs="Times New Roman" w:eastAsia="Times New Roman" w:hAnsi="Times New Roman"/>
          <w:sz w:val="21"/>
          <w:szCs w:val="21"/>
          <w:color w:val="auto"/>
        </w:rPr>
      </w:pPr>
    </w:p>
    <w:p>
      <w:pPr>
        <w:ind w:left="1240" w:hanging="404"/>
        <w:spacing w:after="0"/>
        <w:tabs>
          <w:tab w:leader="none" w:pos="12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arising out of any other laws and regulations relating to employment or employment discrimination;</w:t>
      </w:r>
    </w:p>
    <w:p>
      <w:pPr>
        <w:spacing w:after="0" w:line="217" w:lineRule="exact"/>
        <w:rPr>
          <w:rFonts w:ascii="Times New Roman" w:cs="Times New Roman" w:eastAsia="Times New Roman" w:hAnsi="Times New Roman"/>
          <w:sz w:val="21"/>
          <w:szCs w:val="21"/>
          <w:color w:val="auto"/>
        </w:rPr>
      </w:pPr>
    </w:p>
    <w:p>
      <w:pPr>
        <w:ind w:right="100" w:firstLine="836"/>
        <w:spacing w:after="0" w:line="270" w:lineRule="auto"/>
        <w:tabs>
          <w:tab w:leader="none" w:pos="124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for any loss, cost, damage, or expense arising out of any dispute over the non-withholding or other tax treatment of any of the proceeds received by Executive as a result of this Agreement;</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49" w:lineRule="exact"/>
        <w:rPr>
          <w:sz w:val="20"/>
          <w:szCs w:val="20"/>
          <w:color w:val="auto"/>
        </w:rPr>
      </w:pPr>
    </w:p>
    <w:p>
      <w:pPr>
        <w:ind w:right="60" w:firstLine="836"/>
        <w:spacing w:after="0" w:line="270" w:lineRule="auto"/>
        <w:tabs>
          <w:tab w:leader="none" w:pos="124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arising out of the wage and hour and wage payments laws and regulations of the state or states in which Executive has provided service to the Company or any of its subsidiaries or affiliates; and</w:t>
      </w:r>
    </w:p>
    <w:p>
      <w:pPr>
        <w:spacing w:after="0" w:line="158" w:lineRule="exact"/>
        <w:rPr>
          <w:rFonts w:ascii="Times New Roman" w:cs="Times New Roman" w:eastAsia="Times New Roman" w:hAnsi="Times New Roman"/>
          <w:sz w:val="21"/>
          <w:szCs w:val="21"/>
          <w:color w:val="auto"/>
        </w:rPr>
      </w:pPr>
    </w:p>
    <w:p>
      <w:pPr>
        <w:ind w:left="1240" w:hanging="404"/>
        <w:spacing w:after="0"/>
        <w:tabs>
          <w:tab w:leader="none" w:pos="12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for attorneys’ fees and costs.</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Executive acknowledges that Executive has been advised of and is familiar with the provisions of California Civil Code Section 1542, which states:</w:t>
      </w:r>
    </w:p>
    <w:p>
      <w:pPr>
        <w:spacing w:after="0" w:line="159" w:lineRule="exact"/>
        <w:rPr>
          <w:sz w:val="20"/>
          <w:szCs w:val="20"/>
          <w:color w:val="auto"/>
        </w:rPr>
      </w:pPr>
    </w:p>
    <w:p>
      <w:pPr>
        <w:jc w:val="both"/>
        <w:ind w:left="760" w:right="760"/>
        <w:spacing w:after="0" w:line="251" w:lineRule="auto"/>
        <w:rPr>
          <w:sz w:val="20"/>
          <w:szCs w:val="20"/>
          <w:color w:val="auto"/>
        </w:rPr>
      </w:pPr>
      <w:r>
        <w:rPr>
          <w:rFonts w:ascii="Times New Roman" w:cs="Times New Roman" w:eastAsia="Times New Roman" w:hAnsi="Times New Roman"/>
          <w:sz w:val="21"/>
          <w:szCs w:val="2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Being aware of said code section, Executive expressly waives all rights Executive may have thereunder, as well as under any other law, including under common law principles of similar effect.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subsidiaries or affiliates and Executive’s right under applicable law and any Retained Claims. This release further does not release claims for breach of Section 3(c) or Section __ of the Employment Agreement.</w:t>
      </w:r>
    </w:p>
    <w:p>
      <w:pPr>
        <w:spacing w:after="0" w:line="184" w:lineRule="exact"/>
        <w:rPr>
          <w:sz w:val="20"/>
          <w:szCs w:val="20"/>
          <w:color w:val="auto"/>
        </w:rPr>
      </w:pPr>
    </w:p>
    <w:p>
      <w:pPr>
        <w:jc w:val="both"/>
        <w:ind w:firstLine="422"/>
        <w:spacing w:after="0" w:line="246" w:lineRule="auto"/>
        <w:tabs>
          <w:tab w:leader="none" w:pos="85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of Waiver of Claims under ADEA</w:t>
      </w:r>
      <w:r>
        <w:rPr>
          <w:rFonts w:ascii="Times New Roman" w:cs="Times New Roman" w:eastAsia="Times New Roman" w:hAnsi="Times New Roman"/>
          <w:sz w:val="21"/>
          <w:szCs w:val="21"/>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an attorney prior to executing this Agreement; (b) Executive has 21 days within which to consider this Agreement, and the Parties agree that such time period to review this Agreement shall not be extended upon any material or immaterial changes to this Agreement;</w:t>
      </w:r>
    </w:p>
    <w:p>
      <w:pPr>
        <w:jc w:val="both"/>
        <w:ind w:firstLine="8"/>
        <w:spacing w:after="0" w:line="253" w:lineRule="auto"/>
        <w:tabs>
          <w:tab w:leader="none" w:pos="28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seven days following Executive’s execution of this Agreement to revoke this Agreement pursuant to written notice to the Chief Financial Officer of the Company; (d) this Agreement shall not be effective until after the revocation period has expired; and</w:t>
      </w:r>
    </w:p>
    <w:p>
      <w:pPr>
        <w:spacing w:after="0" w:line="1" w:lineRule="exact"/>
        <w:rPr>
          <w:rFonts w:ascii="Times New Roman" w:cs="Times New Roman" w:eastAsia="Times New Roman" w:hAnsi="Times New Roman"/>
          <w:sz w:val="20"/>
          <w:szCs w:val="20"/>
          <w:color w:val="auto"/>
        </w:rPr>
      </w:pPr>
    </w:p>
    <w:p>
      <w:pPr>
        <w:jc w:val="both"/>
        <w:ind w:firstLine="8"/>
        <w:spacing w:after="0" w:line="242" w:lineRule="auto"/>
        <w:tabs>
          <w:tab w:leader="none" w:pos="28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89" w:lineRule="exact"/>
        <w:rPr>
          <w:rFonts w:ascii="Times New Roman" w:cs="Times New Roman" w:eastAsia="Times New Roman" w:hAnsi="Times New Roman"/>
          <w:sz w:val="21"/>
          <w:szCs w:val="21"/>
          <w:color w:val="auto"/>
        </w:rPr>
      </w:pPr>
    </w:p>
    <w:p>
      <w:pPr>
        <w:ind w:left="840" w:hanging="418"/>
        <w:spacing w:after="0"/>
        <w:tabs>
          <w:tab w:leader="none" w:pos="84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firstLine="836"/>
        <w:spacing w:after="0" w:line="245" w:lineRule="auto"/>
        <w:tabs>
          <w:tab w:leader="none" w:pos="1242" w:val="left"/>
        </w:tabs>
        <w:numPr>
          <w:ilvl w:val="2"/>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and agrees that the post-termination obligations set forth in the Restrictive Covenant Agreement, including without limitation Executive’s obligations relating to confidentiality, non-use and non-disclosure of Proprietary Information (as defined in the Restrictive Covenant Agreement),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 (as defined below). However, nothing in this Agreement prevents Executive from engaging in communications protected by the National Labor Relations Act or discussing or disclosing information about unlawful acts in the workplace, such as harassment or discrimination or any other conduct that Executive has reason to believe is unlawful.</w:t>
      </w:r>
    </w:p>
    <w:p>
      <w:pPr>
        <w:spacing w:after="0" w:line="187" w:lineRule="exact"/>
        <w:rPr>
          <w:rFonts w:ascii="Times New Roman" w:cs="Times New Roman" w:eastAsia="Times New Roman" w:hAnsi="Times New Roman"/>
          <w:sz w:val="21"/>
          <w:szCs w:val="21"/>
          <w:color w:val="auto"/>
        </w:rPr>
      </w:pPr>
    </w:p>
    <w:p>
      <w:pPr>
        <w:ind w:firstLine="836"/>
        <w:spacing w:after="0" w:line="262" w:lineRule="auto"/>
        <w:tabs>
          <w:tab w:leader="none" w:pos="1242"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continued compliance with the terms of the Restrictive Covenant Agreement is a material condition to receipt of the severance payments and benefits set forth in Section 1 of this Agreement. In the event Executive breaches the Restrictive Covenant Agreement,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spacing w:after="0" w:line="167" w:lineRule="exact"/>
        <w:rPr>
          <w:rFonts w:ascii="Times New Roman" w:cs="Times New Roman" w:eastAsia="Times New Roman" w:hAnsi="Times New Roman"/>
          <w:sz w:val="20"/>
          <w:szCs w:val="20"/>
          <w:color w:val="auto"/>
        </w:rPr>
      </w:pPr>
    </w:p>
    <w:p>
      <w:pPr>
        <w:jc w:val="both"/>
        <w:ind w:firstLine="422"/>
        <w:spacing w:after="0" w:line="255" w:lineRule="auto"/>
        <w:tabs>
          <w:tab w:leader="none" w:pos="86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5" w:lineRule="exact"/>
        <w:rPr>
          <w:rFonts w:ascii="Times New Roman" w:cs="Times New Roman" w:eastAsia="Times New Roman" w:hAnsi="Times New Roman"/>
          <w:sz w:val="21"/>
          <w:szCs w:val="21"/>
          <w:color w:val="auto"/>
        </w:rPr>
      </w:pPr>
    </w:p>
    <w:p>
      <w:pPr>
        <w:ind w:firstLine="422"/>
        <w:spacing w:after="0" w:line="270" w:lineRule="auto"/>
        <w:tabs>
          <w:tab w:leader="none" w:pos="82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Oral Modification</w:t>
      </w:r>
      <w:r>
        <w:rPr>
          <w:rFonts w:ascii="Times New Roman" w:cs="Times New Roman" w:eastAsia="Times New Roman" w:hAnsi="Times New Roman"/>
          <w:sz w:val="21"/>
          <w:szCs w:val="21"/>
          <w:color w:val="auto"/>
        </w:rPr>
        <w:t>. This Agreement may only be amended in a writing signed by Executive and a duly authorized officer of the Company.</w:t>
      </w:r>
    </w:p>
    <w:p>
      <w:pPr>
        <w:spacing w:after="0" w:line="158" w:lineRule="exact"/>
        <w:rPr>
          <w:rFonts w:ascii="Times New Roman" w:cs="Times New Roman" w:eastAsia="Times New Roman" w:hAnsi="Times New Roman"/>
          <w:sz w:val="21"/>
          <w:szCs w:val="21"/>
          <w:color w:val="auto"/>
        </w:rPr>
      </w:pPr>
    </w:p>
    <w:p>
      <w:pPr>
        <w:ind w:firstLine="422"/>
        <w:spacing w:after="0" w:line="270" w:lineRule="auto"/>
        <w:tabs>
          <w:tab w:leader="none" w:pos="82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Dispute Resolution</w:t>
      </w:r>
      <w:r>
        <w:rPr>
          <w:rFonts w:ascii="Times New Roman" w:cs="Times New Roman" w:eastAsia="Times New Roman" w:hAnsi="Times New Roman"/>
          <w:sz w:val="21"/>
          <w:szCs w:val="21"/>
          <w:color w:val="auto"/>
        </w:rPr>
        <w:t>. This Agreement shall be subject to the provisions of Sections 9(a), 9(c), and 9(h) of the Employment Agreement.</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49" w:lineRule="exact"/>
        <w:rPr>
          <w:sz w:val="20"/>
          <w:szCs w:val="20"/>
          <w:color w:val="auto"/>
        </w:rPr>
      </w:pPr>
    </w:p>
    <w:p>
      <w:pPr>
        <w:ind w:firstLine="422"/>
        <w:spacing w:after="0" w:line="270" w:lineRule="auto"/>
        <w:tabs>
          <w:tab w:leader="none" w:pos="82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Executive has seven days after Executive signs this Agreement to revoke it and this Agreement will become effective on the eighth day following the date Executive signed this Agreement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jc w:val="both"/>
        <w:ind w:firstLine="422"/>
        <w:spacing w:after="0" w:line="246" w:lineRule="auto"/>
        <w:tabs>
          <w:tab w:leader="none" w:pos="84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Execution of Agreement</w:t>
      </w:r>
      <w:r>
        <w:rPr>
          <w:rFonts w:ascii="Times New Roman" w:cs="Times New Roman" w:eastAsia="Times New Roman" w:hAnsi="Times New Roman"/>
          <w:sz w:val="21"/>
          <w:szCs w:val="21"/>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-12065</wp:posOffset>
            </wp:positionV>
            <wp:extent cx="13138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Manohar K. Raheja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b w:val="1"/>
          <w:bCs w:val="1"/>
          <w:color w:val="auto"/>
        </w:rPr>
        <w:t>SIGHT SCIENCES, INC.</w:t>
      </w:r>
    </w:p>
    <w:p>
      <w:pPr>
        <w:spacing w:after="0" w:line="200"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r>
              <w:rPr>
                <w:rFonts w:ascii="Times New Roman" w:cs="Times New Roman" w:eastAsia="Times New Roman" w:hAnsi="Times New Roman"/>
                <w:sz w:val="21"/>
                <w:szCs w:val="21"/>
                <w:color w:val="auto"/>
              </w:rPr>
              <w:t>Dated:</w:t>
            </w:r>
          </w:p>
        </w:tc>
        <w:tc>
          <w:tcPr>
            <w:tcW w:w="2840" w:type="dxa"/>
            <w:vAlign w:val="bottom"/>
          </w:tcPr>
          <w:p>
            <w:pPr>
              <w:ind w:left="2540"/>
              <w:spacing w:after="0"/>
              <w:rPr>
                <w:sz w:val="20"/>
                <w:szCs w:val="20"/>
                <w:color w:val="auto"/>
              </w:rPr>
            </w:pPr>
            <w:r>
              <w:rPr>
                <w:rFonts w:ascii="Times New Roman" w:cs="Times New Roman" w:eastAsia="Times New Roman" w:hAnsi="Times New Roman"/>
                <w:sz w:val="21"/>
                <w:szCs w:val="21"/>
                <w:color w:val="auto"/>
                <w:w w:val="92"/>
              </w:rPr>
              <w:t>By:</w:t>
            </w:r>
          </w:p>
        </w:tc>
        <w:tc>
          <w:tcPr>
            <w:tcW w:w="2180" w:type="dxa"/>
            <w:vAlign w:val="bottom"/>
            <w:tcBorders>
              <w:bottom w:val="single" w:sz="8" w:color="auto"/>
            </w:tcBorders>
          </w:tcPr>
          <w:p>
            <w:pPr>
              <w:spacing w:after="0"/>
              <w:rPr>
                <w:sz w:val="21"/>
                <w:szCs w:val="21"/>
                <w:color w:val="auto"/>
              </w:rPr>
            </w:pPr>
          </w:p>
        </w:tc>
      </w:tr>
      <w:tr>
        <w:trPr>
          <w:trHeight w:val="244"/>
        </w:trPr>
        <w:tc>
          <w:tcPr>
            <w:tcW w:w="3080" w:type="dxa"/>
            <w:vAlign w:val="bottom"/>
          </w:tcPr>
          <w:p>
            <w:pPr>
              <w:spacing w:after="0"/>
              <w:rPr>
                <w:sz w:val="21"/>
                <w:szCs w:val="21"/>
                <w:color w:val="auto"/>
              </w:rPr>
            </w:pPr>
          </w:p>
        </w:tc>
        <w:tc>
          <w:tcPr>
            <w:tcW w:w="5020" w:type="dxa"/>
            <w:vAlign w:val="bottom"/>
            <w:gridSpan w:val="2"/>
          </w:tcPr>
          <w:p>
            <w:pPr>
              <w:ind w:left="2720"/>
              <w:spacing w:after="0"/>
              <w:rPr>
                <w:sz w:val="20"/>
                <w:szCs w:val="20"/>
                <w:color w:val="auto"/>
              </w:rPr>
            </w:pPr>
            <w:r>
              <w:rPr>
                <w:rFonts w:ascii="Times New Roman" w:cs="Times New Roman" w:eastAsia="Times New Roman" w:hAnsi="Times New Roman"/>
                <w:sz w:val="21"/>
                <w:szCs w:val="21"/>
                <w:color w:val="auto"/>
              </w:rPr>
              <w:t>Name:</w:t>
            </w:r>
          </w:p>
        </w:tc>
      </w:tr>
      <w:tr>
        <w:trPr>
          <w:trHeight w:val="270"/>
        </w:trPr>
        <w:tc>
          <w:tcPr>
            <w:tcW w:w="3080" w:type="dxa"/>
            <w:vAlign w:val="bottom"/>
          </w:tcPr>
          <w:p>
            <w:pPr>
              <w:spacing w:after="0"/>
              <w:rPr>
                <w:sz w:val="23"/>
                <w:szCs w:val="23"/>
                <w:color w:val="auto"/>
              </w:rPr>
            </w:pPr>
          </w:p>
        </w:tc>
        <w:tc>
          <w:tcPr>
            <w:tcW w:w="5020" w:type="dxa"/>
            <w:vAlign w:val="bottom"/>
            <w:gridSpan w:val="2"/>
          </w:tcPr>
          <w:p>
            <w:pPr>
              <w:ind w:left="2720"/>
              <w:spacing w:after="0"/>
              <w:rPr>
                <w:sz w:val="20"/>
                <w:szCs w:val="20"/>
                <w:color w:val="auto"/>
              </w:rPr>
            </w:pPr>
            <w:r>
              <w:rPr>
                <w:rFonts w:ascii="Times New Roman" w:cs="Times New Roman" w:eastAsia="Times New Roman" w:hAnsi="Times New Roman"/>
                <w:sz w:val="21"/>
                <w:szCs w:val="21"/>
                <w:color w:val="auto"/>
              </w:rPr>
              <w:t>Title:</w:t>
            </w:r>
          </w:p>
        </w:tc>
      </w:tr>
    </w:tbl>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|US-DOCS\124478299.1||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19.1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ight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ciences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3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This Insider Trading Compliance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consists of seven sections:</w:t>
      </w:r>
    </w:p>
    <w:p>
      <w:pPr>
        <w:spacing w:after="0" w:line="222" w:lineRule="exact"/>
        <w:rPr>
          <w:sz w:val="20"/>
          <w:szCs w:val="20"/>
          <w:color w:val="auto"/>
        </w:rPr>
      </w:pPr>
    </w:p>
    <w:p>
      <w:pPr>
        <w:ind w:left="1500" w:hanging="369"/>
        <w:spacing w:after="0"/>
        <w:tabs>
          <w:tab w:leader="none" w:pos="150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I provides an overview;</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II sets forth the policies of the Company prohibiting insider trading;</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III explains insider trading;</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IV consists of procedures that have been put in place by the Company to prevent insider trading;</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V sets forth additional transactions that are prohibited by this Policy;</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VI explains Rule 10b5-1 trading plans; and</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VII refers to the execution and return of a certificate of compliance.</w:t>
      </w:r>
    </w:p>
    <w:p>
      <w:pPr>
        <w:spacing w:after="0" w:line="2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   S</w:t>
      </w:r>
      <w:r>
        <w:rPr>
          <w:rFonts w:ascii="Times New Roman" w:cs="Times New Roman" w:eastAsia="Times New Roman" w:hAnsi="Times New Roman"/>
          <w:sz w:val="14"/>
          <w:szCs w:val="14"/>
          <w:b w:val="1"/>
          <w:bCs w:val="1"/>
          <w:color w:val="auto"/>
        </w:rPr>
        <w:t>ummary</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Preventing insider trading is necessary to comply with securities laws and to preserve the reputation and integrity of Sight Sciences,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up to and including termination of employment for cause.</w:t>
      </w:r>
    </w:p>
    <w:p>
      <w:pPr>
        <w:spacing w:after="0" w:line="18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carefully review and strictly comply with the terms of this Policy. Questions regarding the Policy should be directed to the Chief Legal Officer.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3" w:name="page154"/>
    <w:bookmarkEnd w:id="153"/>
    <w:p>
      <w:pPr>
        <w:ind w:left="420" w:hanging="412"/>
        <w:spacing w:after="0"/>
        <w:tabs>
          <w:tab w:leader="none" w:pos="420"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rohibiting</w:t>
      </w:r>
      <w:r>
        <w:rPr>
          <w:rFonts w:ascii="Times New Roman" w:cs="Times New Roman" w:eastAsia="Times New Roman" w:hAnsi="Times New Roman"/>
          <w:sz w:val="21"/>
          <w:szCs w:val="21"/>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2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No officer, director or employee shall purchase or sell any type of security while in possession of material, non-public information relating to the security or its issuer,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This prohibition may extend to include information relating to a specific company or multiple companies in the same industry or sector as the Company.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These prohibitions do not apply to:</w:t>
      </w:r>
    </w:p>
    <w:p>
      <w:pPr>
        <w:spacing w:after="0" w:line="218" w:lineRule="exact"/>
        <w:rPr>
          <w:sz w:val="20"/>
          <w:szCs w:val="20"/>
          <w:color w:val="auto"/>
        </w:rPr>
      </w:pPr>
    </w:p>
    <w:p>
      <w:pPr>
        <w:ind w:left="1500" w:right="20" w:hanging="369"/>
        <w:spacing w:after="0" w:line="270" w:lineRule="auto"/>
        <w:tabs>
          <w:tab w:leader="none" w:pos="15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of the Company’s securities by a Covered Person from the Company or sales of the Company’s securities by a Covered Person to the Company;</w:t>
      </w:r>
    </w:p>
    <w:p>
      <w:pPr>
        <w:spacing w:after="0" w:line="158" w:lineRule="exact"/>
        <w:rPr>
          <w:rFonts w:ascii="Times New Roman" w:cs="Times New Roman" w:eastAsia="Times New Roman" w:hAnsi="Times New Roman"/>
          <w:sz w:val="21"/>
          <w:szCs w:val="21"/>
          <w:color w:val="auto"/>
        </w:rPr>
      </w:pPr>
    </w:p>
    <w:p>
      <w:pPr>
        <w:jc w:val="both"/>
        <w:ind w:left="1500" w:hanging="369"/>
        <w:spacing w:after="0" w:line="248" w:lineRule="auto"/>
        <w:tabs>
          <w:tab w:leader="none" w:pos="15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1"/>
          <w:szCs w:val="21"/>
          <w:u w:val="single" w:color="auto"/>
          <w:color w:val="auto"/>
        </w:rPr>
        <w:t>does</w:t>
      </w:r>
      <w:r>
        <w:rPr>
          <w:rFonts w:ascii="Times New Roman" w:cs="Times New Roman" w:eastAsia="Times New Roman" w:hAnsi="Times New Roman"/>
          <w:sz w:val="21"/>
          <w:szCs w:val="21"/>
          <w:color w:val="auto"/>
        </w:rPr>
        <w:t xml:space="preserve"> involve a market sale of the Company’s securities, and therefore would not qualify under this exception);</w:t>
      </w:r>
    </w:p>
    <w:p>
      <w:pPr>
        <w:spacing w:after="0" w:line="181" w:lineRule="exact"/>
        <w:rPr>
          <w:rFonts w:ascii="Times New Roman" w:cs="Times New Roman" w:eastAsia="Times New Roman" w:hAnsi="Times New Roman"/>
          <w:sz w:val="21"/>
          <w:szCs w:val="21"/>
          <w:color w:val="auto"/>
        </w:rPr>
      </w:pPr>
    </w:p>
    <w:p>
      <w:pPr>
        <w:jc w:val="both"/>
        <w:ind w:left="1500" w:hanging="369"/>
        <w:spacing w:after="0" w:line="256" w:lineRule="auto"/>
        <w:tabs>
          <w:tab w:leader="none" w:pos="15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bona fide </w:t>
      </w:r>
      <w:r>
        <w:rPr>
          <w:rFonts w:ascii="Times New Roman" w:cs="Times New Roman" w:eastAsia="Times New Roman" w:hAnsi="Times New Roman"/>
          <w:sz w:val="21"/>
          <w:szCs w:val="21"/>
          <w:color w:val="auto"/>
        </w:rPr>
        <w:t>gifts or charitable donations of the Company’s securities following written approval by the Compliance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 unless the person making the gift has reason to believe that the recipient intends to sell the securities while the donor is in possession of material, non-public information about the Company;</w:t>
      </w:r>
    </w:p>
    <w:p>
      <w:pPr>
        <w:spacing w:after="0" w:line="174" w:lineRule="exact"/>
        <w:rPr>
          <w:rFonts w:ascii="Times New Roman" w:cs="Times New Roman" w:eastAsia="Times New Roman" w:hAnsi="Times New Roman"/>
          <w:sz w:val="21"/>
          <w:szCs w:val="21"/>
          <w:color w:val="auto"/>
        </w:rPr>
      </w:pPr>
    </w:p>
    <w:p>
      <w:pPr>
        <w:jc w:val="both"/>
        <w:ind w:left="1500" w:hanging="369"/>
        <w:spacing w:after="0" w:line="245" w:lineRule="auto"/>
        <w:tabs>
          <w:tab w:leader="none" w:pos="15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1"/>
          <w:szCs w:val="21"/>
          <w:b w:val="1"/>
          <w:bCs w:val="1"/>
          <w:i w:val="1"/>
          <w:iCs w:val="1"/>
          <w:color w:val="auto"/>
        </w:rPr>
        <w:t>Rule 10b5-1</w:t>
      </w:r>
      <w:r>
        <w:rPr>
          <w:rFonts w:ascii="Times New Roman" w:cs="Times New Roman" w:eastAsia="Times New Roman" w:hAnsi="Times New Roman"/>
          <w:sz w:val="21"/>
          <w:szCs w:val="21"/>
          <w:color w:val="auto"/>
        </w:rPr>
        <w:t>”) promulgated under the Securities Exchange Act of 1934, as amended (the “</w:t>
      </w:r>
      <w:r>
        <w:rPr>
          <w:rFonts w:ascii="Times New Roman" w:cs="Times New Roman" w:eastAsia="Times New Roman" w:hAnsi="Times New Roman"/>
          <w:sz w:val="21"/>
          <w:szCs w:val="21"/>
          <w:b w:val="1"/>
          <w:bCs w:val="1"/>
          <w:i w:val="1"/>
          <w:iCs w:val="1"/>
          <w:color w:val="auto"/>
        </w:rPr>
        <w:t>1934 Act</w:t>
      </w:r>
      <w:r>
        <w:rPr>
          <w:rFonts w:ascii="Times New Roman" w:cs="Times New Roman" w:eastAsia="Times New Roman" w:hAnsi="Times New Roman"/>
          <w:sz w:val="21"/>
          <w:szCs w:val="21"/>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187" w:lineRule="exact"/>
        <w:rPr>
          <w:rFonts w:ascii="Times New Roman" w:cs="Times New Roman" w:eastAsia="Times New Roman" w:hAnsi="Times New Roman"/>
          <w:sz w:val="21"/>
          <w:szCs w:val="21"/>
          <w:color w:val="auto"/>
        </w:rPr>
      </w:pPr>
    </w:p>
    <w:p>
      <w:pPr>
        <w:ind w:left="1500" w:right="20" w:hanging="369"/>
        <w:spacing w:after="0" w:line="270" w:lineRule="auto"/>
        <w:tabs>
          <w:tab w:leader="none" w:pos="15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of the Company’s securities into a trust for which the Covered Person is a trustee, or from the trust back into the name of the Covered Person; or</w:t>
      </w:r>
    </w:p>
    <w:p>
      <w:pPr>
        <w:spacing w:after="0" w:line="158"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of Company securities by will or pursuant to the laws of descent and distribution;</w:t>
      </w:r>
    </w:p>
    <w:p>
      <w:pPr>
        <w:spacing w:after="0" w:line="217" w:lineRule="exact"/>
        <w:rPr>
          <w:rFonts w:ascii="Times New Roman" w:cs="Times New Roman" w:eastAsia="Times New Roman" w:hAnsi="Times New Roman"/>
          <w:sz w:val="21"/>
          <w:szCs w:val="21"/>
          <w:color w:val="auto"/>
        </w:rPr>
      </w:pPr>
    </w:p>
    <w:p>
      <w:pPr>
        <w:jc w:val="both"/>
        <w:ind w:left="1500" w:hanging="369"/>
        <w:spacing w:after="0" w:line="255" w:lineRule="auto"/>
        <w:tabs>
          <w:tab w:leader="none" w:pos="15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private securities transactions not otherwise prohibited by this Policy between a Covered Person and a sophisticated party provided that (i) if it is proposed by the Covered Person that inside information is to be provided to the sophisticated party, 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54" w:name="page155"/>
    <w:bookmarkEnd w:id="154"/>
    <w:p>
      <w:pPr>
        <w:jc w:val="both"/>
        <w:ind w:left="1500"/>
        <w:spacing w:after="0" w:line="267" w:lineRule="auto"/>
        <w:rPr>
          <w:sz w:val="20"/>
          <w:szCs w:val="20"/>
          <w:color w:val="auto"/>
        </w:rPr>
      </w:pPr>
      <w:r>
        <w:rPr>
          <w:rFonts w:ascii="Times New Roman" w:cs="Times New Roman" w:eastAsia="Times New Roman" w:hAnsi="Times New Roman"/>
          <w:sz w:val="20"/>
          <w:szCs w:val="20"/>
          <w:color w:val="auto"/>
        </w:rPr>
        <w:t>such information shall only be provided by the Company in the Company’s sole discretion, and then, if so disclosed, only after the party has entered into a non-disclosure agreement with the Company in form and substance satisfactory to the Company, and (ii) the party agrees to any restrictions under the federal securities laws that the Company may impose on the party’s ability to effect transactions in any Company securities purchased by the party; or</w:t>
      </w:r>
    </w:p>
    <w:p>
      <w:pPr>
        <w:spacing w:after="0" w:line="165" w:lineRule="exact"/>
        <w:rPr>
          <w:sz w:val="20"/>
          <w:szCs w:val="20"/>
          <w:color w:val="auto"/>
        </w:rPr>
      </w:pPr>
    </w:p>
    <w:p>
      <w:pPr>
        <w:jc w:val="both"/>
        <w:ind w:left="1500" w:hanging="369"/>
        <w:spacing w:after="0" w:line="251" w:lineRule="auto"/>
        <w:tabs>
          <w:tab w:leader="none" w:pos="150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and sales of mutual funds, exchange traded funds or other similar funds or investment vehicles that invest in securities of the Company and with respect to which the Covered Person is a passive investor and has no rights with respect to the voting or disposition of any Company securities or the purchases and sales of Company securities by any such entity.</w:t>
      </w:r>
    </w:p>
    <w:p>
      <w:pPr>
        <w:spacing w:after="0" w:line="17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In addition, no officer, director or employee shall directly or indirectly communicate (or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71" w:lineRule="exact"/>
        <w:rPr>
          <w:sz w:val="20"/>
          <w:szCs w:val="20"/>
          <w:color w:val="auto"/>
        </w:rPr>
      </w:pPr>
    </w:p>
    <w:p>
      <w:pPr>
        <w:ind w:left="420" w:hanging="412"/>
        <w:spacing w:after="0"/>
        <w:tabs>
          <w:tab w:leader="none" w:pos="420"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21"/>
          <w:szCs w:val="21"/>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Insider trading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refers to the purchase or sale of a security while in possession of “material,” “non-public” information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relating to the security or its issuer.</w:t>
      </w:r>
    </w:p>
    <w:p>
      <w:pPr>
        <w:spacing w:after="0" w:line="151"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Securities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includes stocks, bonds, notes, debentures, options, warrants and other convertible securities, as well as derivative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instruments.</w:t>
      </w:r>
    </w:p>
    <w:p>
      <w:pPr>
        <w:spacing w:after="0" w:line="15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Purchase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sale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defined broadly under the federal securities law.</w:t>
      </w:r>
      <w:r>
        <w:rPr>
          <w:rFonts w:ascii="Times New Roman" w:cs="Times New Roman" w:eastAsia="Times New Roman" w:hAnsi="Times New Roman"/>
          <w:sz w:val="21"/>
          <w:szCs w:val="21"/>
          <w:i w:val="1"/>
          <w:iCs w:val="1"/>
          <w:color w:val="auto"/>
        </w:rPr>
        <w:t xml:space="preserve"> “Purchase” </w:t>
      </w:r>
      <w:r>
        <w:rPr>
          <w:rFonts w:ascii="Times New Roman" w:cs="Times New Roman" w:eastAsia="Times New Roman" w:hAnsi="Times New Roman"/>
          <w:sz w:val="21"/>
          <w:szCs w:val="21"/>
          <w:color w:val="auto"/>
        </w:rPr>
        <w:t>includes not only the actual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purchase of a security, but any contract to purchase or otherwise acquire a security. </w:t>
      </w:r>
      <w:r>
        <w:rPr>
          <w:rFonts w:ascii="Times New Roman" w:cs="Times New Roman" w:eastAsia="Times New Roman" w:hAnsi="Times New Roman"/>
          <w:sz w:val="21"/>
          <w:szCs w:val="21"/>
          <w:i w:val="1"/>
          <w:iCs w:val="1"/>
          <w:color w:val="auto"/>
        </w:rPr>
        <w:t>“Sale”</w:t>
      </w:r>
      <w:r>
        <w:rPr>
          <w:rFonts w:ascii="Times New Roman" w:cs="Times New Roman" w:eastAsia="Times New Roman" w:hAnsi="Times New Roman"/>
          <w:sz w:val="21"/>
          <w:szCs w:val="21"/>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puts, calls or other derivative securities.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It is generally understood that insider trading includes the following:</w:t>
      </w:r>
    </w:p>
    <w:p>
      <w:pPr>
        <w:spacing w:after="0" w:line="218" w:lineRule="exact"/>
        <w:rPr>
          <w:sz w:val="20"/>
          <w:szCs w:val="20"/>
          <w:color w:val="auto"/>
        </w:rPr>
      </w:pPr>
    </w:p>
    <w:p>
      <w:pPr>
        <w:ind w:left="1500" w:hanging="369"/>
        <w:spacing w:after="0"/>
        <w:tabs>
          <w:tab w:leader="none" w:pos="150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by insiders while in possession of material, non-public information;</w:t>
      </w:r>
    </w:p>
    <w:p>
      <w:pPr>
        <w:spacing w:after="0" w:line="217" w:lineRule="exact"/>
        <w:rPr>
          <w:rFonts w:ascii="Times New Roman" w:cs="Times New Roman" w:eastAsia="Times New Roman" w:hAnsi="Times New Roman"/>
          <w:sz w:val="21"/>
          <w:szCs w:val="21"/>
          <w:color w:val="auto"/>
        </w:rPr>
      </w:pPr>
    </w:p>
    <w:p>
      <w:pPr>
        <w:ind w:left="1500" w:hanging="369"/>
        <w:spacing w:after="0" w:line="270" w:lineRule="auto"/>
        <w:tabs>
          <w:tab w:leader="none" w:pos="150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58" w:lineRule="exact"/>
        <w:rPr>
          <w:rFonts w:ascii="Times New Roman" w:cs="Times New Roman" w:eastAsia="Times New Roman" w:hAnsi="Times New Roman"/>
          <w:sz w:val="21"/>
          <w:szCs w:val="21"/>
          <w:color w:val="auto"/>
        </w:rPr>
      </w:pPr>
    </w:p>
    <w:p>
      <w:pPr>
        <w:ind w:left="1500" w:hanging="369"/>
        <w:spacing w:after="0" w:line="270" w:lineRule="auto"/>
        <w:tabs>
          <w:tab w:leader="none" w:pos="150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communicating or tipping material, non-public information to others, including recommending the purchase or sale of a security while in possession of such information.</w:t>
      </w:r>
    </w:p>
    <w:p>
      <w:pPr>
        <w:spacing w:after="0" w:line="158" w:lineRule="exact"/>
        <w:rPr>
          <w:rFonts w:ascii="Times New Roman" w:cs="Times New Roman" w:eastAsia="Times New Roman" w:hAnsi="Times New Roman"/>
          <w:sz w:val="21"/>
          <w:szCs w:val="21"/>
          <w:color w:val="auto"/>
        </w:rPr>
      </w:pPr>
    </w:p>
    <w:p>
      <w:pPr>
        <w:ind w:left="1220" w:hanging="410"/>
        <w:spacing w:after="0"/>
        <w:tabs>
          <w:tab w:leader="none" w:pos="12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What Facts are Material?</w:t>
      </w:r>
    </w:p>
    <w:p>
      <w:pPr>
        <w:spacing w:after="0" w:line="218"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The materiality of a fact depends upon the circumstances. A fact is considered “material” if there is a substantial likelihood that a reasonable investor would consider it important in making 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5" w:name="page156"/>
    <w:bookmarkEnd w:id="155"/>
    <w:p>
      <w:pPr>
        <w:jc w:val="both"/>
        <w:spacing w:after="0" w:line="255" w:lineRule="auto"/>
        <w:rPr>
          <w:sz w:val="20"/>
          <w:szCs w:val="20"/>
          <w:color w:val="auto"/>
        </w:rPr>
      </w:pPr>
      <w:r>
        <w:rPr>
          <w:rFonts w:ascii="Times New Roman" w:cs="Times New Roman" w:eastAsia="Times New Roman" w:hAnsi="Times New Roman"/>
          <w:sz w:val="21"/>
          <w:szCs w:val="21"/>
          <w:color w:val="auto"/>
        </w:rPr>
        <w:t>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Examples of material information include (but are not limited to) information about:</w:t>
      </w:r>
    </w:p>
    <w:p>
      <w:pPr>
        <w:spacing w:after="0" w:line="218" w:lineRule="exact"/>
        <w:rPr>
          <w:sz w:val="20"/>
          <w:szCs w:val="20"/>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corporate earnings or earnings forecasts;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possible mergers, acquisitions, tender offers or dispositions;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new products or product developments;</w:t>
      </w:r>
    </w:p>
    <w:p>
      <w:pPr>
        <w:spacing w:after="0" w:line="217" w:lineRule="exact"/>
        <w:rPr>
          <w:rFonts w:ascii="Times New Roman" w:cs="Times New Roman" w:eastAsia="Times New Roman" w:hAnsi="Times New Roman"/>
          <w:sz w:val="21"/>
          <w:szCs w:val="21"/>
          <w:color w:val="auto"/>
        </w:rPr>
      </w:pPr>
    </w:p>
    <w:p>
      <w:pPr>
        <w:ind w:left="1500" w:hanging="369"/>
        <w:spacing w:after="0" w:line="295" w:lineRule="auto"/>
        <w:tabs>
          <w:tab w:leader="none" w:pos="15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business developments such as clinical trial enrollment status or results, developments regarding strategic collaborations, product reimbursement status, or the status of regulatory submissions, clearances or approvals;</w:t>
      </w:r>
    </w:p>
    <w:p>
      <w:pPr>
        <w:spacing w:after="0" w:line="13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management or control changes;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financing developments including pending public sales or offerings of debt or equity securities;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defaults on borrowings;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bankruptcies; and</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litigation or regulatory actions.</w:t>
      </w:r>
    </w:p>
    <w:p>
      <w:pPr>
        <w:spacing w:after="0" w:line="21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Moreover, material information does not have to be related to a company’s business. For example, the contents of a forthcoming newspaper column that is expected to affect the market price of a security can be material. Similarly, information relating to an industry or multiple companies in the same sector could be material.</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A good general rule of thumb: </w:t>
      </w:r>
      <w:r>
        <w:rPr>
          <w:rFonts w:ascii="Times New Roman" w:cs="Times New Roman" w:eastAsia="Times New Roman" w:hAnsi="Times New Roman"/>
          <w:sz w:val="21"/>
          <w:szCs w:val="21"/>
          <w:b w:val="1"/>
          <w:bCs w:val="1"/>
          <w:color w:val="auto"/>
        </w:rPr>
        <w:t>When in doubt, do not trade.</w:t>
      </w:r>
    </w:p>
    <w:p>
      <w:pPr>
        <w:spacing w:after="0" w:line="220" w:lineRule="exact"/>
        <w:rPr>
          <w:sz w:val="20"/>
          <w:szCs w:val="20"/>
          <w:color w:val="auto"/>
        </w:rPr>
      </w:pPr>
    </w:p>
    <w:p>
      <w:pPr>
        <w:ind w:left="1220" w:hanging="410"/>
        <w:spacing w:after="0"/>
        <w:tabs>
          <w:tab w:leader="none" w:pos="122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What is Non-Public?</w:t>
      </w:r>
    </w:p>
    <w:p>
      <w:pPr>
        <w:spacing w:after="0" w:line="21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0"/>
          <w:szCs w:val="20"/>
          <w:u w:val="single" w:color="auto"/>
          <w:color w:val="auto"/>
        </w:rPr>
        <w:t>Dow Jones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Business Wire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Wall Street Journal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Associated Press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United Press International</w:t>
      </w:r>
      <w:r>
        <w:rPr>
          <w:rFonts w:ascii="Times New Roman" w:cs="Times New Roman" w:eastAsia="Times New Roman" w:hAnsi="Times New Roman"/>
          <w:sz w:val="20"/>
          <w:szCs w:val="20"/>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that are available on the SEC’s web site.</w:t>
      </w:r>
    </w:p>
    <w:p>
      <w:pPr>
        <w:spacing w:after="0" w:line="16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the purposes of this Policy, a “trading day” is a day on which national stock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6" w:name="page157"/>
    <w:bookmarkEnd w:id="156"/>
    <w:p>
      <w:pPr>
        <w:jc w:val="both"/>
        <w:spacing w:after="0" w:line="251" w:lineRule="auto"/>
        <w:rPr>
          <w:sz w:val="20"/>
          <w:szCs w:val="20"/>
          <w:color w:val="auto"/>
        </w:rPr>
      </w:pPr>
      <w:r>
        <w:rPr>
          <w:rFonts w:ascii="Times New Roman" w:cs="Times New Roman" w:eastAsia="Times New Roman" w:hAnsi="Times New Roman"/>
          <w:sz w:val="21"/>
          <w:szCs w:val="21"/>
          <w:color w:val="auto"/>
        </w:rPr>
        <w:t>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Legal Officer.</w:t>
      </w:r>
    </w:p>
    <w:p>
      <w:pPr>
        <w:spacing w:after="0" w:line="178" w:lineRule="exact"/>
        <w:rPr>
          <w:sz w:val="20"/>
          <w:szCs w:val="20"/>
          <w:color w:val="auto"/>
        </w:rPr>
      </w:pPr>
    </w:p>
    <w:p>
      <w:pPr>
        <w:ind w:left="1220" w:hanging="410"/>
        <w:spacing w:after="0"/>
        <w:tabs>
          <w:tab w:leader="none" w:pos="122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Who is an Insider?</w:t>
      </w:r>
    </w:p>
    <w:p>
      <w:pPr>
        <w:spacing w:after="0" w:line="21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“Insiders” include officers, directors and employees of a company and certain other individuals that have material non-public information about a company. Insiders have independent fiduciary duties to the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w:t>
      </w:r>
    </w:p>
    <w:p>
      <w:pPr>
        <w:spacing w:after="0" w:line="17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and transactions by these entities should be treated for the purposes of this Policy and applicable securities laws as if they were for the individual’s own account.</w:t>
      </w:r>
    </w:p>
    <w:p>
      <w:pPr>
        <w:spacing w:after="0" w:line="178" w:lineRule="exact"/>
        <w:rPr>
          <w:sz w:val="20"/>
          <w:szCs w:val="20"/>
          <w:color w:val="auto"/>
        </w:rPr>
      </w:pPr>
    </w:p>
    <w:p>
      <w:pPr>
        <w:ind w:left="1220" w:hanging="410"/>
        <w:spacing w:after="0"/>
        <w:tabs>
          <w:tab w:leader="none" w:pos="122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by Persons Other than Insiders</w:t>
      </w:r>
    </w:p>
    <w:p>
      <w:pPr>
        <w:spacing w:after="0" w:line="21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Insiders may be liable for communicating or tipping material, non-public information to a third party (“</w:t>
      </w:r>
      <w:r>
        <w:rPr>
          <w:rFonts w:ascii="Times New Roman" w:cs="Times New Roman" w:eastAsia="Times New Roman" w:hAnsi="Times New Roman"/>
          <w:sz w:val="21"/>
          <w:szCs w:val="21"/>
          <w:b w:val="1"/>
          <w:bCs w:val="1"/>
          <w:i w:val="1"/>
          <w:iCs w:val="1"/>
          <w:color w:val="auto"/>
        </w:rPr>
        <w:t>tippee</w:t>
      </w:r>
      <w:r>
        <w:rPr>
          <w:rFonts w:ascii="Times New Roman" w:cs="Times New Roman" w:eastAsia="Times New Roman" w:hAnsi="Times New Roman"/>
          <w:sz w:val="21"/>
          <w:szCs w:val="21"/>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7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3" w:lineRule="exact"/>
        <w:rPr>
          <w:sz w:val="20"/>
          <w:szCs w:val="20"/>
          <w:color w:val="auto"/>
        </w:rPr>
      </w:pPr>
    </w:p>
    <w:p>
      <w:pPr>
        <w:ind w:left="1220" w:hanging="410"/>
        <w:spacing w:after="0"/>
        <w:tabs>
          <w:tab w:leader="none" w:pos="12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Penalties for Engaging in Insider Trading</w:t>
      </w:r>
    </w:p>
    <w:p>
      <w:pPr>
        <w:spacing w:after="0" w:line="21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78" w:lineRule="exact"/>
        <w:rPr>
          <w:sz w:val="20"/>
          <w:szCs w:val="20"/>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 administrative sanctions;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industry self-regulatory organization sanctions;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civil injunctions;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7" w:name="page158"/>
    <w:bookmarkEnd w:id="157"/>
    <w:p>
      <w:pPr>
        <w:ind w:left="1500" w:hanging="369"/>
        <w:spacing w:after="0"/>
        <w:tabs>
          <w:tab w:leader="none" w:pos="15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damage awards to private plaintiffs;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disgorgement of all profits;</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civil fines for the violator of up to three times the amount of profit gained or loss avoided;</w:t>
      </w:r>
    </w:p>
    <w:p>
      <w:pPr>
        <w:spacing w:after="0" w:line="217" w:lineRule="exact"/>
        <w:rPr>
          <w:rFonts w:ascii="Times New Roman" w:cs="Times New Roman" w:eastAsia="Times New Roman" w:hAnsi="Times New Roman"/>
          <w:sz w:val="21"/>
          <w:szCs w:val="21"/>
          <w:color w:val="auto"/>
        </w:rPr>
      </w:pPr>
    </w:p>
    <w:p>
      <w:pPr>
        <w:jc w:val="both"/>
        <w:ind w:left="1500" w:hanging="369"/>
        <w:spacing w:after="0" w:line="255" w:lineRule="auto"/>
        <w:tabs>
          <w:tab w:leader="none" w:pos="15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civil fines for the employer or other controlling person of a violator (i.e., where the violator is an employee or other controlled person) of up to the greater of a prescribed statutory amount and three times the amount of profit gained or loss avoided by the violator;</w:t>
      </w:r>
    </w:p>
    <w:p>
      <w:pPr>
        <w:spacing w:after="0" w:line="175"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criminal fines for individual violators of up to $5,000,000 ($25,000,000 for an entity); and</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jail sentences of up to 20 years.</w:t>
      </w:r>
    </w:p>
    <w:p>
      <w:pPr>
        <w:spacing w:after="0" w:line="21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In addition, insider trading could result in serious sanctions by the Company, up to and including termination of employment for cause.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78" w:lineRule="exact"/>
        <w:rPr>
          <w:sz w:val="20"/>
          <w:szCs w:val="20"/>
          <w:color w:val="auto"/>
        </w:rPr>
      </w:pPr>
    </w:p>
    <w:p>
      <w:pPr>
        <w:ind w:left="1220" w:hanging="410"/>
        <w:spacing w:after="0"/>
        <w:tabs>
          <w:tab w:leader="none" w:pos="122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Size of Transaction and Reason for Transaction Do Not Matter</w:t>
      </w:r>
    </w:p>
    <w:p>
      <w:pPr>
        <w:spacing w:after="0" w:line="21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78" w:lineRule="exact"/>
        <w:rPr>
          <w:sz w:val="20"/>
          <w:szCs w:val="20"/>
          <w:color w:val="auto"/>
        </w:rPr>
      </w:pPr>
    </w:p>
    <w:p>
      <w:pPr>
        <w:ind w:left="760" w:right="6980" w:firstLine="50"/>
        <w:spacing w:after="0" w:line="479" w:lineRule="auto"/>
        <w:tabs>
          <w:tab w:leader="none" w:pos="122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 xml:space="preserve">Examples of Insider Trading </w:t>
      </w:r>
      <w:r>
        <w:rPr>
          <w:rFonts w:ascii="Times New Roman" w:cs="Times New Roman" w:eastAsia="Times New Roman" w:hAnsi="Times New Roman"/>
          <w:sz w:val="20"/>
          <w:szCs w:val="20"/>
          <w:color w:val="auto"/>
        </w:rPr>
        <w:t>Examples of insider trading cases include:</w:t>
      </w:r>
    </w:p>
    <w:p>
      <w:pPr>
        <w:ind w:left="1500" w:hanging="369"/>
        <w:spacing w:after="0" w:line="270" w:lineRule="auto"/>
        <w:tabs>
          <w:tab w:leader="none" w:pos="1500"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actions brought against corporate officers, directors, and employees who traded in a company’s securities after learning of significant confidential corporate developments;</w:t>
      </w:r>
    </w:p>
    <w:p>
      <w:pPr>
        <w:spacing w:after="0" w:line="158" w:lineRule="exact"/>
        <w:rPr>
          <w:rFonts w:ascii="Times New Roman" w:cs="Times New Roman" w:eastAsia="Times New Roman" w:hAnsi="Times New Roman"/>
          <w:sz w:val="21"/>
          <w:szCs w:val="21"/>
          <w:color w:val="auto"/>
        </w:rPr>
      </w:pPr>
    </w:p>
    <w:p>
      <w:pPr>
        <w:ind w:left="1500" w:hanging="369"/>
        <w:spacing w:after="0" w:line="270" w:lineRule="auto"/>
        <w:tabs>
          <w:tab w:leader="none" w:pos="1500"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friends, business associates, family members and other tippees of such officers, directors, and employees who traded in the securities after receiving such information;</w:t>
      </w:r>
    </w:p>
    <w:p>
      <w:pPr>
        <w:spacing w:after="0" w:line="158"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government employees who learned of such information in the course of their employment; and</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persons who misappropriated, and took advantage of, confidential information from their employers.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8" w:name="page159"/>
    <w:bookmarkEnd w:id="158"/>
    <w:p>
      <w:pPr>
        <w:ind w:firstLine="749"/>
        <w:spacing w:after="0" w:line="270" w:lineRule="auto"/>
        <w:rPr>
          <w:sz w:val="20"/>
          <w:szCs w:val="20"/>
          <w:color w:val="auto"/>
        </w:rPr>
      </w:pPr>
      <w:r>
        <w:rPr>
          <w:rFonts w:ascii="Times New Roman" w:cs="Times New Roman" w:eastAsia="Times New Roman" w:hAnsi="Times New Roman"/>
          <w:sz w:val="21"/>
          <w:szCs w:val="21"/>
          <w:color w:val="auto"/>
        </w:rPr>
        <w:t>The following are illustrations of insider trading violations. These illustrations are hypothetical and, consequently, not intended to reflect on the actual activities or business of the Company or any other entity.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Trading by Insider</w:t>
      </w:r>
    </w:p>
    <w:p>
      <w:pPr>
        <w:spacing w:after="0" w:line="218"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Trading by Tippee</w:t>
      </w:r>
    </w:p>
    <w:p>
      <w:pPr>
        <w:spacing w:after="0" w:line="218"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83" w:lineRule="exact"/>
        <w:rPr>
          <w:sz w:val="20"/>
          <w:szCs w:val="20"/>
          <w:color w:val="auto"/>
        </w:rPr>
      </w:pPr>
    </w:p>
    <w:p>
      <w:pPr>
        <w:ind w:left="1220" w:hanging="410"/>
        <w:spacing w:after="0"/>
        <w:tabs>
          <w:tab w:leader="none" w:pos="122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of Records Falsification and False Statements</w:t>
      </w:r>
    </w:p>
    <w:p>
      <w:pPr>
        <w:spacing w:after="0" w:line="21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IV. 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reventing</w:t>
      </w:r>
      <w:r>
        <w:rPr>
          <w:rFonts w:ascii="Times New Roman" w:cs="Times New Roman" w:eastAsia="Times New Roman" w:hAnsi="Times New Roman"/>
          <w:sz w:val="21"/>
          <w:szCs w:val="21"/>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2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following procedures have been established, and will be maintained and enforced, by the Company to prevent insider trading. Every officer and director and each employee who is designated as a Pre-Clearance Person (as defined below) is required to follow these procedures.</w:t>
      </w:r>
    </w:p>
    <w:p>
      <w:pPr>
        <w:spacing w:after="0" w:line="175" w:lineRule="exact"/>
        <w:rPr>
          <w:sz w:val="20"/>
          <w:szCs w:val="20"/>
          <w:color w:val="auto"/>
        </w:rPr>
      </w:pPr>
    </w:p>
    <w:p>
      <w:pPr>
        <w:ind w:left="1220" w:hanging="410"/>
        <w:spacing w:after="0"/>
        <w:tabs>
          <w:tab w:leader="none" w:pos="122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Pre-Clearance of All Trades by All Officers, Directors and Certain Employees</w:t>
      </w:r>
    </w:p>
    <w:p>
      <w:pPr>
        <w:spacing w:after="0" w:line="2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 the Company’s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(including without limitation, acquisitions and dispositions of Company stock and the exercise of stock options and subsequent sale of Company stock issued upon exercise) by officers, directors and such other employees as are designated by the Board of Directors, the Chief Executive Officer, Chief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9" w:name="page160"/>
    <w:bookmarkEnd w:id="159"/>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Financial Officer or the Chief Legal Officer as being subject to this pre-clearance process (each, a “</w:t>
      </w:r>
      <w:r>
        <w:rPr>
          <w:rFonts w:ascii="Times New Roman" w:cs="Times New Roman" w:eastAsia="Times New Roman" w:hAnsi="Times New Roman"/>
          <w:sz w:val="22"/>
          <w:szCs w:val="22"/>
          <w:b w:val="1"/>
          <w:bCs w:val="1"/>
          <w:i w:val="1"/>
          <w:iCs w:val="1"/>
          <w:color w:val="auto"/>
        </w:rPr>
        <w:t>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b w:val="1"/>
          <w:bCs w:val="1"/>
          <w:color w:val="auto"/>
        </w:rPr>
        <w:t>”) must be pre-cleared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Chief Legal Officer. Pre-clearance does not relieve anyone of his or her responsibility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under SEC rules. For the avoidance of doubt, any designation by the Board of Directors of the employees who are subject to pre-clearance may be updated from time to time by the Chief Executive Officer, the Chief Financial Officer or the Chief Legal Officer.</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and subsequent sale, etc.), the proposed date of the transaction and the number of shares, options or other securities to be involved. In addition, unless otherwise determined by the Chief Legal Officer, the Pre-Clearance Person must execute a certification (in the form approved by the Chief Legal Officer) that he, she or it is not aware of material, non-public information about the Company. The Chief Legal Officer shall have sole discretion to decide whether to clear any contemplated transaction, provided that the Chief Financial Officer shall have sole discretion to decide whether to clear transactions by the Chief Legal Officer or persons or entities subject to this policy as a result of their relationship with the Chief Legal Officer. All trades that are pre-cleared must be effected within five business days of receipt of the pre-clearance unless a specific exception has been granted by the Chief Legal Officer.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80" w:lineRule="exact"/>
        <w:rPr>
          <w:sz w:val="20"/>
          <w:szCs w:val="20"/>
          <w:color w:val="auto"/>
        </w:rPr>
      </w:pPr>
    </w:p>
    <w:p>
      <w:pPr>
        <w:ind w:left="1220" w:hanging="410"/>
        <w:spacing w:after="0"/>
        <w:tabs>
          <w:tab w:leader="none" w:pos="122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Black-Out Periods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b w:val="1"/>
          <w:bCs w:val="1"/>
          <w:color w:val="auto"/>
        </w:rPr>
        <w:t>No officer, director or other employee designated from time to time by the Board of Directors, the Chief Executive Officer, the Chief Financial Officer or the Chief Legal Officer as being subject to quarterly blackout periods shall purchase or sell any security of the Company during the period beginning at 11:59 p.m., Eastern time, on the 14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20"/>
          <w:szCs w:val="20"/>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w:t>
      </w:r>
      <w:r>
        <w:rPr>
          <w:rFonts w:ascii="Times New Roman" w:cs="Times New Roman" w:eastAsia="Times New Roman" w:hAnsi="Times New Roman"/>
          <w:sz w:val="20"/>
          <w:szCs w:val="20"/>
          <w:color w:val="auto"/>
        </w:rPr>
        <w:t>,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purchases and sales made pursuant to the permitted transactions described in Section II. For example, if the Company’s fourth fiscal quarter ends at 11:59 p.m., Eastern time, on December 31, the corresponding blackout period would begin at 11:59 p.m., Eastern time, on December 17. For the avoidance of doubt, any designation by the Board of Directors of the employees who are subject to quarterly blackout periods may be updated from time to time by the Chief Executive Officer, Chief Financial Officer or Chief Legal Officer.</w:t>
      </w:r>
    </w:p>
    <w:p>
      <w:pPr>
        <w:spacing w:after="0" w:line="18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Exceptions to the black-out period policy may be approved only by the Chief Legal Officer (or, in the case of an exception for the Chief Legal Officer or persons or entities subject to this policy as a result of their relationship with the Chief Legal Officer, the Chief Financial Officer or, in the case of exceptions for directors or persons or entities subject to this policy as a result of their relationship with a director, the Board of Directors).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0" w:name="page161"/>
    <w:bookmarkEnd w:id="160"/>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From time to time, the Company, through the Board of Directors, the Chief Financial Officer or the Chief Legal Officer,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17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8" w:lineRule="exact"/>
        <w:rPr>
          <w:sz w:val="20"/>
          <w:szCs w:val="20"/>
          <w:color w:val="auto"/>
        </w:rPr>
      </w:pPr>
    </w:p>
    <w:p>
      <w:pPr>
        <w:ind w:left="1220" w:hanging="410"/>
        <w:spacing w:after="0"/>
        <w:tabs>
          <w:tab w:leader="none" w:pos="122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Post-Termination Transactions</w:t>
      </w:r>
    </w:p>
    <w:p>
      <w:pPr>
        <w:spacing w:after="0" w:line="218"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59" w:lineRule="exact"/>
        <w:rPr>
          <w:sz w:val="20"/>
          <w:szCs w:val="20"/>
          <w:color w:val="auto"/>
        </w:rPr>
      </w:pPr>
    </w:p>
    <w:p>
      <w:pPr>
        <w:ind w:left="1220" w:hanging="410"/>
        <w:spacing w:after="0"/>
        <w:tabs>
          <w:tab w:leader="none" w:pos="122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Relating to the Company</w:t>
      </w:r>
    </w:p>
    <w:p>
      <w:pPr>
        <w:spacing w:after="0" w:line="215" w:lineRule="exact"/>
        <w:rPr>
          <w:rFonts w:ascii="Times New Roman" w:cs="Times New Roman" w:eastAsia="Times New Roman" w:hAnsi="Times New Roman"/>
          <w:sz w:val="21"/>
          <w:szCs w:val="21"/>
          <w:color w:val="auto"/>
        </w:rPr>
      </w:pPr>
    </w:p>
    <w:p>
      <w:pPr>
        <w:ind w:left="1920" w:hanging="415"/>
        <w:spacing w:after="0"/>
        <w:tabs>
          <w:tab w:leader="none" w:pos="1920"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Access to Information</w:t>
      </w:r>
    </w:p>
    <w:p>
      <w:pPr>
        <w:spacing w:after="0" w:line="22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173" w:lineRule="exact"/>
        <w:rPr>
          <w:sz w:val="20"/>
          <w:szCs w:val="20"/>
          <w:color w:val="auto"/>
        </w:rPr>
      </w:pPr>
    </w:p>
    <w:p>
      <w:pPr>
        <w:ind w:left="1920" w:hanging="415"/>
        <w:spacing w:after="0"/>
        <w:tabs>
          <w:tab w:leader="none" w:pos="192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Inquiries From Third Parties</w:t>
      </w:r>
    </w:p>
    <w:p>
      <w:pPr>
        <w:spacing w:after="0" w:line="220"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Inquiries from third parties, such as industry analysts or members of the media, about the Company should be directed to the Chief Executive Officer, Chief Financial Officer or Chief Legal Officer.</w:t>
      </w:r>
    </w:p>
    <w:p>
      <w:pPr>
        <w:spacing w:after="0" w:line="159" w:lineRule="exact"/>
        <w:rPr>
          <w:sz w:val="20"/>
          <w:szCs w:val="20"/>
          <w:color w:val="auto"/>
        </w:rPr>
      </w:pPr>
    </w:p>
    <w:p>
      <w:pPr>
        <w:ind w:left="1220" w:hanging="410"/>
        <w:spacing w:after="0"/>
        <w:tabs>
          <w:tab w:leader="none" w:pos="12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Access to Company Information</w:t>
      </w:r>
    </w:p>
    <w:p>
      <w:pPr>
        <w:spacing w:after="0" w:line="218"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The following procedures are designed to maintain confidentiality with respect to the Company’s business operations and activities.</w:t>
      </w:r>
    </w:p>
    <w:p>
      <w:pPr>
        <w:spacing w:after="0" w:line="159"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All officers, directors and employees should take all steps and precautions necessary to restrict access to, and secure, material, non-public information by, among other things:</w:t>
      </w:r>
    </w:p>
    <w:p>
      <w:pPr>
        <w:spacing w:after="0" w:line="159" w:lineRule="exact"/>
        <w:rPr>
          <w:sz w:val="20"/>
          <w:szCs w:val="20"/>
          <w:color w:val="auto"/>
        </w:rPr>
      </w:pPr>
    </w:p>
    <w:p>
      <w:pPr>
        <w:ind w:left="5580" w:right="4380" w:hanging="4449"/>
        <w:spacing w:after="0" w:line="484" w:lineRule="auto"/>
        <w:tabs>
          <w:tab w:leader="none" w:pos="1513"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maintaining the confidentiality of Company-related transactions;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1" w:name="page162"/>
    <w:bookmarkEnd w:id="161"/>
    <w:p>
      <w:pPr>
        <w:jc w:val="both"/>
        <w:ind w:left="1500" w:hanging="369"/>
        <w:spacing w:after="0" w:line="255" w:lineRule="auto"/>
        <w:tabs>
          <w:tab w:leader="none" w:pos="150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75" w:lineRule="exact"/>
        <w:rPr>
          <w:rFonts w:ascii="Times New Roman" w:cs="Times New Roman" w:eastAsia="Times New Roman" w:hAnsi="Times New Roman"/>
          <w:sz w:val="21"/>
          <w:szCs w:val="21"/>
          <w:color w:val="auto"/>
        </w:rPr>
      </w:pPr>
    </w:p>
    <w:p>
      <w:pPr>
        <w:jc w:val="both"/>
        <w:ind w:left="1500" w:hanging="369"/>
        <w:spacing w:after="0" w:line="255" w:lineRule="auto"/>
        <w:tabs>
          <w:tab w:leader="none" w:pos="150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75" w:lineRule="exact"/>
        <w:rPr>
          <w:rFonts w:ascii="Times New Roman" w:cs="Times New Roman" w:eastAsia="Times New Roman" w:hAnsi="Times New Roman"/>
          <w:sz w:val="21"/>
          <w:szCs w:val="21"/>
          <w:color w:val="auto"/>
        </w:rPr>
      </w:pPr>
    </w:p>
    <w:p>
      <w:pPr>
        <w:ind w:left="1500" w:hanging="369"/>
        <w:spacing w:after="0" w:line="270" w:lineRule="auto"/>
        <w:tabs>
          <w:tab w:leader="none" w:pos="150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removing and cleaning up all confidential documents and other materials from conference rooms following the conclusion of any meetings;</w:t>
      </w:r>
    </w:p>
    <w:p>
      <w:pPr>
        <w:spacing w:after="0" w:line="158" w:lineRule="exact"/>
        <w:rPr>
          <w:rFonts w:ascii="Times New Roman" w:cs="Times New Roman" w:eastAsia="Times New Roman" w:hAnsi="Times New Roman"/>
          <w:sz w:val="21"/>
          <w:szCs w:val="21"/>
          <w:color w:val="auto"/>
        </w:rPr>
      </w:pPr>
    </w:p>
    <w:p>
      <w:pPr>
        <w:ind w:left="1500" w:hanging="369"/>
        <w:spacing w:after="0" w:line="270" w:lineRule="auto"/>
        <w:tabs>
          <w:tab w:leader="none" w:pos="150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disposing of all confidential documents and other papers, after there is no longer any business or other legally required need, through shredders when appropriate;</w:t>
      </w:r>
    </w:p>
    <w:p>
      <w:pPr>
        <w:spacing w:after="0" w:line="158"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restricting access to areas likely to contain confidential documents or material, non-public information;</w:t>
      </w:r>
    </w:p>
    <w:p>
      <w:pPr>
        <w:spacing w:after="0" w:line="217" w:lineRule="exact"/>
        <w:rPr>
          <w:rFonts w:ascii="Times New Roman" w:cs="Times New Roman" w:eastAsia="Times New Roman" w:hAnsi="Times New Roman"/>
          <w:sz w:val="21"/>
          <w:szCs w:val="21"/>
          <w:color w:val="auto"/>
        </w:rPr>
      </w:pPr>
    </w:p>
    <w:p>
      <w:pPr>
        <w:ind w:left="1500" w:right="20" w:hanging="369"/>
        <w:spacing w:after="0" w:line="270" w:lineRule="auto"/>
        <w:tabs>
          <w:tab w:leader="none" w:pos="150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safeguarding laptop computers, mobile devices, tablets, memory sticks, CDs and other items that contain confidential information; and</w:t>
      </w:r>
    </w:p>
    <w:p>
      <w:pPr>
        <w:spacing w:after="0" w:line="158" w:lineRule="exact"/>
        <w:rPr>
          <w:rFonts w:ascii="Times New Roman" w:cs="Times New Roman" w:eastAsia="Times New Roman" w:hAnsi="Times New Roman"/>
          <w:sz w:val="21"/>
          <w:szCs w:val="21"/>
          <w:color w:val="auto"/>
        </w:rPr>
      </w:pPr>
    </w:p>
    <w:p>
      <w:pPr>
        <w:ind w:left="1500" w:right="20" w:hanging="369"/>
        <w:spacing w:after="0" w:line="270" w:lineRule="auto"/>
        <w:tabs>
          <w:tab w:leader="none" w:pos="150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avoiding the discussion of material, non-public information in places where the information could be overheard by others such as in elevators, restrooms, hallways, restaurants, airplanes or taxicabs.</w:t>
      </w:r>
    </w:p>
    <w:p>
      <w:pPr>
        <w:spacing w:after="0" w:line="159"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Personnel involved with material, non-public information, to the extent feasible, should conduct their business and activities in areas separate from other Company activities.</w:t>
      </w:r>
    </w:p>
    <w:p>
      <w:pPr>
        <w:spacing w:after="0" w:line="157" w:lineRule="exact"/>
        <w:rPr>
          <w:sz w:val="20"/>
          <w:szCs w:val="20"/>
          <w:color w:val="auto"/>
        </w:rPr>
      </w:pPr>
    </w:p>
    <w:p>
      <w:pPr>
        <w:ind w:left="420" w:hanging="412"/>
        <w:spacing w:after="0"/>
        <w:tabs>
          <w:tab w:leader="none" w:pos="42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rohibited</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2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75" w:lineRule="exact"/>
        <w:rPr>
          <w:sz w:val="20"/>
          <w:szCs w:val="20"/>
          <w:color w:val="auto"/>
        </w:rPr>
      </w:pPr>
    </w:p>
    <w:p>
      <w:pPr>
        <w:ind w:left="1220" w:hanging="410"/>
        <w:spacing w:after="0"/>
        <w:tabs>
          <w:tab w:leader="none" w:pos="12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Short Sales</w:t>
      </w:r>
    </w:p>
    <w:p>
      <w:pPr>
        <w:spacing w:after="0" w:line="21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sales of shares that the insider does not own at the time of sale, or sales of shares against which the insider does not deliver the shares within 20 days after the sale.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2" w:name="page163"/>
    <w:bookmarkEnd w:id="162"/>
    <w:p>
      <w:pPr>
        <w:ind w:left="1220" w:hanging="410"/>
        <w:spacing w:after="0"/>
        <w:tabs>
          <w:tab w:leader="none" w:pos="122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Options</w:t>
      </w:r>
    </w:p>
    <w:p>
      <w:pPr>
        <w:spacing w:after="0" w:line="21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 Grants of options to directors, officers and employees under the Company’s equity plans, and the exercise of such options, are not intended to be prohibited by this section.</w:t>
      </w:r>
    </w:p>
    <w:p>
      <w:pPr>
        <w:spacing w:after="0" w:line="184" w:lineRule="exact"/>
        <w:rPr>
          <w:sz w:val="20"/>
          <w:szCs w:val="20"/>
          <w:color w:val="auto"/>
        </w:rPr>
      </w:pPr>
    </w:p>
    <w:p>
      <w:pPr>
        <w:ind w:left="1220" w:hanging="410"/>
        <w:spacing w:after="0"/>
        <w:tabs>
          <w:tab w:leader="none" w:pos="122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Hedging Transactions</w:t>
      </w:r>
    </w:p>
    <w:p>
      <w:pPr>
        <w:spacing w:after="0" w:line="21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83" w:lineRule="exact"/>
        <w:rPr>
          <w:sz w:val="20"/>
          <w:szCs w:val="20"/>
          <w:color w:val="auto"/>
        </w:rPr>
      </w:pPr>
    </w:p>
    <w:p>
      <w:pPr>
        <w:ind w:left="1220" w:hanging="410"/>
        <w:spacing w:after="0"/>
        <w:tabs>
          <w:tab w:leader="none" w:pos="12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Purchases of the Company’s Securities on Margin; Pledging the Company’s Securities to Secure Margin or Other Loans</w:t>
      </w:r>
    </w:p>
    <w:p>
      <w:pPr>
        <w:spacing w:after="0" w:line="22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This prohibition means, among other things, that you cannot hold the Company’s securities in a “margin account” (which would allow you to borrow against your holdings to buy securities). Pledging the Company’s securities as collateral to secure loans is prohibited; provided, however, that the Compliance Officer may make exceptions to the prohibition of pledging on a case-by-case basis through a written pre-approval process.</w:t>
      </w:r>
    </w:p>
    <w:p>
      <w:pPr>
        <w:spacing w:after="0" w:line="183" w:lineRule="exact"/>
        <w:rPr>
          <w:sz w:val="20"/>
          <w:szCs w:val="20"/>
          <w:color w:val="auto"/>
        </w:rPr>
      </w:pPr>
    </w:p>
    <w:p>
      <w:pPr>
        <w:ind w:left="1220" w:hanging="410"/>
        <w:spacing w:after="0"/>
        <w:tabs>
          <w:tab w:leader="none" w:pos="12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Director and Executive Officer Cashless Exercises</w:t>
      </w:r>
    </w:p>
    <w:p>
      <w:pPr>
        <w:spacing w:after="0" w:line="21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“T+1” cashless exercise arrangement, in which the Company agrees to deliver stock against the payment of the purchase price on the same day the sale of the stock underlying the equity award settles and (iv) the director or officer otherwise complies with this Policy. Under a T+1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Legal Officer.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3" w:name="page164"/>
    <w:bookmarkEnd w:id="163"/>
    <w:p>
      <w:pPr>
        <w:ind w:left="1220" w:hanging="410"/>
        <w:spacing w:after="0"/>
        <w:tabs>
          <w:tab w:leader="none" w:pos="12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Partnership Distributions</w:t>
      </w:r>
    </w:p>
    <w:p>
      <w:pPr>
        <w:spacing w:after="0" w:line="21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 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21"/>
          <w:szCs w:val="21"/>
          <w:b w:val="1"/>
          <w:bCs w:val="1"/>
          <w:color w:val="auto"/>
        </w:rPr>
        <w:t xml:space="preserve"> 10</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21"/>
          <w:szCs w:val="21"/>
          <w:b w:val="1"/>
          <w:bCs w:val="1"/>
          <w:color w:val="auto"/>
        </w:rPr>
        <w:t>5-1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20" w:lineRule="exact"/>
        <w:rPr>
          <w:sz w:val="20"/>
          <w:szCs w:val="20"/>
          <w:color w:val="auto"/>
        </w:rPr>
      </w:pPr>
    </w:p>
    <w:p>
      <w:pPr>
        <w:ind w:left="1220" w:hanging="410"/>
        <w:spacing w:after="0"/>
        <w:tabs>
          <w:tab w:leader="none" w:pos="122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Overview</w:t>
      </w:r>
    </w:p>
    <w:p>
      <w:pPr>
        <w:spacing w:after="0" w:line="21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entered into in good faith and in accordance with the terms of Rule 10b5-1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will be exempt from the trading restrictions set forth in this Policy. Each such Trading Plan, and any proposed modification thereof, must be submitted to and pre-approved by the Chief Legal Officer or the Chief Legal Officer’s designee, or such other person as the Board of Directors may designate from time to time (the “</w:t>
      </w:r>
      <w:r>
        <w:rPr>
          <w:rFonts w:ascii="Times New Roman" w:cs="Times New Roman" w:eastAsia="Times New Roman" w:hAnsi="Times New Roman"/>
          <w:sz w:val="20"/>
          <w:szCs w:val="20"/>
          <w:b w:val="1"/>
          <w:bCs w:val="1"/>
          <w:i w:val="1"/>
          <w:iCs w:val="1"/>
          <w:color w:val="auto"/>
        </w:rPr>
        <w:t>Authorizing Officer</w:t>
      </w:r>
      <w:r>
        <w:rPr>
          <w:rFonts w:ascii="Times New Roman" w:cs="Times New Roman" w:eastAsia="Times New Roman" w:hAnsi="Times New Roman"/>
          <w:sz w:val="20"/>
          <w:szCs w:val="20"/>
          <w:color w:val="auto"/>
        </w:rPr>
        <w:t>”), who may impose such conditions on the implementation and operation of the Trading Plan as the Authorizing Officer deems necessary or advisable. However, compliance of the Trading Plan with the terms of Rule 10b5-1 and the execution of transactions in a manner consistent with the Trading Plan are the sole responsibility of the person initiating the Trading Plan, not the Company or the Authorizing Officer.</w:t>
      </w:r>
    </w:p>
    <w:p>
      <w:pPr>
        <w:spacing w:after="0" w:line="1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Trading Plans do not exempt individuals from complying with Section 16 reporting obligations or from short-swing profit rules or liability. Furthermore, a Trading Plan only provides an “affirmative defense” in the event there is an insider trading lawsuit. It does not prevent someone from bringing a lawsuit.</w:t>
      </w:r>
    </w:p>
    <w:p>
      <w:pPr>
        <w:spacing w:after="0" w:line="17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0"/>
          <w:szCs w:val="20"/>
          <w:color w:val="auto"/>
        </w:rPr>
        <w:t>A director, officer or employee may enter into a Trading Plan only when he or she is not in possession of material, non-public information, and only during a trading window period outside of a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80"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Officers, directors and employees may adopt Trading Plans with brokers that outline a pre-set plan for trading of the Company’s stock, including the exercise of options. Trades pursuant to 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4" w:name="page165"/>
    <w:bookmarkEnd w:id="164"/>
    <w:p>
      <w:pPr>
        <w:spacing w:after="0" w:line="270" w:lineRule="auto"/>
        <w:rPr>
          <w:sz w:val="20"/>
          <w:szCs w:val="20"/>
          <w:color w:val="auto"/>
        </w:rPr>
      </w:pPr>
      <w:r>
        <w:rPr>
          <w:rFonts w:ascii="Times New Roman" w:cs="Times New Roman" w:eastAsia="Times New Roman" w:hAnsi="Times New Roman"/>
          <w:sz w:val="21"/>
          <w:szCs w:val="21"/>
          <w:color w:val="auto"/>
        </w:rPr>
        <w:t>Trading Plan generally may occur at any time. However, a Trading Plan must include a minimum “cooling-off period” between the establishment of a Trading Plan and commencement of any transactions under such plan for:</w:t>
      </w:r>
    </w:p>
    <w:p>
      <w:pPr>
        <w:spacing w:after="0" w:line="159" w:lineRule="exact"/>
        <w:rPr>
          <w:sz w:val="20"/>
          <w:szCs w:val="20"/>
          <w:color w:val="auto"/>
        </w:rPr>
      </w:pPr>
    </w:p>
    <w:p>
      <w:pPr>
        <w:jc w:val="both"/>
        <w:ind w:left="1500" w:right="20" w:hanging="369"/>
        <w:spacing w:after="0" w:line="255" w:lineRule="auto"/>
        <w:tabs>
          <w:tab w:leader="none" w:pos="150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 reporting persons that extends to the later of (i) 90 days after adoption or modification of a Trading Plan, and (ii) two business days after filing the Form 10-K or Form 10-Q covering the fiscal quarter in which the Trading Plan was adopted or modified, as applicable, up to a maximum of 120 days; and</w:t>
      </w:r>
    </w:p>
    <w:p>
      <w:pPr>
        <w:spacing w:after="0" w:line="175" w:lineRule="exact"/>
        <w:rPr>
          <w:rFonts w:ascii="Times New Roman" w:cs="Times New Roman" w:eastAsia="Times New Roman" w:hAnsi="Times New Roman"/>
          <w:sz w:val="21"/>
          <w:szCs w:val="21"/>
          <w:color w:val="auto"/>
        </w:rPr>
      </w:pPr>
    </w:p>
    <w:p>
      <w:pPr>
        <w:ind w:left="1500" w:right="20" w:hanging="369"/>
        <w:spacing w:after="0" w:line="270" w:lineRule="auto"/>
        <w:tabs>
          <w:tab w:leader="none" w:pos="150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who are not Section 16 reporting persons and any other persons, other than the Company, that extends 30 days after adoption or modification of a Trading Plan.</w:t>
      </w:r>
    </w:p>
    <w:p>
      <w:pPr>
        <w:spacing w:after="0" w:line="159" w:lineRule="exact"/>
        <w:rPr>
          <w:sz w:val="20"/>
          <w:szCs w:val="20"/>
          <w:color w:val="auto"/>
        </w:rPr>
      </w:pPr>
    </w:p>
    <w:p>
      <w:pPr>
        <w:jc w:val="both"/>
        <w:ind w:right="20" w:firstLine="749"/>
        <w:spacing w:after="0" w:line="270" w:lineRule="auto"/>
        <w:rPr>
          <w:sz w:val="20"/>
          <w:szCs w:val="20"/>
          <w:color w:val="auto"/>
        </w:rPr>
      </w:pPr>
      <w:r>
        <w:rPr>
          <w:rFonts w:ascii="Times New Roman" w:cs="Times New Roman" w:eastAsia="Times New Roman" w:hAnsi="Times New Roman"/>
          <w:sz w:val="21"/>
          <w:szCs w:val="21"/>
          <w:color w:val="auto"/>
        </w:rPr>
        <w:t>Individuals may not adopt more than one Trading Plan at a time except under the limited circumstances permitted by Rule 10b5-1 and subject to pre-approval by the Authorizing Officer.</w:t>
      </w:r>
    </w:p>
    <w:p>
      <w:pPr>
        <w:spacing w:after="0" w:line="15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spacing w:after="0" w:line="178" w:lineRule="exact"/>
        <w:rPr>
          <w:sz w:val="20"/>
          <w:szCs w:val="20"/>
          <w:color w:val="auto"/>
        </w:rPr>
      </w:pPr>
    </w:p>
    <w:p>
      <w:pPr>
        <w:ind w:left="1220" w:hanging="410"/>
        <w:spacing w:after="0"/>
        <w:tabs>
          <w:tab w:leader="none" w:pos="122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Revocation of and Amendments to Trading Plans</w:t>
      </w:r>
    </w:p>
    <w:p>
      <w:pPr>
        <w:spacing w:after="0" w:line="218"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1"/>
          <w:szCs w:val="21"/>
          <w:color w:val="auto"/>
        </w:rPr>
        <w:t>Revocation of Trading Plans should occur only in unusual circumstances. Effectiveness of any revocation or amendment of a Trading Plan will be subject to the prior review and approval of the Authorizing Officer. Revocation is effected upon written notice to the broker.</w:t>
      </w:r>
    </w:p>
    <w:p>
      <w:pPr>
        <w:spacing w:after="0" w:line="17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Authorizing Officer and modifications of a Trading Plan that change the amount, price, or timing of the purchase or sale of the securities underlying a Trading Plan will trigger a new cooling-off period (as described in Section VI.A above).</w:t>
      </w:r>
    </w:p>
    <w:p>
      <w:pPr>
        <w:spacing w:after="0" w:line="181"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Under certain circumstances, a Trading Plan </w:t>
      </w:r>
      <w:r>
        <w:rPr>
          <w:rFonts w:ascii="Times New Roman" w:cs="Times New Roman" w:eastAsia="Times New Roman" w:hAnsi="Times New Roman"/>
          <w:sz w:val="21"/>
          <w:szCs w:val="21"/>
          <w:i w:val="1"/>
          <w:iCs w:val="1"/>
          <w:color w:val="auto"/>
        </w:rPr>
        <w:t>must</w:t>
      </w:r>
      <w:r>
        <w:rPr>
          <w:rFonts w:ascii="Times New Roman" w:cs="Times New Roman" w:eastAsia="Times New Roman" w:hAnsi="Times New Roman"/>
          <w:sz w:val="21"/>
          <w:szCs w:val="21"/>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180" w:lineRule="exact"/>
        <w:rPr>
          <w:sz w:val="20"/>
          <w:szCs w:val="20"/>
          <w:color w:val="auto"/>
        </w:rPr>
      </w:pPr>
    </w:p>
    <w:p>
      <w:pPr>
        <w:ind w:left="1220" w:hanging="410"/>
        <w:spacing w:after="0"/>
        <w:tabs>
          <w:tab w:leader="none" w:pos="122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Plans</w:t>
      </w:r>
    </w:p>
    <w:p>
      <w:pPr>
        <w:spacing w:after="0" w:line="218" w:lineRule="exact"/>
        <w:rPr>
          <w:sz w:val="20"/>
          <w:szCs w:val="20"/>
          <w:color w:val="auto"/>
        </w:rPr>
      </w:pPr>
    </w:p>
    <w:p>
      <w:pPr>
        <w:jc w:val="both"/>
        <w:ind w:right="20" w:firstLine="749"/>
        <w:spacing w:after="0" w:line="270" w:lineRule="auto"/>
        <w:rPr>
          <w:sz w:val="20"/>
          <w:szCs w:val="20"/>
          <w:color w:val="auto"/>
        </w:rPr>
      </w:pPr>
      <w:r>
        <w:rPr>
          <w:rFonts w:ascii="Times New Roman" w:cs="Times New Roman" w:eastAsia="Times New Roman" w:hAnsi="Times New Roman"/>
          <w:sz w:val="21"/>
          <w:szCs w:val="21"/>
          <w:color w:val="auto"/>
        </w:rPr>
        <w:t>Although non-discretionary Trading Plans are preferred, discretionary Trading Plans, where the discretion or control over trading is transferred to a broker, are permitted if pre-approved by the Authorizing Officer.</w:t>
      </w:r>
    </w:p>
    <w:p>
      <w:pPr>
        <w:spacing w:after="0" w:line="15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5" w:name="page166"/>
    <w:bookmarkEnd w:id="165"/>
    <w:p>
      <w:pPr>
        <w:ind w:right="20"/>
        <w:spacing w:after="0" w:line="270" w:lineRule="auto"/>
        <w:rPr>
          <w:sz w:val="20"/>
          <w:szCs w:val="20"/>
          <w:color w:val="auto"/>
        </w:rPr>
      </w:pPr>
      <w:r>
        <w:rPr>
          <w:rFonts w:ascii="Times New Roman" w:cs="Times New Roman" w:eastAsia="Times New Roman" w:hAnsi="Times New Roman"/>
          <w:sz w:val="21"/>
          <w:szCs w:val="21"/>
          <w:color w:val="auto"/>
        </w:rPr>
        <w:t>limit orders. The actual transactions effected pursuant to a pre-approved Trading Plan will not be subject to further pre-clearance for transactions in the Company’s stock once the Trading Plan or other arrangement has been pre-approved.</w:t>
      </w:r>
    </w:p>
    <w:p>
      <w:pPr>
        <w:spacing w:after="0" w:line="159" w:lineRule="exact"/>
        <w:rPr>
          <w:sz w:val="20"/>
          <w:szCs w:val="20"/>
          <w:color w:val="auto"/>
        </w:rPr>
      </w:pPr>
    </w:p>
    <w:p>
      <w:pPr>
        <w:ind w:left="1220" w:hanging="410"/>
        <w:spacing w:after="0"/>
        <w:tabs>
          <w:tab w:leader="none" w:pos="122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(if Required)</w:t>
      </w:r>
    </w:p>
    <w:p>
      <w:pPr>
        <w:spacing w:after="0" w:line="21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____.” For Section 16 reporting persons, Form 4s should be filed</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before the end of the second business day following the date that the broker, dealer or plan administrator informs the individual that a transaction was executed, provided that the date of such notification is not later than the third business day following the trade date. The Form 4 must indicate that the transaction was made pursuant to a Trading Plan.</w:t>
      </w:r>
    </w:p>
    <w:p>
      <w:pPr>
        <w:spacing w:after="0" w:line="188" w:lineRule="exact"/>
        <w:rPr>
          <w:sz w:val="20"/>
          <w:szCs w:val="20"/>
          <w:color w:val="auto"/>
        </w:rPr>
      </w:pPr>
    </w:p>
    <w:p>
      <w:pPr>
        <w:ind w:left="1180" w:hanging="423"/>
        <w:spacing w:after="0"/>
        <w:tabs>
          <w:tab w:leader="none" w:pos="118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Options</w:t>
      </w:r>
    </w:p>
    <w:p>
      <w:pPr>
        <w:spacing w:after="0" w:line="21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84" w:lineRule="exact"/>
        <w:rPr>
          <w:sz w:val="20"/>
          <w:szCs w:val="20"/>
          <w:color w:val="auto"/>
        </w:rPr>
      </w:pPr>
    </w:p>
    <w:p>
      <w:pPr>
        <w:ind w:left="1180" w:hanging="423"/>
        <w:spacing w:after="0"/>
        <w:tabs>
          <w:tab w:leader="none" w:pos="118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Trades Outside of a Trading Plan</w:t>
      </w:r>
    </w:p>
    <w:p>
      <w:pPr>
        <w:spacing w:after="0" w:line="218" w:lineRule="exact"/>
        <w:rPr>
          <w:sz w:val="20"/>
          <w:szCs w:val="20"/>
          <w:color w:val="auto"/>
        </w:rPr>
      </w:pPr>
    </w:p>
    <w:p>
      <w:pPr>
        <w:ind w:right="20" w:firstLine="749"/>
        <w:spacing w:after="0" w:line="270" w:lineRule="auto"/>
        <w:rPr>
          <w:sz w:val="20"/>
          <w:szCs w:val="20"/>
          <w:color w:val="auto"/>
        </w:rPr>
      </w:pPr>
      <w:r>
        <w:rPr>
          <w:rFonts w:ascii="Times New Roman" w:cs="Times New Roman" w:eastAsia="Times New Roman" w:hAnsi="Times New Roman"/>
          <w:sz w:val="21"/>
          <w:szCs w:val="21"/>
          <w:color w:val="auto"/>
        </w:rPr>
        <w:t>During an open trading window, trades differing from Trading Plan instructions that are already in place are allowed as long as the Trading Plan continues to be followed.</w:t>
      </w:r>
    </w:p>
    <w:p>
      <w:pPr>
        <w:spacing w:after="0" w:line="159" w:lineRule="exact"/>
        <w:rPr>
          <w:sz w:val="20"/>
          <w:szCs w:val="20"/>
          <w:color w:val="auto"/>
        </w:rPr>
      </w:pPr>
    </w:p>
    <w:p>
      <w:pPr>
        <w:ind w:left="1180" w:hanging="423"/>
        <w:spacing w:after="0"/>
        <w:tabs>
          <w:tab w:leader="none" w:pos="118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 Disclosure</w:t>
      </w:r>
    </w:p>
    <w:p>
      <w:pPr>
        <w:spacing w:after="0" w:line="21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spacing w:after="0" w:line="175" w:lineRule="exact"/>
        <w:rPr>
          <w:sz w:val="20"/>
          <w:szCs w:val="20"/>
          <w:color w:val="auto"/>
        </w:rPr>
      </w:pPr>
    </w:p>
    <w:p>
      <w:pPr>
        <w:ind w:left="1180" w:hanging="423"/>
        <w:spacing w:after="0"/>
        <w:tabs>
          <w:tab w:leader="none" w:pos="118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Prohibited Transactions</w:t>
      </w:r>
    </w:p>
    <w:p>
      <w:pPr>
        <w:spacing w:after="0" w:line="21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75" w:lineRule="exact"/>
        <w:rPr>
          <w:sz w:val="20"/>
          <w:szCs w:val="20"/>
          <w:color w:val="auto"/>
        </w:rPr>
      </w:pPr>
    </w:p>
    <w:p>
      <w:pPr>
        <w:ind w:left="1180" w:hanging="423"/>
        <w:spacing w:after="0"/>
        <w:tabs>
          <w:tab w:leader="none" w:pos="118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Liability</w:t>
      </w:r>
    </w:p>
    <w:p>
      <w:pPr>
        <w:spacing w:after="0" w:line="21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None of the Company, the Chief Executive Officer, the Chief Financial Officer, Chief Legal Officer, the Authorizing Officer, the Company’s other employees or any other person will have any liability for any delay in reviewing, or refusal of, a Trading Plan submitted pursuant to this Section VI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6" w:name="page167"/>
    <w:bookmarkEnd w:id="166"/>
    <w:p>
      <w:pPr>
        <w:jc w:val="both"/>
        <w:spacing w:after="0" w:line="267" w:lineRule="auto"/>
        <w:rPr>
          <w:sz w:val="20"/>
          <w:szCs w:val="20"/>
          <w:color w:val="auto"/>
        </w:rPr>
      </w:pPr>
      <w:r>
        <w:rPr>
          <w:rFonts w:ascii="Times New Roman" w:cs="Times New Roman" w:eastAsia="Times New Roman" w:hAnsi="Times New Roman"/>
          <w:sz w:val="20"/>
          <w:szCs w:val="20"/>
          <w:color w:val="auto"/>
        </w:rPr>
        <w:t>or a request for pre-clearance submitted pursuant to Section IV of this Policy. Notwithstanding any review of a Trading Plan pursuant to this Section VI or pre-clearance of a transaction pursuant to Section IV of this Policy, none of the Company, the Chief Financial Officer, Chief Legal Officer, the Authorizing Officer, the Company’s other employees or any other person assumes any liability for the legality or consequences of such Trading Plan or transaction to the person engaging in or adopting such Trading Plan or transaction.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 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eturn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ertification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After reading this Policy and on an annual basis, all officers, directors and employees should execute and return the Certification of Compliance form attached hereto as “Attachment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ATTACHMENT A</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31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with (or, if I am not an employee, affiliation with) Sight Sciences, Inc., to comply fully with the policies and procedures contained therein.</w:t>
      </w:r>
    </w:p>
    <w:p>
      <w:pPr>
        <w:spacing w:after="0" w:line="38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___________________________</w:t>
      </w:r>
      <w:r>
        <w:rPr>
          <w:sz w:val="20"/>
          <w:szCs w:val="20"/>
          <w:color w:val="auto"/>
        </w:rPr>
        <w:tab/>
      </w:r>
      <w:r>
        <w:rPr>
          <w:rFonts w:ascii="Times New Roman" w:cs="Times New Roman" w:eastAsia="Times New Roman" w:hAnsi="Times New Roman"/>
          <w:sz w:val="22"/>
          <w:szCs w:val="22"/>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-13970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-13970</wp:posOffset>
            </wp:positionV>
            <wp:extent cx="6172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-13970</wp:posOffset>
            </wp:positionV>
            <wp:extent cx="3429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 333-270629 on Form S-3 and Nos. 333-257936 and 333 -270627 on Form S-8 of our report dated March 7, 2025 relating to the consolidated financial statements of Sight Sciences, Inc., appearing in this Annual Report on Form 10-K of Sight Sciences, Inc. for the year ended December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1119505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Paul Badawi and Alison Bauerlein, and each of them individually, his and her true and lawful attorneys-in-fact and agents, with full power of substitution and resubstitution, for him and her and in his and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Signature</w:t>
            </w:r>
          </w:p>
        </w:tc>
        <w:tc>
          <w:tcPr>
            <w:tcW w:w="120" w:type="dxa"/>
            <w:vAlign w:val="bottom"/>
          </w:tcPr>
          <w:p>
            <w:pPr>
              <w:spacing w:after="0"/>
              <w:rPr>
                <w:sz w:val="15"/>
                <w:szCs w:val="15"/>
                <w:color w:val="auto"/>
              </w:rPr>
            </w:pPr>
          </w:p>
        </w:tc>
        <w:tc>
          <w:tcPr>
            <w:tcW w:w="52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1"/>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Paul Badawi</w:t>
            </w:r>
          </w:p>
        </w:tc>
        <w:tc>
          <w:tcPr>
            <w:tcW w:w="1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227"/>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Paul Badawi</w:t>
            </w:r>
          </w:p>
        </w:tc>
        <w:tc>
          <w:tcPr>
            <w:tcW w:w="1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80"/>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Alison Bauerlein</w:t>
            </w:r>
          </w:p>
        </w:tc>
        <w:tc>
          <w:tcPr>
            <w:tcW w:w="1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227"/>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Alison Bauerlein</w:t>
            </w:r>
          </w:p>
        </w:tc>
        <w:tc>
          <w:tcPr>
            <w:tcW w:w="1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Accounting Officer)</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80"/>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Staffan Encrantz</w:t>
            </w:r>
          </w:p>
        </w:tc>
        <w:tc>
          <w:tcPr>
            <w:tcW w:w="1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Staffan Encrantz</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5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David Badawi</w:t>
            </w:r>
          </w:p>
        </w:tc>
        <w:tc>
          <w:tcPr>
            <w:tcW w:w="120" w:type="dxa"/>
            <w:vAlign w:val="bottom"/>
          </w:tcPr>
          <w:p>
            <w:pPr>
              <w:spacing w:after="0"/>
              <w:rPr>
                <w:sz w:val="22"/>
                <w:szCs w:val="22"/>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Badawi, M.D.</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5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Tamara Fountain</w:t>
            </w:r>
          </w:p>
        </w:tc>
        <w:tc>
          <w:tcPr>
            <w:tcW w:w="120" w:type="dxa"/>
            <w:vAlign w:val="bottom"/>
          </w:tcPr>
          <w:p>
            <w:pPr>
              <w:spacing w:after="0"/>
              <w:rPr>
                <w:sz w:val="22"/>
                <w:szCs w:val="22"/>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Tamara Fountain, M.D.</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5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Brenda Becker</w:t>
            </w:r>
          </w:p>
        </w:tc>
        <w:tc>
          <w:tcPr>
            <w:tcW w:w="120" w:type="dxa"/>
            <w:vAlign w:val="bottom"/>
          </w:tcPr>
          <w:p>
            <w:pPr>
              <w:spacing w:after="0"/>
              <w:rPr>
                <w:sz w:val="22"/>
                <w:szCs w:val="22"/>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Brenda Becker</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5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Erica Rogers</w:t>
            </w:r>
          </w:p>
        </w:tc>
        <w:tc>
          <w:tcPr>
            <w:tcW w:w="120" w:type="dxa"/>
            <w:vAlign w:val="bottom"/>
          </w:tcPr>
          <w:p>
            <w:pPr>
              <w:spacing w:after="0"/>
              <w:rPr>
                <w:sz w:val="22"/>
                <w:szCs w:val="22"/>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Erica Rogers</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5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Catherine Mazzacco</w:t>
            </w:r>
          </w:p>
        </w:tc>
        <w:tc>
          <w:tcPr>
            <w:tcW w:w="120" w:type="dxa"/>
            <w:vAlign w:val="bottom"/>
          </w:tcPr>
          <w:p>
            <w:pPr>
              <w:spacing w:after="0"/>
              <w:rPr>
                <w:sz w:val="22"/>
                <w:szCs w:val="22"/>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Catherine Mazzacco</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5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Donald Zurbay</w:t>
            </w:r>
          </w:p>
        </w:tc>
        <w:tc>
          <w:tcPr>
            <w:tcW w:w="120" w:type="dxa"/>
            <w:vAlign w:val="bottom"/>
          </w:tcPr>
          <w:p>
            <w:pPr>
              <w:spacing w:after="0"/>
              <w:rPr>
                <w:sz w:val="22"/>
                <w:szCs w:val="22"/>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Donald Zurbay</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313"/>
        </w:trPr>
        <w:tc>
          <w:tcPr>
            <w:tcW w:w="3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Badawi, certify that:</w:t>
      </w:r>
    </w:p>
    <w:p>
      <w:pPr>
        <w:spacing w:after="0" w:line="225" w:lineRule="exact"/>
        <w:rPr>
          <w:sz w:val="20"/>
          <w:szCs w:val="20"/>
          <w:color w:val="auto"/>
        </w:rPr>
      </w:pPr>
    </w:p>
    <w:p>
      <w:pPr>
        <w:ind w:left="520" w:hanging="512"/>
        <w:spacing w:after="0"/>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Sight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369"/>
        <w:spacing w:after="0" w:line="282"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369"/>
        <w:spacing w:after="0" w:line="282"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5715</wp:posOffset>
            </wp:positionV>
            <wp:extent cx="36690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18"/>
          <w:szCs w:val="18"/>
          <w:b w:val="1"/>
          <w:bCs w:val="1"/>
          <w:color w:val="auto"/>
        </w:rPr>
        <w:t>Paul Badawi</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Alison Bauerlein, certify that:</w:t>
      </w:r>
    </w:p>
    <w:p>
      <w:pPr>
        <w:spacing w:after="0" w:line="225" w:lineRule="exact"/>
        <w:rPr>
          <w:sz w:val="20"/>
          <w:szCs w:val="20"/>
          <w:color w:val="auto"/>
        </w:rPr>
      </w:pPr>
    </w:p>
    <w:p>
      <w:pPr>
        <w:ind w:left="520" w:hanging="512"/>
        <w:spacing w:after="0"/>
        <w:tabs>
          <w:tab w:leader="none" w:pos="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Sight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369"/>
        <w:spacing w:after="0" w:line="282" w:lineRule="auto"/>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369"/>
        <w:spacing w:after="0" w:line="282" w:lineRule="auto"/>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Alison Bauerlein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5715</wp:posOffset>
            </wp:positionV>
            <wp:extent cx="37973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b w:val="1"/>
          <w:bCs w:val="1"/>
          <w:color w:val="auto"/>
        </w:rPr>
        <w:t>Alison Bauerlein</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his knowledge:</w:t>
      </w:r>
    </w:p>
    <w:p>
      <w:pPr>
        <w:spacing w:after="0" w:line="162" w:lineRule="exact"/>
        <w:rPr>
          <w:sz w:val="20"/>
          <w:szCs w:val="20"/>
          <w:color w:val="auto"/>
        </w:rPr>
      </w:pPr>
    </w:p>
    <w:p>
      <w:pPr>
        <w:ind w:left="1260" w:right="560" w:hanging="743"/>
        <w:spacing w:after="0" w:line="282" w:lineRule="auto"/>
        <w:tabs>
          <w:tab w:leader="none" w:pos="12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2024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260" w:right="320" w:hanging="743"/>
        <w:spacing w:after="0" w:line="282" w:lineRule="auto"/>
        <w:tabs>
          <w:tab w:leader="none" w:pos="12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18"/>
          <w:szCs w:val="18"/>
          <w:color w:val="auto"/>
        </w:rPr>
        <w:t>Dated: March 7, 2025</w:t>
      </w:r>
      <w:r>
        <w:rPr>
          <w:sz w:val="20"/>
          <w:szCs w:val="20"/>
          <w:color w:val="auto"/>
        </w:rPr>
        <w:tab/>
      </w:r>
      <w:r>
        <w:rPr>
          <w:rFonts w:ascii="Times New Roman" w:cs="Times New Roman" w:eastAsia="Times New Roman" w:hAnsi="Times New Roman"/>
          <w:sz w:val="17"/>
          <w:szCs w:val="17"/>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-7620</wp:posOffset>
            </wp:positionV>
            <wp:extent cx="13423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Paul Badawi</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his knowledge:</w:t>
      </w:r>
    </w:p>
    <w:p>
      <w:pPr>
        <w:spacing w:after="0" w:line="162" w:lineRule="exact"/>
        <w:rPr>
          <w:sz w:val="20"/>
          <w:szCs w:val="20"/>
          <w:color w:val="auto"/>
        </w:rPr>
      </w:pPr>
    </w:p>
    <w:p>
      <w:pPr>
        <w:ind w:left="1260" w:right="560" w:hanging="743"/>
        <w:spacing w:after="0" w:line="282" w:lineRule="auto"/>
        <w:tabs>
          <w:tab w:leader="none" w:pos="1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2024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260" w:right="320" w:hanging="743"/>
        <w:spacing w:after="0" w:line="282" w:lineRule="auto"/>
        <w:tabs>
          <w:tab w:leader="none" w:pos="1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Dated: March 7, 2025</w:t>
      </w:r>
      <w:r>
        <w:rPr>
          <w:sz w:val="20"/>
          <w:szCs w:val="20"/>
          <w:color w:val="auto"/>
        </w:rPr>
        <w:tab/>
      </w:r>
      <w:r>
        <w:rPr>
          <w:rFonts w:ascii="Times New Roman" w:cs="Times New Roman" w:eastAsia="Times New Roman" w:hAnsi="Times New Roman"/>
          <w:sz w:val="17"/>
          <w:szCs w:val="17"/>
          <w:color w:val="auto"/>
        </w:rPr>
        <w:t>/s/ Alison Bauerlein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-7620</wp:posOffset>
            </wp:positionV>
            <wp:extent cx="11423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Alison Bauerlein</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lvl w:ilvl="1">
      <w:lvlJc w:val="left"/>
      <w:lvlText w:val="(%2)"/>
      <w:numFmt w:val="lowerRoman"/>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1)"/>
      <w:numFmt w:val="lowerLetter"/>
      <w:start w:val="1"/>
    </w:lvl>
  </w:abstractNum>
  <w:abstractNum w:abstractNumId="38">
    <w:nsid w:val="26F324BA"/>
    <w:multiLevelType w:val="hybridMultilevel"/>
    <w:lvl w:ilvl="0">
      <w:lvlJc w:val="left"/>
      <w:lvlText w:val="(%1)"/>
      <w:numFmt w:val="decimal"/>
      <w:start w:val="2"/>
    </w:lvl>
  </w:abstractNum>
  <w:abstractNum w:abstractNumId="39">
    <w:nsid w:val="7F01579B"/>
    <w:multiLevelType w:val="hybridMultilevel"/>
    <w:lvl w:ilvl="0">
      <w:lvlJc w:val="left"/>
      <w:lvlText w:val="%1"/>
      <w:numFmt w:val="lowerLetter"/>
      <w:start w:val="1"/>
    </w:lvl>
    <w:lvl w:ilvl="1">
      <w:lvlJc w:val="left"/>
      <w:lvlText w:val="(%2)"/>
      <w:numFmt w:val="decimal"/>
      <w:start w:val="3"/>
    </w:lvl>
  </w:abstractNum>
  <w:abstractNum w:abstractNumId="40">
    <w:nsid w:val="49DA307D"/>
    <w:multiLevelType w:val="hybridMultilevel"/>
    <w:lvl w:ilvl="0">
      <w:lvlJc w:val="left"/>
      <w:lvlText w:val="(%1)"/>
      <w:numFmt w:val="lowerLetter"/>
      <w:start w:val="2"/>
    </w:lvl>
    <w:lvl w:ilvl="1">
      <w:lvlJc w:val="left"/>
      <w:lvlText w:val="%2"/>
      <w:numFmt w:val="decimal"/>
      <w:start w:val="1"/>
    </w:lvl>
  </w:abstractNum>
  <w:abstractNum w:abstractNumId="41">
    <w:nsid w:val="7055A5F5"/>
    <w:multiLevelType w:val="hybridMultilevel"/>
    <w:lvl w:ilvl="0">
      <w:lvlJc w:val="left"/>
      <w:lvlText w:val="(%1)"/>
      <w:numFmt w:val="lowerLetter"/>
      <w:start w:val="3"/>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1."/>
      <w:numFmt w:val="upperLetter"/>
      <w:start w:val="1"/>
    </w:lvl>
  </w:abstractNum>
  <w:abstractNum w:abstractNumId="44">
    <w:nsid w:val="488AC1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45">
    <w:nsid w:val="5FB8011C"/>
    <w:multiLevelType w:val="hybridMultilevel"/>
    <w:lvl w:ilvl="0">
      <w:lvlJc w:val="left"/>
      <w:lvlText w:val="%1."/>
      <w:numFmt w:val="upperLetter"/>
      <w:start w:val="1"/>
    </w:lvl>
  </w:abstractNum>
  <w:abstractNum w:abstractNumId="46">
    <w:nsid w:val="6AA78F7F"/>
    <w:multiLevelType w:val="hybridMultilevel"/>
    <w:lvl w:ilvl="0">
      <w:lvlJc w:val="left"/>
      <w:lvlText w:val="%1."/>
      <w:numFmt w:val="decimal"/>
      <w:start w:val="1"/>
    </w:lvl>
    <w:lvl w:ilvl="1">
      <w:lvlJc w:val="left"/>
      <w:lvlText w:val="(%2)"/>
      <w:numFmt w:val="lowerLetter"/>
      <w:start w:val="1"/>
    </w:lvl>
  </w:abstractNum>
  <w:abstractNum w:abstractNumId="47">
    <w:nsid w:val="7672BD23"/>
    <w:multiLevelType w:val="hybridMultilevel"/>
    <w:lvl w:ilvl="0">
      <w:lvlJc w:val="left"/>
      <w:lvlText w:val="%1."/>
      <w:numFmt w:val="decimal"/>
      <w:start w:val="2"/>
    </w:lvl>
    <w:lvl w:ilvl="1">
      <w:lvlJc w:val="left"/>
      <w:lvlText w:val="(%2)"/>
      <w:numFmt w:val="lowerLetter"/>
      <w:start w:val="1"/>
    </w:lvl>
  </w:abstractNum>
  <w:abstractNum w:abstractNumId="48">
    <w:nsid w:val="6FC75AF8"/>
    <w:multiLevelType w:val="hybridMultilevel"/>
    <w:lvl w:ilvl="0">
      <w:lvlJc w:val="left"/>
      <w:lvlText w:val="%1."/>
      <w:numFmt w:val="decimal"/>
      <w:start w:val="3"/>
    </w:lvl>
  </w:abstractNum>
  <w:abstractNum w:abstractNumId="49">
    <w:nsid w:val="6A5F7029"/>
    <w:multiLevelType w:val="hybridMultilevel"/>
    <w:lvl w:ilvl="0">
      <w:lvlJc w:val="left"/>
      <w:lvlText w:val="(%1)"/>
      <w:numFmt w:val="lowerLetter"/>
      <w:start w:val="1"/>
    </w:lvl>
    <w:lvl w:ilvl="1">
      <w:lvlJc w:val="left"/>
      <w:lvlText w:val="(%2)"/>
      <w:numFmt w:val="lowerRoman"/>
      <w:start w:val="1"/>
    </w:lvl>
  </w:abstractNum>
  <w:abstractNum w:abstractNumId="50">
    <w:nsid w:val="7D5E18F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1">
    <w:nsid w:val="5F3534A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73A1821B"/>
    <w:multiLevelType w:val="hybridMultilevel"/>
    <w:lvl w:ilvl="0">
      <w:lvlJc w:val="left"/>
      <w:lvlText w:val="(%1)"/>
      <w:numFmt w:val="lowerLetter"/>
      <w:start w:val="3"/>
    </w:lvl>
    <w:lvl w:ilvl="1">
      <w:lvlJc w:val="left"/>
      <w:lvlText w:val="(%2)"/>
      <w:numFmt w:val="lowerRoman"/>
      <w:start w:val="1"/>
    </w:lvl>
  </w:abstractNum>
  <w:abstractNum w:abstractNumId="53">
    <w:nsid w:val="7DE67713"/>
    <w:multiLevelType w:val="hybridMultilevel"/>
    <w:lvl w:ilvl="0">
      <w:lvlJc w:val="left"/>
      <w:lvlText w:val="%1."/>
      <w:numFmt w:val="decimal"/>
      <w:start w:val="5"/>
    </w:lvl>
  </w:abstractNum>
  <w:abstractNum w:abstractNumId="54">
    <w:nsid w:val="555C55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
    <w:nsid w:val="3FA62ACA"/>
    <w:multiLevelType w:val="hybridMultilevel"/>
    <w:lvl w:ilvl="0">
      <w:lvlJc w:val="left"/>
      <w:lvlText w:val="(%1)"/>
      <w:numFmt w:val="lowerLetter"/>
      <w:start w:val="2"/>
    </w:lvl>
  </w:abstractNum>
  <w:abstractNum w:abstractNumId="56">
    <w:nsid w:val="14FCE74E"/>
    <w:multiLevelType w:val="hybridMultilevel"/>
    <w:lvl w:ilvl="0">
      <w:lvlJc w:val="left"/>
      <w:lvlText w:val="%1."/>
      <w:numFmt w:val="decimal"/>
      <w:start w:val="8"/>
    </w:lvl>
    <w:lvl w:ilvl="1">
      <w:lvlJc w:val="left"/>
      <w:lvlText w:val="(%2)"/>
      <w:numFmt w:val="lowerLetter"/>
      <w:start w:val="1"/>
    </w:lvl>
  </w:abstractNum>
  <w:abstractNum w:abstractNumId="57">
    <w:nsid w:val="6A3DD3E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8">
    <w:nsid w:val="71C9129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9">
    <w:nsid w:val="9DAF632"/>
    <w:multiLevelType w:val="hybridMultilevel"/>
    <w:lvl w:ilvl="0">
      <w:lvlJc w:val="left"/>
      <w:lvlText w:val="(%1)"/>
      <w:numFmt w:val="lowerLetter"/>
      <w:start w:val="7"/>
    </w:lvl>
  </w:abstractNum>
  <w:abstractNum w:abstractNumId="60">
    <w:nsid w:val="53299938"/>
    <w:multiLevelType w:val="hybridMultilevel"/>
    <w:lvl w:ilvl="0">
      <w:lvlJc w:val="left"/>
      <w:lvlText w:val="(%1)"/>
      <w:numFmt w:val="lowerLetter"/>
      <w:start w:val="10"/>
    </w:lvl>
    <w:lvl w:ilvl="1">
      <w:lvlJc w:val="left"/>
      <w:lvlText w:val="(%2)"/>
      <w:numFmt w:val="lowerRoman"/>
      <w:start w:val="1"/>
    </w:lvl>
  </w:abstractNum>
  <w:abstractNum w:abstractNumId="61">
    <w:nsid w:val="1FBFE8E0"/>
    <w:multiLevelType w:val="hybridMultilevel"/>
    <w:lvl w:ilvl="0">
      <w:lvlJc w:val="left"/>
      <w:lvlText w:val="%1."/>
      <w:numFmt w:val="decimal"/>
      <w:start w:val="10"/>
    </w:lvl>
  </w:abstractNum>
  <w:abstractNum w:abstractNumId="62">
    <w:nsid w:val="5092CA79"/>
    <w:multiLevelType w:val="hybridMultilevel"/>
    <w:lvl w:ilvl="0">
      <w:lvlJc w:val="left"/>
      <w:lvlText w:val="%1."/>
      <w:numFmt w:val="decimal"/>
      <w:start w:val="1"/>
    </w:lvl>
  </w:abstractNum>
  <w:abstractNum w:abstractNumId="63">
    <w:nsid w:val="1D545C4D"/>
    <w:multiLevelType w:val="hybridMultilevel"/>
    <w:lvl w:ilvl="0">
      <w:lvlJc w:val="left"/>
      <w:lvlText w:val="(%1)"/>
      <w:numFmt w:val="lowerLetter"/>
      <w:start w:val="1"/>
    </w:lvl>
  </w:abstractNum>
  <w:abstractNum w:abstractNumId="64">
    <w:nsid w:val="59ADEA3D"/>
    <w:multiLevelType w:val="hybridMultilevel"/>
    <w:lvl w:ilvl="0">
      <w:lvlJc w:val="left"/>
      <w:lvlText w:val="%1"/>
      <w:numFmt w:val="lowerLetter"/>
      <w:start w:val="1"/>
    </w:lvl>
    <w:lvl w:ilvl="1">
      <w:lvlJc w:val="left"/>
      <w:lvlText w:val="%2."/>
      <w:numFmt w:val="decimal"/>
      <w:start w:val="3"/>
    </w:lvl>
  </w:abstractNum>
  <w:abstractNum w:abstractNumId="65">
    <w:nsid w:val="288F1A34"/>
    <w:multiLevelType w:val="hybridMultilevel"/>
    <w:lvl w:ilvl="0">
      <w:lvlJc w:val="left"/>
      <w:lvlText w:val="(%1)"/>
      <w:numFmt w:val="lowerLetter"/>
      <w:start w:val="4"/>
    </w:lvl>
    <w:lvl w:ilvl="1">
      <w:lvlJc w:val="left"/>
      <w:lvlText w:val="%2."/>
      <w:numFmt w:val="decimal"/>
      <w:start w:val="4"/>
    </w:lvl>
  </w:abstractNum>
  <w:abstractNum w:abstractNumId="66">
    <w:nsid w:val="2A155DBC"/>
    <w:multiLevelType w:val="hybridMultilevel"/>
    <w:lvl w:ilvl="0">
      <w:lvlJc w:val="left"/>
      <w:lvlText w:val="%1"/>
      <w:numFmt w:val="decimal"/>
      <w:start w:val="1"/>
    </w:lvl>
    <w:lvl w:ilvl="1">
      <w:lvlJc w:val="left"/>
      <w:lvlText w:val="(%2)"/>
      <w:numFmt w:val="lowerLetter"/>
      <w:start w:val="1"/>
    </w:lvl>
  </w:abstractNum>
  <w:abstractNum w:abstractNumId="67">
    <w:nsid w:val="1D9F6E5F"/>
    <w:multiLevelType w:val="hybridMultilevel"/>
    <w:lvl w:ilvl="0">
      <w:lvlJc w:val="left"/>
      <w:lvlText w:val="%1."/>
      <w:numFmt w:val="decimal"/>
      <w:start w:val="5"/>
    </w:lvl>
    <w:lvl w:ilvl="1">
      <w:lvlJc w:val="left"/>
      <w:lvlText w:val="%2"/>
      <w:numFmt w:val="lowerLetter"/>
      <w:start w:val="1"/>
    </w:lvl>
  </w:abstractNum>
  <w:abstractNum w:abstractNumId="68">
    <w:nsid w:val="97E1B4E"/>
    <w:multiLevelType w:val="hybridMultilevel"/>
    <w:lvl w:ilvl="0">
      <w:lvlJc w:val="left"/>
      <w:lvlText w:val="%1."/>
      <w:numFmt w:val="upperLetter"/>
      <w:start w:val="1"/>
    </w:lvl>
  </w:abstractNum>
  <w:abstractNum w:abstractNumId="69">
    <w:nsid w:val="51088277"/>
    <w:multiLevelType w:val="hybridMultilevel"/>
    <w:lvl w:ilvl="0">
      <w:lvlJc w:val="left"/>
      <w:lvlText w:val="%1."/>
      <w:numFmt w:val="decimal"/>
      <w:start w:val="1"/>
    </w:lvl>
    <w:lvl w:ilvl="1">
      <w:lvlJc w:val="left"/>
      <w:lvlText w:val="(%2)"/>
      <w:numFmt w:val="lowerLetter"/>
      <w:start w:val="1"/>
    </w:lvl>
  </w:abstractNum>
  <w:abstractNum w:abstractNumId="70">
    <w:nsid w:val="1CA0C5FA"/>
    <w:multiLevelType w:val="hybridMultilevel"/>
    <w:lvl w:ilvl="0">
      <w:lvlJc w:val="left"/>
      <w:lvlText w:val="%1."/>
      <w:numFmt w:val="decimal"/>
      <w:start w:val="2"/>
    </w:lvl>
    <w:lvl w:ilvl="1">
      <w:lvlJc w:val="left"/>
      <w:lvlText w:val="(%2)"/>
      <w:numFmt w:val="lowerLetter"/>
      <w:start w:val="1"/>
    </w:lvl>
  </w:abstractNum>
  <w:abstractNum w:abstractNumId="71">
    <w:nsid w:val="53584BCB"/>
    <w:multiLevelType w:val="hybridMultilevel"/>
    <w:lvl w:ilvl="0">
      <w:lvlJc w:val="left"/>
      <w:lvlText w:val="%1."/>
      <w:numFmt w:val="decimal"/>
      <w:start w:val="3"/>
    </w:lvl>
  </w:abstractNum>
  <w:abstractNum w:abstractNumId="72">
    <w:nsid w:val="415E286C"/>
    <w:multiLevelType w:val="hybridMultilevel"/>
    <w:lvl w:ilvl="0">
      <w:lvlJc w:val="left"/>
      <w:lvlText w:val="(%1)"/>
      <w:numFmt w:val="lowerLetter"/>
      <w:start w:val="1"/>
    </w:lvl>
    <w:lvl w:ilvl="1">
      <w:lvlJc w:val="left"/>
      <w:lvlText w:val="(%2)"/>
      <w:numFmt w:val="lowerRoman"/>
      <w:start w:val="1"/>
    </w:lvl>
  </w:abstractNum>
  <w:abstractNum w:abstractNumId="73">
    <w:nsid w:val="7C58FD05"/>
    <w:multiLevelType w:val="hybridMultilevel"/>
    <w:lvl w:ilvl="0">
      <w:lvlJc w:val="left"/>
      <w:lvlText w:val="%1"/>
      <w:numFmt w:val="decimal"/>
      <w:start w:val="1"/>
    </w:lvl>
    <w:lvl w:ilvl="1">
      <w:lvlJc w:val="left"/>
      <w:lvlText w:val="(%2)"/>
      <w:numFmt w:val="lowerLetter"/>
      <w:start w:val="3"/>
    </w:lvl>
  </w:abstractNum>
  <w:abstractNum w:abstractNumId="74">
    <w:nsid w:val="23D86AAC"/>
    <w:multiLevelType w:val="hybridMultilevel"/>
    <w:lvl w:ilvl="0">
      <w:lvlJc w:val="left"/>
      <w:lvlText w:val="%1."/>
      <w:numFmt w:val="decimal"/>
      <w:start w:val="4"/>
    </w:lvl>
    <w:lvl w:ilvl="1">
      <w:lvlJc w:val="left"/>
      <w:lvlText w:val="(%2)"/>
      <w:numFmt w:val="lowerLetter"/>
      <w:start w:val="1"/>
    </w:lvl>
  </w:abstractNum>
  <w:abstractNum w:abstractNumId="75">
    <w:nsid w:val="45E6D486"/>
    <w:multiLevelType w:val="hybridMultilevel"/>
    <w:lvl w:ilvl="0">
      <w:lvlJc w:val="left"/>
      <w:lvlText w:val="(%1)"/>
      <w:numFmt w:val="lowerRoman"/>
      <w:start w:val="1"/>
    </w:lvl>
  </w:abstractNum>
  <w:abstractNum w:abstractNumId="76">
    <w:nsid w:val="5C10FE21"/>
    <w:multiLevelType w:val="hybridMultilevel"/>
    <w:lvl w:ilvl="0">
      <w:lvlJc w:val="left"/>
      <w:lvlText w:val="%1"/>
      <w:numFmt w:val="upperLetter"/>
      <w:start w:val="1"/>
    </w:lvl>
    <w:lvl w:ilvl="1">
      <w:lvlJc w:val="left"/>
      <w:lvlText w:val="(%2)"/>
      <w:numFmt w:val="lowerRoman"/>
      <w:start w:val="2"/>
    </w:lvl>
  </w:abstractNum>
  <w:abstractNum w:abstractNumId="77">
    <w:nsid w:val="E7FFA2B"/>
    <w:multiLevelType w:val="hybridMultilevel"/>
    <w:lvl w:ilvl="0">
      <w:lvlJc w:val="left"/>
      <w:lvlText w:val="(%1)"/>
      <w:numFmt w:val="upperLetter"/>
      <w:start w:val="2"/>
    </w:lvl>
    <w:lvl w:ilvl="1">
      <w:lvlJc w:val="left"/>
      <w:lvlText w:val="%2"/>
      <w:numFmt w:val="lowerRoman"/>
      <w:start w:val="1"/>
    </w:lvl>
  </w:abstractNum>
  <w:abstractNum w:abstractNumId="78">
    <w:nsid w:val="3C5991AA"/>
    <w:multiLevelType w:val="hybridMultilevel"/>
    <w:lvl w:ilvl="0">
      <w:lvlJc w:val="left"/>
      <w:lvlText w:val="(%1)"/>
      <w:numFmt w:val="lowerLetter"/>
      <w:start w:val="3"/>
    </w:lvl>
    <w:lvl w:ilvl="1">
      <w:lvlJc w:val="left"/>
      <w:lvlText w:val="(%2)"/>
      <w:numFmt w:val="lowerLetter"/>
      <w:start w:val="9"/>
    </w:lvl>
  </w:abstractNum>
  <w:abstractNum w:abstractNumId="79">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0">
    <w:nsid w:val="78DF6A5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1">
    <w:nsid w:val="39B7AAA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2">
    <w:nsid w:val="2B0D8DBE"/>
    <w:multiLevelType w:val="hybridMultilevel"/>
    <w:lvl w:ilvl="0">
      <w:lvlJc w:val="left"/>
      <w:lvlText w:val="%1."/>
      <w:numFmt w:val="decimal"/>
      <w:start w:val="7"/>
    </w:lvl>
    <w:lvl w:ilvl="1">
      <w:lvlJc w:val="left"/>
      <w:lvlText w:val="(%2)"/>
      <w:numFmt w:val="lowerLetter"/>
      <w:start w:val="1"/>
    </w:lvl>
  </w:abstractNum>
  <w:abstractNum w:abstractNumId="83">
    <w:nsid w:val="6C80EC70"/>
    <w:multiLevelType w:val="hybridMultilevel"/>
    <w:lvl w:ilvl="0">
      <w:lvlJc w:val="left"/>
      <w:lvlText w:val="(%1)"/>
      <w:numFmt w:val="lowerRoman"/>
      <w:start w:val="1"/>
    </w:lvl>
  </w:abstractNum>
  <w:abstractNum w:abstractNumId="84">
    <w:nsid w:val="379E21B5"/>
    <w:multiLevelType w:val="hybridMultilevel"/>
    <w:lvl w:ilvl="0">
      <w:lvlJc w:val="left"/>
      <w:lvlText w:val="(%1)"/>
      <w:numFmt w:val="lowerRoman"/>
      <w:start w:val="2"/>
    </w:lvl>
  </w:abstractNum>
  <w:abstractNum w:abstractNumId="85">
    <w:nsid w:val="69E373"/>
    <w:multiLevelType w:val="hybridMultilevel"/>
    <w:lvl w:ilvl="0">
      <w:lvlJc w:val="left"/>
      <w:lvlText w:val="(%1)"/>
      <w:numFmt w:val="lowerLetter"/>
      <w:start w:val="2"/>
    </w:lvl>
  </w:abstractNum>
  <w:abstractNum w:abstractNumId="86">
    <w:nsid w:val="2C27173B"/>
    <w:multiLevelType w:val="hybridMultilevel"/>
    <w:lvl w:ilvl="0">
      <w:lvlJc w:val="left"/>
      <w:lvlText w:val="(%1)"/>
      <w:numFmt w:val="lowerLetter"/>
      <w:start w:val="3"/>
    </w:lvl>
  </w:abstractNum>
  <w:abstractNum w:abstractNumId="87">
    <w:nsid w:val="4C9B0904"/>
    <w:multiLevelType w:val="hybridMultilevel"/>
    <w:lvl w:ilvl="0">
      <w:lvlJc w:val="left"/>
      <w:lvlText w:val="%1"/>
      <w:numFmt w:val="lowerLetter"/>
      <w:start w:val="1"/>
    </w:lvl>
    <w:lvl w:ilvl="1">
      <w:lvlJc w:val="left"/>
      <w:lvlText w:val="(%2)"/>
      <w:numFmt w:val="lowerLetter"/>
      <w:start w:val="6"/>
    </w:lvl>
  </w:abstractNum>
  <w:abstractNum w:abstractNumId="88">
    <w:nsid w:val="6AA7B75C"/>
    <w:multiLevelType w:val="hybridMultilevel"/>
    <w:lvl w:ilvl="0">
      <w:lvlJc w:val="left"/>
      <w:lvlText w:val="(%1)"/>
      <w:numFmt w:val="lowerLetter"/>
      <w:start w:val="61"/>
    </w:lvl>
    <w:lvl w:ilvl="1">
      <w:lvlJc w:val="left"/>
      <w:lvlText w:val="%2"/>
      <w:numFmt w:val="lowerLetter"/>
      <w:start w:val="1"/>
    </w:lvl>
  </w:abstractNum>
  <w:abstractNum w:abstractNumId="89">
    <w:nsid w:val="1DF029D3"/>
    <w:multiLevelType w:val="hybridMultilevel"/>
    <w:lvl w:ilvl="0">
      <w:lvlJc w:val="left"/>
      <w:lvlText w:val="%1."/>
      <w:numFmt w:val="decimal"/>
      <w:start w:val="8"/>
    </w:lvl>
    <w:lvl w:ilvl="1">
      <w:lvlJc w:val="left"/>
      <w:lvlText w:val="(%2)"/>
      <w:numFmt w:val="lowerLetter"/>
      <w:start w:val="1"/>
    </w:lvl>
  </w:abstractNum>
  <w:abstractNum w:abstractNumId="90">
    <w:nsid w:val="5675FF36"/>
    <w:multiLevelType w:val="hybridMultilevel"/>
    <w:lvl w:ilvl="0">
      <w:lvlJc w:val="left"/>
      <w:lvlText w:val="%1"/>
      <w:numFmt w:val="decimal"/>
      <w:start w:val="1"/>
    </w:lvl>
    <w:lvl w:ilvl="1">
      <w:lvlJc w:val="left"/>
      <w:lvlText w:val="(%2)"/>
      <w:numFmt w:val="lowerLetter"/>
      <w:start w:val="2"/>
    </w:lvl>
  </w:abstractNum>
  <w:abstractNum w:abstractNumId="91">
    <w:nsid w:val="3DD15094"/>
    <w:multiLevelType w:val="hybridMultilevel"/>
    <w:lvl w:ilvl="0">
      <w:lvlJc w:val="left"/>
      <w:lvlText w:val="%1."/>
      <w:numFmt w:val="decimal"/>
      <w:start w:val="9"/>
    </w:lvl>
    <w:lvl w:ilvl="1">
      <w:lvlJc w:val="left"/>
      <w:lvlText w:val="(%2)"/>
      <w:numFmt w:val="lowerLetter"/>
      <w:start w:val="1"/>
    </w:lvl>
  </w:abstractNum>
  <w:abstractNum w:abstractNumId="92">
    <w:nsid w:val="3DB012B3"/>
    <w:multiLevelType w:val="hybridMultilevel"/>
    <w:lvl w:ilvl="0">
      <w:lvlJc w:val="left"/>
      <w:lvlText w:val="%1"/>
      <w:numFmt w:val="lowerLetter"/>
      <w:start w:val="1"/>
    </w:lvl>
    <w:lvl w:ilvl="1">
      <w:lvlJc w:val="left"/>
      <w:lvlText w:val="(%2)"/>
      <w:numFmt w:val="lowerRoman"/>
      <w:start w:val="1"/>
    </w:lvl>
  </w:abstractNum>
  <w:abstractNum w:abstractNumId="93">
    <w:nsid w:val="2708C9AF"/>
    <w:multiLevelType w:val="hybridMultilevel"/>
    <w:lvl w:ilvl="0">
      <w:lvlJc w:val="left"/>
      <w:lvlText w:val="(%1)"/>
      <w:numFmt w:val="lowerLetter"/>
      <w:start w:val="4"/>
    </w:lvl>
    <w:lvl w:ilvl="1">
      <w:lvlJc w:val="left"/>
      <w:lvlText w:val="%2"/>
      <w:numFmt w:val="lowerRoman"/>
      <w:start w:val="1"/>
    </w:lvl>
  </w:abstractNum>
  <w:abstractNum w:abstractNumId="94">
    <w:nsid w:val="5B25ACE2"/>
    <w:multiLevelType w:val="hybridMultilevel"/>
    <w:lvl w:ilvl="0">
      <w:lvlJc w:val="left"/>
      <w:lvlText w:val="(%1)"/>
      <w:numFmt w:val="lowerLetter"/>
      <w:start w:val="8"/>
    </w:lvl>
  </w:abstractNum>
  <w:abstractNum w:abstractNumId="95">
    <w:nsid w:val="175DFCF0"/>
    <w:multiLevelType w:val="hybridMultilevel"/>
    <w:lvl w:ilvl="0">
      <w:lvlJc w:val="left"/>
      <w:lvlText w:val="(%1)"/>
      <w:numFmt w:val="lowerRoman"/>
      <w:start w:val="1"/>
    </w:lvl>
  </w:abstractNum>
  <w:abstractNum w:abstractNumId="96">
    <w:nsid w:val="4F97E3E4"/>
    <w:multiLevelType w:val="hybridMultilevel"/>
    <w:lvl w:ilvl="0">
      <w:lvlJc w:val="left"/>
      <w:lvlText w:val="%1"/>
      <w:numFmt w:val="decimal"/>
      <w:start w:val="1"/>
    </w:lvl>
    <w:lvl w:ilvl="1">
      <w:lvlJc w:val="left"/>
      <w:lvlText w:val="(%2)"/>
      <w:numFmt w:val="lowerRoman"/>
      <w:start w:val="2"/>
    </w:lvl>
  </w:abstractNum>
  <w:abstractNum w:abstractNumId="97">
    <w:nsid w:val="53B0A9E"/>
    <w:multiLevelType w:val="hybridMultilevel"/>
    <w:lvl w:ilvl="0">
      <w:lvlJc w:val="left"/>
      <w:lvlText w:val="%1."/>
      <w:numFmt w:val="decimal"/>
      <w:start w:val="10"/>
    </w:lvl>
    <w:lvl w:ilvl="1">
      <w:lvlJc w:val="left"/>
      <w:lvlText w:val="%2"/>
      <w:numFmt w:val="lowerRoman"/>
      <w:start w:val="1"/>
    </w:lvl>
  </w:abstractNum>
  <w:abstractNum w:abstractNumId="98">
    <w:nsid w:val="34FD6B4F"/>
    <w:multiLevelType w:val="hybridMultilevel"/>
    <w:lvl w:ilvl="0">
      <w:lvlJc w:val="left"/>
      <w:lvlText w:val="%1."/>
      <w:numFmt w:val="decimal"/>
      <w:start w:val="1"/>
    </w:lvl>
  </w:abstractNum>
  <w:abstractNum w:abstractNumId="99">
    <w:nsid w:val="5915FF32"/>
    <w:multiLevelType w:val="hybridMultilevel"/>
    <w:lvl w:ilvl="0">
      <w:lvlJc w:val="left"/>
      <w:lvlText w:val="(%1)"/>
      <w:numFmt w:val="lowerLetter"/>
      <w:start w:val="1"/>
    </w:lvl>
  </w:abstractNum>
  <w:abstractNum w:abstractNumId="100">
    <w:nsid w:val="56438D15"/>
    <w:multiLevelType w:val="hybridMultilevel"/>
    <w:lvl w:ilvl="0">
      <w:lvlJc w:val="left"/>
      <w:lvlText w:val="(%1)"/>
      <w:numFmt w:val="lowerLetter"/>
      <w:start w:val="8"/>
    </w:lvl>
  </w:abstractNum>
  <w:abstractNum w:abstractNumId="101">
    <w:nsid w:val="519E3149"/>
    <w:multiLevelType w:val="hybridMultilevel"/>
    <w:lvl w:ilvl="0">
      <w:lvlJc w:val="left"/>
      <w:lvlText w:val="%1."/>
      <w:numFmt w:val="decimal"/>
      <w:start w:val="3"/>
    </w:lvl>
  </w:abstractNum>
  <w:abstractNum w:abstractNumId="102">
    <w:nsid w:val="2C6E4AFD"/>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03">
    <w:nsid w:val="17A1B582"/>
    <w:multiLevelType w:val="hybridMultilevel"/>
    <w:lvl w:ilvl="0">
      <w:lvlJc w:val="left"/>
      <w:lvlText w:val="(%1)"/>
      <w:numFmt w:val="lowerLetter"/>
      <w:start w:val="5"/>
    </w:lvl>
    <w:lvl w:ilvl="1">
      <w:lvlJc w:val="left"/>
      <w:lvlText w:val="%2."/>
      <w:numFmt w:val="decimal"/>
      <w:start w:val="4"/>
    </w:lvl>
    <w:lvl w:ilvl="2">
      <w:lvlJc w:val="left"/>
      <w:lvlText w:val="(%3)"/>
      <w:numFmt w:val="lowerLetter"/>
      <w:start w:val="1"/>
    </w:lvl>
  </w:abstractNum>
  <w:abstractNum w:abstractNumId="104">
    <w:nsid w:val="4DF72E4E"/>
    <w:multiLevelType w:val="hybridMultilevel"/>
    <w:lvl w:ilvl="0">
      <w:lvlJc w:val="left"/>
      <w:lvlText w:val="%1."/>
      <w:numFmt w:val="decimal"/>
      <w:start w:val="8"/>
    </w:lvl>
  </w:abstractNum>
  <w:abstractNum w:abstractNumId="105">
    <w:nsid w:val="5046B5A9"/>
    <w:multiLevelType w:val="hybridMultilevel"/>
    <w:lvl w:ilvl="0">
      <w:lvlJc w:val="left"/>
      <w:lvlText w:val="%1"/>
      <w:numFmt w:val="upperLetter"/>
      <w:start w:val="1"/>
    </w:lvl>
    <w:lvl w:ilvl="1">
      <w:lvlJc w:val="left"/>
      <w:lvlText w:val="•"/>
      <w:numFmt w:val="bullet"/>
      <w:start w:val="1"/>
    </w:lvl>
  </w:abstractNum>
  <w:abstractNum w:abstractNumId="106">
    <w:nsid w:val="5D888A08"/>
    <w:multiLevelType w:val="hybridMultilevel"/>
    <w:lvl w:ilvl="0">
      <w:lvlJc w:val="left"/>
      <w:lvlText w:val="%1."/>
      <w:numFmt w:val="upperLetter"/>
      <w:start w:val="35"/>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
      <w:numFmt w:val="bullet"/>
      <w:start w:val="1"/>
    </w:lvl>
  </w:abstractNum>
  <w:abstractNum w:abstractNumId="109">
    <w:nsid w:val="19E21BB2"/>
    <w:multiLevelType w:val="hybridMultilevel"/>
    <w:lvl w:ilvl="0">
      <w:lvlJc w:val="left"/>
      <w:lvlText w:val="%1."/>
      <w:numFmt w:val="upperLetter"/>
      <w:start w:val="61"/>
    </w:lvl>
  </w:abstractNum>
  <w:abstractNum w:abstractNumId="110">
    <w:nsid w:val="75E0858A"/>
    <w:multiLevelType w:val="hybridMultilevel"/>
    <w:lvl w:ilvl="0">
      <w:lvlJc w:val="left"/>
      <w:lvlText w:val="%1."/>
      <w:numFmt w:val="upperLetter"/>
    </w:lvl>
    <w:lvl w:ilvl="1">
      <w:lvlJc w:val="left"/>
      <w:lvlText w:val="•"/>
      <w:numFmt w:val="bullet"/>
      <w:start w:val="1"/>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1."/>
      <w:numFmt w:val="upperLetter"/>
      <w:start w:val="2"/>
    </w:lvl>
  </w:abstractNum>
  <w:abstractNum w:abstractNumId="113">
    <w:nsid w:val="20EE1348"/>
    <w:multiLevelType w:val="hybridMultilevel"/>
    <w:lvl w:ilvl="0">
      <w:lvlJc w:val="left"/>
      <w:lvlText w:val="%1."/>
      <w:numFmt w:val="upperLetter"/>
      <w:start w:val="3"/>
    </w:lvl>
  </w:abstractNum>
  <w:abstractNum w:abstractNumId="114">
    <w:nsid w:val="4427069A"/>
    <w:multiLevelType w:val="hybridMultilevel"/>
    <w:lvl w:ilvl="0">
      <w:lvlJc w:val="left"/>
      <w:lvlText w:val="%1."/>
      <w:numFmt w:val="upperLetter"/>
      <w:start w:val="4"/>
    </w:lvl>
  </w:abstractNum>
  <w:abstractNum w:abstractNumId="115">
    <w:nsid w:val="B37E80A"/>
    <w:multiLevelType w:val="hybridMultilevel"/>
    <w:lvl w:ilvl="0">
      <w:lvlJc w:val="left"/>
      <w:lvlText w:val="%1."/>
      <w:numFmt w:val="upperLetter"/>
      <w:start w:val="5"/>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1."/>
      <w:numFmt w:val="upperLetter"/>
      <w:start w:val="6"/>
    </w:lvl>
  </w:abstractNum>
  <w:abstractNum w:abstractNumId="119">
    <w:nsid w:val="BFFAE18"/>
    <w:multiLevelType w:val="hybridMultilevel"/>
    <w:lvl w:ilvl="0">
      <w:lvlJc w:val="left"/>
      <w:lvlText w:val="%1."/>
      <w:numFmt w:val="upperLetter"/>
      <w:start w:val="7"/>
    </w:lvl>
    <w:lvl w:ilvl="1">
      <w:lvlJc w:val="left"/>
      <w:lvlText w:val="•"/>
      <w:numFmt w:val="bullet"/>
      <w:start w:val="1"/>
    </w:lvl>
  </w:abstractNum>
  <w:abstractNum w:abstractNumId="120">
    <w:nsid w:val="E3E47A8"/>
    <w:multiLevelType w:val="hybridMultilevel"/>
    <w:lvl w:ilvl="0">
      <w:lvlJc w:val="left"/>
      <w:lvlText w:val="%1."/>
      <w:numFmt w:val="upperLetter"/>
      <w:start w:val="8"/>
    </w:lvl>
  </w:abstractNum>
  <w:abstractNum w:abstractNumId="121">
    <w:nsid w:val="2E48F044"/>
    <w:multiLevelType w:val="hybridMultilevel"/>
    <w:lvl w:ilvl="0">
      <w:lvlJc w:val="left"/>
      <w:lvlText w:val="%1."/>
      <w:numFmt w:val="upperLetter"/>
      <w:start w:val="1"/>
    </w:lvl>
  </w:abstractNum>
  <w:abstractNum w:abstractNumId="122">
    <w:nsid w:val="49D0FEAC"/>
    <w:multiLevelType w:val="hybridMultilevel"/>
    <w:lvl w:ilvl="0">
      <w:lvlJc w:val="left"/>
      <w:lvlText w:val="%1."/>
      <w:numFmt w:val="upperLetter"/>
      <w:start w:val="2"/>
    </w:lvl>
  </w:abstractNum>
  <w:abstractNum w:abstractNumId="123">
    <w:nsid w:val="4BEE5A5B"/>
    <w:multiLevelType w:val="hybridMultilevel"/>
    <w:lvl w:ilvl="0">
      <w:lvlJc w:val="left"/>
      <w:lvlText w:val="%1."/>
      <w:numFmt w:val="upperLetter"/>
      <w:start w:val="3"/>
    </w:lvl>
  </w:abstractNum>
  <w:abstractNum w:abstractNumId="124">
    <w:nsid w:val="5551B9F3"/>
    <w:multiLevelType w:val="hybridMultilevel"/>
    <w:lvl w:ilvl="0">
      <w:lvlJc w:val="left"/>
      <w:lvlText w:val="%1."/>
      <w:numFmt w:val="upperLetter"/>
      <w:start w:val="4"/>
    </w:lvl>
    <w:lvl w:ilvl="1">
      <w:lvlJc w:val="left"/>
      <w:lvlText w:val="%2."/>
      <w:numFmt w:val="decimal"/>
      <w:start w:val="1"/>
    </w:lvl>
  </w:abstractNum>
  <w:abstractNum w:abstractNumId="125">
    <w:nsid w:val="24F6AB8E"/>
    <w:multiLevelType w:val="hybridMultilevel"/>
    <w:lvl w:ilvl="0">
      <w:lvlJc w:val="left"/>
      <w:lvlText w:val="%1."/>
      <w:numFmt w:val="decimal"/>
      <w:start w:val="2"/>
    </w:lvl>
  </w:abstractNum>
  <w:abstractNum w:abstractNumId="126">
    <w:nsid w:val="634C574C"/>
    <w:multiLevelType w:val="hybridMultilevel"/>
    <w:lvl w:ilvl="0">
      <w:lvlJc w:val="left"/>
      <w:lvlText w:val="%1."/>
      <w:numFmt w:val="upperLetter"/>
      <w:start w:val="5"/>
    </w:lvl>
  </w:abstractNum>
  <w:abstractNum w:abstractNumId="127">
    <w:nsid w:val="24E99DD7"/>
    <w:multiLevelType w:val="hybridMultilevel"/>
    <w:lvl w:ilvl="0">
      <w:lvlJc w:val="left"/>
      <w:lvlText w:val="•"/>
      <w:numFmt w:val="bullet"/>
      <w:start w:val="1"/>
    </w:lvl>
  </w:abstractNum>
  <w:abstractNum w:abstractNumId="128">
    <w:nsid w:val="2A31B62D"/>
    <w:multiLevelType w:val="hybridMultilevel"/>
    <w:lvl w:ilvl="0">
      <w:lvlJc w:val="left"/>
      <w:lvlText w:val="•"/>
      <w:numFmt w:val="bullet"/>
      <w:start w:val="1"/>
    </w:lvl>
  </w:abstractNum>
  <w:abstractNum w:abstractNumId="129">
    <w:nsid w:val="1849C29B"/>
    <w:multiLevelType w:val="hybridMultilevel"/>
    <w:lvl w:ilvl="0">
      <w:lvlJc w:val="left"/>
      <w:lvlText w:val="%1."/>
      <w:numFmt w:val="upperLetter"/>
      <w:start w:val="22"/>
    </w:lvl>
  </w:abstractNum>
  <w:abstractNum w:abstractNumId="130">
    <w:nsid w:val="7DFF9D09"/>
    <w:multiLevelType w:val="hybridMultilevel"/>
    <w:lvl w:ilvl="0">
      <w:lvlJc w:val="left"/>
      <w:lvlText w:val="%1."/>
      <w:numFmt w:val="upperLetter"/>
      <w:start w:val="1"/>
    </w:lvl>
  </w:abstractNum>
  <w:abstractNum w:abstractNumId="131">
    <w:nsid w:val="754342"/>
    <w:multiLevelType w:val="hybridMultilevel"/>
    <w:lvl w:ilvl="0">
      <w:lvlJc w:val="left"/>
      <w:lvlText w:val="%1."/>
      <w:numFmt w:val="upperLetter"/>
      <w:start w:val="2"/>
    </w:lvl>
  </w:abstractNum>
  <w:abstractNum w:abstractNumId="132">
    <w:nsid w:val="69E7F3E5"/>
    <w:multiLevelType w:val="hybridMultilevel"/>
    <w:lvl w:ilvl="0">
      <w:lvlJc w:val="left"/>
      <w:lvlText w:val="%1."/>
      <w:numFmt w:val="upperLetter"/>
      <w:start w:val="3"/>
    </w:lvl>
  </w:abstractNum>
  <w:abstractNum w:abstractNumId="133">
    <w:nsid w:val="2A6DE806"/>
    <w:multiLevelType w:val="hybridMultilevel"/>
    <w:lvl w:ilvl="0">
      <w:lvlJc w:val="left"/>
      <w:lvlText w:val="%1."/>
      <w:numFmt w:val="upperLetter"/>
      <w:start w:val="4"/>
    </w:lvl>
  </w:abstractNum>
  <w:abstractNum w:abstractNumId="134">
    <w:nsid w:val="1816F8C4"/>
    <w:multiLevelType w:val="hybridMultilevel"/>
    <w:lvl w:ilvl="0">
      <w:lvlJc w:val="left"/>
      <w:lvlText w:val="%1."/>
      <w:numFmt w:val="upperLetter"/>
      <w:start w:val="5"/>
    </w:lvl>
  </w:abstractNum>
  <w:abstractNum w:abstractNumId="135">
    <w:nsid w:val="37DF2233"/>
    <w:multiLevelType w:val="hybridMultilevel"/>
    <w:lvl w:ilvl="0">
      <w:lvlJc w:val="left"/>
      <w:lvlText w:val="%1."/>
      <w:numFmt w:val="upperLetter"/>
      <w:start w:val="6"/>
    </w:lvl>
  </w:abstractNum>
  <w:abstractNum w:abstractNumId="136">
    <w:nsid w:val="7AB49DAF"/>
    <w:multiLevelType w:val="hybridMultilevel"/>
    <w:lvl w:ilvl="0">
      <w:lvlJc w:val="left"/>
      <w:lvlText w:val="%1."/>
      <w:numFmt w:val="upperLetter"/>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1."/>
      <w:numFmt w:val="upperLetter"/>
      <w:start w:val="2"/>
    </w:lvl>
  </w:abstractNum>
  <w:abstractNum w:abstractNumId="139">
    <w:nsid w:val="597B4D84"/>
    <w:multiLevelType w:val="hybridMultilevel"/>
    <w:lvl w:ilvl="0">
      <w:lvlJc w:val="left"/>
      <w:lvlText w:val="%1."/>
      <w:numFmt w:val="upperLetter"/>
      <w:start w:val="3"/>
    </w:lvl>
  </w:abstractNum>
  <w:abstractNum w:abstractNumId="140">
    <w:nsid w:val="F819E7F"/>
    <w:multiLevelType w:val="hybridMultilevel"/>
    <w:lvl w:ilvl="0">
      <w:lvlJc w:val="left"/>
      <w:lvlText w:val="%1."/>
      <w:numFmt w:val="upperLetter"/>
      <w:start w:val="4"/>
    </w:lvl>
  </w:abstractNum>
  <w:abstractNum w:abstractNumId="141">
    <w:nsid w:val="57C7D42D"/>
    <w:multiLevelType w:val="hybridMultilevel"/>
    <w:lvl w:ilvl="0">
      <w:lvlJc w:val="left"/>
      <w:lvlText w:val="%1."/>
      <w:numFmt w:val="upperLetter"/>
      <w:start w:val="5"/>
    </w:lvl>
  </w:abstractNum>
  <w:abstractNum w:abstractNumId="142">
    <w:nsid w:val="312167AD"/>
    <w:multiLevelType w:val="hybridMultilevel"/>
    <w:lvl w:ilvl="0">
      <w:lvlJc w:val="left"/>
      <w:lvlText w:val="%1."/>
      <w:numFmt w:val="upperLetter"/>
      <w:start w:val="6"/>
    </w:lvl>
  </w:abstractNum>
  <w:abstractNum w:abstractNumId="143">
    <w:nsid w:val="631B64D4"/>
    <w:multiLevelType w:val="hybridMultilevel"/>
    <w:lvl w:ilvl="0">
      <w:lvlJc w:val="left"/>
      <w:lvlText w:val="%1."/>
      <w:numFmt w:val="upperLetter"/>
      <w:start w:val="7"/>
    </w:lvl>
  </w:abstractNum>
  <w:abstractNum w:abstractNumId="144">
    <w:nsid w:val="78B5E776"/>
    <w:multiLevelType w:val="hybridMultilevel"/>
    <w:lvl w:ilvl="0">
      <w:lvlJc w:val="left"/>
      <w:lvlText w:val="%1."/>
      <w:numFmt w:val="upperLetter"/>
      <w:start w:val="8"/>
    </w:lvl>
  </w:abstractNum>
  <w:abstractNum w:abstractNumId="145">
    <w:nsid w:val="75486E47"/>
    <w:multiLevelType w:val="hybridMultilevel"/>
    <w:lvl w:ilvl="0">
      <w:lvlJc w:val="left"/>
      <w:lvlText w:val="%1."/>
      <w:numFmt w:val="upperLetter"/>
      <w:start w:val="9"/>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248" Type="http://schemas.openxmlformats.org/officeDocument/2006/relationships/hyperlink" Target="https://www.sec.gov/Archives/edgar/data/1531177/000119312521218705/d116785dex31.htm" TargetMode="External"/><Relationship Id="rId249" Type="http://schemas.openxmlformats.org/officeDocument/2006/relationships/hyperlink" Target="https://www.sec.gov/Archives/edgar/data/1531177/000119312521218705/d116785dex32.htm" TargetMode="External"/><Relationship Id="rId250" Type="http://schemas.openxmlformats.org/officeDocument/2006/relationships/hyperlink" Target="https://www.sec.gov/Archives/edgar/data/1531177/000119312521210231/d90195dex41.htm" TargetMode="External"/><Relationship Id="rId251" Type="http://schemas.openxmlformats.org/officeDocument/2006/relationships/hyperlink" Target="https://www.sec.gov/Archives/edgar/data/1531177/000119312521210231/d90195dex42.htm" TargetMode="External"/><Relationship Id="rId252" Type="http://schemas.openxmlformats.org/officeDocument/2006/relationships/hyperlink" Target="https://www.sec.gov/Archives/edgar/data/1531177/000095017024030278/sght-ex4_3.htm" TargetMode="External"/><Relationship Id="rId253" Type="http://schemas.openxmlformats.org/officeDocument/2006/relationships/hyperlink" Target="https://www.sec.gov/Archives/edgar/data/1531177/000119312524012979/d715146dex41.htm" TargetMode="External"/><Relationship Id="rId254" Type="http://schemas.openxmlformats.org/officeDocument/2006/relationships/hyperlink" Target="https://www.sec.gov/Archives/edgar/data/1531177/000119312521197314/d90195dex101.htm" TargetMode="External"/><Relationship Id="rId255" Type="http://schemas.openxmlformats.org/officeDocument/2006/relationships/hyperlink" Target="https://www.sec.gov/Archives/edgar/data/1531177/000119312521210231/d90195dex102.htm" TargetMode="External"/><Relationship Id="rId256" Type="http://schemas.openxmlformats.org/officeDocument/2006/relationships/hyperlink" Target="https://www.sec.gov/Archives/edgar/data/1531177/000095017022008993/sght-ex10_1.htm" TargetMode="External"/><Relationship Id="rId257" Type="http://schemas.openxmlformats.org/officeDocument/2006/relationships/hyperlink" Target="https://www.sec.gov/Archives/edgar/data/1531177/000119312521210231/d90195dex104.htm" TargetMode="External"/><Relationship Id="rId258" Type="http://schemas.openxmlformats.org/officeDocument/2006/relationships/hyperlink" Target="https://www.sec.gov/Archives/edgar/data/1531177/000119312521210231/d90195dex105.htm" TargetMode="External"/><Relationship Id="rId259" Type="http://schemas.openxmlformats.org/officeDocument/2006/relationships/hyperlink" Target="https://www.sec.gov/Archives/edgar/data/1531177/000119312521210231/d90195dex1011.htm" TargetMode="External"/><Relationship Id="rId260" Type="http://schemas.openxmlformats.org/officeDocument/2006/relationships/hyperlink" Target="https://www.sec.gov/Archives/edgar/data/1531177/000119312521210231/d90195dex1014.htm" TargetMode="External"/><Relationship Id="rId261" Type="http://schemas.openxmlformats.org/officeDocument/2006/relationships/hyperlink" Target="https://www.sec.gov/Archives/edgar/data/1531177/000095017023008526/sght-ex10_10.htm" TargetMode="External"/><Relationship Id="rId262" Type="http://schemas.openxmlformats.org/officeDocument/2006/relationships/hyperlink" Target="https://www.sec.gov/Archives/edgar/data/1531177/000095017023018865/sght-ex10_1.htm" TargetMode="External"/><Relationship Id="rId263" Type="http://schemas.openxmlformats.org/officeDocument/2006/relationships/hyperlink" Target="https://www.sec.gov/Archives/edgar/data/1531177/000095017023060303/sght-ex10_2.htm" TargetMode="External"/><Relationship Id="rId264" Type="http://schemas.openxmlformats.org/officeDocument/2006/relationships/hyperlink" Target="https://www.sec.gov/Archives/edgar/data/1531177/000119312521197314/d90195dex107.htm" TargetMode="External"/><Relationship Id="rId265" Type="http://schemas.openxmlformats.org/officeDocument/2006/relationships/hyperlink" Target="https://www.sec.gov/Archives/edgar/data/1531177/000095017024030278/sght-ex10_14.htm" TargetMode="External"/><Relationship Id="rId266" Type="http://schemas.openxmlformats.org/officeDocument/2006/relationships/hyperlink" Target="https://www.sec.gov/Archives/edgar/data/1531177/000119312521197314/d90195dex1010.htm" TargetMode="External"/><Relationship Id="rId267" Type="http://schemas.openxmlformats.org/officeDocument/2006/relationships/hyperlink" Target="https://www.sec.gov/Archives/edgar/data/1531177/000095017022004563/sght-ex10_15.htm" TargetMode="External"/><Relationship Id="rId270" Type="http://schemas.openxmlformats.org/officeDocument/2006/relationships/hyperlink" Target="https://www.sec.gov/Archives/edgar/data/1531177/000095017022024483/sght-ex10_1.htm" TargetMode="External"/><Relationship Id="rId271" Type="http://schemas.openxmlformats.org/officeDocument/2006/relationships/hyperlink" Target="https://www.sec.gov/Archives/edgar/data/1531177/000119312524012979/d715146dex101.htm" TargetMode="External"/><Relationship Id="rId272" Type="http://schemas.openxmlformats.org/officeDocument/2006/relationships/hyperlink" Target="https://www.sec.gov/Archives/edgar/data/1531177/000095017024030278/sght-ex21_1.htm" TargetMode="External"/><Relationship Id="rId273" Type="http://schemas.openxmlformats.org/officeDocument/2006/relationships/hyperlink" Target="https://www.sec.gov/Archives/edgar/data/1531177/000095017024030278/sgh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2025-03-07T15:43:22Z</dcterms:created>
  <dcterms:modified xsi:type="dcterms:W3CDTF">2025-03-07T15:43:22Z</dcterms:modified>
</cp:coreProperties>
</file>