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620" w:hanging="3639"/>
        <w:spacing w:after="0" w:line="375"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3320" w:right="1600" w:hanging="3299"/>
        <w:spacing w:after="0" w:line="383"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SIGHT SCIENCES, INC.</w:t>
      </w:r>
    </w:p>
    <w:p>
      <w:pPr>
        <w:sectPr>
          <w:pgSz w:w="11900" w:h="16838" w:orient="portrait"/>
          <w:cols w:equalWidth="0" w:num="1">
            <w:col w:w="11240"/>
          </w:cols>
          <w:pgMar w:left="320" w:top="854"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12"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4040 Campbell Ave, Suite 100</w:t>
      </w:r>
    </w:p>
    <w:p>
      <w:pPr>
        <w:spacing w:after="0" w:line="50"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Menlo Park,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80-0625749</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76"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94025</w:t>
      </w:r>
    </w:p>
    <w:p>
      <w:pPr>
        <w:spacing w:after="0" w:line="36" w:lineRule="exact"/>
        <w:rPr>
          <w:sz w:val="24"/>
          <w:szCs w:val="24"/>
          <w:color w:val="auto"/>
        </w:rPr>
      </w:pPr>
    </w:p>
    <w:p>
      <w:pPr>
        <w:sectPr>
          <w:pgSz w:w="11900" w:h="16838" w:orient="portrait"/>
          <w:cols w:equalWidth="0" w:num="2">
            <w:col w:w="7700" w:space="240"/>
            <w:col w:w="3300"/>
          </w:cols>
          <w:pgMar w:left="320" w:top="854"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(877) 266-1144</w:t>
      </w:r>
    </w:p>
    <w:p>
      <w:pPr>
        <w:spacing w:after="0" w:line="77"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Pr>
          <w:p>
            <w:pPr>
              <w:jc w:val="center"/>
              <w:spacing w:after="0"/>
              <w:rPr>
                <w:sz w:val="20"/>
                <w:szCs w:val="20"/>
                <w:color w:val="auto"/>
              </w:rPr>
            </w:pPr>
            <w:r>
              <w:rPr>
                <w:rFonts w:ascii="Arial" w:cs="Arial" w:eastAsia="Arial" w:hAnsi="Arial"/>
                <w:sz w:val="16"/>
                <w:szCs w:val="16"/>
                <w:color w:val="auto"/>
                <w:w w:val="91"/>
              </w:rPr>
              <w:t>Common Stock, par value $0.001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SGHT</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c>
          <w:tcPr>
            <w:tcW w:w="0" w:type="dxa"/>
            <w:vAlign w:val="bottom"/>
          </w:tcPr>
          <w:p>
            <w:pPr>
              <w:spacing w:after="0"/>
              <w:rPr>
                <w:sz w:val="1"/>
                <w:szCs w:val="1"/>
                <w:color w:val="auto"/>
              </w:rPr>
            </w:pPr>
          </w:p>
        </w:tc>
      </w:tr>
    </w:tbl>
    <w:p>
      <w:pPr>
        <w:spacing w:after="0" w:line="118" w:lineRule="exact"/>
        <w:rPr>
          <w:sz w:val="24"/>
          <w:szCs w:val="24"/>
          <w:color w:val="auto"/>
        </w:rPr>
      </w:pPr>
    </w:p>
    <w:p>
      <w:pPr>
        <w:jc w:val="both"/>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6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spacing w:after="0" w:line="184" w:lineRule="exact"/>
        <w:tabs>
          <w:tab w:leader="none" w:pos="8140" w:val="left"/>
          <w:tab w:leader="none" w:pos="87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4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As of the close of business on November 1, 2023, the registrant had 48,749,876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822325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9300" w:type="dxa"/>
            <w:vAlign w:val="bottom"/>
            <w:gridSpan w:val="21"/>
            <w:vMerge w:val="restart"/>
          </w:tcPr>
          <w:p>
            <w:pPr>
              <w:spacing w:after="0"/>
              <w:rPr>
                <w:sz w:val="20"/>
                <w:szCs w:val="20"/>
                <w:color w:val="auto"/>
              </w:rPr>
            </w:pPr>
            <w:r>
              <w:rPr>
                <w:rFonts w:ascii="Arial" w:cs="Arial" w:eastAsia="Arial" w:hAnsi="Arial"/>
                <w:sz w:val="18"/>
                <w:szCs w:val="18"/>
                <w:color w:val="0563C1"/>
              </w:rPr>
              <w:t>Special Note Regarding Forward-Looking Statements</w:t>
            </w: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300" w:type="dxa"/>
            <w:vAlign w:val="bottom"/>
            <w:gridSpan w:val="21"/>
            <w:vMerge w:val="continue"/>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43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3880" w:type="dxa"/>
            <w:vAlign w:val="bottom"/>
            <w:tcBorders>
              <w:top w:val="single" w:sz="8" w:color="0563C1"/>
            </w:tcBorders>
            <w:gridSpan w:val="13"/>
          </w:tcPr>
          <w:p>
            <w:pPr>
              <w:spacing w:after="0"/>
              <w:rPr>
                <w:sz w:val="20"/>
                <w:szCs w:val="20"/>
                <w:color w:val="auto"/>
              </w:rPr>
            </w:pPr>
            <w:r>
              <w:rPr>
                <w:rFonts w:ascii="Arial" w:cs="Arial" w:eastAsia="Arial" w:hAnsi="Arial"/>
                <w:sz w:val="18"/>
                <w:szCs w:val="18"/>
                <w:color w:val="0563C1"/>
              </w:rPr>
              <w:t>FINANCIAL INFORMATION</w:t>
            </w:r>
          </w:p>
        </w:tc>
        <w:tc>
          <w:tcPr>
            <w:tcW w:w="542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439"/>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563C1"/>
              <w:bottom w:val="single" w:sz="8" w:color="0563C1"/>
            </w:tcBorders>
            <w:gridSpan w:val="6"/>
          </w:tcPr>
          <w:p>
            <w:pPr>
              <w:spacing w:after="0"/>
              <w:rPr>
                <w:sz w:val="20"/>
                <w:szCs w:val="20"/>
                <w:color w:val="auto"/>
              </w:rPr>
            </w:pPr>
            <w:r>
              <w:rPr>
                <w:rFonts w:ascii="Arial" w:cs="Arial" w:eastAsia="Arial" w:hAnsi="Arial"/>
                <w:sz w:val="18"/>
                <w:szCs w:val="18"/>
                <w:color w:val="0563C1"/>
                <w:w w:val="89"/>
              </w:rPr>
              <w:t>Financial Statements</w:t>
            </w:r>
          </w:p>
        </w:tc>
        <w:tc>
          <w:tcPr>
            <w:tcW w:w="740" w:type="dxa"/>
            <w:vAlign w:val="bottom"/>
            <w:tcBorders>
              <w:top w:val="single" w:sz="8" w:color="0563C1"/>
            </w:tcBorders>
            <w:gridSpan w:val="4"/>
          </w:tcPr>
          <w:p>
            <w:pPr>
              <w:spacing w:after="0"/>
              <w:rPr>
                <w:sz w:val="24"/>
                <w:szCs w:val="24"/>
                <w:color w:val="auto"/>
              </w:rPr>
            </w:pPr>
          </w:p>
        </w:tc>
        <w:tc>
          <w:tcPr>
            <w:tcW w:w="704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860" w:type="dxa"/>
            <w:vAlign w:val="bottom"/>
            <w:tcBorders>
              <w:bottom w:val="single" w:sz="8" w:color="0563C1"/>
            </w:tcBorders>
            <w:gridSpan w:val="12"/>
          </w:tcPr>
          <w:p>
            <w:pPr>
              <w:spacing w:after="0"/>
              <w:rPr>
                <w:sz w:val="20"/>
                <w:szCs w:val="20"/>
                <w:color w:val="auto"/>
              </w:rPr>
            </w:pPr>
            <w:r>
              <w:rPr>
                <w:rFonts w:ascii="Arial" w:cs="Arial" w:eastAsia="Arial" w:hAnsi="Arial"/>
                <w:sz w:val="18"/>
                <w:szCs w:val="18"/>
                <w:color w:val="0563C1"/>
                <w:w w:val="88"/>
              </w:rPr>
              <w:t>Condensed Consolidated Balance Sheets (Unaudited)</w:t>
            </w:r>
          </w:p>
        </w:tc>
        <w:tc>
          <w:tcPr>
            <w:tcW w:w="5440" w:type="dxa"/>
            <w:vAlign w:val="bottom"/>
            <w:gridSpan w:val="9"/>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0563C1"/>
              </w:rPr>
              <w:t>Condensed Consolidated Statements of Operations and Comprehensive Loss (Unaudited)</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320" w:type="dxa"/>
            <w:vAlign w:val="bottom"/>
            <w:tcBorders>
              <w:top w:val="single" w:sz="8" w:color="0563C1"/>
              <w:bottom w:val="single" w:sz="8" w:color="0563C1"/>
            </w:tcBorders>
            <w:gridSpan w:val="18"/>
          </w:tcPr>
          <w:p>
            <w:pPr>
              <w:spacing w:after="0"/>
              <w:rPr>
                <w:sz w:val="20"/>
                <w:szCs w:val="20"/>
                <w:color w:val="auto"/>
              </w:rPr>
            </w:pPr>
            <w:r>
              <w:rPr>
                <w:rFonts w:ascii="Arial" w:cs="Arial" w:eastAsia="Arial" w:hAnsi="Arial"/>
                <w:sz w:val="18"/>
                <w:szCs w:val="18"/>
                <w:color w:val="0563C1"/>
                <w:w w:val="90"/>
              </w:rPr>
              <w:t>Condensed Consolidated Statements of Stockholders’ Equity (Unaudited)</w:t>
            </w:r>
          </w:p>
        </w:tc>
        <w:tc>
          <w:tcPr>
            <w:tcW w:w="1120" w:type="dxa"/>
            <w:vAlign w:val="bottom"/>
            <w:tcBorders>
              <w:top w:val="single" w:sz="8" w:color="0563C1"/>
            </w:tcBorders>
          </w:tcPr>
          <w:p>
            <w:pPr>
              <w:spacing w:after="0"/>
              <w:rPr>
                <w:sz w:val="18"/>
                <w:szCs w:val="18"/>
                <w:color w:val="auto"/>
              </w:rPr>
            </w:pPr>
          </w:p>
        </w:tc>
        <w:tc>
          <w:tcPr>
            <w:tcW w:w="2860" w:type="dxa"/>
            <w:vAlign w:val="bottom"/>
            <w:gridSpan w:val="2"/>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640" w:type="dxa"/>
            <w:vAlign w:val="bottom"/>
            <w:tcBorders>
              <w:bottom w:val="single" w:sz="8" w:color="0563C1"/>
            </w:tcBorders>
            <w:gridSpan w:val="16"/>
          </w:tcPr>
          <w:p>
            <w:pPr>
              <w:spacing w:after="0"/>
              <w:rPr>
                <w:sz w:val="20"/>
                <w:szCs w:val="20"/>
                <w:color w:val="auto"/>
              </w:rPr>
            </w:pPr>
            <w:r>
              <w:rPr>
                <w:rFonts w:ascii="Arial" w:cs="Arial" w:eastAsia="Arial" w:hAnsi="Arial"/>
                <w:sz w:val="18"/>
                <w:szCs w:val="18"/>
                <w:color w:val="0563C1"/>
                <w:w w:val="89"/>
              </w:rPr>
              <w:t>Condensed Consolidated Statements of Cash Flows (Unaudited)</w:t>
            </w:r>
          </w:p>
        </w:tc>
        <w:tc>
          <w:tcPr>
            <w:tcW w:w="4660" w:type="dxa"/>
            <w:vAlign w:val="bottom"/>
            <w:gridSpan w:val="5"/>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920" w:type="dxa"/>
            <w:vAlign w:val="bottom"/>
            <w:tcBorders>
              <w:bottom w:val="single" w:sz="8" w:color="0563C1"/>
            </w:tcBorders>
            <w:gridSpan w:val="17"/>
          </w:tcPr>
          <w:p>
            <w:pPr>
              <w:spacing w:after="0"/>
              <w:rPr>
                <w:sz w:val="20"/>
                <w:szCs w:val="20"/>
                <w:color w:val="auto"/>
              </w:rPr>
            </w:pPr>
            <w:r>
              <w:rPr>
                <w:rFonts w:ascii="Arial" w:cs="Arial" w:eastAsia="Arial" w:hAnsi="Arial"/>
                <w:sz w:val="18"/>
                <w:szCs w:val="18"/>
                <w:color w:val="0563C1"/>
                <w:w w:val="89"/>
              </w:rPr>
              <w:t>Notes to Condensed Consolidated Financial Statements (Unaudited)</w:t>
            </w:r>
          </w:p>
        </w:tc>
        <w:tc>
          <w:tcPr>
            <w:tcW w:w="4380" w:type="dxa"/>
            <w:vAlign w:val="bottom"/>
            <w:gridSpan w:val="4"/>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78"/>
              </w:rPr>
              <w:t>11</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sz w:val="20"/>
                <w:szCs w:val="20"/>
                <w:color w:val="auto"/>
              </w:rPr>
            </w:pPr>
            <w:r>
              <w:rPr>
                <w:rFonts w:ascii="Arial" w:cs="Arial" w:eastAsia="Arial" w:hAnsi="Arial"/>
                <w:sz w:val="18"/>
                <w:szCs w:val="18"/>
                <w:color w:val="0563C1"/>
              </w:rPr>
              <w:t>Management’s Discussion and Analysis of Financial Condition and Results of Operations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24</w:t>
            </w: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563C1"/>
              <w:bottom w:val="single" w:sz="8" w:color="0563C1"/>
            </w:tcBorders>
            <w:gridSpan w:val="15"/>
          </w:tcPr>
          <w:p>
            <w:pPr>
              <w:spacing w:after="0"/>
              <w:rPr>
                <w:sz w:val="20"/>
                <w:szCs w:val="20"/>
                <w:color w:val="auto"/>
              </w:rPr>
            </w:pPr>
            <w:r>
              <w:rPr>
                <w:rFonts w:ascii="Arial" w:cs="Arial" w:eastAsia="Arial" w:hAnsi="Arial"/>
                <w:sz w:val="18"/>
                <w:szCs w:val="18"/>
                <w:color w:val="0563C1"/>
                <w:w w:val="92"/>
              </w:rPr>
              <w:t>Quantitative and Qualitative Disclosures About Market Risk</w:t>
            </w:r>
          </w:p>
        </w:tc>
        <w:tc>
          <w:tcPr>
            <w:tcW w:w="2080" w:type="dxa"/>
            <w:vAlign w:val="bottom"/>
            <w:tcBorders>
              <w:top w:val="single" w:sz="8" w:color="0563C1"/>
            </w:tcBorders>
            <w:gridSpan w:val="5"/>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34</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563C1"/>
            </w:tcBorders>
            <w:gridSpan w:val="7"/>
          </w:tcPr>
          <w:p>
            <w:pPr>
              <w:spacing w:after="0"/>
              <w:rPr>
                <w:sz w:val="20"/>
                <w:szCs w:val="20"/>
                <w:color w:val="auto"/>
              </w:rPr>
            </w:pPr>
            <w:r>
              <w:rPr>
                <w:rFonts w:ascii="Arial" w:cs="Arial" w:eastAsia="Arial" w:hAnsi="Arial"/>
                <w:sz w:val="18"/>
                <w:szCs w:val="18"/>
                <w:color w:val="0563C1"/>
                <w:w w:val="88"/>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3"/>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34</w:t>
            </w:r>
          </w:p>
        </w:tc>
        <w:tc>
          <w:tcPr>
            <w:tcW w:w="0" w:type="dxa"/>
            <w:vAlign w:val="bottom"/>
          </w:tcPr>
          <w:p>
            <w:pPr>
              <w:spacing w:after="0"/>
              <w:rPr>
                <w:sz w:val="1"/>
                <w:szCs w:val="1"/>
                <w:color w:val="auto"/>
              </w:rPr>
            </w:pPr>
          </w:p>
        </w:tc>
      </w:tr>
      <w:tr>
        <w:trPr>
          <w:trHeight w:val="43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563C1"/>
            </w:tcBorders>
            <w:gridSpan w:val="9"/>
          </w:tcPr>
          <w:p>
            <w:pPr>
              <w:spacing w:after="0"/>
              <w:rPr>
                <w:sz w:val="20"/>
                <w:szCs w:val="20"/>
                <w:color w:val="auto"/>
              </w:rPr>
            </w:pPr>
            <w:r>
              <w:rPr>
                <w:rFonts w:ascii="Arial" w:cs="Arial" w:eastAsia="Arial" w:hAnsi="Arial"/>
                <w:sz w:val="18"/>
                <w:szCs w:val="18"/>
                <w:color w:val="0563C1"/>
                <w:w w:val="96"/>
              </w:rPr>
              <w:t>OTHER INFORMATION</w:t>
            </w:r>
          </w:p>
        </w:tc>
        <w:tc>
          <w:tcPr>
            <w:tcW w:w="740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439"/>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sz w:val="20"/>
                <w:szCs w:val="20"/>
                <w:color w:val="auto"/>
              </w:rPr>
            </w:pPr>
            <w:r>
              <w:rPr>
                <w:rFonts w:ascii="Arial" w:cs="Arial" w:eastAsia="Arial" w:hAnsi="Arial"/>
                <w:sz w:val="18"/>
                <w:szCs w:val="18"/>
                <w:color w:val="0563C1"/>
              </w:rPr>
              <w:t>Legal Proceedings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563C1"/>
              <w:bottom w:val="single" w:sz="8" w:color="0563C1"/>
            </w:tcBorders>
            <w:gridSpan w:val="3"/>
          </w:tcPr>
          <w:p>
            <w:pPr>
              <w:spacing w:after="0"/>
              <w:rPr>
                <w:sz w:val="20"/>
                <w:szCs w:val="20"/>
                <w:color w:val="auto"/>
              </w:rPr>
            </w:pPr>
            <w:r>
              <w:rPr>
                <w:rFonts w:ascii="Arial" w:cs="Arial" w:eastAsia="Arial" w:hAnsi="Arial"/>
                <w:sz w:val="18"/>
                <w:szCs w:val="18"/>
                <w:color w:val="0563C1"/>
                <w:w w:val="89"/>
              </w:rPr>
              <w:t>Risk Factors</w:t>
            </w:r>
          </w:p>
        </w:tc>
        <w:tc>
          <w:tcPr>
            <w:tcW w:w="420" w:type="dxa"/>
            <w:vAlign w:val="bottom"/>
            <w:tcBorders>
              <w:top w:val="single" w:sz="8" w:color="0563C1"/>
            </w:tcBorders>
            <w:gridSpan w:val="2"/>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563C1"/>
            </w:tcBorders>
            <w:gridSpan w:val="14"/>
          </w:tcPr>
          <w:p>
            <w:pPr>
              <w:spacing w:after="0"/>
              <w:rPr>
                <w:sz w:val="20"/>
                <w:szCs w:val="20"/>
                <w:color w:val="auto"/>
              </w:rPr>
            </w:pPr>
            <w:r>
              <w:rPr>
                <w:rFonts w:ascii="Arial" w:cs="Arial" w:eastAsia="Arial" w:hAnsi="Arial"/>
                <w:sz w:val="18"/>
                <w:szCs w:val="18"/>
                <w:color w:val="0563C1"/>
                <w:w w:val="89"/>
              </w:rPr>
              <w:t>Unregistered Sales of Equity Securities and Use of Proceeds</w:t>
            </w:r>
          </w:p>
        </w:tc>
        <w:tc>
          <w:tcPr>
            <w:tcW w:w="4940" w:type="dxa"/>
            <w:vAlign w:val="bottom"/>
            <w:gridSpan w:val="7"/>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563C1"/>
            </w:tcBorders>
            <w:gridSpan w:val="11"/>
          </w:tcPr>
          <w:p>
            <w:pPr>
              <w:spacing w:after="0"/>
              <w:rPr>
                <w:sz w:val="20"/>
                <w:szCs w:val="20"/>
                <w:color w:val="auto"/>
              </w:rPr>
            </w:pPr>
            <w:r>
              <w:rPr>
                <w:rFonts w:ascii="Arial" w:cs="Arial" w:eastAsia="Arial" w:hAnsi="Arial"/>
                <w:sz w:val="18"/>
                <w:szCs w:val="18"/>
                <w:color w:val="0563C1"/>
                <w:w w:val="90"/>
              </w:rPr>
              <w:t>Defaults Upon Senior Securities</w:t>
            </w:r>
          </w:p>
        </w:tc>
        <w:tc>
          <w:tcPr>
            <w:tcW w:w="6960" w:type="dxa"/>
            <w:vAlign w:val="bottom"/>
            <w:gridSpan w:val="10"/>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563C1"/>
            </w:tcBorders>
            <w:gridSpan w:val="7"/>
          </w:tcPr>
          <w:p>
            <w:pPr>
              <w:spacing w:after="0"/>
              <w:rPr>
                <w:sz w:val="20"/>
                <w:szCs w:val="20"/>
                <w:color w:val="auto"/>
              </w:rPr>
            </w:pPr>
            <w:r>
              <w:rPr>
                <w:rFonts w:ascii="Arial" w:cs="Arial" w:eastAsia="Arial" w:hAnsi="Arial"/>
                <w:sz w:val="18"/>
                <w:szCs w:val="18"/>
                <w:color w:val="0563C1"/>
                <w:w w:val="91"/>
              </w:rPr>
              <w:t>Mine Safety Disclosures</w:t>
            </w:r>
          </w:p>
        </w:tc>
        <w:tc>
          <w:tcPr>
            <w:tcW w:w="7520" w:type="dxa"/>
            <w:vAlign w:val="bottom"/>
            <w:gridSpan w:val="14"/>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rPr>
                <w:sz w:val="20"/>
                <w:szCs w:val="20"/>
                <w:color w:val="auto"/>
              </w:rPr>
            </w:pPr>
            <w:r>
              <w:rPr>
                <w:rFonts w:ascii="Arial" w:cs="Arial" w:eastAsia="Arial" w:hAnsi="Arial"/>
                <w:sz w:val="18"/>
                <w:szCs w:val="18"/>
                <w:color w:val="0563C1"/>
              </w:rPr>
              <w:t>Other Information</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563C1"/>
            </w:tcBorders>
            <w:gridSpan w:val="4"/>
          </w:tcPr>
          <w:p>
            <w:pPr>
              <w:spacing w:after="0"/>
              <w:rPr>
                <w:sz w:val="20"/>
                <w:szCs w:val="20"/>
                <w:color w:val="auto"/>
              </w:rPr>
            </w:pPr>
            <w:r>
              <w:rPr>
                <w:rFonts w:ascii="Arial" w:cs="Arial" w:eastAsia="Arial" w:hAnsi="Arial"/>
                <w:sz w:val="18"/>
                <w:szCs w:val="18"/>
                <w:color w:val="0563C1"/>
              </w:rPr>
              <w:t>Exhibits</w:t>
            </w:r>
          </w:p>
        </w:tc>
        <w:tc>
          <w:tcPr>
            <w:tcW w:w="7980" w:type="dxa"/>
            <w:vAlign w:val="bottom"/>
            <w:gridSpan w:val="17"/>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40" w:type="dxa"/>
            <w:vAlign w:val="bottom"/>
            <w:gridSpan w:val="1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0563C1"/>
              </w:rPr>
              <w:t>Signatures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0" w:type="dxa"/>
            <w:vAlign w:val="bottom"/>
          </w:tcPr>
          <w:p>
            <w:pPr>
              <w:spacing w:after="0"/>
              <w:rPr>
                <w:sz w:val="1"/>
                <w:szCs w:val="1"/>
                <w:color w:val="auto"/>
              </w:rPr>
            </w:pPr>
          </w:p>
        </w:tc>
      </w:tr>
      <w:tr>
        <w:trPr>
          <w:trHeight w:val="682"/>
        </w:trPr>
        <w:tc>
          <w:tcPr>
            <w:tcW w:w="1160" w:type="dxa"/>
            <w:vAlign w:val="bottom"/>
          </w:tcPr>
          <w:p>
            <w:pPr>
              <w:spacing w:after="0"/>
              <w:rPr>
                <w:sz w:val="24"/>
                <w:szCs w:val="24"/>
                <w:color w:val="auto"/>
              </w:rPr>
            </w:pPr>
          </w:p>
        </w:tc>
        <w:tc>
          <w:tcPr>
            <w:tcW w:w="760" w:type="dxa"/>
            <w:vAlign w:val="bottom"/>
            <w:tcBorders>
              <w:top w:val="single" w:sz="8" w:color="0563C1"/>
            </w:tcBorders>
            <w:gridSpan w:val="2"/>
          </w:tcPr>
          <w:p>
            <w:pPr>
              <w:spacing w:after="0"/>
              <w:rPr>
                <w:sz w:val="24"/>
                <w:szCs w:val="24"/>
                <w:color w:val="auto"/>
              </w:rPr>
            </w:pPr>
          </w:p>
        </w:tc>
        <w:tc>
          <w:tcPr>
            <w:tcW w:w="3880" w:type="dxa"/>
            <w:vAlign w:val="bottom"/>
            <w:gridSpan w:val="14"/>
          </w:tcPr>
          <w:p>
            <w:pPr>
              <w:jc w:val="right"/>
              <w:ind w:right="14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Unless the context otherwise requires, references in this Quarterly Report on Form 10-Q to the “Company,” “Sight Sciences,” “we,” “us” and “our” refer to Sight Sciences, Inc.</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Quarterly Report on Form 10-Q for the fiscal period ended September 30, 2023 (this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73" w:lineRule="exact"/>
        <w:rPr>
          <w:sz w:val="20"/>
          <w:szCs w:val="20"/>
          <w:color w:val="auto"/>
        </w:rPr>
      </w:pPr>
    </w:p>
    <w:p>
      <w:pPr>
        <w:ind w:left="380" w:right="500" w:hanging="372"/>
        <w:spacing w:after="0" w:line="26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sufficient reimbursement for our products, including our ability to successfully protect reimbursement for our Surgical Glaucoma products in light of draft and final local coverage determinations recently published by certain Medicare Administrative Contractors;</w:t>
      </w:r>
    </w:p>
    <w:p>
      <w:pPr>
        <w:spacing w:after="0" w:line="75"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total addressable market, future revenue, expenses, capital requirements, and our needs for additional financing;</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and compete in new markets;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strategic realignment of our operations, including our reduction in workforce and related cost- savings initiatives;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and retain favorable payment terms under, our current secured credit facility;</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or contract our infrastructure as required to meet our business objectives;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and grow our business by expanding our sales to existing customers or introducing our products to new customers;</w:t>
      </w:r>
    </w:p>
    <w:p>
      <w:pPr>
        <w:spacing w:after="0" w:line="128" w:lineRule="exact"/>
        <w:rPr>
          <w:rFonts w:ascii="Arial" w:cs="Arial" w:eastAsia="Arial" w:hAnsi="Arial"/>
          <w:sz w:val="17"/>
          <w:szCs w:val="17"/>
          <w:color w:val="auto"/>
        </w:rPr>
      </w:pPr>
    </w:p>
    <w:p>
      <w:pPr>
        <w:ind w:left="380" w:right="6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successfully protect and scale our intellectual property portfolio, or avoid claims of infringement;</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extensive government regulation;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in future offerings;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incidence of disease or other epidemics on our business, our customers' and suppliers' businesses, and on our industry and the economy;</w:t>
      </w:r>
    </w:p>
    <w:p>
      <w:pPr>
        <w:spacing w:after="0" w:line="140"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17" w:lineRule="exact"/>
        <w:rPr>
          <w:rFonts w:ascii="Arial" w:cs="Arial" w:eastAsia="Arial" w:hAnsi="Arial"/>
          <w:sz w:val="18"/>
          <w:szCs w:val="18"/>
          <w:color w:val="auto"/>
        </w:rPr>
      </w:pPr>
    </w:p>
    <w:p>
      <w:pPr>
        <w:ind w:left="380" w:right="8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time during which we will be an emerging growth company under the Jumpstart Our Business Startups Act (the “JOBS Act”); and</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proper and effective internal controls.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Actual events or results may differ from those expressed in forward-looking statements. As such, 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spacing w:after="0" w:line="272" w:lineRule="auto"/>
        <w:rPr>
          <w:sz w:val="20"/>
          <w:szCs w:val="20"/>
          <w:color w:val="auto"/>
        </w:rPr>
      </w:pPr>
      <w:r>
        <w:rPr>
          <w:rFonts w:ascii="Arial" w:cs="Arial" w:eastAsia="Arial" w:hAnsi="Arial"/>
          <w:sz w:val="17"/>
          <w:szCs w:val="17"/>
          <w:color w:val="auto"/>
        </w:rPr>
        <w:t>uncertainties, assumptions, and other factors described in the section titled “Risk Factors” in our Annual Report on Form 10-K for the year ended December 31, 2022 filed with the Securities and Exchange Commission (the "SEC") on March 16, 2023 (our "Annual Report"), our Quarterly Report on Form 10-Q for the second quarter ended June 30, 2023 filed with the SEC on August 7, 2023 (our "Q2 Quarterly Report"), and elsewhere in this Quarterly Report.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 statements may not be achieved or occur, and actual results, events or circumstances could differ materially from those described in the forward-looking statements.</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forward-looking statements in this Quarterly Report are based upon information available to us as of the date of this Quarterly Report.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8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144,501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shd w:val="clear" w:color="auto" w:fill="CFF0FC"/>
          </w:tcPr>
          <w:p>
            <w:pPr>
              <w:spacing w:after="0"/>
              <w:rPr>
                <w:sz w:val="21"/>
                <w:szCs w:val="21"/>
                <w:color w:val="auto"/>
              </w:rPr>
            </w:pPr>
          </w:p>
        </w:tc>
      </w:tr>
      <w:tr>
        <w:trPr>
          <w:trHeight w:val="215"/>
        </w:trPr>
        <w:tc>
          <w:tcPr>
            <w:tcW w:w="8060" w:type="dxa"/>
            <w:vAlign w:val="bottom"/>
          </w:tcPr>
          <w:p>
            <w:pPr>
              <w:ind w:left="200"/>
              <w:spacing w:after="0"/>
              <w:rPr>
                <w:sz w:val="20"/>
                <w:szCs w:val="20"/>
                <w:color w:val="auto"/>
              </w:rPr>
            </w:pPr>
            <w:r>
              <w:rPr>
                <w:rFonts w:ascii="Arial" w:cs="Arial" w:eastAsia="Arial" w:hAnsi="Arial"/>
                <w:sz w:val="18"/>
                <w:szCs w:val="18"/>
                <w:color w:val="auto"/>
                <w:w w:val="94"/>
              </w:rPr>
              <w:t>Accounts receivable, net of allowance for credit losses of $1,405 and $1,024 at September 30, 2023 and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060" w:type="dxa"/>
            <w:vAlign w:val="bottom"/>
          </w:tcPr>
          <w:p>
            <w:pPr>
              <w:ind w:left="200"/>
              <w:spacing w:after="0"/>
              <w:rPr>
                <w:sz w:val="20"/>
                <w:szCs w:val="20"/>
                <w:color w:val="auto"/>
              </w:rPr>
            </w:pPr>
            <w:r>
              <w:rPr>
                <w:rFonts w:ascii="Arial" w:cs="Arial" w:eastAsia="Arial" w:hAnsi="Arial"/>
                <w:sz w:val="18"/>
                <w:szCs w:val="18"/>
                <w:color w:val="auto"/>
              </w:rPr>
              <w:t>December 31, 2022, respectively</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16,919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15,148</w:t>
            </w:r>
          </w:p>
        </w:tc>
        <w:tc>
          <w:tcPr>
            <w:tcW w:w="100" w:type="dxa"/>
            <w:vAlign w:val="bottom"/>
          </w:tcPr>
          <w:p>
            <w:pPr>
              <w:spacing w:after="0"/>
              <w:rPr>
                <w:sz w:val="20"/>
                <w:szCs w:val="20"/>
                <w:color w:val="auto"/>
              </w:rPr>
            </w:pPr>
          </w:p>
        </w:tc>
      </w:tr>
      <w:tr>
        <w:trPr>
          <w:trHeight w:val="250"/>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Inventory, net</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6,114</w:t>
            </w:r>
          </w:p>
        </w:tc>
        <w:tc>
          <w:tcPr>
            <w:tcW w:w="100" w:type="dxa"/>
            <w:vAlign w:val="bottom"/>
            <w:shd w:val="clear" w:color="auto" w:fill="CFF0FC"/>
          </w:tcPr>
          <w:p>
            <w:pPr>
              <w:spacing w:after="0"/>
              <w:rPr>
                <w:sz w:val="21"/>
                <w:szCs w:val="21"/>
                <w:color w:val="auto"/>
              </w:rPr>
            </w:pPr>
          </w:p>
        </w:tc>
      </w:tr>
      <w:tr>
        <w:trPr>
          <w:trHeight w:val="237"/>
        </w:trPr>
        <w:tc>
          <w:tcPr>
            <w:tcW w:w="80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20"/>
                <w:szCs w:val="20"/>
                <w:color w:val="auto"/>
              </w:rPr>
            </w:pPr>
          </w:p>
        </w:tc>
      </w:tr>
      <w:tr>
        <w:trPr>
          <w:trHeight w:val="243"/>
        </w:trPr>
        <w:tc>
          <w:tcPr>
            <w:tcW w:w="8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173,559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209,677</w:t>
            </w:r>
          </w:p>
        </w:tc>
        <w:tc>
          <w:tcPr>
            <w:tcW w:w="100" w:type="dxa"/>
            <w:vAlign w:val="bottom"/>
            <w:shd w:val="clear" w:color="auto" w:fill="CFF0FC"/>
          </w:tcPr>
          <w:p>
            <w:pPr>
              <w:spacing w:after="0"/>
              <w:rPr>
                <w:sz w:val="21"/>
                <w:szCs w:val="2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0"/>
                <w:szCs w:val="20"/>
                <w:color w:val="auto"/>
              </w:rPr>
            </w:pPr>
          </w:p>
        </w:tc>
      </w:tr>
      <w:tr>
        <w:trPr>
          <w:trHeight w:val="249"/>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FF0FC"/>
          </w:tcPr>
          <w:p>
            <w:pPr>
              <w:spacing w:after="0"/>
              <w:rPr>
                <w:sz w:val="21"/>
                <w:szCs w:val="2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r>
      <w:tr>
        <w:trPr>
          <w:trHeight w:val="276"/>
        </w:trPr>
        <w:tc>
          <w:tcPr>
            <w:tcW w:w="80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176,641</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213,073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80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3,535</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20"/>
                <w:szCs w:val="20"/>
                <w:color w:val="auto"/>
              </w:rPr>
            </w:pPr>
          </w:p>
        </w:tc>
      </w:tr>
      <w:tr>
        <w:trPr>
          <w:trHeight w:val="249"/>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7,352</w:t>
            </w:r>
          </w:p>
        </w:tc>
        <w:tc>
          <w:tcPr>
            <w:tcW w:w="100" w:type="dxa"/>
            <w:vAlign w:val="bottom"/>
            <w:shd w:val="clear" w:color="auto" w:fill="CFF0FC"/>
          </w:tcPr>
          <w:p>
            <w:pPr>
              <w:spacing w:after="0"/>
              <w:rPr>
                <w:sz w:val="21"/>
                <w:szCs w:val="21"/>
                <w:color w:val="auto"/>
              </w:rPr>
            </w:pPr>
          </w:p>
        </w:tc>
      </w:tr>
      <w:tr>
        <w:trPr>
          <w:trHeight w:val="237"/>
        </w:trPr>
        <w:tc>
          <w:tcPr>
            <w:tcW w:w="8060" w:type="dxa"/>
            <w:vAlign w:val="bottom"/>
          </w:tcPr>
          <w:p>
            <w:pPr>
              <w:ind w:left="20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Pr>
          <w:p>
            <w:pPr>
              <w:spacing w:after="0"/>
              <w:rPr>
                <w:sz w:val="20"/>
                <w:szCs w:val="20"/>
                <w:color w:val="auto"/>
              </w:rPr>
            </w:pPr>
          </w:p>
        </w:tc>
      </w:tr>
      <w:tr>
        <w:trPr>
          <w:trHeight w:val="243"/>
        </w:trPr>
        <w:tc>
          <w:tcPr>
            <w:tcW w:w="8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17,817</w:t>
            </w:r>
          </w:p>
        </w:tc>
        <w:tc>
          <w:tcPr>
            <w:tcW w:w="100" w:type="dxa"/>
            <w:vAlign w:val="bottom"/>
            <w:shd w:val="clear" w:color="auto" w:fill="CFF0FC"/>
          </w:tcPr>
          <w:p>
            <w:pPr>
              <w:spacing w:after="0"/>
              <w:rPr>
                <w:sz w:val="21"/>
                <w:szCs w:val="2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33,765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33,313</w:t>
            </w:r>
          </w:p>
        </w:tc>
        <w:tc>
          <w:tcPr>
            <w:tcW w:w="100" w:type="dxa"/>
            <w:vAlign w:val="bottom"/>
          </w:tcPr>
          <w:p>
            <w:pPr>
              <w:spacing w:after="0"/>
              <w:rPr>
                <w:sz w:val="20"/>
                <w:szCs w:val="20"/>
                <w:color w:val="auto"/>
              </w:rPr>
            </w:pPr>
          </w:p>
        </w:tc>
      </w:tr>
      <w:tr>
        <w:trPr>
          <w:trHeight w:val="243"/>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06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52,997</w:t>
            </w:r>
          </w:p>
        </w:tc>
        <w:tc>
          <w:tcPr>
            <w:tcW w:w="100" w:type="dxa"/>
            <w:vAlign w:val="bottom"/>
          </w:tcPr>
          <w:p>
            <w:pPr>
              <w:spacing w:after="0"/>
              <w:rPr>
                <w:sz w:val="20"/>
                <w:szCs w:val="20"/>
                <w:color w:val="auto"/>
              </w:rPr>
            </w:pPr>
          </w:p>
        </w:tc>
      </w:tr>
      <w:tr>
        <w:trPr>
          <w:trHeight w:val="243"/>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par value $0.001 per share; 10,000,000 shares authorized; no shares issued and</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as of September 30, 2023 and December 31, 2022</w:t>
            </w:r>
          </w:p>
        </w:tc>
        <w:tc>
          <w:tcPr>
            <w:tcW w:w="2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8060" w:type="dxa"/>
            <w:vAlign w:val="bottom"/>
          </w:tcPr>
          <w:p>
            <w:pPr>
              <w:ind w:left="200"/>
              <w:spacing w:after="0"/>
              <w:rPr>
                <w:sz w:val="20"/>
                <w:szCs w:val="20"/>
                <w:color w:val="auto"/>
              </w:rPr>
            </w:pPr>
            <w:r>
              <w:rPr>
                <w:rFonts w:ascii="Arial" w:cs="Arial" w:eastAsia="Arial" w:hAnsi="Arial"/>
                <w:sz w:val="18"/>
                <w:szCs w:val="18"/>
                <w:color w:val="auto"/>
              </w:rPr>
              <w:t>Common stock, par value $0.001 per share; 200,000,000 shares authorized; 48,722,219 and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060" w:type="dxa"/>
            <w:vAlign w:val="bottom"/>
          </w:tcPr>
          <w:p>
            <w:pPr>
              <w:ind w:left="200"/>
              <w:spacing w:after="0"/>
              <w:rPr>
                <w:sz w:val="20"/>
                <w:szCs w:val="20"/>
                <w:color w:val="auto"/>
              </w:rPr>
            </w:pPr>
            <w:r>
              <w:rPr>
                <w:rFonts w:ascii="Arial" w:cs="Arial" w:eastAsia="Arial" w:hAnsi="Arial"/>
                <w:sz w:val="18"/>
                <w:szCs w:val="18"/>
                <w:color w:val="auto"/>
                <w:w w:val="91"/>
              </w:rPr>
              <w:t>48,298,138 shares issued and outstanding as of September 30, 2023 and December 31, 2022, respectively</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r>
      <w:tr>
        <w:trPr>
          <w:trHeight w:val="250"/>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paid-in-capital</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411,119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399,271</w:t>
            </w:r>
          </w:p>
        </w:tc>
        <w:tc>
          <w:tcPr>
            <w:tcW w:w="100" w:type="dxa"/>
            <w:vAlign w:val="bottom"/>
            <w:shd w:val="clear" w:color="auto" w:fill="CFF0FC"/>
          </w:tcPr>
          <w:p>
            <w:pPr>
              <w:spacing w:after="0"/>
              <w:rPr>
                <w:sz w:val="21"/>
                <w:szCs w:val="21"/>
                <w:color w:val="auto"/>
              </w:rPr>
            </w:pPr>
          </w:p>
        </w:tc>
      </w:tr>
      <w:tr>
        <w:trPr>
          <w:trHeight w:val="237"/>
        </w:trPr>
        <w:tc>
          <w:tcPr>
            <w:tcW w:w="806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(284,099 )</w:t>
            </w:r>
          </w:p>
        </w:tc>
        <w:tc>
          <w:tcPr>
            <w:tcW w:w="18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(239,243 )</w:t>
            </w:r>
          </w:p>
        </w:tc>
      </w:tr>
      <w:tr>
        <w:trPr>
          <w:trHeight w:val="237"/>
        </w:trPr>
        <w:tc>
          <w:tcPr>
            <w:tcW w:w="80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127,069</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806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176,641</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213,073</w:t>
            </w:r>
          </w:p>
        </w:tc>
        <w:tc>
          <w:tcPr>
            <w:tcW w:w="100" w:type="dxa"/>
            <w:vAlign w:val="bottom"/>
          </w:tcPr>
          <w:p>
            <w:pPr>
              <w:spacing w:after="0"/>
              <w:rPr>
                <w:sz w:val="20"/>
                <w:szCs w:val="20"/>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-2990850</wp:posOffset>
            </wp:positionV>
            <wp:extent cx="108902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9025" cy="18034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-1722120</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-187960</wp:posOffset>
            </wp:positionV>
            <wp:extent cx="685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21"/>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5"/>
          </w:tcPr>
          <w:p>
            <w:pPr>
              <w:jc w:val="right"/>
              <w:ind w:right="70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20,009</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62,305</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9,105</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53,200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85,235</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30,743</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37,594</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99,364</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108,993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(13,411 )</w:t>
            </w:r>
          </w:p>
        </w:tc>
        <w:tc>
          <w:tcPr>
            <w:tcW w:w="320" w:type="dxa"/>
            <w:vAlign w:val="bottom"/>
          </w:tcPr>
          <w:p>
            <w:pPr>
              <w:spacing w:after="0"/>
              <w:rPr>
                <w:sz w:val="20"/>
                <w:szCs w:val="20"/>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(21,845 )</w:t>
            </w:r>
          </w:p>
        </w:tc>
        <w:tc>
          <w:tcPr>
            <w:tcW w:w="20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(46,164 )</w:t>
            </w:r>
          </w:p>
        </w:tc>
        <w:tc>
          <w:tcPr>
            <w:tcW w:w="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(66,901 )</w:t>
            </w: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(1,432 )</w:t>
            </w:r>
          </w:p>
        </w:tc>
        <w:tc>
          <w:tcPr>
            <w:tcW w:w="3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(1,131 )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(4,057 )</w:t>
            </w:r>
          </w:p>
        </w:tc>
        <w:tc>
          <w:tcPr>
            <w:tcW w:w="3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(3,243 )</w:t>
            </w: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(22,210</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(44,756</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(69,298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(44,856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5780" w:type="dxa"/>
            <w:vAlign w:val="bottom"/>
          </w:tcPr>
          <w:p>
            <w:pPr>
              <w:ind w:left="20"/>
              <w:spacing w:after="0"/>
              <w:rPr>
                <w:sz w:val="20"/>
                <w:szCs w:val="20"/>
                <w:color w:val="auto"/>
              </w:rPr>
            </w:pPr>
            <w:r>
              <w:rPr>
                <w:rFonts w:ascii="Arial" w:cs="Arial" w:eastAsia="Arial" w:hAnsi="Arial"/>
                <w:sz w:val="18"/>
                <w:szCs w:val="18"/>
                <w:color w:val="auto"/>
                <w:w w:val="98"/>
              </w:rPr>
              <w:t>Net loss per share attributable to common stockholders, basic and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(0.27 )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(0.46 )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(0.92 )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2"/>
              </w:rPr>
              <w:t>Weighted-average shares used in computing net loss per share attributable to</w:t>
            </w: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48,671,049</w:t>
            </w: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88"/>
              </w:rPr>
              <w:t>47,910,541</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48,538,517</w:t>
            </w: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88"/>
              </w:rPr>
              <w:t>47,728,845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common stockholders, basic and diluted</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-1414145</wp:posOffset>
            </wp:positionV>
            <wp:extent cx="685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-1414145</wp:posOffset>
            </wp:positionV>
            <wp:extent cx="685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-1414145</wp:posOffset>
            </wp:positionV>
            <wp:extent cx="685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-462280</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-462280</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-462280</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11"/>
          </w:tcPr>
          <w:p>
            <w:pPr>
              <w:jc w:val="right"/>
              <w:ind w:right="941"/>
              <w:spacing w:after="0"/>
              <w:rPr>
                <w:sz w:val="20"/>
                <w:szCs w:val="20"/>
                <w:color w:val="auto"/>
              </w:rPr>
            </w:pPr>
            <w:r>
              <w:rPr>
                <w:rFonts w:ascii="Arial" w:cs="Arial" w:eastAsia="Arial" w:hAnsi="Arial"/>
                <w:sz w:val="14"/>
                <w:szCs w:val="14"/>
                <w:b w:val="1"/>
                <w:bCs w:val="1"/>
                <w:color w:val="auto"/>
              </w:rPr>
              <w:t>Three Months Ended September 30, 2023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93"/>
              </w:rPr>
              <w:t>Common Stock</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jc w:val="right"/>
              <w:ind w:right="580"/>
              <w:spacing w:after="0" w:line="133"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1"/>
                <w:szCs w:val="11"/>
                <w:color w:val="auto"/>
              </w:rPr>
            </w:pPr>
          </w:p>
        </w:tc>
        <w:tc>
          <w:tcPr>
            <w:tcW w:w="1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w w:val="94"/>
              </w:rPr>
              <w:t>Shares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97"/>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180" w:type="dxa"/>
            <w:vAlign w:val="bottom"/>
            <w:gridSpan w:val="3"/>
          </w:tcPr>
          <w:p>
            <w:pPr>
              <w:jc w:val="right"/>
              <w:ind w:right="461"/>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4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48,649,343</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407,146</w:t>
            </w:r>
          </w:p>
        </w:tc>
        <w:tc>
          <w:tcPr>
            <w:tcW w:w="260" w:type="dxa"/>
            <w:vAlign w:val="bottom"/>
            <w:tcBorders>
              <w:right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(271,064</w:t>
            </w:r>
          </w:p>
        </w:tc>
        <w:tc>
          <w:tcPr>
            <w:tcW w:w="14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upon exercise of stock</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options</w:t>
            </w:r>
          </w:p>
        </w:tc>
        <w:tc>
          <w:tcPr>
            <w:tcW w:w="900" w:type="dxa"/>
            <w:vAlign w:val="bottom"/>
          </w:tcPr>
          <w:p>
            <w:pPr>
              <w:jc w:val="right"/>
              <w:spacing w:after="0"/>
              <w:rPr>
                <w:sz w:val="20"/>
                <w:szCs w:val="20"/>
                <w:color w:val="auto"/>
              </w:rPr>
            </w:pPr>
            <w:r>
              <w:rPr>
                <w:rFonts w:ascii="Arial" w:cs="Arial" w:eastAsia="Arial" w:hAnsi="Arial"/>
                <w:sz w:val="18"/>
                <w:szCs w:val="18"/>
                <w:color w:val="auto"/>
              </w:rPr>
              <w:t>60,738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common stock upon vesting of</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restricted stock units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1"/>
              <w:spacing w:after="0"/>
              <w:rPr>
                <w:sz w:val="20"/>
                <w:szCs w:val="20"/>
                <w:color w:val="auto"/>
              </w:rPr>
            </w:pPr>
            <w:r>
              <w:rPr>
                <w:rFonts w:ascii="Arial" w:cs="Arial" w:eastAsia="Arial" w:hAnsi="Arial"/>
                <w:sz w:val="18"/>
                <w:szCs w:val="18"/>
                <w:color w:val="auto"/>
              </w:rPr>
              <w:t>(13,035 )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(13,035 )</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48,722,219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411,119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
              <w:spacing w:after="0"/>
              <w:rPr>
                <w:sz w:val="20"/>
                <w:szCs w:val="20"/>
                <w:color w:val="auto"/>
              </w:rPr>
            </w:pPr>
            <w:r>
              <w:rPr>
                <w:rFonts w:ascii="Arial" w:cs="Arial" w:eastAsia="Arial" w:hAnsi="Arial"/>
                <w:sz w:val="18"/>
                <w:szCs w:val="18"/>
                <w:color w:val="auto"/>
              </w:rPr>
              <w:t>(284,099 )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127,069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3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11"/>
          </w:tcPr>
          <w:p>
            <w:pPr>
              <w:jc w:val="center"/>
              <w:ind w:right="221"/>
              <w:spacing w:after="0"/>
              <w:rPr>
                <w:sz w:val="20"/>
                <w:szCs w:val="20"/>
                <w:color w:val="auto"/>
              </w:rPr>
            </w:pPr>
            <w:r>
              <w:rPr>
                <w:rFonts w:ascii="Arial" w:cs="Arial" w:eastAsia="Arial" w:hAnsi="Arial"/>
                <w:sz w:val="14"/>
                <w:szCs w:val="14"/>
                <w:b w:val="1"/>
                <w:bCs w:val="1"/>
                <w:color w:val="auto"/>
                <w:w w:val="92"/>
              </w:rPr>
              <w:t>Nine Months Ended September 30, 2023</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20" w:type="dxa"/>
            <w:vAlign w:val="bottom"/>
            <w:gridSpan w:val="6"/>
            <w:vMerge w:val="restart"/>
          </w:tcPr>
          <w:p>
            <w:pPr>
              <w:jc w:val="right"/>
              <w:ind w:right="557"/>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1180" w:type="dxa"/>
            <w:vAlign w:val="bottom"/>
            <w:gridSpan w:val="3"/>
            <w:vMerge w:val="restart"/>
          </w:tcPr>
          <w:p>
            <w:pPr>
              <w:jc w:val="right"/>
              <w:ind w:right="301"/>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20" w:type="dxa"/>
            <w:vAlign w:val="bottom"/>
            <w:tcBorders>
              <w:bottom w:val="single" w:sz="8" w:color="auto"/>
            </w:tcBorders>
            <w:gridSpan w:val="6"/>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180" w:type="dxa"/>
            <w:vAlign w:val="bottom"/>
            <w:gridSpan w:val="3"/>
          </w:tcPr>
          <w:p>
            <w:pPr>
              <w:jc w:val="right"/>
              <w:ind w:right="501"/>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43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3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48,298,138</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tcBorders>
              <w:top w:val="single" w:sz="8" w:color="auto"/>
              <w:right w:val="single" w:sz="8" w:color="CFF0FC"/>
            </w:tcBorders>
            <w:shd w:val="clear" w:color="auto" w:fill="CFF0FC"/>
          </w:tcPr>
          <w:p>
            <w:pPr>
              <w:jc w:val="right"/>
              <w:ind w:right="597"/>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73"/>
              </w:rPr>
              <w:t>48</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399,271</w:t>
            </w:r>
          </w:p>
        </w:tc>
        <w:tc>
          <w:tcPr>
            <w:tcW w:w="260" w:type="dxa"/>
            <w:vAlign w:val="bottom"/>
            <w:tcBorders>
              <w:right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(239,243</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ind w:left="20"/>
              <w:spacing w:after="0"/>
              <w:rPr>
                <w:sz w:val="20"/>
                <w:szCs w:val="20"/>
                <w:color w:val="auto"/>
              </w:rPr>
            </w:pPr>
            <w:r>
              <w:rPr>
                <w:rFonts w:ascii="Arial" w:cs="Arial" w:eastAsia="Arial" w:hAnsi="Arial"/>
                <w:sz w:val="18"/>
                <w:szCs w:val="18"/>
                <w:color w:val="auto"/>
                <w:w w:val="92"/>
              </w:rPr>
              <w:t>Issuance of common stock upon exercise of stock options</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163,940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gridSpan w:val="3"/>
          </w:tcPr>
          <w:p>
            <w:pPr>
              <w:jc w:val="right"/>
              <w:ind w:right="230"/>
              <w:spacing w:after="0"/>
              <w:rPr>
                <w:sz w:val="20"/>
                <w:szCs w:val="20"/>
                <w:color w:val="auto"/>
              </w:rPr>
            </w:pPr>
            <w:r>
              <w:rPr>
                <w:rFonts w:ascii="Arial" w:cs="Arial" w:eastAsia="Arial" w:hAnsi="Arial"/>
                <w:sz w:val="18"/>
                <w:szCs w:val="18"/>
                <w:color w:val="auto"/>
                <w:w w:val="77"/>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common stock upon vesting of restricted</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181,607</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320" w:type="dxa"/>
            <w:vAlign w:val="bottom"/>
            <w:gridSpan w:val="2"/>
          </w:tcPr>
          <w:p>
            <w:pPr>
              <w:ind w:left="20"/>
              <w:spacing w:after="0"/>
              <w:rPr>
                <w:sz w:val="20"/>
                <w:szCs w:val="20"/>
                <w:color w:val="auto"/>
              </w:rPr>
            </w:pPr>
            <w:r>
              <w:rPr>
                <w:rFonts w:ascii="Arial" w:cs="Arial" w:eastAsia="Arial" w:hAnsi="Arial"/>
                <w:sz w:val="18"/>
                <w:szCs w:val="18"/>
                <w:color w:val="auto"/>
                <w:w w:val="98"/>
              </w:rPr>
              <w:t>Withholding taxes on net share settlement of restricted</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stock units</w:t>
            </w:r>
          </w:p>
        </w:tc>
        <w:tc>
          <w:tcPr>
            <w:tcW w:w="900" w:type="dxa"/>
            <w:vAlign w:val="bottom"/>
          </w:tcPr>
          <w:p>
            <w:pPr>
              <w:spacing w:after="0"/>
              <w:rPr>
                <w:sz w:val="20"/>
                <w:szCs w:val="20"/>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gridSpan w:val="3"/>
          </w:tcPr>
          <w:p>
            <w:pPr>
              <w:jc w:val="right"/>
              <w:ind w:right="230"/>
              <w:spacing w:after="0"/>
              <w:rPr>
                <w:sz w:val="20"/>
                <w:szCs w:val="20"/>
                <w:color w:val="auto"/>
              </w:rPr>
            </w:pPr>
            <w:r>
              <w:rPr>
                <w:rFonts w:ascii="Arial" w:cs="Arial" w:eastAsia="Arial" w:hAnsi="Arial"/>
                <w:sz w:val="18"/>
                <w:szCs w:val="18"/>
                <w:color w:val="auto"/>
                <w:w w:val="77"/>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(222 )</w:t>
            </w:r>
          </w:p>
        </w:tc>
        <w:tc>
          <w:tcPr>
            <w:tcW w:w="120" w:type="dxa"/>
            <w:vAlign w:val="bottom"/>
          </w:tcPr>
          <w:p>
            <w:pPr>
              <w:spacing w:after="0"/>
              <w:rPr>
                <w:sz w:val="20"/>
                <w:szCs w:val="20"/>
                <w:color w:val="auto"/>
              </w:rPr>
            </w:pPr>
          </w:p>
        </w:tc>
        <w:tc>
          <w:tcPr>
            <w:tcW w:w="118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50"/>
        </w:trPr>
        <w:tc>
          <w:tcPr>
            <w:tcW w:w="4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Employee stock purchase plan purchases</w:t>
            </w: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78,534</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spacing w:after="0"/>
              <w:rPr>
                <w:sz w:val="21"/>
                <w:szCs w:val="21"/>
                <w:color w:val="auto"/>
              </w:rPr>
            </w:pPr>
          </w:p>
        </w:tc>
        <w:tc>
          <w:tcPr>
            <w:tcW w:w="480" w:type="dxa"/>
            <w:vAlign w:val="bottom"/>
            <w:gridSpan w:val="3"/>
            <w:shd w:val="clear" w:color="auto" w:fill="CFF0FC"/>
          </w:tcPr>
          <w:p>
            <w:pPr>
              <w:jc w:val="right"/>
              <w:ind w:right="230"/>
              <w:spacing w:after="0"/>
              <w:rPr>
                <w:sz w:val="20"/>
                <w:szCs w:val="20"/>
                <w:color w:val="auto"/>
              </w:rPr>
            </w:pPr>
            <w:r>
              <w:rPr>
                <w:rFonts w:ascii="Arial" w:cs="Arial" w:eastAsia="Arial" w:hAnsi="Arial"/>
                <w:sz w:val="18"/>
                <w:szCs w:val="18"/>
                <w:color w:val="auto"/>
                <w:w w:val="77"/>
              </w:rPr>
              <w:t>—</w:t>
            </w:r>
          </w:p>
        </w:tc>
        <w:tc>
          <w:tcPr>
            <w:tcW w:w="14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26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Pr>
          <w:p>
            <w:pPr>
              <w:spacing w:after="0"/>
              <w:rPr>
                <w:sz w:val="20"/>
                <w:szCs w:val="20"/>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gridSpan w:val="3"/>
          </w:tcPr>
          <w:p>
            <w:pPr>
              <w:jc w:val="right"/>
              <w:ind w:right="230"/>
              <w:spacing w:after="0"/>
              <w:rPr>
                <w:sz w:val="20"/>
                <w:szCs w:val="20"/>
                <w:color w:val="auto"/>
              </w:rPr>
            </w:pPr>
            <w:r>
              <w:rPr>
                <w:rFonts w:ascii="Arial" w:cs="Arial" w:eastAsia="Arial" w:hAnsi="Arial"/>
                <w:sz w:val="18"/>
                <w:szCs w:val="18"/>
                <w:color w:val="auto"/>
                <w:w w:val="77"/>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11,121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7"/>
              </w:rPr>
              <w:t>—</w:t>
            </w:r>
          </w:p>
        </w:tc>
        <w:tc>
          <w:tcPr>
            <w:tcW w:w="300" w:type="dxa"/>
            <w:vAlign w:val="bottom"/>
            <w:gridSpan w:val="2"/>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(44,856 )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(44,856 )</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3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48,722,219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73"/>
              </w:rPr>
              <w:t>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411,119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(284,099 )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127,069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-2527935</wp:posOffset>
            </wp:positionV>
            <wp:extent cx="7683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-2527935</wp:posOffset>
            </wp:positionV>
            <wp:extent cx="7747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-2527935</wp:posOffset>
            </wp:positionV>
            <wp:extent cx="685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-2527935</wp:posOffset>
            </wp:positionV>
            <wp:extent cx="685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7747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-187960</wp:posOffset>
            </wp:positionV>
            <wp:extent cx="76835"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-187960</wp:posOffset>
            </wp:positionV>
            <wp:extent cx="6858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12"/>
          </w:tcPr>
          <w:p>
            <w:pPr>
              <w:ind w:left="320"/>
              <w:spacing w:after="0"/>
              <w:rPr>
                <w:sz w:val="20"/>
                <w:szCs w:val="20"/>
                <w:color w:val="auto"/>
              </w:rPr>
            </w:pPr>
            <w:r>
              <w:rPr>
                <w:rFonts w:ascii="Arial" w:cs="Arial" w:eastAsia="Arial" w:hAnsi="Arial"/>
                <w:sz w:val="14"/>
                <w:szCs w:val="14"/>
                <w:b w:val="1"/>
                <w:bCs w:val="1"/>
                <w:color w:val="auto"/>
              </w:rPr>
              <w:t>Three Months Ended September 30, 2022</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w w:val="93"/>
              </w:rPr>
              <w:t>Common Stock</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jc w:val="center"/>
              <w:ind w:right="480"/>
              <w:spacing w:after="0" w:line="133"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restart"/>
          </w:tcPr>
          <w:p>
            <w:pPr>
              <w:jc w:val="center"/>
              <w:ind w:right="29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right"/>
              <w:ind w:right="358"/>
              <w:spacing w:after="0"/>
              <w:rPr>
                <w:sz w:val="20"/>
                <w:szCs w:val="20"/>
                <w:color w:val="auto"/>
              </w:rPr>
            </w:pPr>
            <w:r>
              <w:rPr>
                <w:rFonts w:ascii="Arial" w:cs="Arial" w:eastAsia="Arial" w:hAnsi="Arial"/>
                <w:sz w:val="14"/>
                <w:szCs w:val="14"/>
                <w:b w:val="1"/>
                <w:bCs w:val="1"/>
                <w:color w:val="auto"/>
                <w:w w:val="98"/>
              </w:rPr>
              <w:t>Shares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7"/>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3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47,819,706</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right w:val="single" w:sz="8" w:color="CFF0FC"/>
            </w:tcBorders>
            <w:gridSpan w:val="2"/>
            <w:shd w:val="clear" w:color="auto" w:fill="CFF0FC"/>
          </w:tcPr>
          <w:p>
            <w:pPr>
              <w:ind w:left="700"/>
              <w:spacing w:after="0"/>
              <w:rPr>
                <w:sz w:val="20"/>
                <w:szCs w:val="20"/>
                <w:color w:val="auto"/>
              </w:rPr>
            </w:pPr>
            <w:r>
              <w:rPr>
                <w:rFonts w:ascii="Arial" w:cs="Arial" w:eastAsia="Arial" w:hAnsi="Arial"/>
                <w:sz w:val="18"/>
                <w:szCs w:val="18"/>
                <w:color w:val="auto"/>
                <w:w w:val="79"/>
              </w:rPr>
              <w:t>48</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391,818</w:t>
            </w: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(200,107</w:t>
            </w:r>
          </w:p>
        </w:tc>
        <w:tc>
          <w:tcPr>
            <w:tcW w:w="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upon exercise of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options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258,871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common stock upon vesting of</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restricted stock units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4,715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(22,229 )</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(22,229 )</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3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48,083,292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700"/>
              <w:spacing w:after="0"/>
              <w:rPr>
                <w:sz w:val="20"/>
                <w:szCs w:val="20"/>
                <w:color w:val="auto"/>
              </w:rPr>
            </w:pPr>
            <w:r>
              <w:rPr>
                <w:rFonts w:ascii="Arial" w:cs="Arial" w:eastAsia="Arial" w:hAnsi="Arial"/>
                <w:sz w:val="18"/>
                <w:szCs w:val="18"/>
                <w:color w:val="auto"/>
                <w:w w:val="79"/>
              </w:rPr>
              <w:t>48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395,227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10"/>
              <w:spacing w:after="0"/>
              <w:rPr>
                <w:sz w:val="20"/>
                <w:szCs w:val="20"/>
                <w:color w:val="auto"/>
              </w:rPr>
            </w:pPr>
            <w:r>
              <w:rPr>
                <w:rFonts w:ascii="Arial" w:cs="Arial" w:eastAsia="Arial" w:hAnsi="Arial"/>
                <w:sz w:val="18"/>
                <w:szCs w:val="18"/>
                <w:color w:val="auto"/>
              </w:rPr>
              <w:t>(222,336 )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172,939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3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12"/>
          </w:tcPr>
          <w:p>
            <w:pPr>
              <w:ind w:left="580"/>
              <w:spacing w:after="0"/>
              <w:rPr>
                <w:sz w:val="20"/>
                <w:szCs w:val="20"/>
                <w:color w:val="auto"/>
              </w:rPr>
            </w:pPr>
            <w:r>
              <w:rPr>
                <w:rFonts w:ascii="Arial" w:cs="Arial" w:eastAsia="Arial" w:hAnsi="Arial"/>
                <w:sz w:val="14"/>
                <w:szCs w:val="14"/>
                <w:b w:val="1"/>
                <w:bCs w:val="1"/>
                <w:color w:val="auto"/>
              </w:rPr>
              <w:t>Nine Months Ended September 30, 2022</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gridSpan w:val="6"/>
            <w:vMerge w:val="restart"/>
          </w:tcPr>
          <w:p>
            <w:pPr>
              <w:ind w:left="8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restart"/>
          </w:tcPr>
          <w:p>
            <w:pPr>
              <w:jc w:val="center"/>
              <w:ind w:right="29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Borders>
              <w:bottom w:val="single" w:sz="8" w:color="auto"/>
            </w:tcBorders>
            <w:gridSpan w:val="6"/>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31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7"/>
        </w:trPr>
        <w:tc>
          <w:tcPr>
            <w:tcW w:w="42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80" w:type="dxa"/>
            <w:vAlign w:val="bottom"/>
            <w:shd w:val="clear" w:color="auto" w:fill="CFF0FC"/>
          </w:tcPr>
          <w:p>
            <w:pPr>
              <w:spacing w:after="0"/>
              <w:rPr>
                <w:sz w:val="20"/>
                <w:szCs w:val="20"/>
                <w:color w:val="auto"/>
              </w:rPr>
            </w:pPr>
          </w:p>
        </w:tc>
        <w:tc>
          <w:tcPr>
            <w:tcW w:w="12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47,504,704</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tcBorders>
              <w:top w:val="single" w:sz="8" w:color="auto"/>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48</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385,060</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(153,001</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20"/>
                <w:szCs w:val="20"/>
                <w:color w:val="auto"/>
              </w:rPr>
            </w:pP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gridSpan w:val="2"/>
          </w:tcPr>
          <w:p>
            <w:pPr>
              <w:ind w:left="20"/>
              <w:spacing w:after="0"/>
              <w:rPr>
                <w:sz w:val="20"/>
                <w:szCs w:val="20"/>
                <w:color w:val="auto"/>
              </w:rPr>
            </w:pPr>
            <w:r>
              <w:rPr>
                <w:rFonts w:ascii="Arial" w:cs="Arial" w:eastAsia="Arial" w:hAnsi="Arial"/>
                <w:sz w:val="18"/>
                <w:szCs w:val="18"/>
                <w:color w:val="auto"/>
                <w:w w:val="91"/>
              </w:rPr>
              <w:t>Issuance of common stock upon exercise of stock options</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573,873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gridSpan w:val="3"/>
          </w:tcPr>
          <w:p>
            <w:pPr>
              <w:jc w:val="right"/>
              <w:ind w:right="21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common stock upon vesting of restricted</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4,715</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spacing w:after="0"/>
              <w:rPr>
                <w:sz w:val="21"/>
                <w:szCs w:val="21"/>
                <w:color w:val="auto"/>
              </w:rPr>
            </w:pPr>
          </w:p>
        </w:tc>
        <w:tc>
          <w:tcPr>
            <w:tcW w:w="480" w:type="dxa"/>
            <w:vAlign w:val="bottom"/>
            <w:gridSpan w:val="3"/>
            <w:shd w:val="clear" w:color="auto" w:fill="CFF0FC"/>
          </w:tcPr>
          <w:p>
            <w:pPr>
              <w:jc w:val="right"/>
              <w:ind w:right="21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gridSpan w:val="3"/>
          </w:tcPr>
          <w:p>
            <w:pPr>
              <w:jc w:val="right"/>
              <w:ind w:right="21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9,729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(69,335 )</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(69,335 )</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2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8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48,083,292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48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395,227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(222,336 )</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172,939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-2108200</wp:posOffset>
            </wp:positionV>
            <wp:extent cx="7747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-2108200</wp:posOffset>
            </wp:positionV>
            <wp:extent cx="6858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-2108200</wp:posOffset>
            </wp:positionV>
            <wp:extent cx="6858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-2108200</wp:posOffset>
            </wp:positionV>
            <wp:extent cx="6858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-187960</wp:posOffset>
            </wp:positionV>
            <wp:extent cx="7683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-187960</wp:posOffset>
            </wp:positionV>
            <wp:extent cx="7747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-187960</wp:posOffset>
            </wp:positionV>
            <wp:extent cx="6858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Nine Months Ended</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3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3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37"/>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(44,856 )</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(69,335 )</w:t>
            </w: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Accretion of debt discount and amortization of debt issuance costs</w:t>
            </w:r>
          </w:p>
        </w:tc>
        <w:tc>
          <w:tcPr>
            <w:tcW w:w="1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11,121</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9,729</w:t>
            </w: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credit losses</w:t>
            </w:r>
          </w:p>
        </w:tc>
        <w:tc>
          <w:tcPr>
            <w:tcW w:w="1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Provision for excess and obsolete inventories</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operating lease expense</w:t>
            </w:r>
          </w:p>
        </w:tc>
        <w:tc>
          <w:tcPr>
            <w:tcW w:w="1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100" w:type="dxa"/>
            <w:vAlign w:val="bottom"/>
          </w:tcPr>
          <w:p>
            <w:pPr>
              <w:spacing w:after="0"/>
              <w:rPr>
                <w:sz w:val="20"/>
                <w:szCs w:val="20"/>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(2,187 )</w:t>
            </w:r>
          </w:p>
        </w:tc>
        <w:tc>
          <w:tcPr>
            <w:tcW w:w="6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(4,280 )</w:t>
            </w: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Inventory</w:t>
            </w:r>
          </w:p>
        </w:tc>
        <w:tc>
          <w:tcPr>
            <w:tcW w:w="11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(3,345 )</w:t>
            </w:r>
          </w:p>
        </w:tc>
        <w:tc>
          <w:tcPr>
            <w:tcW w:w="6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(2,169 )</w:t>
            </w: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517</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(245 )</w:t>
            </w: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noncurrent assets</w:t>
            </w:r>
          </w:p>
        </w:tc>
        <w:tc>
          <w:tcPr>
            <w:tcW w:w="11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(444 )</w:t>
            </w:r>
          </w:p>
        </w:tc>
        <w:tc>
          <w:tcPr>
            <w:tcW w:w="6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841</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(77 )</w:t>
            </w: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w:t>
            </w:r>
          </w:p>
        </w:tc>
        <w:tc>
          <w:tcPr>
            <w:tcW w:w="11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(1,851 )</w:t>
            </w:r>
          </w:p>
        </w:tc>
        <w:tc>
          <w:tcPr>
            <w:tcW w:w="6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Accrued and other current liabilities</w:t>
            </w:r>
          </w:p>
        </w:tc>
        <w:tc>
          <w:tcPr>
            <w:tcW w:w="1100" w:type="dxa"/>
            <w:vAlign w:val="bottom"/>
          </w:tcPr>
          <w:p>
            <w:pPr>
              <w:spacing w:after="0"/>
              <w:rPr>
                <w:sz w:val="20"/>
                <w:szCs w:val="20"/>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(3,089 )</w:t>
            </w:r>
          </w:p>
        </w:tc>
        <w:tc>
          <w:tcPr>
            <w:tcW w:w="6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0"/>
                <w:szCs w:val="20"/>
                <w:color w:val="auto"/>
              </w:rPr>
            </w:pPr>
          </w:p>
        </w:tc>
      </w:tr>
      <w:tr>
        <w:trPr>
          <w:trHeight w:val="243"/>
        </w:trPr>
        <w:tc>
          <w:tcPr>
            <w:tcW w:w="7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noncurrent liabilities</w:t>
            </w:r>
          </w:p>
        </w:tc>
        <w:tc>
          <w:tcPr>
            <w:tcW w:w="11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300" w:type="dxa"/>
            <w:vAlign w:val="bottom"/>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1100" w:type="dxa"/>
            <w:vAlign w:val="bottom"/>
          </w:tcPr>
          <w:p>
            <w:pPr>
              <w:spacing w:after="0"/>
              <w:rPr>
                <w:sz w:val="20"/>
                <w:szCs w:val="20"/>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(40,700 )</w:t>
            </w:r>
          </w:p>
        </w:tc>
        <w:tc>
          <w:tcPr>
            <w:tcW w:w="6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(60,463 )</w:t>
            </w:r>
          </w:p>
        </w:tc>
      </w:tr>
      <w:tr>
        <w:trPr>
          <w:trHeight w:val="241"/>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1100" w:type="dxa"/>
            <w:vAlign w:val="bottom"/>
          </w:tcPr>
          <w:p>
            <w:pPr>
              <w:spacing w:after="0"/>
              <w:rPr>
                <w:sz w:val="20"/>
                <w:szCs w:val="20"/>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(527 )</w:t>
            </w:r>
          </w:p>
        </w:tc>
        <w:tc>
          <w:tcPr>
            <w:tcW w:w="6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(841 )</w:t>
            </w:r>
          </w:p>
        </w:tc>
      </w:tr>
      <w:tr>
        <w:trPr>
          <w:trHeight w:val="239"/>
        </w:trPr>
        <w:tc>
          <w:tcPr>
            <w:tcW w:w="7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110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common stock options</w:t>
            </w:r>
          </w:p>
        </w:tc>
        <w:tc>
          <w:tcPr>
            <w:tcW w:w="1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FF0FC"/>
          </w:tcPr>
          <w:p>
            <w:pPr>
              <w:spacing w:after="0"/>
              <w:rPr>
                <w:sz w:val="21"/>
                <w:szCs w:val="21"/>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Taxes paid on the net share settlement of restricted stock units</w:t>
            </w:r>
          </w:p>
        </w:tc>
        <w:tc>
          <w:tcPr>
            <w:tcW w:w="1100" w:type="dxa"/>
            <w:vAlign w:val="bottom"/>
          </w:tcPr>
          <w:p>
            <w:pPr>
              <w:spacing w:after="0"/>
              <w:rPr>
                <w:sz w:val="20"/>
                <w:szCs w:val="20"/>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(222 )</w:t>
            </w:r>
          </w:p>
        </w:tc>
        <w:tc>
          <w:tcPr>
            <w:tcW w:w="60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employee stock purchase plan purchases</w:t>
            </w:r>
          </w:p>
        </w:tc>
        <w:tc>
          <w:tcPr>
            <w:tcW w:w="1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9"/>
        </w:trPr>
        <w:tc>
          <w:tcPr>
            <w:tcW w:w="7300" w:type="dxa"/>
            <w:vAlign w:val="bottom"/>
            <w:tcBorders>
              <w:top w:val="single" w:sz="8" w:color="CFF0FC"/>
            </w:tcBorders>
          </w:tcPr>
          <w:p>
            <w:pPr>
              <w:ind w:left="200"/>
              <w:spacing w:after="0"/>
              <w:rPr>
                <w:sz w:val="20"/>
                <w:szCs w:val="20"/>
                <w:color w:val="auto"/>
              </w:rPr>
            </w:pPr>
            <w:r>
              <w:rPr>
                <w:rFonts w:ascii="Arial" w:cs="Arial" w:eastAsia="Arial" w:hAnsi="Arial"/>
                <w:sz w:val="18"/>
                <w:szCs w:val="18"/>
                <w:b w:val="1"/>
                <w:bCs w:val="1"/>
                <w:color w:val="auto"/>
              </w:rPr>
              <w:t>Net cash provided by financing activities</w:t>
            </w:r>
          </w:p>
        </w:tc>
        <w:tc>
          <w:tcPr>
            <w:tcW w:w="1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300" w:type="dxa"/>
            <w:vAlign w:val="bottom"/>
            <w:tcBorders>
              <w:top w:val="single" w:sz="8" w:color="CFF0FC"/>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top w:val="single" w:sz="8" w:color="CFF0FC"/>
            </w:tcBorders>
          </w:tcPr>
          <w:p>
            <w:pPr>
              <w:spacing w:after="0"/>
              <w:rPr>
                <w:sz w:val="20"/>
                <w:szCs w:val="20"/>
                <w:color w:val="auto"/>
              </w:rPr>
            </w:pPr>
          </w:p>
        </w:tc>
      </w:tr>
      <w:tr>
        <w:trPr>
          <w:trHeight w:val="241"/>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1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(40,499</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(60,868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185,000</w:t>
            </w:r>
          </w:p>
        </w:tc>
        <w:tc>
          <w:tcPr>
            <w:tcW w:w="3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260,687</w:t>
            </w:r>
          </w:p>
        </w:tc>
        <w:tc>
          <w:tcPr>
            <w:tcW w:w="100" w:type="dxa"/>
            <w:vAlign w:val="bottom"/>
          </w:tcPr>
          <w:p>
            <w:pPr>
              <w:spacing w:after="0"/>
              <w:rPr>
                <w:sz w:val="20"/>
                <w:szCs w:val="20"/>
                <w:color w:val="auto"/>
              </w:rPr>
            </w:pPr>
          </w:p>
        </w:tc>
      </w:tr>
      <w:tr>
        <w:trPr>
          <w:trHeight w:val="277"/>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100" w:type="dxa"/>
            <w:vAlign w:val="bottom"/>
            <w:tcBorders>
              <w:bottom w:val="single" w:sz="8" w:color="auto"/>
            </w:tcBorders>
            <w:shd w:val="clear" w:color="auto" w:fill="CFF0FC"/>
          </w:tcPr>
          <w:p>
            <w:pPr>
              <w:jc w:val="right"/>
              <w:ind w:right="91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144,501</w:t>
            </w:r>
          </w:p>
        </w:tc>
        <w:tc>
          <w:tcPr>
            <w:tcW w:w="30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199,819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6"/>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interest</w:t>
            </w:r>
          </w:p>
        </w:tc>
        <w:tc>
          <w:tcPr>
            <w:tcW w:w="1100" w:type="dxa"/>
            <w:vAlign w:val="bottom"/>
            <w:shd w:val="clear" w:color="auto" w:fill="CFF0FC"/>
          </w:tcPr>
          <w:p>
            <w:pPr>
              <w:jc w:val="right"/>
              <w:ind w:right="91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3,167</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disclosure</w:t>
            </w: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of property and equipment included in accounts payable and accrued liabilities</w:t>
            </w:r>
          </w:p>
        </w:tc>
        <w:tc>
          <w:tcPr>
            <w:tcW w:w="1100" w:type="dxa"/>
            <w:vAlign w:val="bottom"/>
            <w:shd w:val="clear" w:color="auto" w:fill="CFF0FC"/>
          </w:tcPr>
          <w:p>
            <w:pPr>
              <w:jc w:val="right"/>
              <w:ind w:right="91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-2708275</wp:posOffset>
            </wp:positionV>
            <wp:extent cx="6858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-2065020</wp:posOffset>
            </wp:positionV>
            <wp:extent cx="6858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-1439545</wp:posOffset>
            </wp:positionV>
            <wp:extent cx="685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-796290</wp:posOffset>
            </wp:positionV>
            <wp:extent cx="1379855" cy="3340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9855" cy="33401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 Company and Nature of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1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Sight Sciences, Inc. (the “Company”) was incorporated in the State of Delaware in 2010 and is headquartered in Menlo Park, California. The Company is an ophthalmic medical device company focused on the development and commercialization of surgical and nonsurgical technologies for the treatment of prevalent eye diseases.</w:t>
      </w:r>
    </w:p>
    <w:p>
      <w:pPr>
        <w:spacing w:after="0" w:line="76"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The Company's product portfolio aligns with its two reportable operating segments: Surgical Glaucoma and Dry Eye. The products for the Surgical Glaucoma segment include the OMNI® Surgical System ("OMNI"), which is an implant-free glaucoma surgery technology indicated to reduce intraocular pressure in adult patients with primary open-angle glaucoma, the world's leading cause of irreversible blindness, and the SION™ Surgical Instrument ("SION"), a manually operated device used in ophthalmic surgical procedures to excise trabecular meshwork. The product portfolio for the Dry Eye segment consists of the TearCare® System ("TearCare") for ophthalmologists and optometrists. TearCare is a wearable eyelid technology for adult patients with evaporative dry eye disease due to meibomian gland dysfunction (MGD) when used in conjunction with manual expression of the meibomian glands, enabling clearance of gland obstructions by physicians to address the leading cause of dry eye disease.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Significant Risks and Uncertainties</w:t>
      </w:r>
    </w:p>
    <w:p>
      <w:pPr>
        <w:spacing w:after="0" w:line="117"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Since inception, the Company has incurred losses and negative cash flows from operations. As of September 30, 2023, the Company had an accumulated deficit of $284.1 million and recorded a net loss of $44.9 million for the nine months then ended and expects to incur additional losses in the future. If the Company’s revenue levels from its products are not sufficient or if the Company is unable to secure additional funding when desired, the Company may need to delay the development of its products, scale back its business and operations, or change its business strategy.</w:t>
      </w:r>
    </w:p>
    <w:p>
      <w:pPr>
        <w:spacing w:after="0" w:line="15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Company believes that its existing sources of liquidity will satisfy its working capital and capital requirements for at least 12 months from the issuance of its financial statements. Any failure to generate increased revenue, achieve improved gross margins, or control operating costs could require the Company to raise additional capital through equity or debt financing. Such additional financing may not be available on acceptable terms, or at all, and could require the Company to modify, delay, or abandon some of its planned future expansion or expenditures or reduce some of its ongoing operating costs, which could harm its business, operating results, financial condition, and ability to achieve its intended business objectives.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accompanying condensed consolidated financial statements are unaudited and have been prepared in accordance with generally accepted accounting principles in the United States of America (“GAAP”) applicable to interim periods and pursuant to the instructions to Form 10-Q and Article 10 of Regulation S-X.</w:t>
      </w:r>
    </w:p>
    <w:p>
      <w:pPr>
        <w:spacing w:after="0" w:line="76"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The unaudited condensed consolidated financial statements have been prepared on a basis consistent with the audited consolidated financial statements. In the opinion of management, the unaudited condensed consolidated financial statements reflect all adjustments, which include only normal recurring adjustments, necessary for the fair presentation of the Company's financial information contained herein. The condensed consolidated balance sheet as of December 31, 2022 is derived from the Company's consolidated audited financial statements as of that date. These interim condensed consolidated financial statements do not include all disclosures required by GAAP and should be read in conjunction with the Company's audited consolidated financial statements and the accompanying notes thereto for the fiscal year ended December 31, 2022, which are contained in the Annual Report. The Company's results of operations for the nine months ended September 30, 2023 are not necessarily indicative of the results to be expected for the year ending December 31, 2023 or for any other interim period.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 w:name="page12"/>
    <w:bookmarkEnd w:id="11"/>
    <w:p>
      <w:pPr>
        <w:ind w:right="500" w:firstLine="509"/>
        <w:spacing w:after="0" w:line="277"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its wholly-owned subsidiaries. All intercompany accounts and transactions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17"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231F20"/>
        </w:rPr>
        <w:t>The preparation of the Company's unaudited condensed consolidated financial statements in conformity with GAAP requires management to make estimates and assumptions that affect the reported amounts of assets and liabilities, disclosure of contingent liabilities as of the date of the financial statements, and the reported amounts of revenues and expenses during the reporting period. The most significant areas requiring the use of management estimates and assumptions relate to the provision for credit losses, inventory excess and obsolescence, the selection of useful lives of property and equipment, determination of the fair value of stock option grants, and provisions for income taxes and contingencies. Management evaluates its estimates and assumptions on an ongoing basis using historical experience, existing and known circumstances, authoritative accounting pronouncements, and other factors that management believes to be reasonable, including the current macroeconomic environment, and makes adjustments when facts and circumstances dictate. Although the full impact of these factors is unknown and cannot be reasonably estimated, the Company believes it has made appropriate accounting estimates and assumptions based on information available as of the date of the unaudited condensed consolidated financial statements. Actual results could differ from these estimates and such differences could be material to the Company’s financial position and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117"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 xml:space="preserve">In June 2016, the Financial Accounting Standards Board (the "FASB") issued Accounting Standards Updated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Instruments—Credit Losses (Topic 326): Measurement of Credit Losses on Financial Instruments</w:t>
      </w:r>
      <w:r>
        <w:rPr>
          <w:rFonts w:ascii="Arial" w:cs="Arial" w:eastAsia="Arial" w:hAnsi="Arial"/>
          <w:sz w:val="17"/>
          <w:szCs w:val="17"/>
          <w:color w:val="auto"/>
        </w:rPr>
        <w:t>, which amends the impairment model by requiring</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to use a forward-looking approach based on expected losses to estimate credit losses on certain types of financial instruments, including trade receivables and available-for-sale debt securities. The guidance was effective for the Company beginning in the first quarter of 2023. The amendments in ASU 2016-13 were adopted with no material impact on the Company's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As of September 30, 2023, there are no significant ASUs issued and not yet adopted that are expected to have a material impact on the Company's financial statements and related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84"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Level 1—Inputs are quoted prices (unadjusted) in active markets for identical assets or liabilities that the Company has the ability to access at the measurement date.</w:t>
      </w:r>
    </w:p>
    <w:p>
      <w:pPr>
        <w:spacing w:after="0" w:line="62"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76"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 w:name="page13"/>
    <w:bookmarkEnd w:id="12"/>
    <w:p>
      <w:pPr>
        <w:ind w:right="40" w:firstLine="509"/>
        <w:spacing w:after="0" w:line="286" w:lineRule="auto"/>
        <w:rPr>
          <w:sz w:val="20"/>
          <w:szCs w:val="20"/>
          <w:color w:val="auto"/>
        </w:rPr>
      </w:pPr>
      <w:r>
        <w:rPr>
          <w:rFonts w:ascii="Arial" w:cs="Arial" w:eastAsia="Arial" w:hAnsi="Arial"/>
          <w:sz w:val="17"/>
          <w:szCs w:val="17"/>
          <w:color w:val="auto"/>
        </w:rPr>
        <w:t>The Company's cash and cash equivalents included $136.3 million of treasury bills as of September 30, 2023. These securities are classified as held-to-maturity and all have been purchased with original maturities of 90 days or less. Held-to-maturity debt securities are recorded at amortized cost in the financial statements. The following table summarizes the amortized cost and fair value of held-to-maturity securities (in thousands):</w:t>
      </w:r>
    </w:p>
    <w:p>
      <w:pPr>
        <w:spacing w:after="0" w:line="38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3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4"/>
              </w:rPr>
              <w:t>Aggregate Fair Value</w:t>
            </w:r>
          </w:p>
        </w:tc>
        <w:tc>
          <w:tcPr>
            <w:tcW w:w="120" w:type="dxa"/>
            <w:vAlign w:val="bottom"/>
          </w:tcPr>
          <w:p>
            <w:pPr>
              <w:spacing w:after="0"/>
              <w:rPr>
                <w:sz w:val="14"/>
                <w:szCs w:val="14"/>
                <w:color w:val="auto"/>
              </w:rPr>
            </w:pPr>
          </w:p>
        </w:tc>
      </w:tr>
      <w:tr>
        <w:trPr>
          <w:trHeight w:val="237"/>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136,256</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119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136,285</w:t>
            </w:r>
          </w:p>
        </w:tc>
        <w:tc>
          <w:tcPr>
            <w:tcW w:w="12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 measures the fair value of outstanding debt for disclosure purposes on a recurring basis. As of September 30, 2023 and December 31, 2022, total debt of $33.8 million and $33.3 million is reported at amortized cost, respectively. This outstanding debt is classified as Level 2 as it is not actively traded. The amortized cost of the outstanding debt approximates the fair value.</w:t>
      </w:r>
    </w:p>
    <w:p>
      <w:pPr>
        <w:spacing w:after="0" w:line="184"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financial statements as of September 30, 2023 and December 31, 2022 do not include any assets or liabilities that are measured at fair value on a nonrecurring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As of September 30,</w:t>
            </w:r>
          </w:p>
        </w:tc>
        <w:tc>
          <w:tcPr>
            <w:tcW w:w="200" w:type="dxa"/>
            <w:vAlign w:val="bottom"/>
          </w:tcPr>
          <w:p>
            <w:pPr>
              <w:spacing w:after="0"/>
              <w:rPr>
                <w:sz w:val="15"/>
                <w:szCs w:val="15"/>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As of December 31,</w:t>
            </w:r>
          </w:p>
        </w:tc>
      </w:tr>
      <w:tr>
        <w:trPr>
          <w:trHeight w:val="185"/>
        </w:trPr>
        <w:tc>
          <w:tcPr>
            <w:tcW w:w="7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Tools and equipment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FF0FC"/>
          </w:tcPr>
          <w:p>
            <w:pPr>
              <w:spacing w:after="0"/>
              <w:rPr>
                <w:sz w:val="20"/>
                <w:szCs w:val="20"/>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r>
      <w:tr>
        <w:trPr>
          <w:trHeight w:val="24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FF0FC"/>
          </w:tcPr>
          <w:p>
            <w:pPr>
              <w:spacing w:after="0"/>
              <w:rPr>
                <w:sz w:val="21"/>
                <w:szCs w:val="21"/>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r>
      <w:tr>
        <w:trPr>
          <w:trHeight w:val="243"/>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process</w:t>
            </w:r>
          </w:p>
        </w:tc>
        <w:tc>
          <w:tcPr>
            <w:tcW w:w="1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3,023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20"/>
                <w:szCs w:val="20"/>
                <w:color w:val="auto"/>
              </w:rPr>
            </w:pPr>
          </w:p>
        </w:tc>
      </w:tr>
      <w:tr>
        <w:trPr>
          <w:trHeight w:val="243"/>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(1,467 )</w:t>
            </w: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(1,434 )</w:t>
            </w:r>
          </w:p>
        </w:tc>
      </w:tr>
      <w:tr>
        <w:trPr>
          <w:trHeight w:val="236"/>
        </w:trPr>
        <w:tc>
          <w:tcPr>
            <w:tcW w:w="74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Borders>
              <w:top w:val="single" w:sz="8" w:color="CFF0FC"/>
            </w:tcBorders>
          </w:tcPr>
          <w:p>
            <w:pPr>
              <w:spacing w:after="0"/>
              <w:rPr>
                <w:sz w:val="20"/>
                <w:szCs w:val="20"/>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-505460</wp:posOffset>
            </wp:positionV>
            <wp:extent cx="685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-187960</wp:posOffset>
            </wp:positionV>
            <wp:extent cx="6858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90"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Depreciation expense was $0.2 million and $0.2 million for the three months ended September 30, 2023 and 2022, respectively. Depreciation expense was $0.5 million and $0.6 million for the nine months ended September 30, 2023 and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Accrued and Other 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As of September 30,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ind w:right="295"/>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5"/>
                <w:szCs w:val="15"/>
                <w:color w:val="auto"/>
              </w:rPr>
            </w:pPr>
          </w:p>
        </w:tc>
      </w:tr>
      <w:tr>
        <w:trPr>
          <w:trHeight w:val="185"/>
        </w:trPr>
        <w:tc>
          <w:tcPr>
            <w:tcW w:w="7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5,307</w:t>
            </w:r>
          </w:p>
        </w:tc>
        <w:tc>
          <w:tcPr>
            <w:tcW w:w="100" w:type="dxa"/>
            <w:vAlign w:val="bottom"/>
            <w:shd w:val="clear" w:color="auto" w:fill="CFF0FC"/>
          </w:tcPr>
          <w:p>
            <w:pPr>
              <w:spacing w:after="0"/>
              <w:rPr>
                <w:sz w:val="20"/>
                <w:szCs w:val="20"/>
                <w:color w:val="auto"/>
              </w:rPr>
            </w:pPr>
          </w:p>
        </w:tc>
      </w:tr>
      <w:tr>
        <w:trPr>
          <w:trHeight w:val="237"/>
        </w:trPr>
        <w:tc>
          <w:tcPr>
            <w:tcW w:w="7380" w:type="dxa"/>
            <w:vAlign w:val="bottom"/>
          </w:tcPr>
          <w:p>
            <w:pPr>
              <w:ind w:left="20"/>
              <w:spacing w:after="0"/>
              <w:rPr>
                <w:sz w:val="20"/>
                <w:szCs w:val="20"/>
                <w:color w:val="auto"/>
              </w:rPr>
            </w:pPr>
            <w:r>
              <w:rPr>
                <w:rFonts w:ascii="Arial" w:cs="Arial" w:eastAsia="Arial" w:hAnsi="Arial"/>
                <w:sz w:val="18"/>
                <w:szCs w:val="18"/>
                <w:color w:val="auto"/>
              </w:rPr>
              <w:t>Current portion of lease liabilities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0"/>
                <w:szCs w:val="20"/>
                <w:color w:val="auto"/>
              </w:rPr>
            </w:pPr>
          </w:p>
        </w:tc>
      </w:tr>
      <w:tr>
        <w:trPr>
          <w:trHeight w:val="249"/>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 term interest payable</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FF0FC"/>
          </w:tcPr>
          <w:p>
            <w:pPr>
              <w:spacing w:after="0"/>
              <w:rPr>
                <w:sz w:val="21"/>
                <w:szCs w:val="21"/>
                <w:color w:val="auto"/>
              </w:rPr>
            </w:pPr>
          </w:p>
        </w:tc>
      </w:tr>
      <w:tr>
        <w:trPr>
          <w:trHeight w:val="237"/>
        </w:trPr>
        <w:tc>
          <w:tcPr>
            <w:tcW w:w="738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0"/>
                <w:szCs w:val="20"/>
                <w:color w:val="auto"/>
              </w:rPr>
            </w:pPr>
          </w:p>
        </w:tc>
      </w:tr>
      <w:tr>
        <w:trPr>
          <w:trHeight w:val="277"/>
        </w:trPr>
        <w:tc>
          <w:tcPr>
            <w:tcW w:w="7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accrued and other current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5,295</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Other Noncurrent Liabilities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As of September 30,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jc w:val="right"/>
              <w:ind w:right="276"/>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5"/>
                <w:szCs w:val="15"/>
                <w:color w:val="auto"/>
              </w:rPr>
            </w:pPr>
          </w:p>
        </w:tc>
      </w:tr>
      <w:tr>
        <w:trPr>
          <w:trHeight w:val="185"/>
        </w:trPr>
        <w:tc>
          <w:tcPr>
            <w:tcW w:w="7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 term interest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FF0FC"/>
          </w:tcPr>
          <w:p>
            <w:pPr>
              <w:spacing w:after="0"/>
              <w:rPr>
                <w:sz w:val="20"/>
                <w:szCs w:val="20"/>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Noncurrent portion of lease liabilities</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0"/>
                <w:szCs w:val="20"/>
                <w:color w:val="auto"/>
              </w:rPr>
            </w:pPr>
          </w:p>
        </w:tc>
      </w:tr>
      <w:tr>
        <w:trPr>
          <w:trHeight w:val="243"/>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60" w:type="dxa"/>
            <w:vAlign w:val="bottom"/>
          </w:tcPr>
          <w:p>
            <w:pPr>
              <w:ind w:left="200"/>
              <w:spacing w:after="0"/>
              <w:rPr>
                <w:sz w:val="20"/>
                <w:szCs w:val="20"/>
                <w:color w:val="auto"/>
              </w:rPr>
            </w:pPr>
            <w:r>
              <w:rPr>
                <w:rFonts w:ascii="Arial" w:cs="Arial" w:eastAsia="Arial" w:hAnsi="Arial"/>
                <w:sz w:val="18"/>
                <w:szCs w:val="18"/>
                <w:color w:val="auto"/>
              </w:rPr>
              <w:t>Total other noncurrent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1,476</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0"/>
                <w:szCs w:val="20"/>
                <w:color w:val="auto"/>
              </w:rPr>
            </w:pPr>
          </w:p>
        </w:tc>
      </w:tr>
      <w:tr>
        <w:trPr>
          <w:trHeight w:val="20"/>
        </w:trPr>
        <w:tc>
          <w:tcPr>
            <w:tcW w:w="7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-187960</wp:posOffset>
            </wp:positionV>
            <wp:extent cx="7747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As of September 30, 2023, the Company had a credit and security agreement with certain entities affiliated with MidCap Financial Services (such entities collectively, the "Lender"), memorializing the terms of a $35.0 million senior secured term loan (the "Term Loan").</w:t>
      </w:r>
    </w:p>
    <w:p>
      <w:pPr>
        <w:spacing w:after="0" w:line="62"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231F20"/>
        </w:rPr>
        <w:t>The obligations under the Term Loan agreement are guaranteed by the Company's current and future subsidiaries, subject to exceptions for certain foreign subsidiaries, and secured by substantially all assets of the Company, including material intellectual property. Additionally, the Company is subject to customary affirmative and negative covenants as defined in the Term Loan agreement, including minimum revenue and cash covenants, as well as covenants that limit or restrict the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As of September 30, 2023, the Company was in compliance with all financial and non-financial covenants under the Term Loan agreement. The Term Loan agreement includes a maturity date of November 1, 2025, and principal payments under the Term Loan are expected to commence in December 2023. However, if certain conditions are met, principal payments may instead commence in December 2024.</w:t>
      </w:r>
    </w:p>
    <w:p>
      <w:pPr>
        <w:spacing w:after="0" w:line="5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231F20"/>
        </w:rPr>
        <w:t>The Term Loan agreement contains events of default that include, among others, non-payment of principal, interest or fees, breach of covenants, inaccuracy of representations and warranties, cross-defaults and bankruptcy and insolvency events. In addition, the Term Loan agreement includes a stated floating interest rate that is reserve-adjusted Secured Overnight Finance Rate, plus 7.00%, and a provision for a final payment fee of 6.0% of the $35.0 million Term Loan balance, which has been partially accrued and recorded as a long-term interest payable in other noncurrent liabilities of $1.4 million as of September 30, 2023 and $1.2 million as of December 31, 2022.</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and short-term debt as of September 30, 2023 and December 31, 2022, respectively, was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w w:val="93"/>
              </w:rPr>
              <w:t>As of September 30,</w:t>
            </w:r>
          </w:p>
        </w:tc>
        <w:tc>
          <w:tcPr>
            <w:tcW w:w="200" w:type="dxa"/>
            <w:vAlign w:val="bottom"/>
          </w:tcPr>
          <w:p>
            <w:pPr>
              <w:spacing w:after="0"/>
              <w:rPr>
                <w:sz w:val="15"/>
                <w:szCs w:val="15"/>
                <w:color w:val="auto"/>
              </w:rPr>
            </w:pPr>
          </w:p>
        </w:tc>
        <w:tc>
          <w:tcPr>
            <w:tcW w:w="1720" w:type="dxa"/>
            <w:vAlign w:val="bottom"/>
            <w:gridSpan w:val="2"/>
          </w:tcPr>
          <w:p>
            <w:pPr>
              <w:jc w:val="right"/>
              <w:ind w:right="341"/>
              <w:spacing w:after="0"/>
              <w:rPr>
                <w:sz w:val="20"/>
                <w:szCs w:val="20"/>
                <w:color w:val="auto"/>
              </w:rPr>
            </w:pPr>
            <w:r>
              <w:rPr>
                <w:rFonts w:ascii="Arial" w:cs="Arial" w:eastAsia="Arial" w:hAnsi="Arial"/>
                <w:sz w:val="14"/>
                <w:szCs w:val="14"/>
                <w:b w:val="1"/>
                <w:bCs w:val="1"/>
                <w:color w:val="auto"/>
                <w:w w:val="98"/>
              </w:rPr>
              <w:t>As of December 31,</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Term Loan</w:t>
            </w:r>
          </w:p>
        </w:tc>
        <w:tc>
          <w:tcPr>
            <w:tcW w:w="2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Total principal payments due</w:t>
            </w:r>
          </w:p>
        </w:tc>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Less: debt discount related to warrant liability and issuance costs</w:t>
            </w:r>
          </w:p>
        </w:tc>
        <w:tc>
          <w:tcPr>
            <w:tcW w:w="2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Total amounts outstanding</w:t>
            </w:r>
          </w:p>
        </w:tc>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33,765</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current portion</w:t>
            </w:r>
          </w:p>
        </w:tc>
        <w:tc>
          <w:tcPr>
            <w:tcW w:w="2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2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33,765</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33,313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320" w:type="dxa"/>
            <w:vAlign w:val="bottom"/>
            <w:vMerge w:val="restart"/>
          </w:tcPr>
          <w:p>
            <w:pPr>
              <w:jc w:val="right"/>
              <w:ind w:right="1630"/>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1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12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-1310640</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-668020</wp:posOffset>
            </wp:positionV>
            <wp:extent cx="685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repayment schedule relating to the Term Loan as of September 30, 2023, is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r>
      <w:tr>
        <w:trPr>
          <w:trHeight w:val="237"/>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(remainder)</w:t>
            </w:r>
          </w:p>
        </w:tc>
        <w:tc>
          <w:tcPr>
            <w:tcW w:w="4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0"/>
                <w:szCs w:val="20"/>
                <w:color w:val="auto"/>
              </w:rPr>
            </w:pPr>
          </w:p>
        </w:tc>
      </w:tr>
      <w:tr>
        <w:trPr>
          <w:trHeight w:val="24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32,083</w:t>
            </w:r>
          </w:p>
        </w:tc>
        <w:tc>
          <w:tcPr>
            <w:tcW w:w="100" w:type="dxa"/>
            <w:vAlign w:val="bottom"/>
            <w:shd w:val="clear" w:color="auto" w:fill="CFF0FC"/>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7"/>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repayments</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11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The Company’s leases include facility leases and storage leases. In determining the present value of lease payments, the Company uses its incremental borrowing rate based on the information available at the lease commencement date if the rate implicit in the lease is not readily determinable. The Company estimates its incremental borrowing rate based on qualitative factors including company specific credit offers, lease term, general economics, and the interest rate environment. In determining the lease term, the Company includes all renewal options that are reasonably probable to be executed.</w:t>
      </w:r>
    </w:p>
    <w:p>
      <w:pPr>
        <w:spacing w:after="0" w:line="49"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During the first quarter of 2021, the Company renewed its lease on its corporate headquarters in Menlo Park, California. The lease commenced in August 2021 and has a term of 37 months from the commencement date. The Company recorded an aggregate right-of-use ("ROU") asset and lease liability of $1.5 million. The ROU asset and corresponding lease liability were estimated using a weighted-average incremental borrowing rate of 13.59%. Total base rent is approximately $1.6 million under the lease agreement.</w:t>
      </w:r>
    </w:p>
    <w:p>
      <w:pPr>
        <w:spacing w:after="0" w:line="79"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During the fourth quarter of 2022, the Company entered into a supply agreement with an expected term of 18 months. The supply agreement contains provisions that indicate an embedded lease is present within the agreement. The agreement commenced in early December 2022 and the Company recorded an aggregate ROU asset and lease liability of $0.7 million. The ROU asset and corresponding lease liability were estimated using a weighted-average incremental borrowing rate of 10.75%. Total base rent under the agreement is approximately $0.7 million.</w:t>
      </w:r>
    </w:p>
    <w:p>
      <w:pPr>
        <w:spacing w:after="0" w:line="171"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Company recognizes rent expense on a straight-line basis over the noncancelable lease term. The Company’s rent expense was $0.9 million and $0.5 million for the nine months ended September 30, 2023 and 2022, respectively. The Company’s rent expense was $0.3 million and $0.2 million for the three months ended September 30, 2023 and 2022, respectively. As of September 30, 2023, the weighted average remaining lease term for the leases was 0.8 years.</w:t>
      </w:r>
    </w:p>
    <w:p>
      <w:pPr>
        <w:spacing w:after="0" w:line="187"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Operating lease expense and supplemental cash flow information related to operating leases for the three and nine months ended September 30, 2023 and 2022 were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120" w:type="dxa"/>
            <w:vAlign w:val="bottom"/>
            <w:gridSpan w:val="4"/>
          </w:tcPr>
          <w:p>
            <w:pPr>
              <w:jc w:val="center"/>
              <w:ind w:left="222"/>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center"/>
              <w:ind w:right="216"/>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r>
      <w:tr>
        <w:trPr>
          <w:trHeight w:val="185"/>
        </w:trPr>
        <w:tc>
          <w:tcPr>
            <w:tcW w:w="60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0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3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r>
      <w:tr>
        <w:trPr>
          <w:trHeight w:val="237"/>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740" w:type="dxa"/>
            <w:vAlign w:val="bottom"/>
            <w:tcBorders>
              <w:top w:val="single" w:sz="8" w:color="auto"/>
            </w:tcBorders>
            <w:shd w:val="clear" w:color="auto" w:fill="CFF0FC"/>
          </w:tcPr>
          <w:p>
            <w:pPr>
              <w:jc w:val="right"/>
              <w:ind w:right="56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168</w:t>
            </w:r>
          </w:p>
        </w:tc>
        <w:tc>
          <w:tcPr>
            <w:tcW w:w="2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2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FF0FC"/>
          </w:tcPr>
          <w:p>
            <w:pPr>
              <w:spacing w:after="0"/>
              <w:rPr>
                <w:sz w:val="20"/>
                <w:szCs w:val="20"/>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Cash paid for operating leases</w:t>
            </w:r>
          </w:p>
        </w:tc>
        <w:tc>
          <w:tcPr>
            <w:tcW w:w="7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295</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168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Aggregate future minimum lease payments at September 30, 2023, under these noncancelable operating leases were as follows (in thousands):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5"/>
        </w:trPr>
        <w:tc>
          <w:tcPr>
            <w:tcW w:w="9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As of September 30,</w:t>
            </w:r>
          </w:p>
        </w:tc>
      </w:tr>
      <w:tr>
        <w:trPr>
          <w:trHeight w:val="185"/>
        </w:trPr>
        <w:tc>
          <w:tcPr>
            <w:tcW w:w="9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r>
      <w:tr>
        <w:trPr>
          <w:trHeight w:val="237"/>
        </w:trPr>
        <w:tc>
          <w:tcPr>
            <w:tcW w:w="9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(remainder)</w:t>
            </w:r>
          </w:p>
        </w:tc>
        <w:tc>
          <w:tcPr>
            <w:tcW w:w="22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FF0FC"/>
          </w:tcPr>
          <w:p>
            <w:pPr>
              <w:spacing w:after="0"/>
              <w:rPr>
                <w:sz w:val="20"/>
                <w:szCs w:val="20"/>
                <w:color w:val="auto"/>
              </w:rPr>
            </w:pPr>
          </w:p>
        </w:tc>
      </w:tr>
      <w:tr>
        <w:trPr>
          <w:trHeight w:val="237"/>
        </w:trPr>
        <w:tc>
          <w:tcPr>
            <w:tcW w:w="908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260" w:type="dxa"/>
            <w:vAlign w:val="bottom"/>
          </w:tcPr>
          <w:p>
            <w:pPr>
              <w:spacing w:after="0"/>
              <w:rPr>
                <w:sz w:val="20"/>
                <w:szCs w:val="20"/>
                <w:color w:val="auto"/>
              </w:rPr>
            </w:pPr>
          </w:p>
        </w:tc>
      </w:tr>
      <w:tr>
        <w:trPr>
          <w:trHeight w:val="243"/>
        </w:trPr>
        <w:tc>
          <w:tcPr>
            <w:tcW w:w="9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future minimum lease payments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260" w:type="dxa"/>
            <w:vAlign w:val="bottom"/>
            <w:shd w:val="clear" w:color="auto" w:fill="CFF0FC"/>
          </w:tcPr>
          <w:p>
            <w:pPr>
              <w:spacing w:after="0"/>
              <w:rPr>
                <w:sz w:val="21"/>
                <w:szCs w:val="21"/>
                <w:color w:val="auto"/>
              </w:rPr>
            </w:pPr>
          </w:p>
        </w:tc>
      </w:tr>
      <w:tr>
        <w:trPr>
          <w:trHeight w:val="237"/>
        </w:trPr>
        <w:tc>
          <w:tcPr>
            <w:tcW w:w="90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0"/>
                <w:szCs w:val="20"/>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(51 )</w:t>
            </w:r>
          </w:p>
        </w:tc>
      </w:tr>
      <w:tr>
        <w:trPr>
          <w:trHeight w:val="243"/>
        </w:trPr>
        <w:tc>
          <w:tcPr>
            <w:tcW w:w="9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future minimum lease payments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260" w:type="dxa"/>
            <w:vAlign w:val="bottom"/>
            <w:shd w:val="clear" w:color="auto" w:fill="CFF0FC"/>
          </w:tcPr>
          <w:p>
            <w:pPr>
              <w:spacing w:after="0"/>
              <w:rPr>
                <w:sz w:val="21"/>
                <w:szCs w:val="21"/>
                <w:color w:val="auto"/>
              </w:rPr>
            </w:pPr>
          </w:p>
        </w:tc>
      </w:tr>
      <w:tr>
        <w:trPr>
          <w:trHeight w:val="237"/>
        </w:trPr>
        <w:tc>
          <w:tcPr>
            <w:tcW w:w="9080" w:type="dxa"/>
            <w:vAlign w:val="bottom"/>
          </w:tcPr>
          <w:p>
            <w:pPr>
              <w:ind w:left="20"/>
              <w:spacing w:after="0"/>
              <w:rPr>
                <w:sz w:val="20"/>
                <w:szCs w:val="20"/>
                <w:color w:val="auto"/>
              </w:rPr>
            </w:pPr>
            <w:r>
              <w:rPr>
                <w:rFonts w:ascii="Arial" w:cs="Arial" w:eastAsia="Arial" w:hAnsi="Arial"/>
                <w:sz w:val="18"/>
                <w:szCs w:val="18"/>
                <w:color w:val="auto"/>
              </w:rPr>
              <w:t>Less: current portion of operating lease liability</w:t>
            </w:r>
          </w:p>
        </w:tc>
        <w:tc>
          <w:tcPr>
            <w:tcW w:w="220" w:type="dxa"/>
            <w:vAlign w:val="bottom"/>
          </w:tcPr>
          <w:p>
            <w:pPr>
              <w:spacing w:after="0"/>
              <w:rPr>
                <w:sz w:val="20"/>
                <w:szCs w:val="20"/>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(910 )</w:t>
            </w:r>
          </w:p>
        </w:tc>
      </w:tr>
      <w:tr>
        <w:trPr>
          <w:trHeight w:val="277"/>
        </w:trPr>
        <w:tc>
          <w:tcPr>
            <w:tcW w:w="9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6974205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Legal Proceedings</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 xml:space="preserve">On September 16, 2021, the Company filed suit in the U.S. District Court for the District of Delaware (C.A. No. 1:21-cv-01317) alleging that Ivantis, Inc. ("Ivantis") directly and indirectly infringes the Company's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are invalid. On August 1, 2022, the Company filed an amended complaint alleging that Alcon Inc., Alcon Vision, LLC and Alcon Research, LLC (collectively, "Alcon") infringe the four originally asserted patents by making, using, selling, and offering for sale the Hydrus® Microstent, and that all defendants also infringe U.S. Patent No. 11,389,328. The defendants asserted counterclaims requesting declaratory judgments that the Company’s asserted patents-in-suit are not infringed and/or are invalid. A five-day jury trial is scheduled to commence on April 8, 2024. Ivantis and Alcon filed petitions with the U.S. Patent Office seeking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of U.S. Patent Nos. 8,287,482, 9,370,443, 9,486,361, and 10,314,742 (IPR2022-01529, IPR2022-01530, IPR2022-01533, IPR2022-01540), each of which the U.S. Patent Office denied for raising prior art reference and invalidity arguments that were cumulative of those previously considered by the office. The Company is presently unable to predict the outcome of this lawsuit or to reasonably estimate the potential financial impact of the lawsuit on the Company, if any.</w:t>
      </w:r>
    </w:p>
    <w:p>
      <w:pPr>
        <w:spacing w:after="0" w:line="71"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The Company is subject to legal, regulatory, and other claims and assessments from time to time in the ordinary course of business. Accruals for litigation and contingencies are reflected in the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As of September 30, 2023 the Company does not believe it was a party to any legal proceedings, regulatory matters, or other disputes or claims which, if determined adversely, would, individually or taken together, have a material adverse effect on its business, financial condition, operating results, liquidity or future prospects. However, regardless of the merits of the claims raised or the outcome, legal proceedings and claims may have an adverse impact on the Company as a result of defense and settlement costs, diversion of management time and resources, and other factors.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Indemnification</w:t>
      </w:r>
    </w:p>
    <w:p>
      <w:pPr>
        <w:spacing w:after="0" w:line="117"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49"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Company indemnifies each of its directors and officers for certain events or occurrences, subject to certain limits, while the director is or was serving at the Company’s request in such capacity, as permitted 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 w:name="page17"/>
    <w:bookmarkEnd w:id="16"/>
    <w:p>
      <w:pPr>
        <w:ind w:right="20"/>
        <w:spacing w:after="0" w:line="255" w:lineRule="auto"/>
        <w:rPr>
          <w:sz w:val="20"/>
          <w:szCs w:val="20"/>
          <w:color w:val="auto"/>
        </w:rPr>
      </w:pPr>
      <w:r>
        <w:rPr>
          <w:rFonts w:ascii="Arial" w:cs="Arial" w:eastAsia="Arial" w:hAnsi="Arial"/>
          <w:sz w:val="18"/>
          <w:szCs w:val="18"/>
          <w:color w:val="auto"/>
        </w:rPr>
        <w:t>Delaware law and in accordance with its certificate of incorporation and bylaws. The term of the indemnification period lasts as long as an indemnitee may be subject to any proceeding arising out of acts or omissions of such indemnitee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the Company has not recognized any liabilities relating to these obligations as of September 30, 2023 or December 31, 2022.</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In connection with the initial public offering of the Company's common stock (the "IPO"), the Company’s certificate of incorporation was amended and restated to provide for 200,000,000 authorized shares of common stock with a par value of $0.001 per share and 10,000,000 authorized shares of preferred stock with a par value of $0.001 per share. The holders of common stock are entitled to receive dividends whenever funds are legally available, when and if declared by the board of directors. As of September 30, 2023, no dividends have been declared to date. Each share of common stock is entitled to one vote.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2023 and December 31, 2022, the Company had reserved common stock for future issuances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1640" w:type="dxa"/>
            <w:vAlign w:val="bottom"/>
          </w:tcPr>
          <w:p>
            <w:pPr>
              <w:jc w:val="right"/>
              <w:ind w:right="295"/>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62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r>
      <w:tr>
        <w:trPr>
          <w:trHeight w:val="185"/>
        </w:trPr>
        <w:tc>
          <w:tcPr>
            <w:tcW w:w="7640" w:type="dxa"/>
            <w:vAlign w:val="bottom"/>
          </w:tcPr>
          <w:p>
            <w:pPr>
              <w:spacing w:after="0"/>
              <w:rPr>
                <w:sz w:val="16"/>
                <w:szCs w:val="16"/>
                <w:color w:val="auto"/>
              </w:rPr>
            </w:pPr>
          </w:p>
        </w:tc>
        <w:tc>
          <w:tcPr>
            <w:tcW w:w="1640" w:type="dxa"/>
            <w:vAlign w:val="bottom"/>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1860" w:type="dxa"/>
            <w:vAlign w:val="bottom"/>
            <w:gridSpan w:val="2"/>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available for future grant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7,442,482</w:t>
            </w:r>
          </w:p>
        </w:tc>
        <w:tc>
          <w:tcPr>
            <w:tcW w:w="24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6,099,584</w:t>
            </w:r>
          </w:p>
        </w:tc>
        <w:tc>
          <w:tcPr>
            <w:tcW w:w="100" w:type="dxa"/>
            <w:vAlign w:val="bottom"/>
            <w:shd w:val="clear" w:color="auto" w:fill="CFF0FC"/>
          </w:tcPr>
          <w:p>
            <w:pPr>
              <w:spacing w:after="0"/>
              <w:rPr>
                <w:sz w:val="20"/>
                <w:szCs w:val="20"/>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Common stock options issued and outstanding</w:t>
            </w:r>
          </w:p>
        </w:tc>
        <w:tc>
          <w:tcPr>
            <w:tcW w:w="1640" w:type="dxa"/>
            <w:vAlign w:val="bottom"/>
          </w:tcPr>
          <w:p>
            <w:pPr>
              <w:jc w:val="right"/>
              <w:spacing w:after="0"/>
              <w:rPr>
                <w:sz w:val="20"/>
                <w:szCs w:val="20"/>
                <w:color w:val="auto"/>
              </w:rPr>
            </w:pPr>
            <w:r>
              <w:rPr>
                <w:rFonts w:ascii="Arial" w:cs="Arial" w:eastAsia="Arial" w:hAnsi="Arial"/>
                <w:sz w:val="18"/>
                <w:szCs w:val="18"/>
                <w:color w:val="auto"/>
              </w:rPr>
              <w:t>4,705,390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4,819,906</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units outstanding</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1,853,657</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1,014,123</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Shares available for future purchase under ESPP</w:t>
            </w:r>
          </w:p>
        </w:tc>
        <w:tc>
          <w:tcPr>
            <w:tcW w:w="1640" w:type="dxa"/>
            <w:vAlign w:val="bottom"/>
          </w:tcPr>
          <w:p>
            <w:pPr>
              <w:jc w:val="right"/>
              <w:spacing w:after="0"/>
              <w:rPr>
                <w:sz w:val="20"/>
                <w:szCs w:val="20"/>
                <w:color w:val="auto"/>
              </w:rPr>
            </w:pPr>
            <w:r>
              <w:rPr>
                <w:rFonts w:ascii="Arial" w:cs="Arial" w:eastAsia="Arial" w:hAnsi="Arial"/>
                <w:sz w:val="18"/>
                <w:szCs w:val="18"/>
                <w:color w:val="auto"/>
              </w:rPr>
              <w:t>1,630,570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1,226,123</w:t>
            </w:r>
          </w:p>
        </w:tc>
        <w:tc>
          <w:tcPr>
            <w:tcW w:w="100" w:type="dxa"/>
            <w:vAlign w:val="bottom"/>
          </w:tcPr>
          <w:p>
            <w:pPr>
              <w:spacing w:after="0"/>
              <w:rPr>
                <w:sz w:val="20"/>
                <w:szCs w:val="20"/>
                <w:color w:val="auto"/>
              </w:rPr>
            </w:pPr>
          </w:p>
        </w:tc>
      </w:tr>
      <w:tr>
        <w:trPr>
          <w:trHeight w:val="27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15,632,099</w:t>
            </w:r>
          </w:p>
        </w:tc>
        <w:tc>
          <w:tcPr>
            <w:tcW w:w="24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13,159,736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Equity Incentive Plans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2011 Stock Option Plan and 2021 Incentive Award Plan</w:t>
      </w:r>
    </w:p>
    <w:p>
      <w:pPr>
        <w:spacing w:after="0" w:line="117" w:lineRule="exact"/>
        <w:rPr>
          <w:sz w:val="20"/>
          <w:szCs w:val="20"/>
          <w:color w:val="auto"/>
        </w:rPr>
      </w:pPr>
    </w:p>
    <w:p>
      <w:pPr>
        <w:jc w:val="both"/>
        <w:ind w:right="120" w:firstLine="509"/>
        <w:spacing w:after="0" w:line="277" w:lineRule="auto"/>
        <w:rPr>
          <w:sz w:val="20"/>
          <w:szCs w:val="20"/>
          <w:color w:val="auto"/>
        </w:rPr>
      </w:pPr>
      <w:r>
        <w:rPr>
          <w:rFonts w:ascii="Arial" w:cs="Arial" w:eastAsia="Arial" w:hAnsi="Arial"/>
          <w:sz w:val="18"/>
          <w:szCs w:val="18"/>
          <w:color w:val="auto"/>
        </w:rPr>
        <w:t>In 2011, the Company established its 2011 Stock Option Plan (the “2011 Plan”), which provided for the granting of stock options to employees and certain nonemployees of the Company.</w:t>
      </w:r>
    </w:p>
    <w:p>
      <w:pPr>
        <w:spacing w:after="0" w:line="62"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In July 2021, the board of directors and stockholders adopted and approved the 2021 Incentive Award Plan, (the “2021 Plan”). Under the 2021 Plan, the Company has the ability to issue incentive stock options ("ISOs"), nonqualified stock options ("NSOs"), stock appreciation rights, dividend equivalent rights, restricted stock awards, and restricted stock unit awards ("RSUs"). Options under the 2021 Plan can typically be granted for periods of up to ten years. For stock options granted to a grantee who, at the time the option is granted, owned stock representing more than 10% of the voting power of all classes of stock of the Company (or any parent or subsidiary of the Company), the term of the stock option may be granted for periods of up to five years. The ISOs and NSOs will be granted at a price per share not less than the fair value at the date of grant. The exercise price of a stock option granted to a 10% stockholder shall be not less than 110% of the grant date fair value of the shares. Options granted to new hires generally vest over a four-year period, with 25% of the shares vesting on the first anniversary of the grant date and the remaining shares vesting in 36 equal monthly installments thereafter; options granted as merit awards generally vest in 48 equal monthly installments following the grant date. RSUs granted generally vest over a four-year period with straight-line vesting in equal amounts on an annual basis.</w:t>
      </w:r>
    </w:p>
    <w:p>
      <w:pPr>
        <w:spacing w:after="0" w:line="77"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The Company initially reserved 5,200,000 shares of common stock for future issuance under the 2021 Plan. Pursuant to the evergreen provision in the 2021 Plan, this initial reserve was increased by 2,414,907 and 2,375,235 shares on January 1, 2023 and 2022, respectively. These annual increases under the evergreen provision are equal to the lesser of (i) 5% of the aggregate number of shares of common stock outstanding on the final day of the immediately preceding calendar year and (ii) such smaller number of shares of common stock as determined by the Board, subject to certain limitations.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right="140" w:firstLine="509"/>
        <w:spacing w:after="0" w:line="277" w:lineRule="auto"/>
        <w:rPr>
          <w:sz w:val="20"/>
          <w:szCs w:val="20"/>
          <w:color w:val="auto"/>
        </w:rPr>
      </w:pPr>
      <w:r>
        <w:rPr>
          <w:rFonts w:ascii="Arial" w:cs="Arial" w:eastAsia="Arial" w:hAnsi="Arial"/>
          <w:sz w:val="18"/>
          <w:szCs w:val="18"/>
          <w:color w:val="auto"/>
        </w:rPr>
        <w:t>The 2011 Plan was superseded by the 2021 Plan at the time of the IPO and no further grants have been made under the 2011 Plan from the date the 2021 Plan became effective. The terms under the 2011 Plan are consistent with those described above for the 2021 Plan.</w:t>
      </w:r>
    </w:p>
    <w:p>
      <w:pPr>
        <w:spacing w:after="0" w:line="62"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At September 30, 2023 and December 31, 2022 there were 7,442,482 and 6,099,584 shares, respectively, of common stock available for issuance under the 2021 Plan.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 Option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2021 Plan during the periods presented: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7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Number of</w:t>
            </w:r>
          </w:p>
        </w:tc>
        <w:tc>
          <w:tcPr>
            <w:tcW w:w="132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7"/>
              </w:rPr>
              <w:t>Weighted-Average</w:t>
            </w:r>
          </w:p>
        </w:tc>
        <w:tc>
          <w:tcPr>
            <w:tcW w:w="220" w:type="dxa"/>
            <w:vAlign w:val="bottom"/>
          </w:tcPr>
          <w:p>
            <w:pPr>
              <w:spacing w:after="0"/>
              <w:rPr>
                <w:sz w:val="14"/>
                <w:szCs w:val="14"/>
                <w:color w:val="auto"/>
              </w:rPr>
            </w:pPr>
          </w:p>
        </w:tc>
        <w:tc>
          <w:tcPr>
            <w:tcW w:w="1420" w:type="dxa"/>
            <w:vAlign w:val="bottom"/>
          </w:tcPr>
          <w:p>
            <w:pPr>
              <w:jc w:val="center"/>
              <w:ind w:left="168"/>
              <w:spacing w:after="0"/>
              <w:rPr>
                <w:sz w:val="20"/>
                <w:szCs w:val="20"/>
                <w:color w:val="auto"/>
              </w:rPr>
            </w:pPr>
            <w:r>
              <w:rPr>
                <w:rFonts w:ascii="Arial" w:cs="Arial" w:eastAsia="Arial" w:hAnsi="Arial"/>
                <w:sz w:val="14"/>
                <w:szCs w:val="14"/>
                <w:b w:val="1"/>
                <w:bCs w:val="1"/>
                <w:color w:val="auto"/>
                <w:w w:val="92"/>
              </w:rPr>
              <w:t>Weighted-Average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Average Intrinsic</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80" w:type="dxa"/>
            <w:vAlign w:val="bottom"/>
          </w:tcPr>
          <w:p>
            <w:pPr>
              <w:spacing w:after="0"/>
              <w:rPr>
                <w:sz w:val="16"/>
                <w:szCs w:val="16"/>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Exercise Price</w:t>
            </w:r>
          </w:p>
        </w:tc>
        <w:tc>
          <w:tcPr>
            <w:tcW w:w="220" w:type="dxa"/>
            <w:vAlign w:val="bottom"/>
          </w:tcPr>
          <w:p>
            <w:pPr>
              <w:spacing w:after="0"/>
              <w:rPr>
                <w:sz w:val="16"/>
                <w:szCs w:val="16"/>
                <w:color w:val="auto"/>
              </w:rPr>
            </w:pPr>
          </w:p>
        </w:tc>
        <w:tc>
          <w:tcPr>
            <w:tcW w:w="142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Term (in years)</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as of December 31, 2022</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4,819,906</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22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7.7</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200"/>
              <w:spacing w:after="0"/>
              <w:rPr>
                <w:sz w:val="20"/>
                <w:szCs w:val="20"/>
                <w:color w:val="auto"/>
              </w:rPr>
            </w:pPr>
            <w:r>
              <w:rPr>
                <w:rFonts w:ascii="Arial" w:cs="Arial" w:eastAsia="Arial" w:hAnsi="Arial"/>
                <w:sz w:val="18"/>
                <w:szCs w:val="18"/>
                <w:color w:val="auto"/>
              </w:rPr>
              <w:t>Grants</w:t>
            </w:r>
          </w:p>
        </w:tc>
        <w:tc>
          <w:tcPr>
            <w:tcW w:w="1440" w:type="dxa"/>
            <w:vAlign w:val="bottom"/>
          </w:tcPr>
          <w:p>
            <w:pPr>
              <w:jc w:val="right"/>
              <w:spacing w:after="0"/>
              <w:rPr>
                <w:sz w:val="20"/>
                <w:szCs w:val="20"/>
                <w:color w:val="auto"/>
              </w:rPr>
            </w:pPr>
            <w:r>
              <w:rPr>
                <w:rFonts w:ascii="Arial" w:cs="Arial" w:eastAsia="Arial" w:hAnsi="Arial"/>
                <w:sz w:val="18"/>
                <w:szCs w:val="18"/>
                <w:color w:val="auto"/>
              </w:rPr>
              <w:t>755,499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9.79</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Forfeited/cancelled</w:t>
            </w: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(704,631 )</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0"/>
              <w:spacing w:after="0"/>
              <w:rPr>
                <w:sz w:val="20"/>
                <w:szCs w:val="20"/>
                <w:color w:val="auto"/>
              </w:rPr>
            </w:pPr>
            <w:r>
              <w:rPr>
                <w:rFonts w:ascii="Arial" w:cs="Arial" w:eastAsia="Arial" w:hAnsi="Arial"/>
                <w:sz w:val="18"/>
                <w:szCs w:val="18"/>
                <w:color w:val="auto"/>
              </w:rPr>
              <w:t>Exercised/released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(165,384 )</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as of September 30, 2023</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4,705,390</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7.2</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480" w:type="dxa"/>
            <w:vAlign w:val="bottom"/>
          </w:tcPr>
          <w:p>
            <w:pPr>
              <w:ind w:left="20"/>
              <w:spacing w:after="0"/>
              <w:rPr>
                <w:sz w:val="20"/>
                <w:szCs w:val="20"/>
                <w:color w:val="auto"/>
              </w:rPr>
            </w:pPr>
            <w:r>
              <w:rPr>
                <w:rFonts w:ascii="Arial" w:cs="Arial" w:eastAsia="Arial" w:hAnsi="Arial"/>
                <w:sz w:val="18"/>
                <w:szCs w:val="18"/>
                <w:color w:val="auto"/>
              </w:rPr>
              <w:t>Vested and exercisable as of September 30, 2023</w:t>
            </w:r>
          </w:p>
        </w:tc>
        <w:tc>
          <w:tcPr>
            <w:tcW w:w="1440" w:type="dxa"/>
            <w:vAlign w:val="bottom"/>
          </w:tcPr>
          <w:p>
            <w:pPr>
              <w:jc w:val="right"/>
              <w:spacing w:after="0"/>
              <w:rPr>
                <w:sz w:val="20"/>
                <w:szCs w:val="20"/>
                <w:color w:val="auto"/>
              </w:rPr>
            </w:pPr>
            <w:r>
              <w:rPr>
                <w:rFonts w:ascii="Arial" w:cs="Arial" w:eastAsia="Arial" w:hAnsi="Arial"/>
                <w:sz w:val="18"/>
                <w:szCs w:val="18"/>
                <w:color w:val="auto"/>
              </w:rPr>
              <w:t>2,671,146</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7.79</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6.3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expected to vest as of September 30, 2023</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4,705,390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7.2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-334010</wp:posOffset>
            </wp:positionV>
            <wp:extent cx="77470"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79705"/>
                    </a:xfrm>
                    <a:prstGeom prst="rect">
                      <a:avLst/>
                    </a:prstGeom>
                    <a:noFill/>
                  </pic:spPr>
                </pic:pic>
              </a:graphicData>
            </a:graphic>
          </wp:anchor>
        </w:drawing>
      </w:r>
    </w:p>
    <w:p>
      <w:pPr>
        <w:spacing w:after="0" w:line="290"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During the three and nine months ended September 30, 2023, the Company recorded stock-based compensation expense of $2.1 million and $6.6 million related to stock option awards, respectively. During the three and nine months ended September 30, 2022, the Company recorded stock-based compensation expense of $2.4 million and $7.5 million related to stock option awards, respectively. The weighted-average grant-date fair values of options granted during the nine months ended September 30, 2023 and 2022 was $6.92 and $9.58 per share, respectively.</w:t>
      </w:r>
    </w:p>
    <w:p>
      <w:pPr>
        <w:spacing w:after="0" w:line="171"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color w:val="auto"/>
        </w:rPr>
        <w:t>The aggregate intrinsic value of options exercised was $0.1 million and $1.2 million during the three and nine months ended September 30, 2023, respectively. The aggregate intrinsic value was calculated as the difference between the exercise prices of the underlying options and the estimated fair value of the common stock on the date of exercise. As of September 30, 2023, the unrecognized stock-based compensation expense relating to unvested options was $17.0 million, which is expected to be recognized over a weighted-average period of 2.0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w:t>
      </w:r>
    </w:p>
    <w:p>
      <w:pPr>
        <w:spacing w:after="0" w:line="225"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The Company estimated the grant date fair value of stock options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80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93"/>
              </w:rPr>
              <w:t>Nine Months Ended</w:t>
            </w:r>
          </w:p>
        </w:tc>
        <w:tc>
          <w:tcPr>
            <w:tcW w:w="960" w:type="dxa"/>
            <w:vAlign w:val="bottom"/>
          </w:tcPr>
          <w:p>
            <w:pPr>
              <w:spacing w:after="0"/>
              <w:rPr>
                <w:sz w:val="14"/>
                <w:szCs w:val="14"/>
                <w:color w:val="auto"/>
              </w:rPr>
            </w:pPr>
          </w:p>
        </w:tc>
      </w:tr>
      <w:tr>
        <w:trPr>
          <w:trHeight w:val="185"/>
        </w:trPr>
        <w:tc>
          <w:tcPr>
            <w:tcW w:w="35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w w:val="98"/>
              </w:rPr>
              <w:t>September 30,</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36"/>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r>
      <w:tr>
        <w:trPr>
          <w:trHeight w:val="169"/>
        </w:trPr>
        <w:tc>
          <w:tcPr>
            <w:tcW w:w="3580" w:type="dxa"/>
            <w:vAlign w:val="bottom"/>
          </w:tcPr>
          <w:p>
            <w:pPr>
              <w:spacing w:after="0"/>
              <w:rPr>
                <w:sz w:val="14"/>
                <w:szCs w:val="14"/>
                <w:color w:val="auto"/>
              </w:rPr>
            </w:pPr>
          </w:p>
        </w:tc>
        <w:tc>
          <w:tcPr>
            <w:tcW w:w="1360" w:type="dxa"/>
            <w:vAlign w:val="bottom"/>
          </w:tcPr>
          <w:p>
            <w:pPr>
              <w:jc w:val="center"/>
              <w:ind w:left="336"/>
              <w:spacing w:after="0"/>
              <w:rPr>
                <w:sz w:val="20"/>
                <w:szCs w:val="20"/>
                <w:color w:val="auto"/>
              </w:rPr>
            </w:pPr>
            <w:r>
              <w:rPr>
                <w:rFonts w:ascii="Arial" w:cs="Arial" w:eastAsia="Arial" w:hAnsi="Arial"/>
                <w:sz w:val="14"/>
                <w:szCs w:val="14"/>
                <w:b w:val="1"/>
                <w:bCs w:val="1"/>
                <w:color w:val="auto"/>
                <w:w w:val="96"/>
              </w:rPr>
              <w:t>2023</w:t>
            </w:r>
          </w:p>
        </w:tc>
        <w:tc>
          <w:tcPr>
            <w:tcW w:w="2420" w:type="dxa"/>
            <w:vAlign w:val="bottom"/>
            <w:gridSpan w:val="5"/>
          </w:tcPr>
          <w:p>
            <w:pPr>
              <w:jc w:val="center"/>
              <w:ind w:left="539"/>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1800" w:type="dxa"/>
            <w:vAlign w:val="bottom"/>
            <w:gridSpan w:val="2"/>
          </w:tcPr>
          <w:p>
            <w:pPr>
              <w:jc w:val="right"/>
              <w:ind w:right="676"/>
              <w:spacing w:after="0"/>
              <w:rPr>
                <w:sz w:val="20"/>
                <w:szCs w:val="20"/>
                <w:color w:val="auto"/>
              </w:rPr>
            </w:pPr>
            <w:r>
              <w:rPr>
                <w:rFonts w:ascii="Arial" w:cs="Arial" w:eastAsia="Arial" w:hAnsi="Arial"/>
                <w:sz w:val="14"/>
                <w:szCs w:val="14"/>
                <w:b w:val="1"/>
                <w:bCs w:val="1"/>
                <w:color w:val="auto"/>
              </w:rPr>
              <w:t>2023</w:t>
            </w:r>
          </w:p>
        </w:tc>
        <w:tc>
          <w:tcPr>
            <w:tcW w:w="1960" w:type="dxa"/>
            <w:vAlign w:val="bottom"/>
            <w:gridSpan w:val="3"/>
          </w:tcPr>
          <w:p>
            <w:pPr>
              <w:jc w:val="right"/>
              <w:ind w:right="650"/>
              <w:spacing w:after="0"/>
              <w:rPr>
                <w:sz w:val="20"/>
                <w:szCs w:val="20"/>
                <w:color w:val="auto"/>
              </w:rPr>
            </w:pPr>
            <w:r>
              <w:rPr>
                <w:rFonts w:ascii="Arial" w:cs="Arial" w:eastAsia="Arial" w:hAnsi="Arial"/>
                <w:sz w:val="14"/>
                <w:szCs w:val="14"/>
                <w:b w:val="1"/>
                <w:bCs w:val="1"/>
                <w:color w:val="auto"/>
              </w:rPr>
              <w:t>2022</w:t>
            </w:r>
          </w:p>
        </w:tc>
      </w:tr>
      <w:tr>
        <w:trPr>
          <w:trHeight w:val="236"/>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360" w:type="dxa"/>
            <w:vAlign w:val="bottom"/>
            <w:tcBorders>
              <w:top w:val="single" w:sz="8" w:color="auto"/>
            </w:tcBorders>
            <w:shd w:val="clear" w:color="auto" w:fill="CFF0FC"/>
          </w:tcPr>
          <w:p>
            <w:pPr>
              <w:jc w:val="center"/>
              <w:ind w:left="336"/>
              <w:spacing w:after="0"/>
              <w:rPr>
                <w:sz w:val="20"/>
                <w:szCs w:val="20"/>
                <w:color w:val="auto"/>
              </w:rPr>
            </w:pPr>
            <w:r>
              <w:rPr>
                <w:rFonts w:ascii="Arial" w:cs="Arial" w:eastAsia="Arial" w:hAnsi="Arial"/>
                <w:sz w:val="18"/>
                <w:szCs w:val="18"/>
                <w:color w:val="auto"/>
                <w:w w:val="90"/>
              </w:rPr>
              <w:t>5.99 – 6.01</w:t>
            </w:r>
          </w:p>
        </w:tc>
        <w:tc>
          <w:tcPr>
            <w:tcW w:w="4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9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6.07</w:t>
            </w:r>
          </w:p>
        </w:tc>
        <w:tc>
          <w:tcPr>
            <w:tcW w:w="18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9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6.94</w:t>
            </w:r>
          </w:p>
        </w:tc>
      </w:tr>
      <w:tr>
        <w:trPr>
          <w:trHeight w:val="263"/>
        </w:trPr>
        <w:tc>
          <w:tcPr>
            <w:tcW w:w="35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360" w:type="dxa"/>
            <w:vAlign w:val="bottom"/>
          </w:tcPr>
          <w:p>
            <w:pPr>
              <w:jc w:val="center"/>
              <w:ind w:left="336"/>
              <w:spacing w:after="0"/>
              <w:rPr>
                <w:sz w:val="20"/>
                <w:szCs w:val="20"/>
                <w:color w:val="auto"/>
              </w:rPr>
            </w:pPr>
            <w:r>
              <w:rPr>
                <w:rFonts w:ascii="Arial" w:cs="Arial" w:eastAsia="Arial" w:hAnsi="Arial"/>
                <w:sz w:val="18"/>
                <w:szCs w:val="18"/>
                <w:color w:val="auto"/>
                <w:w w:val="88"/>
              </w:rPr>
              <w:t>79.82%</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64.12%</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ind w:left="20"/>
              <w:spacing w:after="0"/>
              <w:rPr>
                <w:sz w:val="20"/>
                <w:szCs w:val="20"/>
                <w:color w:val="auto"/>
              </w:rPr>
            </w:pPr>
            <w:r>
              <w:rPr>
                <w:rFonts w:ascii="Arial" w:cs="Arial" w:eastAsia="Arial" w:hAnsi="Arial"/>
                <w:sz w:val="18"/>
                <w:szCs w:val="18"/>
                <w:color w:val="auto"/>
              </w:rPr>
              <w:t>64.61%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78.53%</w:t>
            </w:r>
          </w:p>
        </w:tc>
        <w:tc>
          <w:tcPr>
            <w:tcW w:w="960" w:type="dxa"/>
            <w:vAlign w:val="bottom"/>
          </w:tcPr>
          <w:p>
            <w:pPr>
              <w:ind w:left="20"/>
              <w:spacing w:after="0"/>
              <w:rPr>
                <w:sz w:val="20"/>
                <w:szCs w:val="20"/>
                <w:color w:val="auto"/>
              </w:rPr>
            </w:pPr>
            <w:r>
              <w:rPr>
                <w:rFonts w:ascii="Arial" w:cs="Arial" w:eastAsia="Arial" w:hAnsi="Arial"/>
                <w:sz w:val="18"/>
                <w:szCs w:val="18"/>
                <w:color w:val="auto"/>
              </w:rPr>
              <w:t>– 79.82%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58.74%</w:t>
            </w:r>
          </w:p>
        </w:tc>
        <w:tc>
          <w:tcPr>
            <w:tcW w:w="960" w:type="dxa"/>
            <w:vAlign w:val="bottom"/>
          </w:tcPr>
          <w:p>
            <w:pPr>
              <w:ind w:left="20"/>
              <w:spacing w:after="0"/>
              <w:rPr>
                <w:sz w:val="20"/>
                <w:szCs w:val="20"/>
                <w:color w:val="auto"/>
              </w:rPr>
            </w:pPr>
            <w:r>
              <w:rPr>
                <w:rFonts w:ascii="Arial" w:cs="Arial" w:eastAsia="Arial" w:hAnsi="Arial"/>
                <w:sz w:val="18"/>
                <w:szCs w:val="18"/>
                <w:color w:val="auto"/>
              </w:rPr>
              <w:t>– 64.61%</w:t>
            </w:r>
          </w:p>
        </w:tc>
      </w:tr>
      <w:tr>
        <w:trPr>
          <w:trHeight w:val="250"/>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FF0FC"/>
          </w:tcPr>
          <w:p>
            <w:pPr>
              <w:jc w:val="center"/>
              <w:ind w:left="336"/>
              <w:spacing w:after="0"/>
              <w:rPr>
                <w:sz w:val="20"/>
                <w:szCs w:val="20"/>
                <w:color w:val="auto"/>
              </w:rPr>
            </w:pPr>
            <w:r>
              <w:rPr>
                <w:rFonts w:ascii="Arial" w:cs="Arial" w:eastAsia="Arial" w:hAnsi="Arial"/>
                <w:sz w:val="18"/>
                <w:szCs w:val="18"/>
                <w:color w:val="auto"/>
                <w:w w:val="90"/>
              </w:rPr>
              <w:t>4.04%</w:t>
            </w:r>
          </w:p>
        </w:tc>
        <w:tc>
          <w:tcPr>
            <w:tcW w:w="1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3.97%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4.04%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3.97%</w:t>
            </w:r>
          </w:p>
        </w:tc>
      </w:tr>
      <w:tr>
        <w:trPr>
          <w:trHeight w:val="257"/>
        </w:trPr>
        <w:tc>
          <w:tcPr>
            <w:tcW w:w="35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360" w:type="dxa"/>
            <w:vAlign w:val="bottom"/>
          </w:tcPr>
          <w:p>
            <w:pPr>
              <w:jc w:val="center"/>
              <w:ind w:left="336"/>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expected term is calculated using the simplified method, which is available if there is insufficient historical data about exercise patterns and post vesting employment termination behavior. The simplified method is based on the vesting period and the contractual term for each grant or for each vesting tranche for awards 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right="100"/>
        <w:spacing w:after="0" w:line="342" w:lineRule="auto"/>
        <w:rPr>
          <w:sz w:val="20"/>
          <w:szCs w:val="20"/>
          <w:color w:val="auto"/>
        </w:rPr>
      </w:pPr>
      <w:r>
        <w:rPr>
          <w:rFonts w:ascii="Arial" w:cs="Arial" w:eastAsia="Arial" w:hAnsi="Arial"/>
          <w:sz w:val="16"/>
          <w:szCs w:val="16"/>
          <w:color w:val="auto"/>
        </w:rPr>
        <w:t>graded vesting. The midpoint of the vesting date and the maximum contractual expiration date is used as the expected term under this method. For awards with multiple vesting tranches, the time from grant until the midpoints for each of the tranches may be averaged to provide an overall expected term.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right="260" w:firstLine="509"/>
        <w:spacing w:after="0" w:line="279" w:lineRule="auto"/>
        <w:rPr>
          <w:sz w:val="20"/>
          <w:szCs w:val="20"/>
          <w:color w:val="auto"/>
        </w:rPr>
      </w:pPr>
      <w:r>
        <w:rPr>
          <w:rFonts w:ascii="Arial" w:cs="Arial" w:eastAsia="Arial" w:hAnsi="Arial"/>
          <w:sz w:val="17"/>
          <w:szCs w:val="17"/>
          <w:color w:val="auto"/>
        </w:rPr>
        <w:t>The Company used an average historical stock price volatility of a peer group of publicly traded companies to be representative of its expected future stock price volatility, as the Company's trading history for its common stock does not cover the expected term of granted awards.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risk-free interest rate is based on the implied yield currently available on U.S. Treasury zero-coupon issues with remaining terms equivalent to the expected term of a stock award.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 Rate</w:t>
      </w:r>
    </w:p>
    <w:p>
      <w:pPr>
        <w:spacing w:after="0" w:line="158"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Company has not paid, and does not anticipate paying, any dividends in the near future. Accordingly, the Company has estimated the dividend yield to be 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Restricted Stock Units</w:t>
      </w:r>
    </w:p>
    <w:p>
      <w:pPr>
        <w:spacing w:after="0" w:line="117"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RSUs are share awards that entitle the holder to receive freely tradeable shares of the Company’s common stock upon vesting. The RSUs cannot be transferred, and the awards are subject to forfeiture if the holder’s employment terminates prior to the release of the vesting restrictions. The RSUs generally vest over a four-year period with straight-line vesting in equal amounts on an annual basis, provided the employee remains continuously employed with the Company. The fair value of the RSUs is equal to the closing price of the Company’s common stock on the grant date.</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restricted share award activity under the 2021 Plan:</w:t>
      </w:r>
    </w:p>
    <w:p>
      <w:pPr>
        <w:spacing w:after="0" w:line="32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1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Number of</w:t>
            </w: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Weighted-Average Grant</w:t>
            </w:r>
          </w:p>
        </w:tc>
        <w:tc>
          <w:tcPr>
            <w:tcW w:w="80" w:type="dxa"/>
            <w:vAlign w:val="bottom"/>
          </w:tcPr>
          <w:p>
            <w:pPr>
              <w:spacing w:after="0"/>
              <w:rPr>
                <w:sz w:val="14"/>
                <w:szCs w:val="14"/>
                <w:color w:val="auto"/>
              </w:rPr>
            </w:pPr>
          </w:p>
        </w:tc>
      </w:tr>
      <w:tr>
        <w:trPr>
          <w:trHeight w:val="185"/>
        </w:trPr>
        <w:tc>
          <w:tcPr>
            <w:tcW w:w="5560" w:type="dxa"/>
            <w:vAlign w:val="bottom"/>
          </w:tcPr>
          <w:p>
            <w:pPr>
              <w:spacing w:after="0"/>
              <w:rPr>
                <w:sz w:val="16"/>
                <w:szCs w:val="16"/>
                <w:color w:val="auto"/>
              </w:rPr>
            </w:pPr>
          </w:p>
        </w:tc>
        <w:tc>
          <w:tcPr>
            <w:tcW w:w="21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Shares</w:t>
            </w: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Date Fair Value Per Share</w:t>
            </w:r>
          </w:p>
        </w:tc>
        <w:tc>
          <w:tcPr>
            <w:tcW w:w="80" w:type="dxa"/>
            <w:vAlign w:val="bottom"/>
          </w:tcPr>
          <w:p>
            <w:pPr>
              <w:spacing w:after="0"/>
              <w:rPr>
                <w:sz w:val="16"/>
                <w:szCs w:val="16"/>
                <w:color w:val="auto"/>
              </w:rPr>
            </w:pPr>
          </w:p>
        </w:tc>
      </w:tr>
      <w:tr>
        <w:trPr>
          <w:trHeight w:val="236"/>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December 31, 2022</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1,014,123</w:t>
            </w:r>
          </w:p>
        </w:tc>
        <w:tc>
          <w:tcPr>
            <w:tcW w:w="30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80" w:type="dxa"/>
            <w:vAlign w:val="bottom"/>
            <w:shd w:val="clear" w:color="auto" w:fill="CFF0FC"/>
          </w:tcPr>
          <w:p>
            <w:pPr>
              <w:spacing w:after="0"/>
              <w:rPr>
                <w:sz w:val="20"/>
                <w:szCs w:val="20"/>
                <w:color w:val="auto"/>
              </w:rPr>
            </w:pPr>
          </w:p>
        </w:tc>
      </w:tr>
      <w:tr>
        <w:trPr>
          <w:trHeight w:val="237"/>
        </w:trPr>
        <w:tc>
          <w:tcPr>
            <w:tcW w:w="5560" w:type="dxa"/>
            <w:vAlign w:val="bottom"/>
          </w:tcPr>
          <w:p>
            <w:pPr>
              <w:ind w:left="180"/>
              <w:spacing w:after="0"/>
              <w:rPr>
                <w:sz w:val="20"/>
                <w:szCs w:val="20"/>
                <w:color w:val="auto"/>
              </w:rPr>
            </w:pPr>
            <w:r>
              <w:rPr>
                <w:rFonts w:ascii="Arial" w:cs="Arial" w:eastAsia="Arial" w:hAnsi="Arial"/>
                <w:sz w:val="18"/>
                <w:szCs w:val="18"/>
                <w:color w:val="auto"/>
              </w:rPr>
              <w:t>Grants</w:t>
            </w:r>
          </w:p>
        </w:tc>
        <w:tc>
          <w:tcPr>
            <w:tcW w:w="1800" w:type="dxa"/>
            <w:vAlign w:val="bottom"/>
          </w:tcPr>
          <w:p>
            <w:pPr>
              <w:jc w:val="right"/>
              <w:spacing w:after="0"/>
              <w:rPr>
                <w:sz w:val="20"/>
                <w:szCs w:val="20"/>
                <w:color w:val="auto"/>
              </w:rPr>
            </w:pPr>
            <w:r>
              <w:rPr>
                <w:rFonts w:ascii="Arial" w:cs="Arial" w:eastAsia="Arial" w:hAnsi="Arial"/>
                <w:sz w:val="18"/>
                <w:szCs w:val="18"/>
                <w:color w:val="auto"/>
              </w:rPr>
              <w:t>1,319,033</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9.69</w:t>
            </w:r>
          </w:p>
        </w:tc>
        <w:tc>
          <w:tcPr>
            <w:tcW w:w="80" w:type="dxa"/>
            <w:vAlign w:val="bottom"/>
          </w:tcPr>
          <w:p>
            <w:pPr>
              <w:spacing w:after="0"/>
              <w:rPr>
                <w:sz w:val="20"/>
                <w:szCs w:val="20"/>
                <w:color w:val="auto"/>
              </w:rPr>
            </w:pPr>
          </w:p>
        </w:tc>
      </w:tr>
      <w:tr>
        <w:trPr>
          <w:trHeight w:val="249"/>
        </w:trPr>
        <w:tc>
          <w:tcPr>
            <w:tcW w:w="5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Forfeited/cancelled</w:t>
            </w:r>
          </w:p>
        </w:tc>
        <w:tc>
          <w:tcPr>
            <w:tcW w:w="2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(297,892 )</w:t>
            </w:r>
          </w:p>
        </w:tc>
        <w:tc>
          <w:tcPr>
            <w:tcW w:w="6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80" w:type="dxa"/>
            <w:vAlign w:val="bottom"/>
            <w:shd w:val="clear" w:color="auto" w:fill="CFF0FC"/>
          </w:tcPr>
          <w:p>
            <w:pPr>
              <w:spacing w:after="0"/>
              <w:rPr>
                <w:sz w:val="21"/>
                <w:szCs w:val="21"/>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Vested</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(181,607 )</w:t>
            </w: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14.41</w:t>
            </w:r>
          </w:p>
        </w:tc>
        <w:tc>
          <w:tcPr>
            <w:tcW w:w="80" w:type="dxa"/>
            <w:vAlign w:val="bottom"/>
          </w:tcPr>
          <w:p>
            <w:pPr>
              <w:spacing w:after="0"/>
              <w:rPr>
                <w:sz w:val="21"/>
                <w:szCs w:val="21"/>
                <w:color w:val="auto"/>
              </w:rPr>
            </w:pPr>
          </w:p>
        </w:tc>
      </w:tr>
      <w:tr>
        <w:trPr>
          <w:trHeight w:val="276"/>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September 30, 2023</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1,853,657</w:t>
            </w:r>
          </w:p>
        </w:tc>
        <w:tc>
          <w:tcPr>
            <w:tcW w:w="3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-25400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During the three and nine months ended September 30, 2023, the Company recorded stock-based compensation expense of $1.6 million and $4.2 million, respectively, related to the RSUs. During the three and nine months ended September 30, 2022, the Company recorded stock-based compensation expense of $0.7 million and $2.0 million, respectively, related to the RSUs. As of September 30, 2023, there was $17.0 million of total unrecognized stock-based compensation expense relating to the RSUs that is expected to be recognized over a weighted-average period of 3.0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Employee Stock Purchase Plan</w:t>
      </w:r>
    </w:p>
    <w:p>
      <w:pPr>
        <w:spacing w:after="0" w:line="11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In July 2021, the board of directors and stockholders adopted and approved the 2021 Employee Stock Purchase Plan (the “ESPP”). The Company initially reserved 850,000 shares of common stock for future issuance under the ESPP. Pursuant to the evergreen provision under the ESPP, this initial reserve was increased by 482,981 and 475,047 shares on January 1, 2023 and 2022, respectively. These annual increases were effected pursuant to an evergreen provision in the ESPP, and are equal to the lesser of (i) 1% of the aggregate number of shares of common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9" w:name="page20"/>
    <w:bookmarkEnd w:id="19"/>
    <w:p>
      <w:pPr>
        <w:ind w:right="260"/>
        <w:spacing w:after="0" w:line="277" w:lineRule="auto"/>
        <w:rPr>
          <w:sz w:val="20"/>
          <w:szCs w:val="20"/>
          <w:color w:val="auto"/>
        </w:rPr>
      </w:pPr>
      <w:r>
        <w:rPr>
          <w:rFonts w:ascii="Arial" w:cs="Arial" w:eastAsia="Arial" w:hAnsi="Arial"/>
          <w:sz w:val="18"/>
          <w:szCs w:val="18"/>
          <w:color w:val="auto"/>
        </w:rPr>
        <w:t>stock outstanding on the final day of the immediately preceding calendar year and (ii) such smaller number of shares of common stock as determined by the board of directors, subject to certain limitations.</w:t>
      </w:r>
    </w:p>
    <w:p>
      <w:pPr>
        <w:spacing w:after="0" w:line="62"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auto"/>
        </w:rPr>
        <w:t>The Company has two offering periods annually, running for six-months, with the first offering period beginning in the second quarter, and the second offering period beginning in the fourth quarter. The purchase of shares for participants in the ESPP occurs at the conclusion of each offering period.</w:t>
      </w:r>
    </w:p>
    <w:p>
      <w:pPr>
        <w:spacing w:after="0" w:line="16"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For the nine months ended September 30, 2023, participants in the ESPP purchased 78,534 shares for a total of $0.7 million. As of September 30, 2023, the Company has collected payroll withholdings of $0.4 million in the current offering period for the purchase of shares under the ESPP. The Company recorded stock-based compensation expense associated with the ESPP of $0.1 million and $0.4 million for the three and nine months ended September 30, 2023, respectively. The Company recorded stock-based compensation expense associated with the ESPP of $0.1 million and $0.2 million for the three and nine months ended September 30, 2022, respectively.</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2023, there were 1,630,570 shares of common stock available for issuance under the ESPP.</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The fair value of shares to be issued under the Company's 2021 ESPP was estimated using the Black-Scholes valuation model with the following assumptions for the three and nine months ended September 30, 2023:</w:t>
      </w:r>
    </w:p>
    <w:p>
      <w:pPr>
        <w:spacing w:after="0" w:line="27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gridSpan w:val="3"/>
          </w:tcPr>
          <w:p>
            <w:pPr>
              <w:ind w:left="360"/>
              <w:spacing w:after="0"/>
              <w:rPr>
                <w:sz w:val="20"/>
                <w:szCs w:val="20"/>
                <w:color w:val="auto"/>
              </w:rPr>
            </w:pPr>
            <w:r>
              <w:rPr>
                <w:rFonts w:ascii="Arial" w:cs="Arial" w:eastAsia="Arial" w:hAnsi="Arial"/>
                <w:sz w:val="14"/>
                <w:szCs w:val="14"/>
                <w:b w:val="1"/>
                <w:bCs w:val="1"/>
                <w:color w:val="auto"/>
                <w:w w:val="93"/>
              </w:rPr>
              <w:t>Three Months Ended</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gridSpan w:val="3"/>
          </w:tcPr>
          <w:p>
            <w:pPr>
              <w:ind w:left="380"/>
              <w:spacing w:after="0"/>
              <w:rPr>
                <w:sz w:val="20"/>
                <w:szCs w:val="20"/>
                <w:color w:val="auto"/>
              </w:rPr>
            </w:pPr>
            <w:r>
              <w:rPr>
                <w:rFonts w:ascii="Arial" w:cs="Arial" w:eastAsia="Arial" w:hAnsi="Arial"/>
                <w:sz w:val="14"/>
                <w:szCs w:val="14"/>
                <w:b w:val="1"/>
                <w:bCs w:val="1"/>
                <w:color w:val="auto"/>
                <w:w w:val="94"/>
              </w:rPr>
              <w:t>Nine Months Ended</w:t>
            </w:r>
          </w:p>
        </w:tc>
        <w:tc>
          <w:tcPr>
            <w:tcW w:w="1220" w:type="dxa"/>
            <w:vAlign w:val="bottom"/>
          </w:tcPr>
          <w:p>
            <w:pPr>
              <w:spacing w:after="0"/>
              <w:rPr>
                <w:sz w:val="14"/>
                <w:szCs w:val="14"/>
                <w:color w:val="auto"/>
              </w:rPr>
            </w:pPr>
          </w:p>
        </w:tc>
      </w:tr>
      <w:tr>
        <w:trPr>
          <w:trHeight w:val="185"/>
        </w:trPr>
        <w:tc>
          <w:tcPr>
            <w:tcW w:w="36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Borders>
              <w:bottom w:val="single" w:sz="8" w:color="auto"/>
            </w:tcBorders>
          </w:tcPr>
          <w:p>
            <w:pPr>
              <w:spacing w:after="0"/>
              <w:rPr>
                <w:sz w:val="16"/>
                <w:szCs w:val="16"/>
                <w:color w:val="auto"/>
              </w:rPr>
            </w:pPr>
          </w:p>
        </w:tc>
      </w:tr>
      <w:tr>
        <w:trPr>
          <w:trHeight w:val="169"/>
        </w:trPr>
        <w:tc>
          <w:tcPr>
            <w:tcW w:w="3600" w:type="dxa"/>
            <w:vAlign w:val="bottom"/>
          </w:tcPr>
          <w:p>
            <w:pPr>
              <w:spacing w:after="0"/>
              <w:rPr>
                <w:sz w:val="14"/>
                <w:szCs w:val="14"/>
                <w:color w:val="auto"/>
              </w:rPr>
            </w:pPr>
          </w:p>
        </w:tc>
        <w:tc>
          <w:tcPr>
            <w:tcW w:w="1800" w:type="dxa"/>
            <w:vAlign w:val="bottom"/>
            <w:tcBorders>
              <w:bottom w:val="single" w:sz="8" w:color="auto"/>
            </w:tcBorders>
            <w:gridSpan w:val="2"/>
          </w:tcPr>
          <w:p>
            <w:pPr>
              <w:jc w:val="right"/>
              <w:ind w:right="6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1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1800" w:type="dxa"/>
            <w:vAlign w:val="bottom"/>
            <w:tcBorders>
              <w:bottom w:val="single" w:sz="8" w:color="auto"/>
            </w:tcBorders>
            <w:gridSpan w:val="2"/>
          </w:tcPr>
          <w:p>
            <w:pPr>
              <w:jc w:val="right"/>
              <w:ind w:right="67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494"/>
              <w:spacing w:after="0"/>
              <w:rPr>
                <w:sz w:val="20"/>
                <w:szCs w:val="20"/>
                <w:color w:val="auto"/>
              </w:rPr>
            </w:pPr>
            <w:r>
              <w:rPr>
                <w:rFonts w:ascii="Arial" w:cs="Arial" w:eastAsia="Arial" w:hAnsi="Arial"/>
                <w:sz w:val="14"/>
                <w:szCs w:val="14"/>
                <w:b w:val="1"/>
                <w:bCs w:val="1"/>
                <w:color w:val="auto"/>
                <w:w w:val="89"/>
              </w:rPr>
              <w:t>2022</w:t>
            </w:r>
          </w:p>
        </w:tc>
      </w:tr>
      <w:tr>
        <w:trPr>
          <w:trHeight w:val="237"/>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0.50</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0" w:type="dxa"/>
            <w:vAlign w:val="bottom"/>
            <w:shd w:val="clear" w:color="auto" w:fill="CFF0FC"/>
          </w:tcPr>
          <w:p>
            <w:pPr>
              <w:jc w:val="center"/>
              <w:ind w:right="514"/>
              <w:spacing w:after="0"/>
              <w:rPr>
                <w:sz w:val="20"/>
                <w:szCs w:val="20"/>
                <w:color w:val="auto"/>
              </w:rPr>
            </w:pPr>
            <w:r>
              <w:rPr>
                <w:rFonts w:ascii="Arial" w:cs="Arial" w:eastAsia="Arial" w:hAnsi="Arial"/>
                <w:sz w:val="18"/>
                <w:szCs w:val="18"/>
                <w:color w:val="auto"/>
                <w:w w:val="91"/>
              </w:rPr>
              <w:t>0.50</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0.50</w:t>
            </w: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20" w:type="dxa"/>
            <w:vAlign w:val="bottom"/>
            <w:shd w:val="clear" w:color="auto" w:fill="CFF0FC"/>
          </w:tcPr>
          <w:p>
            <w:pPr>
              <w:jc w:val="center"/>
              <w:ind w:right="494"/>
              <w:spacing w:after="0"/>
              <w:rPr>
                <w:sz w:val="20"/>
                <w:szCs w:val="20"/>
                <w:color w:val="auto"/>
              </w:rPr>
            </w:pPr>
            <w:r>
              <w:rPr>
                <w:rFonts w:ascii="Arial" w:cs="Arial" w:eastAsia="Arial" w:hAnsi="Arial"/>
                <w:sz w:val="18"/>
                <w:szCs w:val="18"/>
                <w:color w:val="auto"/>
                <w:w w:val="91"/>
              </w:rPr>
              <w:t>0.50</w:t>
            </w:r>
          </w:p>
        </w:tc>
      </w:tr>
      <w:tr>
        <w:trPr>
          <w:trHeight w:val="263"/>
        </w:trPr>
        <w:tc>
          <w:tcPr>
            <w:tcW w:w="3600" w:type="dxa"/>
            <w:vAlign w:val="bottom"/>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tcPr>
          <w:p>
            <w:pPr>
              <w:jc w:val="right"/>
              <w:spacing w:after="0"/>
              <w:rPr>
                <w:sz w:val="20"/>
                <w:szCs w:val="20"/>
                <w:color w:val="auto"/>
              </w:rPr>
            </w:pPr>
            <w:r>
              <w:rPr>
                <w:rFonts w:ascii="Arial" w:cs="Arial" w:eastAsia="Arial" w:hAnsi="Arial"/>
                <w:sz w:val="18"/>
                <w:szCs w:val="18"/>
                <w:color w:val="auto"/>
              </w:rPr>
              <w:t>66.72%</w:t>
            </w:r>
          </w:p>
        </w:tc>
        <w:tc>
          <w:tcPr>
            <w:tcW w:w="1680" w:type="dxa"/>
            <w:vAlign w:val="bottom"/>
            <w:gridSpan w:val="3"/>
          </w:tcPr>
          <w:p>
            <w:pPr>
              <w:ind w:left="20"/>
              <w:spacing w:after="0"/>
              <w:rPr>
                <w:sz w:val="20"/>
                <w:szCs w:val="20"/>
                <w:color w:val="auto"/>
              </w:rPr>
            </w:pPr>
            <w:r>
              <w:rPr>
                <w:rFonts w:ascii="Arial" w:cs="Arial" w:eastAsia="Arial" w:hAnsi="Arial"/>
                <w:sz w:val="18"/>
                <w:szCs w:val="18"/>
                <w:color w:val="auto"/>
              </w:rPr>
              <w:t>– 97.38%</w:t>
            </w:r>
          </w:p>
        </w:tc>
        <w:tc>
          <w:tcPr>
            <w:tcW w:w="1200" w:type="dxa"/>
            <w:vAlign w:val="bottom"/>
          </w:tcPr>
          <w:p>
            <w:pPr>
              <w:jc w:val="center"/>
              <w:ind w:right="514"/>
              <w:spacing w:after="0"/>
              <w:rPr>
                <w:sz w:val="20"/>
                <w:szCs w:val="20"/>
                <w:color w:val="auto"/>
              </w:rPr>
            </w:pPr>
            <w:r>
              <w:rPr>
                <w:rFonts w:ascii="Arial" w:cs="Arial" w:eastAsia="Arial" w:hAnsi="Arial"/>
                <w:sz w:val="18"/>
                <w:szCs w:val="18"/>
                <w:color w:val="auto"/>
                <w:w w:val="91"/>
              </w:rPr>
              <w:t>76.50%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66.72%</w:t>
            </w:r>
          </w:p>
        </w:tc>
        <w:tc>
          <w:tcPr>
            <w:tcW w:w="1640" w:type="dxa"/>
            <w:vAlign w:val="bottom"/>
            <w:gridSpan w:val="3"/>
          </w:tcPr>
          <w:p>
            <w:pPr>
              <w:ind w:left="20"/>
              <w:spacing w:after="0"/>
              <w:rPr>
                <w:sz w:val="20"/>
                <w:szCs w:val="20"/>
                <w:color w:val="auto"/>
              </w:rPr>
            </w:pPr>
            <w:r>
              <w:rPr>
                <w:rFonts w:ascii="Arial" w:cs="Arial" w:eastAsia="Arial" w:hAnsi="Arial"/>
                <w:sz w:val="18"/>
                <w:szCs w:val="18"/>
                <w:color w:val="auto"/>
              </w:rPr>
              <w:t>– 97.38%</w:t>
            </w:r>
          </w:p>
        </w:tc>
        <w:tc>
          <w:tcPr>
            <w:tcW w:w="1220" w:type="dxa"/>
            <w:vAlign w:val="bottom"/>
          </w:tcPr>
          <w:p>
            <w:pPr>
              <w:jc w:val="center"/>
              <w:ind w:right="494"/>
              <w:spacing w:after="0"/>
              <w:rPr>
                <w:sz w:val="20"/>
                <w:szCs w:val="20"/>
                <w:color w:val="auto"/>
              </w:rPr>
            </w:pPr>
            <w:r>
              <w:rPr>
                <w:rFonts w:ascii="Arial" w:cs="Arial" w:eastAsia="Arial" w:hAnsi="Arial"/>
                <w:sz w:val="18"/>
                <w:szCs w:val="18"/>
                <w:color w:val="auto"/>
                <w:w w:val="91"/>
              </w:rPr>
              <w:t>76.50%</w:t>
            </w:r>
          </w:p>
        </w:tc>
      </w:tr>
      <w:tr>
        <w:trPr>
          <w:trHeight w:val="25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6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 5.32%</w:t>
            </w:r>
          </w:p>
        </w:tc>
        <w:tc>
          <w:tcPr>
            <w:tcW w:w="1200" w:type="dxa"/>
            <w:vAlign w:val="bottom"/>
            <w:shd w:val="clear" w:color="auto" w:fill="CFF0FC"/>
          </w:tcPr>
          <w:p>
            <w:pPr>
              <w:jc w:val="center"/>
              <w:ind w:right="534"/>
              <w:spacing w:after="0"/>
              <w:rPr>
                <w:sz w:val="20"/>
                <w:szCs w:val="20"/>
                <w:color w:val="auto"/>
              </w:rPr>
            </w:pPr>
            <w:r>
              <w:rPr>
                <w:rFonts w:ascii="Arial" w:cs="Arial" w:eastAsia="Arial" w:hAnsi="Arial"/>
                <w:sz w:val="18"/>
                <w:szCs w:val="18"/>
                <w:color w:val="auto"/>
                <w:w w:val="90"/>
              </w:rPr>
              <w:t>1.51%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6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 5.32%</w:t>
            </w:r>
          </w:p>
        </w:tc>
        <w:tc>
          <w:tcPr>
            <w:tcW w:w="1220" w:type="dxa"/>
            <w:vAlign w:val="bottom"/>
            <w:shd w:val="clear" w:color="auto" w:fill="CFF0FC"/>
          </w:tcPr>
          <w:p>
            <w:pPr>
              <w:jc w:val="center"/>
              <w:ind w:right="494"/>
              <w:spacing w:after="0"/>
              <w:rPr>
                <w:sz w:val="20"/>
                <w:szCs w:val="20"/>
                <w:color w:val="auto"/>
              </w:rPr>
            </w:pPr>
            <w:r>
              <w:rPr>
                <w:rFonts w:ascii="Arial" w:cs="Arial" w:eastAsia="Arial" w:hAnsi="Arial"/>
                <w:sz w:val="18"/>
                <w:szCs w:val="18"/>
                <w:color w:val="auto"/>
                <w:w w:val="93"/>
              </w:rPr>
              <w:t>1.51%</w:t>
            </w:r>
          </w:p>
        </w:tc>
      </w:tr>
      <w:tr>
        <w:trPr>
          <w:trHeight w:val="257"/>
        </w:trPr>
        <w:tc>
          <w:tcPr>
            <w:tcW w:w="3600" w:type="dxa"/>
            <w:vAlign w:val="bottom"/>
          </w:tcPr>
          <w:p>
            <w:pPr>
              <w:spacing w:after="0"/>
              <w:rPr>
                <w:sz w:val="20"/>
                <w:szCs w:val="20"/>
                <w:color w:val="auto"/>
              </w:rPr>
            </w:pPr>
            <w:r>
              <w:rPr>
                <w:rFonts w:ascii="Arial" w:cs="Arial" w:eastAsia="Arial" w:hAnsi="Arial"/>
                <w:sz w:val="18"/>
                <w:szCs w:val="18"/>
                <w:color w:val="auto"/>
              </w:rPr>
              <w:t>Dividend yield</w:t>
            </w:r>
          </w:p>
        </w:tc>
        <w:tc>
          <w:tcPr>
            <w:tcW w:w="820" w:type="dxa"/>
            <w:vAlign w:val="bottom"/>
          </w:tcPr>
          <w:p>
            <w:pPr>
              <w:spacing w:after="0"/>
              <w:rPr>
                <w:sz w:val="22"/>
                <w:szCs w:val="22"/>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center"/>
              <w:ind w:right="53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right="494"/>
              <w:spacing w:after="0"/>
              <w:rPr>
                <w:sz w:val="20"/>
                <w:szCs w:val="20"/>
                <w:color w:val="auto"/>
              </w:rPr>
            </w:pPr>
            <w:r>
              <w:rPr>
                <w:rFonts w:ascii="Arial" w:cs="Arial" w:eastAsia="Arial" w:hAnsi="Arial"/>
                <w:sz w:val="18"/>
                <w:szCs w:val="18"/>
                <w:color w:val="auto"/>
                <w:w w:val="79"/>
              </w:rPr>
              <w: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stock-based compensation expense by function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r>
      <w:tr>
        <w:trPr>
          <w:trHeight w:val="237"/>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20"/>
                <w:szCs w:val="20"/>
                <w:color w:val="auto"/>
              </w:rPr>
            </w:pP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1,664</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0"/>
                <w:szCs w:val="20"/>
                <w:color w:val="auto"/>
              </w:rPr>
            </w:pPr>
          </w:p>
        </w:tc>
      </w:tr>
      <w:tr>
        <w:trPr>
          <w:trHeight w:val="243"/>
        </w:trPr>
        <w:tc>
          <w:tcPr>
            <w:tcW w:w="4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9,251</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880" w:type="dxa"/>
            <w:vAlign w:val="bottom"/>
          </w:tcPr>
          <w:p>
            <w:pPr>
              <w:ind w:left="20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3,856</w:t>
            </w:r>
          </w:p>
        </w:tc>
        <w:tc>
          <w:tcPr>
            <w:tcW w:w="7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3,223</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11,121</w:t>
            </w:r>
          </w:p>
        </w:tc>
        <w:tc>
          <w:tcPr>
            <w:tcW w:w="7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9,729</w:t>
            </w:r>
          </w:p>
        </w:tc>
        <w:tc>
          <w:tcPr>
            <w:tcW w:w="100" w:type="dxa"/>
            <w:vAlign w:val="bottom"/>
          </w:tcPr>
          <w:p>
            <w:pPr>
              <w:spacing w:after="0"/>
              <w:rPr>
                <w:sz w:val="20"/>
                <w:szCs w:val="20"/>
                <w:color w:val="auto"/>
              </w:rPr>
            </w:pPr>
          </w:p>
        </w:tc>
      </w:tr>
      <w:tr>
        <w:trPr>
          <w:trHeight w:val="20"/>
        </w:trPr>
        <w:tc>
          <w:tcPr>
            <w:tcW w:w="4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-187960</wp:posOffset>
            </wp:positionV>
            <wp:extent cx="7747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-187960</wp:posOffset>
            </wp:positionV>
            <wp:extent cx="6858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-187960</wp:posOffset>
            </wp:positionV>
            <wp:extent cx="685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9. Net Loss per Share Attributable to Common Stockholders</w:t>
      </w:r>
    </w:p>
    <w:p>
      <w:pPr>
        <w:spacing w:after="0" w:line="121"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for the period. As the Company reported a net loss for the three and nine months ended September 30, 2023 and 2022, basic net loss per share is the same as diluted net loss per share for each of the reported periods.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right="120" w:firstLine="509"/>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for the periods presented (in thousands, except share and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(13,035 )</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(22,229 )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(44,856 )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(69,335 )</w:t>
            </w:r>
          </w:p>
        </w:tc>
        <w:tc>
          <w:tcPr>
            <w:tcW w:w="0" w:type="dxa"/>
            <w:vAlign w:val="bottom"/>
          </w:tcPr>
          <w:p>
            <w:pPr>
              <w:spacing w:after="0"/>
              <w:rPr>
                <w:sz w:val="1"/>
                <w:szCs w:val="1"/>
                <w:color w:val="auto"/>
              </w:rPr>
            </w:pPr>
          </w:p>
        </w:tc>
      </w:tr>
      <w:tr>
        <w:trPr>
          <w:trHeight w:val="249"/>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980" w:type="dxa"/>
            <w:vAlign w:val="bottom"/>
          </w:tcPr>
          <w:p>
            <w:pPr>
              <w:ind w:left="200"/>
              <w:spacing w:after="0"/>
              <w:rPr>
                <w:sz w:val="20"/>
                <w:szCs w:val="20"/>
                <w:color w:val="auto"/>
              </w:rPr>
            </w:pPr>
            <w:r>
              <w:rPr>
                <w:rFonts w:ascii="Arial" w:cs="Arial" w:eastAsia="Arial" w:hAnsi="Arial"/>
                <w:sz w:val="18"/>
                <w:szCs w:val="18"/>
                <w:color w:val="auto"/>
              </w:rPr>
              <w:t>Weighted-average shares of common stock</w:t>
            </w:r>
          </w:p>
        </w:tc>
        <w:tc>
          <w:tcPr>
            <w:tcW w:w="3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48,671,049</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88"/>
              </w:rPr>
              <w:t>47,910,541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48,538,517</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0"/>
              </w:rPr>
              <w:t>47,728,845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340"/>
              <w:spacing w:after="0"/>
              <w:rPr>
                <w:sz w:val="20"/>
                <w:szCs w:val="20"/>
                <w:color w:val="auto"/>
              </w:rPr>
            </w:pPr>
            <w:r>
              <w:rPr>
                <w:rFonts w:ascii="Arial" w:cs="Arial" w:eastAsia="Arial" w:hAnsi="Arial"/>
                <w:sz w:val="18"/>
                <w:szCs w:val="18"/>
                <w:color w:val="auto"/>
              </w:rPr>
              <w:t>outstanding—basic and diluted</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 per share attributable to common</w:t>
            </w:r>
          </w:p>
        </w:tc>
        <w:tc>
          <w:tcPr>
            <w:tcW w:w="34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(0.27 )</w:t>
            </w:r>
          </w:p>
        </w:tc>
        <w:tc>
          <w:tcPr>
            <w:tcW w:w="520" w:type="dxa"/>
            <w:vAlign w:val="bottom"/>
            <w:vMerge w:val="restart"/>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(0.46 )</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(0.92 )</w:t>
            </w:r>
          </w:p>
        </w:tc>
        <w:tc>
          <w:tcPr>
            <w:tcW w:w="480" w:type="dxa"/>
            <w:vAlign w:val="bottom"/>
            <w:vMerge w:val="restart"/>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stockholders—basic and diluted</w:t>
            </w:r>
          </w:p>
        </w:tc>
        <w:tc>
          <w:tcPr>
            <w:tcW w:w="340" w:type="dxa"/>
            <w:vAlign w:val="bottom"/>
            <w:vMerge w:val="continue"/>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520" w:type="dxa"/>
            <w:vAlign w:val="bottom"/>
            <w:vMerge w:val="continue"/>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480" w:type="dxa"/>
            <w:vAlign w:val="bottom"/>
            <w:vMerge w:val="continue"/>
            <w:shd w:val="clear" w:color="auto" w:fill="CFF0FC"/>
          </w:tcPr>
          <w:p>
            <w:pPr>
              <w:spacing w:after="0"/>
              <w:rPr>
                <w:sz w:val="19"/>
                <w:szCs w:val="19"/>
                <w:color w:val="auto"/>
              </w:rPr>
            </w:pPr>
          </w:p>
        </w:tc>
        <w:tc>
          <w:tcPr>
            <w:tcW w:w="9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attributable to common stockholders for the period presented because including them would have been antidilutive as a result of the net loss position:</w:t>
      </w:r>
    </w:p>
    <w:p>
      <w:pPr>
        <w:spacing w:after="0" w:line="283"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September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0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 awards</w:t>
            </w:r>
          </w:p>
        </w:tc>
        <w:tc>
          <w:tcPr>
            <w:tcW w:w="104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4,705,390</w:t>
            </w:r>
          </w:p>
        </w:tc>
        <w:tc>
          <w:tcPr>
            <w:tcW w:w="260" w:type="dxa"/>
            <w:vAlign w:val="bottom"/>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5,028,066</w:t>
            </w:r>
          </w:p>
        </w:tc>
        <w:tc>
          <w:tcPr>
            <w:tcW w:w="100" w:type="dxa"/>
            <w:vAlign w:val="bottom"/>
            <w:shd w:val="clear" w:color="auto" w:fill="CFF0FC"/>
          </w:tcPr>
          <w:p>
            <w:pPr>
              <w:spacing w:after="0"/>
              <w:rPr>
                <w:sz w:val="20"/>
                <w:szCs w:val="20"/>
                <w:color w:val="auto"/>
              </w:rPr>
            </w:pPr>
          </w:p>
        </w:tc>
      </w:tr>
      <w:tr>
        <w:trPr>
          <w:trHeight w:val="237"/>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1,853,657</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700,873</w:t>
            </w:r>
          </w:p>
        </w:tc>
        <w:tc>
          <w:tcPr>
            <w:tcW w:w="100" w:type="dxa"/>
            <w:vAlign w:val="bottom"/>
          </w:tcPr>
          <w:p>
            <w:pPr>
              <w:spacing w:after="0"/>
              <w:rPr>
                <w:sz w:val="20"/>
                <w:szCs w:val="20"/>
                <w:color w:val="auto"/>
              </w:rPr>
            </w:pPr>
          </w:p>
        </w:tc>
      </w:tr>
      <w:tr>
        <w:trPr>
          <w:trHeight w:val="277"/>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shd w:val="clear" w:color="auto" w:fill="CFF0FC"/>
          </w:tcPr>
          <w:p>
            <w:pPr>
              <w:spacing w:after="0"/>
              <w:rPr>
                <w:sz w:val="24"/>
                <w:szCs w:val="2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6,559,047</w:t>
            </w:r>
          </w:p>
        </w:tc>
        <w:tc>
          <w:tcPr>
            <w:tcW w:w="260" w:type="dxa"/>
            <w:vAlign w:val="bottom"/>
            <w:tcBorders>
              <w:bottom w:val="single" w:sz="8" w:color="CFF0FC"/>
            </w:tcBorders>
            <w:shd w:val="clear" w:color="auto" w:fill="CFF0FC"/>
          </w:tcPr>
          <w:p>
            <w:pPr>
              <w:spacing w:after="0"/>
              <w:rPr>
                <w:sz w:val="24"/>
                <w:szCs w:val="24"/>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5,728,939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 Segment Information</w:t>
      </w:r>
    </w:p>
    <w:p>
      <w:pPr>
        <w:spacing w:after="0" w:line="121"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The Company has two reportable operating segments which are determined on the basis of the product portfolio: Surgical Glaucoma and Dry Eye. The operating and reportable segments were determined based on how the Company’s Chief Executive Officer, its Chief Operating Decision Maker (“CODM”), views and evaluates the Company’s operations. The CODM allocates resources to and evaluates the financial performance of each operating segment primarily based on gross profit and gross profit margin.</w:t>
      </w:r>
    </w:p>
    <w:p>
      <w:pPr>
        <w:spacing w:after="0" w:line="18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Surgical Glaucoma segment includes sales of OMNI and SION for use in minimally invasive glaucoma procedures. Dry Eye segment includes sales of TearCare and related components and accessories for use in the treatment of dry eye disease.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The following table summarizes select operating results information for each reportable segment (in thousands):</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r>
      <w:tr>
        <w:trPr>
          <w:trHeight w:val="236"/>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800" w:type="dxa"/>
            <w:vAlign w:val="bottom"/>
          </w:tcPr>
          <w:p>
            <w:pPr>
              <w:ind w:left="180"/>
              <w:spacing w:after="0"/>
              <w:rPr>
                <w:sz w:val="20"/>
                <w:szCs w:val="20"/>
                <w:color w:val="auto"/>
              </w:rPr>
            </w:pPr>
            <w:r>
              <w:rPr>
                <w:rFonts w:ascii="Arial" w:cs="Arial" w:eastAsia="Arial" w:hAnsi="Arial"/>
                <w:sz w:val="18"/>
                <w:szCs w:val="18"/>
                <w:color w:val="auto"/>
              </w:rPr>
              <w:t>Surgical Glaucoma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18,425</w:t>
            </w:r>
          </w:p>
        </w:tc>
        <w:tc>
          <w:tcPr>
            <w:tcW w:w="2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17,072</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57,158</w:t>
            </w:r>
          </w:p>
        </w:tc>
        <w:tc>
          <w:tcPr>
            <w:tcW w:w="24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46,842</w:t>
            </w:r>
          </w:p>
        </w:tc>
        <w:tc>
          <w:tcPr>
            <w:tcW w:w="100" w:type="dxa"/>
            <w:vAlign w:val="bottom"/>
          </w:tcPr>
          <w:p>
            <w:pPr>
              <w:spacing w:after="0"/>
              <w:rPr>
                <w:sz w:val="20"/>
                <w:szCs w:val="20"/>
                <w:color w:val="auto"/>
              </w:rPr>
            </w:pPr>
          </w:p>
        </w:tc>
      </w:tr>
      <w:tr>
        <w:trPr>
          <w:trHeight w:val="243"/>
        </w:trPr>
        <w:tc>
          <w:tcPr>
            <w:tcW w:w="48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Dry Eye</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5,147</w:t>
            </w: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800" w:type="dxa"/>
            <w:vAlign w:val="bottom"/>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20,009</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18,677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62,305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50,788</w:t>
            </w:r>
          </w:p>
        </w:tc>
        <w:tc>
          <w:tcPr>
            <w:tcW w:w="100" w:type="dxa"/>
            <w:vAlign w:val="bottom"/>
          </w:tcPr>
          <w:p>
            <w:pPr>
              <w:spacing w:after="0"/>
              <w:rPr>
                <w:sz w:val="20"/>
                <w:szCs w:val="20"/>
                <w:color w:val="auto"/>
              </w:rPr>
            </w:pPr>
          </w:p>
        </w:tc>
      </w:tr>
      <w:tr>
        <w:trPr>
          <w:trHeight w:val="249"/>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goods sold</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800" w:type="dxa"/>
            <w:vAlign w:val="bottom"/>
          </w:tcPr>
          <w:p>
            <w:pPr>
              <w:ind w:left="180"/>
              <w:spacing w:after="0"/>
              <w:rPr>
                <w:sz w:val="20"/>
                <w:szCs w:val="20"/>
                <w:color w:val="auto"/>
              </w:rPr>
            </w:pPr>
            <w:r>
              <w:rPr>
                <w:rFonts w:ascii="Arial" w:cs="Arial" w:eastAsia="Arial" w:hAnsi="Arial"/>
                <w:sz w:val="18"/>
                <w:szCs w:val="18"/>
                <w:color w:val="auto"/>
              </w:rPr>
              <w:t>Surgical Glaucoma</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2,002</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6,808</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5,372</w:t>
            </w:r>
          </w:p>
        </w:tc>
        <w:tc>
          <w:tcPr>
            <w:tcW w:w="100" w:type="dxa"/>
            <w:vAlign w:val="bottom"/>
          </w:tcPr>
          <w:p>
            <w:pPr>
              <w:spacing w:after="0"/>
              <w:rPr>
                <w:sz w:val="20"/>
                <w:szCs w:val="20"/>
                <w:color w:val="auto"/>
              </w:rPr>
            </w:pPr>
          </w:p>
        </w:tc>
      </w:tr>
      <w:tr>
        <w:trPr>
          <w:trHeight w:val="243"/>
        </w:trPr>
        <w:tc>
          <w:tcPr>
            <w:tcW w:w="48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Dry Eye</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2,297</w:t>
            </w: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00" w:type="dxa"/>
            <w:vAlign w:val="bottom"/>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2,677</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8,696</w:t>
            </w:r>
          </w:p>
        </w:tc>
        <w:tc>
          <w:tcPr>
            <w:tcW w:w="100" w:type="dxa"/>
            <w:vAlign w:val="bottom"/>
          </w:tcPr>
          <w:p>
            <w:pPr>
              <w:spacing w:after="0"/>
              <w:rPr>
                <w:sz w:val="20"/>
                <w:szCs w:val="20"/>
                <w:color w:val="auto"/>
              </w:rPr>
            </w:pPr>
          </w:p>
        </w:tc>
      </w:tr>
      <w:tr>
        <w:trPr>
          <w:trHeight w:val="249"/>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800" w:type="dxa"/>
            <w:vAlign w:val="bottom"/>
          </w:tcPr>
          <w:p>
            <w:pPr>
              <w:ind w:left="180"/>
              <w:spacing w:after="0"/>
              <w:rPr>
                <w:sz w:val="20"/>
                <w:szCs w:val="20"/>
                <w:color w:val="auto"/>
              </w:rPr>
            </w:pPr>
            <w:r>
              <w:rPr>
                <w:rFonts w:ascii="Arial" w:cs="Arial" w:eastAsia="Arial" w:hAnsi="Arial"/>
                <w:sz w:val="18"/>
                <w:szCs w:val="18"/>
                <w:color w:val="auto"/>
              </w:rPr>
              <w:t>Surgical Glaucoma</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16,423</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15,140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50,350</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41,470</w:t>
            </w:r>
          </w:p>
        </w:tc>
        <w:tc>
          <w:tcPr>
            <w:tcW w:w="100" w:type="dxa"/>
            <w:vAlign w:val="bottom"/>
          </w:tcPr>
          <w:p>
            <w:pPr>
              <w:spacing w:after="0"/>
              <w:rPr>
                <w:sz w:val="20"/>
                <w:szCs w:val="20"/>
                <w:color w:val="auto"/>
              </w:rPr>
            </w:pPr>
          </w:p>
        </w:tc>
      </w:tr>
      <w:tr>
        <w:trPr>
          <w:trHeight w:val="243"/>
        </w:trPr>
        <w:tc>
          <w:tcPr>
            <w:tcW w:w="48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Dry Eye</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2,850</w:t>
            </w: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800" w:type="dxa"/>
            <w:vAlign w:val="bottom"/>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17,332</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15,749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53,200</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42,092</w:t>
            </w:r>
          </w:p>
        </w:tc>
        <w:tc>
          <w:tcPr>
            <w:tcW w:w="100" w:type="dxa"/>
            <w:vAlign w:val="bottom"/>
          </w:tcPr>
          <w:p>
            <w:pPr>
              <w:spacing w:after="0"/>
              <w:rPr>
                <w:sz w:val="20"/>
                <w:szCs w:val="20"/>
                <w:color w:val="auto"/>
              </w:rPr>
            </w:pPr>
          </w:p>
        </w:tc>
      </w:tr>
      <w:tr>
        <w:trPr>
          <w:trHeight w:val="243"/>
        </w:trPr>
        <w:tc>
          <w:tcPr>
            <w:tcW w:w="48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Operating expense</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30,743</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37,594</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99,364</w:t>
            </w: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48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 xml:space="preserve">(13,411 </w:t>
            </w:r>
            <w:r>
              <w:rPr>
                <w:rFonts w:ascii="Arial" w:cs="Arial" w:eastAsia="Arial" w:hAnsi="Arial"/>
                <w:sz w:val="18"/>
                <w:szCs w:val="18"/>
                <w:color w:val="auto"/>
                <w:highlight w:val="white"/>
              </w:rPr>
              <w:t>)</w:t>
            </w:r>
          </w:p>
        </w:tc>
        <w:tc>
          <w:tcPr>
            <w:tcW w:w="500" w:type="dxa"/>
            <w:vAlign w:val="bottom"/>
          </w:tcPr>
          <w:p>
            <w:pPr>
              <w:spacing w:after="0"/>
              <w:rPr>
                <w:sz w:val="20"/>
                <w:szCs w:val="20"/>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 xml:space="preserve">(21,845 </w:t>
            </w:r>
            <w:r>
              <w:rPr>
                <w:rFonts w:ascii="Arial" w:cs="Arial" w:eastAsia="Arial" w:hAnsi="Arial"/>
                <w:sz w:val="18"/>
                <w:szCs w:val="18"/>
                <w:color w:val="auto"/>
                <w:highlight w:val="white"/>
              </w:rPr>
              <w:t>)</w:t>
            </w:r>
          </w:p>
        </w:tc>
        <w:tc>
          <w:tcPr>
            <w:tcW w:w="32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(46,164 </w:t>
            </w:r>
            <w:r>
              <w:rPr>
                <w:rFonts w:ascii="Arial" w:cs="Arial" w:eastAsia="Arial" w:hAnsi="Arial"/>
                <w:sz w:val="18"/>
                <w:szCs w:val="18"/>
                <w:color w:val="auto"/>
                <w:highlight w:val="white"/>
              </w:rPr>
              <w:t>)</w:t>
            </w:r>
          </w:p>
        </w:tc>
        <w:tc>
          <w:tcPr>
            <w:tcW w:w="5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xml:space="preserve">(66,901 </w:t>
            </w:r>
            <w:r>
              <w:rPr>
                <w:rFonts w:ascii="Arial" w:cs="Arial" w:eastAsia="Arial" w:hAnsi="Arial"/>
                <w:sz w:val="18"/>
                <w:szCs w:val="18"/>
                <w:color w:val="auto"/>
                <w:highlight w:val="white"/>
              </w:rPr>
              <w:t>)</w:t>
            </w:r>
          </w:p>
        </w:tc>
      </w:tr>
      <w:tr>
        <w:trPr>
          <w:trHeight w:val="247"/>
        </w:trPr>
        <w:tc>
          <w:tcPr>
            <w:tcW w:w="4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(1,432 )</w:t>
            </w:r>
          </w:p>
        </w:tc>
        <w:tc>
          <w:tcPr>
            <w:tcW w:w="5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(1,131 )</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(4,057 )</w:t>
            </w:r>
          </w:p>
        </w:tc>
        <w:tc>
          <w:tcPr>
            <w:tcW w:w="5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(3,243 )</w:t>
            </w:r>
          </w:p>
        </w:tc>
      </w:tr>
      <w:tr>
        <w:trPr>
          <w:trHeight w:val="237"/>
        </w:trPr>
        <w:tc>
          <w:tcPr>
            <w:tcW w:w="480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w:t>
            </w: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p>
        </w:tc>
      </w:tr>
      <w:tr>
        <w:trPr>
          <w:trHeight w:val="278"/>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income tax</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(12,957</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(22,210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(44,756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(69,298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-2228215</wp:posOffset>
            </wp:positionV>
            <wp:extent cx="68580"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-2228215</wp:posOffset>
            </wp:positionV>
            <wp:extent cx="68580"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-2228215</wp:posOffset>
            </wp:positionV>
            <wp:extent cx="6858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-2228215</wp:posOffset>
            </wp:positionV>
            <wp:extent cx="6858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-1602105</wp:posOffset>
            </wp:positionV>
            <wp:extent cx="6858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-1602105</wp:posOffset>
            </wp:positionV>
            <wp:extent cx="68580"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-1602105</wp:posOffset>
            </wp:positionV>
            <wp:extent cx="6858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-1602105</wp:posOffset>
            </wp:positionV>
            <wp:extent cx="6858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-976630</wp:posOffset>
            </wp:positionV>
            <wp:extent cx="68580" cy="162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-976630</wp:posOffset>
            </wp:positionV>
            <wp:extent cx="68580"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-976630</wp:posOffset>
            </wp:positionV>
            <wp:extent cx="68580"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-976630</wp:posOffset>
            </wp:positionV>
            <wp:extent cx="68580"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The Company does not allocate any components of income and expenses beyond revenue and cost of goods sold to the reportable operating segments in its reporting to the CODM. No asset information is provided for reportable operating segments because that information is not reviewed by the CODM on a segment basis. Substantially all of the Company’s revenue is generated from sales in the United States.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11. Subsequent Events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evaluated subsequent events through November 7, 2023, the date on which the condensed consolidated financial statements were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issued.</w:t>
      </w:r>
    </w:p>
    <w:p>
      <w:pPr>
        <w:spacing w:after="0" w:line="103"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On October 17, 2023, the Company initiated a strategic realignment of its operations, including approximately a 10% reduction in its workforce, intended to reduce operating expenses, improve cost efficiencies, better align its operating structure for long-term, profitable growth, and further extend its cash runway, as the Company navigates the proposed local coverage determinations (the “Draft LCDs”) published by five of the seven Medicare Administrative Contractors (“MACs”) in the second quarter of 2023. These efforts are designed to help protect the Company’s cash position, drive enhanced focus on the Company’s key strategic priorities, and maintain its path to breakeven without the need for any additional equity capital. As a result of implementing the realignment, the Company expects to record a cash restructuring charge of approximately $1.3 million in the fourth quarter of 2023, consisting primarily of one-time employee severance and benefits contribution costs. The estimates of the charges the Company expects to incur, and the timing thereof, are subject to a number of assumptions and actual results may differ materially. In addition, the Company may incur other charges, costs, or cash expenditures not currently contemplated due to unanticipated events that may occur as a result of, or in connection with, the implementation of this strategic realignment.</w:t>
      </w:r>
    </w:p>
    <w:p>
      <w:pPr>
        <w:spacing w:after="0" w:line="7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On October 26, 2023, one of the five MACs that published Draft LCDs, WPS Government Health Administrators (“WPS”), published LCD L39620 Micro-Invasive Glaucoma Surgery (MIGS), with a future effective date of December 24, 2023 (the “Final LCD”). The Final LCD identifies certain procedures as investigational in patients over the age of 18 for glaucoma management, including canaloplasty in combination with trabeculotomy ab interno, which is the procedure performed by the Company’s OMNI® Surgical System. The WPS-served states accounted for approximately 8% of the Company’s Surgical Glaucoma revenue during the year ended December 31, 2022.</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2" w:name="page23"/>
    <w:bookmarkEnd w:id="22"/>
    <w:p>
      <w:pPr>
        <w:ind w:firstLine="509"/>
        <w:spacing w:after="0" w:line="269" w:lineRule="auto"/>
        <w:rPr>
          <w:sz w:val="20"/>
          <w:szCs w:val="20"/>
          <w:color w:val="auto"/>
        </w:rPr>
      </w:pPr>
      <w:r>
        <w:rPr>
          <w:rFonts w:ascii="Arial" w:cs="Arial" w:eastAsia="Arial" w:hAnsi="Arial"/>
          <w:sz w:val="17"/>
          <w:szCs w:val="17"/>
          <w:color w:val="auto"/>
        </w:rPr>
        <w:t>On November 6, 2023, the Company entered into an amendment (the “Fourth Amendment”) to its Amended and Restated Credit and Security Agreement (Term Loan), dated as of November 23, 2020, as amended (the “Credit Agreement”). The Fourth Amendment requires that the Company maintain at all times at least $50 million dollars in unrestricted cash and also provides for certain adjustments to the amortization schedule such that payments on the principal amount of the Term Loan shall commence on the earlier of (a) December 1, 2024, (b) the first day of the calendar month immediately succeeding the date on which a Reimbursement Trigger Event occurs, as determined by Agent in its reasonable discretion, and (c) the first day of the calendar month immediately succeeding any date on which Agent provides notice to Borrowers that an Event of Default has occurred and is continuing, and continuing on the first day of each calendar month thereafter, Borrower shall pay to Agent as a principal payment on the Term Loan an amount equal to the total principal amount of the Term Loan(s) made to Borrower divided by the total number of months remaining at such time prior to the Maturity Date for a straight-line amortization of equal monthly principal payments . A “Reimbursement Trigger Event” means, three (3) or more Medicare Administrative Contractors shall have issued final local coverage determinations in respect of the OMNI® Surgical System (“OMNI”) and/or other similar medical devices that would have the effect of classifying OMNI as an investigational device.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in this Quarterly Report and our audited consolidated financial statements and related notes disclosed in our Annual Report. Certain statements included in this discussion and analysis constitute “forward-looking statements” that are subject to considerable risks and uncertainties. Please see the information under the heading “Special Note Regarding Forward-Looking Statements” in this Quarterly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231F20"/>
        </w:rPr>
        <w:t>S</w:t>
      </w:r>
      <w:r>
        <w:rPr>
          <w:rFonts w:ascii="Arial" w:cs="Arial" w:eastAsia="Arial" w:hAnsi="Arial"/>
          <w:sz w:val="17"/>
          <w:szCs w:val="17"/>
          <w:color w:val="000000"/>
        </w:rPr>
        <w:t>ight Sciences’ mission is to transform ophthalmology and optometry through the development and commercialization of proprietary devices that</w:t>
      </w:r>
      <w:r>
        <w:rPr>
          <w:rFonts w:ascii="Arial" w:cs="Arial" w:eastAsia="Arial" w:hAnsi="Arial"/>
          <w:sz w:val="17"/>
          <w:szCs w:val="17"/>
          <w:color w:val="231F20"/>
        </w:rPr>
        <w:t xml:space="preserve"> </w:t>
      </w:r>
      <w:r>
        <w:rPr>
          <w:rFonts w:ascii="Arial" w:cs="Arial" w:eastAsia="Arial" w:hAnsi="Arial"/>
          <w:sz w:val="17"/>
          <w:szCs w:val="17"/>
          <w:color w:val="000000"/>
        </w:rPr>
        <w:t>target the underlying causes of the world’s most prevalent eye diseases. We are passionate about improving patients’ lives.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w:t>
      </w:r>
    </w:p>
    <w:p>
      <w:pPr>
        <w:spacing w:after="0" w:line="63"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comprehensively understand disease physiology;</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develop products that are intended to restore natural physiological functionality to diseased eyes;</w:t>
      </w:r>
    </w:p>
    <w:p>
      <w:pPr>
        <w:spacing w:after="0" w:line="117" w:lineRule="exact"/>
        <w:rPr>
          <w:rFonts w:ascii="Arial" w:cs="Arial" w:eastAsia="Arial" w:hAnsi="Arial"/>
          <w:sz w:val="18"/>
          <w:szCs w:val="18"/>
          <w:color w:val="231F20"/>
        </w:rPr>
      </w:pPr>
    </w:p>
    <w:p>
      <w:pPr>
        <w:ind w:left="1020" w:right="120" w:hanging="503"/>
        <w:spacing w:after="0" w:line="277" w:lineRule="auto"/>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develop and market products that achieve superior effectiveness versus current treatment paradigms while minimizing complications or side effects;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provide intuitive, patient friendly solutions to ophthalmologists and optometrists; and</w:t>
      </w:r>
    </w:p>
    <w:p>
      <w:pPr>
        <w:spacing w:after="0" w:line="117" w:lineRule="exact"/>
        <w:rPr>
          <w:rFonts w:ascii="Arial" w:cs="Arial" w:eastAsia="Arial" w:hAnsi="Arial"/>
          <w:sz w:val="18"/>
          <w:szCs w:val="18"/>
          <w:color w:val="231F20"/>
        </w:rPr>
      </w:pPr>
    </w:p>
    <w:p>
      <w:pPr>
        <w:ind w:left="1020" w:right="40" w:hanging="503"/>
        <w:spacing w:after="0" w:line="277" w:lineRule="auto"/>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deliver compelling economic value to all stakeholders, including patients, providers and third-party payors such as Medicare and commercial insurers.</w:t>
      </w:r>
    </w:p>
    <w:p>
      <w:pPr>
        <w:spacing w:after="0" w:line="62" w:lineRule="exact"/>
        <w:rPr>
          <w:sz w:val="20"/>
          <w:szCs w:val="20"/>
          <w:color w:val="auto"/>
        </w:rPr>
      </w:pPr>
    </w:p>
    <w:p>
      <w:pPr>
        <w:ind w:right="60" w:firstLine="554"/>
        <w:spacing w:after="0" w:line="271" w:lineRule="auto"/>
        <w:rPr>
          <w:sz w:val="20"/>
          <w:szCs w:val="20"/>
          <w:color w:val="auto"/>
        </w:rPr>
      </w:pPr>
      <w:r>
        <w:rPr>
          <w:rFonts w:ascii="Arial" w:cs="Arial" w:eastAsia="Arial" w:hAnsi="Arial"/>
          <w:sz w:val="17"/>
          <w:szCs w:val="17"/>
          <w:color w:val="231F20"/>
        </w:rPr>
        <w:t>O</w:t>
      </w:r>
      <w:r>
        <w:rPr>
          <w:rFonts w:ascii="Arial" w:cs="Arial" w:eastAsia="Arial" w:hAnsi="Arial"/>
          <w:sz w:val="17"/>
          <w:szCs w:val="17"/>
          <w:color w:val="000000"/>
        </w:rPr>
        <w:t>ur initial product development has focused on the treatment of two of the world’s most prevalent and underserved eye diseases, glaucoma and dry</w:t>
      </w:r>
      <w:r>
        <w:rPr>
          <w:rFonts w:ascii="Arial" w:cs="Arial" w:eastAsia="Arial" w:hAnsi="Arial"/>
          <w:sz w:val="17"/>
          <w:szCs w:val="17"/>
          <w:color w:val="231F20"/>
        </w:rPr>
        <w:t xml:space="preserve"> </w:t>
      </w:r>
      <w:r>
        <w:rPr>
          <w:rFonts w:ascii="Arial" w:cs="Arial" w:eastAsia="Arial" w:hAnsi="Arial"/>
          <w:sz w:val="17"/>
          <w:szCs w:val="17"/>
          <w:color w:val="000000"/>
        </w:rPr>
        <w:t>eye disease. We have commercialized products in each of our two reportable segments, Surgical Glaucoma and Dry Eye. Our Surgical Glaucoma segment consists of sales of the OMNI® Surgical System ("OMNI") and the SION™ Surgical Instrument ("SION"), while our Dry Eye segment includes sales of the TearCare® System ("TearCare"), and related components and accessories. Each product is primarily sold through a highly-involved direct sales model that offers intensive education, training and customer service. We believe this philosophy and model not only enables us to differentiate our products and company from competitors, but also to expand our addressable market by educating ophthalmologists and optometrists (together, "ECPs"), patients and other stakeholders on our products and evolving treatment paradigms. Outside of the U.S., we have established direct commercial operations in the United Kingdom and Germany. We sell OMNI in several other countries through distributors.</w:t>
      </w:r>
    </w:p>
    <w:p>
      <w:pPr>
        <w:spacing w:after="0" w:line="17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sell OMNI and SION to facilities where ophthalmic surgeons perform outpatient procedures, such as ambulatory service centers ("ASCs") and hospital outpatient departments ("</w:t>
      </w:r>
      <w:r>
        <w:rPr>
          <w:rFonts w:ascii="Arial" w:cs="Arial" w:eastAsia="Arial" w:hAnsi="Arial"/>
          <w:sz w:val="17"/>
          <w:szCs w:val="17"/>
          <w:color w:val="231F20"/>
        </w:rPr>
        <w:t>HOPDs"),</w:t>
      </w:r>
      <w:r>
        <w:rPr>
          <w:rFonts w:ascii="Arial" w:cs="Arial" w:eastAsia="Arial" w:hAnsi="Arial"/>
          <w:sz w:val="17"/>
          <w:szCs w:val="17"/>
          <w:color w:val="auto"/>
        </w:rPr>
        <w:t xml:space="preserve"> which are typically reimbursed by Medicare or private payors for procedures using our products. We sell TearCare to ECPs. Currently, there is no meaningful reimbursement coverage by Medicare or private payors for meibomian gland disease ("MGD") procedures, including TearCare, and patients typically pay out-of-pocket for TearCare. We are continuing our controlled commercial launch and are focused on our comprehensive, clinical data-driven long-term market development plan that aims to improve awareness and patient access to TearCare. We have dedicated meaningful resources to execute our commercial strategy and as we reduce operating expenses and improve cost efficiencies to better align our operating structure for long-term, profitable growth. The overall success of our approach to eyecare to date is evidenced by over 200,000 estimated uses of Surgical Glaucoma products and their predicates in over 1,900 hospitals and ASCs in the U.S. and Europe, and over 45,000 estimated uses of TearCare in over 1,400 eyecare facilities in the U.S. through September 30, 2023.</w:t>
      </w:r>
    </w:p>
    <w:p>
      <w:pPr>
        <w:spacing w:after="0" w:line="181" w:lineRule="exact"/>
        <w:rPr>
          <w:sz w:val="20"/>
          <w:szCs w:val="20"/>
          <w:color w:val="auto"/>
        </w:rPr>
      </w:pPr>
    </w:p>
    <w:p>
      <w:pPr>
        <w:jc w:val="both"/>
        <w:ind w:right="280" w:firstLine="509"/>
        <w:spacing w:after="0" w:line="263" w:lineRule="auto"/>
        <w:rPr>
          <w:sz w:val="20"/>
          <w:szCs w:val="20"/>
          <w:color w:val="auto"/>
        </w:rPr>
      </w:pPr>
      <w:r>
        <w:rPr>
          <w:rFonts w:ascii="Arial" w:cs="Arial" w:eastAsia="Arial" w:hAnsi="Arial"/>
          <w:sz w:val="18"/>
          <w:szCs w:val="18"/>
          <w:color w:val="auto"/>
        </w:rPr>
        <w:t>We do not currently operate any manufacturing facilities and instead contract with third parties for our production requirements. We believe our suppliers will be able to meet our current and anticipated manufacturing needs across all our products. We plan to continue to utilize third party contract manufacturers for our products and any related components.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ind w:right="180" w:firstLine="509"/>
        <w:spacing w:after="0" w:line="296" w:lineRule="auto"/>
        <w:rPr>
          <w:sz w:val="20"/>
          <w:szCs w:val="20"/>
          <w:color w:val="auto"/>
        </w:rPr>
      </w:pPr>
      <w:r>
        <w:rPr>
          <w:rFonts w:ascii="Arial" w:cs="Arial" w:eastAsia="Arial" w:hAnsi="Arial"/>
          <w:sz w:val="16"/>
          <w:szCs w:val="16"/>
          <w:color w:val="231F20"/>
        </w:rPr>
        <w:t xml:space="preserve">Revenue in our Surgical Glaucoma segment for the nine months ended September 30, 2023 and 2022 was $57.2 million and $46.8 million, respectively, with gross margins for the same periods of 88.1% and 88.5%, respectively. Revenue in our Dry Eye segment for the nine months ended September 30, 2023 and 2022 was $5.1 million and $3.9 million, respectively, with gross margins for the same periods of 55.4% and 15.8%, respectively. </w:t>
      </w:r>
      <w:r>
        <w:rPr>
          <w:rFonts w:ascii="Arial" w:cs="Arial" w:eastAsia="Arial" w:hAnsi="Arial"/>
          <w:sz w:val="16"/>
          <w:szCs w:val="16"/>
          <w:color w:val="000000"/>
        </w:rPr>
        <w:t>Given the earlier stage of TearCare’s commercial development, we expect our Dry Eye segment’s gross margins to be lower than our Surgical Glaucoma segment’s gross margins for the near- and medium-term due to the allocation of fixed labor and overhead costs to the segment's cost of goods sold.</w:t>
      </w:r>
    </w:p>
    <w:p>
      <w:pPr>
        <w:spacing w:after="0" w:line="16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We believe in the importance of continued strategic investment in initiatives that: further demonstrate our products’ clinical effectiveness and safety to potential customers, patients, payors and regulators; enhance our commercial capabilities, including resources dedicated to sales, marketing and education; ensure the broadest possible patient access to the treatment alternatives that our products are cleared to offer; enhance and improve upon our existing product technologies; and allow us to innovate new products, devices or drugs, in glaucoma and ocular surface disease or in new eye disease areas. As a result, we intend to continue to invest in clinical studies, sales and marketing, education initiatives, market access, and product development. However, we are also focused on disciplined expenditures, and seek to grow our operating expenses at a lower rate than revenue. Because of these and other factors, we expect to continue to incur net losses for at least the next several years, and we may seek additional debt and equity financing to fund our operations and planned growth.</w:t>
      </w:r>
    </w:p>
    <w:p>
      <w:pPr>
        <w:spacing w:after="0" w:line="19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To date, our primary sources of capital have been private placements of redeemable convertible preferred stock, debt financing agreements, the sale of common stock in our IPO, and revenue from the sale of our products. As of September 30, 2023, we had an outstanding term loan balance of $35.0 million (excluding debt discount and amortized debt issuance costs), cash and cash equivalents of $144.5 million and an accumulated deficit of $284.1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On October 26, 2023, WPS Government Health Administrators (“WPS”), one of seven Medicare Administrative Contractors (“MACs”), published local coverage determination (“LCD”) L39620 Micro-Invasive Glaucoma Surgery (MIGS), with a future effective date of December 24, 2023 (the “Final LCD”). WPS administers Part B Medicare benefits in Kansas, Nebraska, Missouri, Iowa, Indiana, and Michigan. The Final LCD identifies certain procedures as investigational in patients over the age of 18 for glaucoma management, including adult canaloplasty in combination with trabeculotomy ab interno, which is a procedure performed by the OMNI Surgical System. We are also seeking clarity whether the provisions of the Final LCD would result in the characterization of our SION Surgical Instrument as investigational . This Final LCD, if not withdrawn before it becomes effective on December 23, 2023, would result in canaloplasty in combination with trabeculotomy (ab interno), and potentially goniotomy procedures performed by our SION Surgical Instrument, being non-covered for Medicare beneficiaries in the states in which WPS administers Medicare Part B benefits, The WPS-served states accounted for approximately 8% of our Surgical Glaucoma revenue in 2022. We expect the adoption of the Final LCD will have an adverse impact on our revenue, results of operations, and financial condition, the full extent of which is not known at this time.</w:t>
      </w:r>
    </w:p>
    <w:p>
      <w:pPr>
        <w:spacing w:after="0" w:line="185"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In addition, in June 2023, four other MACs issued draft LCDs (the “Remaining Draft LCDs”), which propose to establish or update Medicare coverage policies for micro-invasive glaucoma surgery (“MIGS”). Specifically, the Remaining Draft LCDs propose to identify certain non-implantable MIGS procedures as investigational and not reasonable and necessary in the jurisdictions where these MACs administer Medicare Part B benefits, including adult canaloplasty in combination with trabeculotomy ab interno, a procedure performed with the OMNI technology, and goniotomy procedures that may be performed with SION. If these four MACs ultimately adopt coverage policies similar to that included in the Final LCD, or adopt those policies contemplated by the Draft LCDs, the determinations would establish a policy of Medicare non-coverage for these procedures and other non-implantable MIGS procedures performed with our OMNI technology (and potentially our SION technology) in these Medicare jurisdictions. The states served by these four MACs accounted for approximately 55% of our Surgical Glaucoma revenue in 2022. If we are not successful in reversing the Remaining Draft LCDs, or if these MACs or other third-party payors that currently cover or reimburse procedures in which our products are used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right="300"/>
        <w:spacing w:after="0" w:line="277" w:lineRule="auto"/>
        <w:rPr>
          <w:sz w:val="20"/>
          <w:szCs w:val="20"/>
          <w:color w:val="auto"/>
        </w:rPr>
      </w:pPr>
      <w:r>
        <w:rPr>
          <w:rFonts w:ascii="Arial" w:cs="Arial" w:eastAsia="Arial" w:hAnsi="Arial"/>
          <w:sz w:val="18"/>
          <w:szCs w:val="18"/>
          <w:color w:val="auto"/>
        </w:rPr>
        <w:t>reverse or limit their coverage in the future, or other third-party payors issue similar policies, our business, financial condition, and results of operations will be materially and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and Results of Operations</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believe there are several important factors that have impacted and that will continue to impact our business and results of operations. Except as described above and in Part II, Item 1A, "Risk Factors," of this Quarterly Report and our Q2 Quarterly Report, as well as in the section titled "Risk Factors" in our Annual Report, we are not aware of any material changes to those factors described in our Annual Report under the heading "Factors Affecting Our Business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231F20"/>
        </w:rPr>
        <w:t>We currently derive the majority of our U.S. revenue from the sale of our OMNI and SION products to ASCs and HOPDs and our TearCare products to ECPs. During the nine months ended September 30, 2023 and 2022, the revenue from our Surgical Glaucoma segment accounted for over 90% of our total revenue. Substantially all of our revenue for both periods were generated from sales within the U.S. Our Surgical Glaucoma customers place orders based on their expected procedure volume and reorder as needed, typically on a biweekly, monthly or bimonthly basis. Our TearCare customers typically purchase a TearCare System which consists of one or more SmartHubs, multiple single-use TearCare SmartLids</w:t>
      </w:r>
      <w:r>
        <w:rPr>
          <w:rFonts w:ascii="Arial" w:cs="Arial" w:eastAsia="Arial" w:hAnsi="Arial"/>
          <w:sz w:val="17"/>
          <w:szCs w:val="17"/>
          <w:color w:val="000000"/>
        </w:rPr>
        <w:t>® ("SmartLids")</w:t>
      </w:r>
      <w:r>
        <w:rPr>
          <w:rFonts w:ascii="Arial" w:cs="Arial" w:eastAsia="Arial" w:hAnsi="Arial"/>
          <w:sz w:val="17"/>
          <w:szCs w:val="17"/>
          <w:color w:val="231F20"/>
        </w:rPr>
        <w:t xml:space="preserve"> and other accessories. After utilizing their initial inventory, customers can reorder SmartLids as needed. No single customer accounted for 10% or more of our revenue for either the three or nine months ended September 30, 2023 and 2022.</w:t>
      </w:r>
    </w:p>
    <w:p>
      <w:pPr>
        <w:spacing w:after="0" w:line="17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231F20"/>
        </w:rPr>
        <w:t>The growth in our revenue is driven by the demand for elective surgery and treatment utilizing our products. Such demand is often lower during summer months because of ECP vacations and in winter months in certain parts of the world because of fewer business or surgery days due to holidays and adverse weather conditions.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117"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color w:val="231F20"/>
        </w:rPr>
        <w:t>Our products are produced by third-party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w:t>
      </w:r>
    </w:p>
    <w:p>
      <w:pPr>
        <w:spacing w:after="0" w:line="63"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231F20"/>
        </w:rPr>
        <w:t>We calculate gross margin as gross profit divided by revenue. Our gross margin has been and will continue to be affected by a variety of factors, including differences in segment gross margins, changes in average selling prices, product sales mix, production and ordering volumes, manufacturing costs, product yields, and headcount. In general, we expect our gross margins to increase over the long-term to the extent our production and ordering volumes increase and as we spread the fixed portion of our overhead costs over a larger number of units produced. We intend to use our design, engineering and manufacturing know-how and capabilities to further advance and improve the efficiency of our suppliers’ manufacturing processes, which we believe will reduce costs and increase our gross margins. Our gross margins could fluctuate from quarter to quarter as we transition to new suppliers, introduce new products, and adopt new manufacturing processes and technologies.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Research and development ("R&amp;D") expenses consist primarily of costs associated with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 either new or enhancements of existing platforms – that are in development. These expenses also include personnel expenses, including salaries, benefits and stock-based compensation, supplies, consulting, prototyping, testing, materials, travel expenses, depreciation expenses for equipment and an allocation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jc w:val="both"/>
        <w:ind w:right="40"/>
        <w:spacing w:after="0" w:line="311" w:lineRule="auto"/>
        <w:rPr>
          <w:sz w:val="20"/>
          <w:szCs w:val="20"/>
          <w:color w:val="auto"/>
        </w:rPr>
      </w:pPr>
      <w:r>
        <w:rPr>
          <w:rFonts w:ascii="Arial" w:cs="Arial" w:eastAsia="Arial" w:hAnsi="Arial"/>
          <w:sz w:val="16"/>
          <w:szCs w:val="16"/>
          <w:color w:val="auto"/>
        </w:rPr>
        <w:t>information technology ("IT") and facility overhead expenses. Our R&amp;D expenses as a percentage of revenue may vary over time depending on the level and timing of new product development efforts, as well as clinical development, clinical trial and other related activities. We expect our R&amp;D expenses to increase for the next several years as we continue to invest in our active clinical trial program, develop new products, and improve our existing products.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Interest expense consists primarily of interest incurred on our outstanding indebtedness and non-cash interest related to the accretion of debt discount and amortization of debt issuance costs associated with our Term Loan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Other income, net primarily consists of interest and amortization on held-to-maturity investments in treasury securities.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 (dollars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0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tcPr>
          <w:p>
            <w:pPr>
              <w:jc w:val="right"/>
              <w:ind w:right="676"/>
              <w:spacing w:after="0"/>
              <w:rPr>
                <w:sz w:val="20"/>
                <w:szCs w:val="20"/>
                <w:color w:val="auto"/>
              </w:rPr>
            </w:pPr>
            <w:r>
              <w:rPr>
                <w:rFonts w:ascii="Arial" w:cs="Arial" w:eastAsia="Arial" w:hAnsi="Arial"/>
                <w:sz w:val="14"/>
                <w:szCs w:val="14"/>
                <w:b w:val="1"/>
                <w:bCs w:val="1"/>
                <w:color w:val="auto"/>
                <w:w w:val="73"/>
              </w:rPr>
              <w:t>(unaudited)</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18,425</w:t>
            </w:r>
          </w:p>
        </w:tc>
        <w:tc>
          <w:tcPr>
            <w:tcW w:w="320" w:type="dxa"/>
            <w:vAlign w:val="bottom"/>
          </w:tcPr>
          <w:p>
            <w:pPr>
              <w:spacing w:after="0"/>
              <w:rPr>
                <w:sz w:val="20"/>
                <w:szCs w:val="20"/>
                <w:color w:val="auto"/>
              </w:rPr>
            </w:pP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17,072</w:t>
            </w:r>
          </w:p>
        </w:tc>
        <w:tc>
          <w:tcPr>
            <w:tcW w:w="3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1,353</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7.9 %</w:t>
            </w:r>
          </w:p>
        </w:tc>
      </w:tr>
      <w:tr>
        <w:trPr>
          <w:trHeight w:val="249"/>
        </w:trPr>
        <w:tc>
          <w:tcPr>
            <w:tcW w:w="404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8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76"/>
              <w:spacing w:after="0"/>
              <w:rPr>
                <w:sz w:val="20"/>
                <w:szCs w:val="20"/>
                <w:color w:val="auto"/>
              </w:rPr>
            </w:pPr>
            <w:r>
              <w:rPr>
                <w:rFonts w:ascii="Arial" w:cs="Arial" w:eastAsia="Arial" w:hAnsi="Arial"/>
                <w:sz w:val="18"/>
                <w:szCs w:val="18"/>
                <w:i w:val="1"/>
                <w:iCs w:val="1"/>
                <w:color w:val="auto"/>
              </w:rPr>
              <w:t>92.1 %</w:t>
            </w:r>
          </w:p>
        </w:tc>
        <w:tc>
          <w:tcPr>
            <w:tcW w:w="1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91.4 %</w:t>
            </w: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Dry Eye</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1,584</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1,605</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(21 )</w:t>
            </w:r>
          </w:p>
        </w:tc>
        <w:tc>
          <w:tcPr>
            <w:tcW w:w="4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c>
          <w:tcPr>
            <w:tcW w:w="60" w:type="dxa"/>
            <w:vAlign w:val="bottom"/>
          </w:tcPr>
          <w:p>
            <w:pPr>
              <w:spacing w:after="0"/>
              <w:rPr>
                <w:sz w:val="20"/>
                <w:szCs w:val="20"/>
                <w:color w:val="auto"/>
              </w:rPr>
            </w:pPr>
          </w:p>
        </w:tc>
      </w:tr>
      <w:tr>
        <w:trPr>
          <w:trHeight w:val="243"/>
        </w:trPr>
        <w:tc>
          <w:tcPr>
            <w:tcW w:w="404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8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76"/>
              <w:spacing w:after="0"/>
              <w:rPr>
                <w:sz w:val="20"/>
                <w:szCs w:val="20"/>
                <w:color w:val="auto"/>
              </w:rPr>
            </w:pPr>
            <w:r>
              <w:rPr>
                <w:rFonts w:ascii="Arial" w:cs="Arial" w:eastAsia="Arial" w:hAnsi="Arial"/>
                <w:sz w:val="18"/>
                <w:szCs w:val="18"/>
                <w:i w:val="1"/>
                <w:iCs w:val="1"/>
                <w:color w:val="auto"/>
              </w:rPr>
              <w:t>7.9 %</w:t>
            </w:r>
          </w:p>
        </w:tc>
        <w:tc>
          <w:tcPr>
            <w:tcW w:w="1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8.6 %</w:t>
            </w: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04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20,009</w:t>
            </w:r>
          </w:p>
        </w:tc>
        <w:tc>
          <w:tcPr>
            <w:tcW w:w="320" w:type="dxa"/>
            <w:vAlign w:val="bottom"/>
            <w:tcBorders>
              <w:top w:val="single" w:sz="8" w:color="CFF0FC"/>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18,677</w:t>
            </w:r>
          </w:p>
        </w:tc>
        <w:tc>
          <w:tcPr>
            <w:tcW w:w="30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24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Cost of goods sold</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2,002</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1,932</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(321 )</w:t>
            </w:r>
          </w:p>
        </w:tc>
        <w:tc>
          <w:tcPr>
            <w:tcW w:w="4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(32.2 )</w:t>
            </w:r>
          </w:p>
        </w:tc>
        <w:tc>
          <w:tcPr>
            <w:tcW w:w="60" w:type="dxa"/>
            <w:vAlign w:val="bottom"/>
          </w:tcPr>
          <w:p>
            <w:pPr>
              <w:spacing w:after="0"/>
              <w:rPr>
                <w:sz w:val="21"/>
                <w:szCs w:val="2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040" w:type="dxa"/>
            <w:vAlign w:val="bottom"/>
          </w:tcPr>
          <w:p>
            <w:pPr>
              <w:ind w:left="56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2,677</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2,928</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(251 )</w:t>
            </w:r>
          </w:p>
        </w:tc>
        <w:tc>
          <w:tcPr>
            <w:tcW w:w="4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(8.6 )</w:t>
            </w:r>
          </w:p>
        </w:tc>
        <w:tc>
          <w:tcPr>
            <w:tcW w:w="60" w:type="dxa"/>
            <w:vAlign w:val="bottom"/>
          </w:tcPr>
          <w:p>
            <w:pPr>
              <w:spacing w:after="0"/>
              <w:rPr>
                <w:sz w:val="20"/>
                <w:szCs w:val="20"/>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16,423</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15,140</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(49.3 )</w:t>
            </w:r>
          </w:p>
        </w:tc>
        <w:tc>
          <w:tcPr>
            <w:tcW w:w="60" w:type="dxa"/>
            <w:vAlign w:val="bottom"/>
          </w:tcPr>
          <w:p>
            <w:pPr>
              <w:spacing w:after="0"/>
              <w:rPr>
                <w:sz w:val="21"/>
                <w:szCs w:val="21"/>
                <w:color w:val="auto"/>
              </w:rPr>
            </w:pPr>
          </w:p>
        </w:tc>
      </w:tr>
      <w:tr>
        <w:trPr>
          <w:trHeight w:val="236"/>
        </w:trPr>
        <w:tc>
          <w:tcPr>
            <w:tcW w:w="404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17,332</w:t>
            </w:r>
          </w:p>
        </w:tc>
        <w:tc>
          <w:tcPr>
            <w:tcW w:w="320" w:type="dxa"/>
            <w:vAlign w:val="bottom"/>
            <w:tcBorders>
              <w:top w:val="single" w:sz="8" w:color="CFF0FC"/>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15,749</w:t>
            </w:r>
          </w:p>
        </w:tc>
        <w:tc>
          <w:tcPr>
            <w:tcW w:w="30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24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margin</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880" w:type="dxa"/>
            <w:vAlign w:val="bottom"/>
          </w:tcPr>
          <w:p>
            <w:pPr>
              <w:spacing w:after="0"/>
              <w:rPr>
                <w:sz w:val="20"/>
                <w:szCs w:val="20"/>
                <w:color w:val="auto"/>
              </w:rPr>
            </w:pPr>
          </w:p>
        </w:tc>
        <w:tc>
          <w:tcPr>
            <w:tcW w:w="900" w:type="dxa"/>
            <w:vAlign w:val="bottom"/>
            <w:gridSpan w:val="2"/>
          </w:tcPr>
          <w:p>
            <w:pPr>
              <w:jc w:val="right"/>
              <w:ind w:right="76"/>
              <w:spacing w:after="0"/>
              <w:rPr>
                <w:sz w:val="20"/>
                <w:szCs w:val="20"/>
                <w:color w:val="auto"/>
              </w:rPr>
            </w:pPr>
            <w:r>
              <w:rPr>
                <w:rFonts w:ascii="Arial" w:cs="Arial" w:eastAsia="Arial" w:hAnsi="Arial"/>
                <w:sz w:val="18"/>
                <w:szCs w:val="18"/>
                <w:i w:val="1"/>
                <w:iCs w:val="1"/>
                <w:color w:val="auto"/>
              </w:rPr>
              <w:t>89.1 %</w:t>
            </w:r>
          </w:p>
        </w:tc>
        <w:tc>
          <w:tcPr>
            <w:tcW w:w="1020" w:type="dxa"/>
            <w:vAlign w:val="bottom"/>
          </w:tcPr>
          <w:p>
            <w:pPr>
              <w:spacing w:after="0"/>
              <w:rPr>
                <w:sz w:val="20"/>
                <w:szCs w:val="20"/>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i w:val="1"/>
                <w:iCs w:val="1"/>
                <w:color w:val="auto"/>
              </w:rPr>
              <w:t>88.7 %</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8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76"/>
              <w:spacing w:after="0"/>
              <w:rPr>
                <w:sz w:val="20"/>
                <w:szCs w:val="20"/>
                <w:color w:val="auto"/>
              </w:rPr>
            </w:pPr>
            <w:r>
              <w:rPr>
                <w:rFonts w:ascii="Arial" w:cs="Arial" w:eastAsia="Arial" w:hAnsi="Arial"/>
                <w:sz w:val="18"/>
                <w:szCs w:val="18"/>
                <w:i w:val="1"/>
                <w:iCs w:val="1"/>
                <w:color w:val="auto"/>
              </w:rPr>
              <w:t>57.4 %</w:t>
            </w:r>
          </w:p>
        </w:tc>
        <w:tc>
          <w:tcPr>
            <w:tcW w:w="1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37.9 %</w:t>
            </w: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040" w:type="dxa"/>
            <w:vAlign w:val="bottom"/>
          </w:tcPr>
          <w:p>
            <w:pPr>
              <w:ind w:left="56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0"/>
                <w:szCs w:val="20"/>
                <w:color w:val="auto"/>
              </w:rPr>
            </w:pPr>
          </w:p>
        </w:tc>
        <w:tc>
          <w:tcPr>
            <w:tcW w:w="900" w:type="dxa"/>
            <w:vAlign w:val="bottom"/>
            <w:gridSpan w:val="2"/>
          </w:tcPr>
          <w:p>
            <w:pPr>
              <w:jc w:val="right"/>
              <w:ind w:right="76"/>
              <w:spacing w:after="0"/>
              <w:rPr>
                <w:sz w:val="20"/>
                <w:szCs w:val="20"/>
                <w:color w:val="auto"/>
              </w:rPr>
            </w:pPr>
            <w:r>
              <w:rPr>
                <w:rFonts w:ascii="Arial" w:cs="Arial" w:eastAsia="Arial" w:hAnsi="Arial"/>
                <w:sz w:val="18"/>
                <w:szCs w:val="18"/>
                <w:i w:val="1"/>
                <w:iCs w:val="1"/>
                <w:color w:val="auto"/>
              </w:rPr>
              <w:t xml:space="preserve">86.6 </w:t>
            </w:r>
            <w:r>
              <w:rPr>
                <w:rFonts w:ascii="Arial" w:cs="Arial" w:eastAsia="Arial" w:hAnsi="Arial"/>
                <w:sz w:val="18"/>
                <w:szCs w:val="18"/>
                <w:i w:val="1"/>
                <w:iCs w:val="1"/>
                <w:color w:val="auto"/>
                <w:highlight w:val="white"/>
              </w:rPr>
              <w:t>%</w:t>
            </w:r>
          </w:p>
        </w:tc>
        <w:tc>
          <w:tcPr>
            <w:tcW w:w="1020" w:type="dxa"/>
            <w:vAlign w:val="bottom"/>
          </w:tcPr>
          <w:p>
            <w:pPr>
              <w:spacing w:after="0"/>
              <w:rPr>
                <w:sz w:val="20"/>
                <w:szCs w:val="20"/>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i w:val="1"/>
                <w:iCs w:val="1"/>
                <w:color w:val="auto"/>
              </w:rPr>
              <w:t xml:space="preserve">84.3 </w:t>
            </w:r>
            <w:r>
              <w:rPr>
                <w:rFonts w:ascii="Arial" w:cs="Arial" w:eastAsia="Arial" w:hAnsi="Arial"/>
                <w:sz w:val="18"/>
                <w:szCs w:val="18"/>
                <w:i w:val="1"/>
                <w:iCs w:val="1"/>
                <w:color w:val="auto"/>
                <w:highlight w:val="white"/>
              </w:rPr>
              <w:t>%</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4,239</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6,053</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(1,814 )</w:t>
            </w:r>
          </w:p>
        </w:tc>
        <w:tc>
          <w:tcPr>
            <w:tcW w:w="4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(30.0 )</w:t>
            </w:r>
          </w:p>
        </w:tc>
        <w:tc>
          <w:tcPr>
            <w:tcW w:w="60" w:type="dxa"/>
            <w:vAlign w:val="bottom"/>
          </w:tcPr>
          <w:p>
            <w:pPr>
              <w:spacing w:after="0"/>
              <w:rPr>
                <w:sz w:val="20"/>
                <w:szCs w:val="20"/>
                <w:color w:val="auto"/>
              </w:rPr>
            </w:pPr>
          </w:p>
        </w:tc>
      </w:tr>
      <w:tr>
        <w:trPr>
          <w:trHeight w:val="243"/>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26,504</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31,541</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(5,037 )</w:t>
            </w:r>
          </w:p>
        </w:tc>
        <w:tc>
          <w:tcPr>
            <w:tcW w:w="4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(16.0 )</w:t>
            </w:r>
          </w:p>
        </w:tc>
        <w:tc>
          <w:tcPr>
            <w:tcW w:w="60" w:type="dxa"/>
            <w:vAlign w:val="bottom"/>
          </w:tcPr>
          <w:p>
            <w:pPr>
              <w:spacing w:after="0"/>
              <w:rPr>
                <w:sz w:val="21"/>
                <w:szCs w:val="2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04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30,743</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37,594</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(6,851 )</w:t>
            </w:r>
          </w:p>
        </w:tc>
        <w:tc>
          <w:tcPr>
            <w:tcW w:w="4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(18.2 )</w:t>
            </w:r>
          </w:p>
        </w:tc>
        <w:tc>
          <w:tcPr>
            <w:tcW w:w="60" w:type="dxa"/>
            <w:vAlign w:val="bottom"/>
          </w:tcPr>
          <w:p>
            <w:pPr>
              <w:spacing w:after="0"/>
              <w:rPr>
                <w:sz w:val="20"/>
                <w:szCs w:val="20"/>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88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(13,411</w:t>
            </w:r>
          </w:p>
        </w:tc>
        <w:tc>
          <w:tcPr>
            <w:tcW w:w="32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(21,845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8,434</w:t>
            </w:r>
          </w:p>
        </w:tc>
        <w:tc>
          <w:tcPr>
            <w:tcW w:w="240" w:type="dxa"/>
            <w:vAlign w:val="bottom"/>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20"/>
                <w:szCs w:val="20"/>
                <w:color w:val="auto"/>
              </w:rPr>
            </w:pPr>
          </w:p>
        </w:tc>
        <w:tc>
          <w:tcPr>
            <w:tcW w:w="900" w:type="dxa"/>
            <w:vAlign w:val="bottom"/>
            <w:gridSpan w:val="2"/>
          </w:tcPr>
          <w:p>
            <w:pPr>
              <w:jc w:val="right"/>
              <w:ind w:right="156"/>
              <w:spacing w:after="0"/>
              <w:rPr>
                <w:sz w:val="20"/>
                <w:szCs w:val="20"/>
                <w:color w:val="auto"/>
              </w:rPr>
            </w:pPr>
            <w:r>
              <w:rPr>
                <w:rFonts w:ascii="Arial" w:cs="Arial" w:eastAsia="Arial" w:hAnsi="Arial"/>
                <w:sz w:val="18"/>
                <w:szCs w:val="18"/>
                <w:color w:val="auto"/>
              </w:rPr>
              <w:t>(1,432 )</w:t>
            </w:r>
          </w:p>
        </w:tc>
        <w:tc>
          <w:tcPr>
            <w:tcW w:w="1020" w:type="dxa"/>
            <w:vAlign w:val="bottom"/>
          </w:tcPr>
          <w:p>
            <w:pPr>
              <w:spacing w:after="0"/>
              <w:rPr>
                <w:sz w:val="20"/>
                <w:szCs w:val="20"/>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(1,131 )</w:t>
            </w:r>
          </w:p>
        </w:tc>
        <w:tc>
          <w:tcPr>
            <w:tcW w:w="4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(301 )</w:t>
            </w:r>
          </w:p>
        </w:tc>
        <w:tc>
          <w:tcPr>
            <w:tcW w:w="4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(26.6 )</w:t>
            </w:r>
          </w:p>
        </w:tc>
        <w:tc>
          <w:tcPr>
            <w:tcW w:w="60" w:type="dxa"/>
            <w:vAlign w:val="bottom"/>
          </w:tcPr>
          <w:p>
            <w:pPr>
              <w:spacing w:after="0"/>
              <w:rPr>
                <w:sz w:val="20"/>
                <w:szCs w:val="20"/>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(146.2 )</w:t>
            </w:r>
          </w:p>
        </w:tc>
        <w:tc>
          <w:tcPr>
            <w:tcW w:w="60" w:type="dxa"/>
            <w:vAlign w:val="bottom"/>
          </w:tcPr>
          <w:p>
            <w:pPr>
              <w:spacing w:after="0"/>
              <w:rPr>
                <w:sz w:val="21"/>
                <w:szCs w:val="21"/>
                <w:color w:val="auto"/>
              </w:rPr>
            </w:pPr>
          </w:p>
        </w:tc>
      </w:tr>
      <w:tr>
        <w:trPr>
          <w:trHeight w:val="243"/>
        </w:trPr>
        <w:tc>
          <w:tcPr>
            <w:tcW w:w="4040" w:type="dxa"/>
            <w:vAlign w:val="bottom"/>
            <w:tcBorders>
              <w:top w:val="single" w:sz="8" w:color="CFF0FC"/>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CFF0FC"/>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 before income tax</w:t>
            </w:r>
          </w:p>
        </w:tc>
        <w:tc>
          <w:tcPr>
            <w:tcW w:w="8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56"/>
              <w:spacing w:after="0"/>
              <w:rPr>
                <w:sz w:val="20"/>
                <w:szCs w:val="20"/>
                <w:color w:val="auto"/>
              </w:rPr>
            </w:pPr>
            <w:r>
              <w:rPr>
                <w:rFonts w:ascii="Arial" w:cs="Arial" w:eastAsia="Arial" w:hAnsi="Arial"/>
                <w:sz w:val="18"/>
                <w:szCs w:val="18"/>
                <w:color w:val="auto"/>
                <w:w w:val="88"/>
              </w:rPr>
              <w:t>(12,957 )</w:t>
            </w:r>
          </w:p>
        </w:tc>
        <w:tc>
          <w:tcPr>
            <w:tcW w:w="1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88"/>
              </w:rPr>
              <w:t>(22,210 )</w:t>
            </w: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9,253</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Provision for income tax</w:t>
            </w: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Net loss and comprehensive loss</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(13,035</w:t>
            </w:r>
          </w:p>
        </w:tc>
        <w:tc>
          <w:tcPr>
            <w:tcW w:w="32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(22,229</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9,194</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41.4 %</w:t>
            </w:r>
          </w:p>
        </w:tc>
      </w:tr>
      <w:tr>
        <w:trPr>
          <w:trHeight w:val="20"/>
        </w:trPr>
        <w:tc>
          <w:tcPr>
            <w:tcW w:w="4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-3796665</wp:posOffset>
            </wp:positionV>
            <wp:extent cx="77470"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-3796665</wp:posOffset>
            </wp:positionV>
            <wp:extent cx="68580" cy="162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-3796665</wp:posOffset>
            </wp:positionV>
            <wp:extent cx="68580"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-3171190</wp:posOffset>
            </wp:positionV>
            <wp:extent cx="7747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-3171190</wp:posOffset>
            </wp:positionV>
            <wp:extent cx="68580"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-3171190</wp:posOffset>
            </wp:positionV>
            <wp:extent cx="6858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-2545080</wp:posOffset>
            </wp:positionV>
            <wp:extent cx="77470" cy="16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-2545080</wp:posOffset>
            </wp:positionV>
            <wp:extent cx="68580"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-2545080</wp:posOffset>
            </wp:positionV>
            <wp:extent cx="68580" cy="162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-1919605</wp:posOffset>
            </wp:positionV>
            <wp:extent cx="6858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-1293495</wp:posOffset>
            </wp:positionV>
            <wp:extent cx="7747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-1293495</wp:posOffset>
            </wp:positionV>
            <wp:extent cx="685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-1293495</wp:posOffset>
            </wp:positionV>
            <wp:extent cx="685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-659130</wp:posOffset>
            </wp:positionV>
            <wp:extent cx="77470"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-659130</wp:posOffset>
            </wp:positionV>
            <wp:extent cx="68580" cy="162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-659130</wp:posOffset>
            </wp:positionV>
            <wp:extent cx="68580" cy="162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162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90"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Revenue for the three months ended September 30, 2023 was $20.0 million, an increase of $1.3 million, or 7.1%, from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comparable period. The overall increase in Surgical Glaucoma revenue was primarily attributable to an increase in the number of OMNI and SION units sold in the three months ended September 30, 2023. This growth in units was driven by a growth in the number of facilities ordering OMNI and SION with flat unit utilization per ordering facility. Our Dry Eye revenue decreased 1.3% in the three months ended September 30, 2023 versus the comparable period in 2022 primarily due to fewer new customers added in the period, which led to lower SmartHub revenue. Surgical Glaucoma sales represented 92.1% and 91.4% of our total revenue generated in the three months ended September 30, 2023 and 2022, respectively.</w:t>
      </w:r>
    </w:p>
    <w:p>
      <w:pPr>
        <w:spacing w:after="0" w:line="164"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i w:val="1"/>
          <w:iCs w:val="1"/>
          <w:color w:val="auto"/>
        </w:rPr>
        <w:t>Cost of Goods Sold and Gross Profit</w:t>
      </w:r>
      <w:r>
        <w:rPr>
          <w:rFonts w:ascii="Arial" w:cs="Arial" w:eastAsia="Arial" w:hAnsi="Arial"/>
          <w:sz w:val="17"/>
          <w:szCs w:val="17"/>
          <w:color w:val="auto"/>
        </w:rPr>
        <w:t>. Cost of goods sold was $2.7 million during the three months ended September 30, 2023, a decrease of $0.3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from $2.9 million in the prior year comparable period. Our Surgical Glaucoma cost of goods sold increased $0.1 million as compared to the comparable period in 2022. The increase was driven by increased sales activity, partially offset by lower per unit production costs as a result of continued manufacturing efficiencies. Dry Eye cost of goods sold decreased $0.3 million in the three months ended September 30, 2023 compared to the comparable period in 2022 primarily driven by lower sales volumes, product mix, and cost efficiencies.</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61" w:right="279" w:bottom="1440" w:gutter="0" w:footer="0" w:header="0"/>
        </w:sectPr>
      </w:pPr>
    </w:p>
    <w:bookmarkStart w:id="28" w:name="page29"/>
    <w:bookmarkEnd w:id="28"/>
    <w:p>
      <w:pPr>
        <w:ind w:firstLine="509"/>
        <w:spacing w:after="0" w:line="254" w:lineRule="auto"/>
        <w:rPr>
          <w:sz w:val="20"/>
          <w:szCs w:val="20"/>
          <w:color w:val="auto"/>
        </w:rPr>
      </w:pPr>
      <w:r>
        <w:rPr>
          <w:rFonts w:ascii="Arial" w:cs="Arial" w:eastAsia="Arial" w:hAnsi="Arial"/>
          <w:sz w:val="18"/>
          <w:szCs w:val="18"/>
          <w:color w:val="auto"/>
        </w:rPr>
        <w:t>Our total gross profit was $17.3 million in the three months ended September 30, 2023, an increase of $1.6 million from the comparable period in 2022. Our total gross margin for the three months ended September 30, 2023 increased to 86.6%, up from 84.3% in the prior year comparable period. Gross margin in our Surgical Glaucoma segment was 89.1% for the quarter ended September 30, 2023, an increase from 88.7% for the prior year comparable period, primarily due to manufacturing efficiencies generated as a result of higher OMNI production volumes, partially offset by lower average selling price due to product mix. In our Dry Eye segment, gross margin increased from 37.9% in the third quarter of 2022 to 57.4% for the quarter ended September 30, 2023, primarily due to lower manufacturing costs, an increased mix of SmartLids, which has a higher gross margin than SmartHubs and higher average selling price of SmartHubs.</w:t>
      </w:r>
    </w:p>
    <w:p>
      <w:pPr>
        <w:spacing w:after="0" w:line="195"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The $1.8 million decrease in R&amp;D expenses during the three months ended September 30, 2023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2022 was primarily attributable to a $1.2 million decrease in clinical studies expenses and a $0.3 million decrease in legal expenses.</w:t>
      </w:r>
    </w:p>
    <w:p>
      <w:pPr>
        <w:spacing w:after="0" w:line="184"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SG&amp;A expenses were $26.5 million for the three months ended September 30, 2023,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$5.0 million from the prior year comparable period. The decrease was primarily driven by a $3.6 million decrease in personnel expenses, including lower commissions and incentive compensation during the current year. In addition, the Company saw a $1.3 million decrease in marketing expenses, a $0.6 million decrease in consulting expenses and a $0.4 million decrease in sales training, events, and demo expenses. These decreases were partially offset by a $0.9 million increase in legal expenses.</w:t>
      </w:r>
    </w:p>
    <w:p>
      <w:pPr>
        <w:spacing w:after="0" w:line="188"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$0.3 million, due to an increase in lending rates during the three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September 30, 2022.</w:t>
      </w:r>
    </w:p>
    <w:p>
      <w:pPr>
        <w:spacing w:after="0" w:line="170"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Other income, net was $1.9 million for the three months ended September 30, 2023 as compared to $0.8 million in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2022. The income is attributable to the amortization of purchase discounts on held-to-maturity cash-equivalent investments.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 (dollars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0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2"/>
          </w:tcPr>
          <w:p>
            <w:pPr>
              <w:jc w:val="right"/>
              <w:ind w:right="636"/>
              <w:spacing w:after="0"/>
              <w:rPr>
                <w:sz w:val="20"/>
                <w:szCs w:val="20"/>
                <w:color w:val="auto"/>
              </w:rPr>
            </w:pPr>
            <w:r>
              <w:rPr>
                <w:rFonts w:ascii="Arial" w:cs="Arial" w:eastAsia="Arial" w:hAnsi="Arial"/>
                <w:sz w:val="14"/>
                <w:szCs w:val="14"/>
                <w:b w:val="1"/>
                <w:bCs w:val="1"/>
                <w:color w:val="auto"/>
                <w:w w:val="73"/>
              </w:rPr>
              <w:t>(unaudited)</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08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57,158</w:t>
            </w:r>
          </w:p>
        </w:tc>
        <w:tc>
          <w:tcPr>
            <w:tcW w:w="300" w:type="dxa"/>
            <w:vAlign w:val="bottom"/>
          </w:tcPr>
          <w:p>
            <w:pPr>
              <w:spacing w:after="0"/>
              <w:rPr>
                <w:sz w:val="20"/>
                <w:szCs w:val="20"/>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46,842</w:t>
            </w:r>
          </w:p>
        </w:tc>
        <w:tc>
          <w:tcPr>
            <w:tcW w:w="2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10,316</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22.0 %</w:t>
            </w:r>
          </w:p>
        </w:tc>
      </w:tr>
      <w:tr>
        <w:trPr>
          <w:trHeight w:val="249"/>
        </w:trPr>
        <w:tc>
          <w:tcPr>
            <w:tcW w:w="408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9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56"/>
              <w:spacing w:after="0"/>
              <w:rPr>
                <w:sz w:val="20"/>
                <w:szCs w:val="20"/>
                <w:color w:val="auto"/>
              </w:rPr>
            </w:pPr>
            <w:r>
              <w:rPr>
                <w:rFonts w:ascii="Arial" w:cs="Arial" w:eastAsia="Arial" w:hAnsi="Arial"/>
                <w:sz w:val="18"/>
                <w:szCs w:val="18"/>
                <w:i w:val="1"/>
                <w:iCs w:val="1"/>
                <w:color w:val="auto"/>
              </w:rPr>
              <w:t>91.7 %</w:t>
            </w:r>
          </w:p>
        </w:tc>
        <w:tc>
          <w:tcPr>
            <w:tcW w:w="10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i w:val="1"/>
                <w:iCs w:val="1"/>
                <w:color w:val="auto"/>
              </w:rPr>
              <w:t>92.2 %</w:t>
            </w: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080" w:type="dxa"/>
            <w:vAlign w:val="bottom"/>
          </w:tcPr>
          <w:p>
            <w:pPr>
              <w:ind w:left="200"/>
              <w:spacing w:after="0"/>
              <w:rPr>
                <w:sz w:val="20"/>
                <w:szCs w:val="20"/>
                <w:color w:val="auto"/>
              </w:rPr>
            </w:pPr>
            <w:r>
              <w:rPr>
                <w:rFonts w:ascii="Arial" w:cs="Arial" w:eastAsia="Arial" w:hAnsi="Arial"/>
                <w:sz w:val="18"/>
                <w:szCs w:val="18"/>
                <w:color w:val="auto"/>
              </w:rPr>
              <w:t>Dry Eye</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5,147</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3,946</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1,201</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08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9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56"/>
              <w:spacing w:after="0"/>
              <w:rPr>
                <w:sz w:val="20"/>
                <w:szCs w:val="20"/>
                <w:color w:val="auto"/>
              </w:rPr>
            </w:pPr>
            <w:r>
              <w:rPr>
                <w:rFonts w:ascii="Arial" w:cs="Arial" w:eastAsia="Arial" w:hAnsi="Arial"/>
                <w:sz w:val="18"/>
                <w:szCs w:val="18"/>
                <w:i w:val="1"/>
                <w:iCs w:val="1"/>
                <w:color w:val="auto"/>
              </w:rPr>
              <w:t>8.3 %</w:t>
            </w:r>
          </w:p>
        </w:tc>
        <w:tc>
          <w:tcPr>
            <w:tcW w:w="10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i w:val="1"/>
                <w:iCs w:val="1"/>
                <w:color w:val="auto"/>
              </w:rPr>
              <w:t>7.8 %</w:t>
            </w: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08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62,305</w:t>
            </w:r>
          </w:p>
        </w:tc>
        <w:tc>
          <w:tcPr>
            <w:tcW w:w="30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50,788</w:t>
            </w:r>
          </w:p>
        </w:tc>
        <w:tc>
          <w:tcPr>
            <w:tcW w:w="26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11,517</w:t>
            </w:r>
          </w:p>
        </w:tc>
        <w:tc>
          <w:tcPr>
            <w:tcW w:w="22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Cost of goods sold</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08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6,808</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5,372</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1,436</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2,297</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3,324</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(1,027 )</w:t>
            </w:r>
          </w:p>
        </w:tc>
        <w:tc>
          <w:tcPr>
            <w:tcW w:w="4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(30.9 )</w:t>
            </w:r>
          </w:p>
        </w:tc>
        <w:tc>
          <w:tcPr>
            <w:tcW w:w="60" w:type="dxa"/>
            <w:vAlign w:val="bottom"/>
          </w:tcPr>
          <w:p>
            <w:pPr>
              <w:spacing w:after="0"/>
              <w:rPr>
                <w:sz w:val="21"/>
                <w:szCs w:val="21"/>
                <w:color w:val="auto"/>
              </w:rPr>
            </w:pPr>
          </w:p>
        </w:tc>
      </w:tr>
      <w:tr>
        <w:trPr>
          <w:trHeight w:val="236"/>
        </w:trPr>
        <w:tc>
          <w:tcPr>
            <w:tcW w:w="408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9,105</w:t>
            </w:r>
          </w:p>
        </w:tc>
        <w:tc>
          <w:tcPr>
            <w:tcW w:w="30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8,696</w:t>
            </w:r>
          </w:p>
        </w:tc>
        <w:tc>
          <w:tcPr>
            <w:tcW w:w="26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08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50,350</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41,470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8,880</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2,850</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080" w:type="dxa"/>
            <w:vAlign w:val="bottom"/>
          </w:tcPr>
          <w:p>
            <w:pPr>
              <w:ind w:left="56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53,200</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42,092</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11,108</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margin</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08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900" w:type="dxa"/>
            <w:vAlign w:val="bottom"/>
          </w:tcPr>
          <w:p>
            <w:pPr>
              <w:spacing w:after="0"/>
              <w:rPr>
                <w:sz w:val="20"/>
                <w:szCs w:val="20"/>
                <w:color w:val="auto"/>
              </w:rPr>
            </w:pPr>
          </w:p>
        </w:tc>
        <w:tc>
          <w:tcPr>
            <w:tcW w:w="880" w:type="dxa"/>
            <w:vAlign w:val="bottom"/>
            <w:gridSpan w:val="2"/>
          </w:tcPr>
          <w:p>
            <w:pPr>
              <w:jc w:val="right"/>
              <w:ind w:right="56"/>
              <w:spacing w:after="0"/>
              <w:rPr>
                <w:sz w:val="20"/>
                <w:szCs w:val="20"/>
                <w:color w:val="auto"/>
              </w:rPr>
            </w:pPr>
            <w:r>
              <w:rPr>
                <w:rFonts w:ascii="Arial" w:cs="Arial" w:eastAsia="Arial" w:hAnsi="Arial"/>
                <w:sz w:val="18"/>
                <w:szCs w:val="18"/>
                <w:i w:val="1"/>
                <w:iCs w:val="1"/>
                <w:color w:val="auto"/>
              </w:rPr>
              <w:t>88.1 %</w:t>
            </w:r>
          </w:p>
        </w:tc>
        <w:tc>
          <w:tcPr>
            <w:tcW w:w="100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i w:val="1"/>
                <w:iCs w:val="1"/>
                <w:color w:val="auto"/>
              </w:rPr>
              <w:t>88.5 %</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9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56"/>
              <w:spacing w:after="0"/>
              <w:rPr>
                <w:sz w:val="20"/>
                <w:szCs w:val="20"/>
                <w:color w:val="auto"/>
              </w:rPr>
            </w:pPr>
            <w:r>
              <w:rPr>
                <w:rFonts w:ascii="Arial" w:cs="Arial" w:eastAsia="Arial" w:hAnsi="Arial"/>
                <w:sz w:val="18"/>
                <w:szCs w:val="18"/>
                <w:i w:val="1"/>
                <w:iCs w:val="1"/>
                <w:color w:val="auto"/>
              </w:rPr>
              <w:t>55.4 %</w:t>
            </w:r>
          </w:p>
        </w:tc>
        <w:tc>
          <w:tcPr>
            <w:tcW w:w="10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i w:val="1"/>
                <w:iCs w:val="1"/>
                <w:color w:val="auto"/>
              </w:rPr>
              <w:t>15.8 %</w:t>
            </w: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080" w:type="dxa"/>
            <w:vAlign w:val="bottom"/>
          </w:tcPr>
          <w:p>
            <w:pPr>
              <w:ind w:left="56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0"/>
                <w:szCs w:val="20"/>
                <w:color w:val="auto"/>
              </w:rPr>
            </w:pPr>
          </w:p>
        </w:tc>
        <w:tc>
          <w:tcPr>
            <w:tcW w:w="880" w:type="dxa"/>
            <w:vAlign w:val="bottom"/>
            <w:gridSpan w:val="2"/>
          </w:tcPr>
          <w:p>
            <w:pPr>
              <w:jc w:val="right"/>
              <w:ind w:right="56"/>
              <w:spacing w:after="0"/>
              <w:rPr>
                <w:sz w:val="20"/>
                <w:szCs w:val="20"/>
                <w:color w:val="auto"/>
              </w:rPr>
            </w:pPr>
            <w:r>
              <w:rPr>
                <w:rFonts w:ascii="Arial" w:cs="Arial" w:eastAsia="Arial" w:hAnsi="Arial"/>
                <w:sz w:val="18"/>
                <w:szCs w:val="18"/>
                <w:i w:val="1"/>
                <w:iCs w:val="1"/>
                <w:color w:val="auto"/>
              </w:rPr>
              <w:t xml:space="preserve">85.4 </w:t>
            </w:r>
            <w:r>
              <w:rPr>
                <w:rFonts w:ascii="Arial" w:cs="Arial" w:eastAsia="Arial" w:hAnsi="Arial"/>
                <w:sz w:val="18"/>
                <w:szCs w:val="18"/>
                <w:i w:val="1"/>
                <w:iCs w:val="1"/>
                <w:color w:val="auto"/>
                <w:highlight w:val="white"/>
              </w:rPr>
              <w:t>%</w:t>
            </w:r>
          </w:p>
        </w:tc>
        <w:tc>
          <w:tcPr>
            <w:tcW w:w="100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i w:val="1"/>
                <w:iCs w:val="1"/>
                <w:color w:val="auto"/>
              </w:rPr>
              <w:t xml:space="preserve">82.9 </w:t>
            </w:r>
            <w:r>
              <w:rPr>
                <w:rFonts w:ascii="Arial" w:cs="Arial" w:eastAsia="Arial" w:hAnsi="Arial"/>
                <w:sz w:val="18"/>
                <w:szCs w:val="18"/>
                <w:i w:val="1"/>
                <w:iCs w:val="1"/>
                <w:color w:val="auto"/>
                <w:highlight w:val="white"/>
              </w:rPr>
              <w:t>%</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0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14,129</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17,626</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(3,497 )</w:t>
            </w:r>
          </w:p>
        </w:tc>
        <w:tc>
          <w:tcPr>
            <w:tcW w:w="4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(19.8 )</w:t>
            </w:r>
          </w:p>
        </w:tc>
        <w:tc>
          <w:tcPr>
            <w:tcW w:w="60" w:type="dxa"/>
            <w:vAlign w:val="bottom"/>
          </w:tcPr>
          <w:p>
            <w:pPr>
              <w:spacing w:after="0"/>
              <w:rPr>
                <w:sz w:val="20"/>
                <w:szCs w:val="20"/>
                <w:color w:val="auto"/>
              </w:rPr>
            </w:pPr>
          </w:p>
        </w:tc>
      </w:tr>
      <w:tr>
        <w:trPr>
          <w:trHeight w:val="243"/>
        </w:trPr>
        <w:tc>
          <w:tcPr>
            <w:tcW w:w="4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85,235</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91,367</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(6,132 )</w:t>
            </w:r>
          </w:p>
        </w:tc>
        <w:tc>
          <w:tcPr>
            <w:tcW w:w="4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(6.7 )</w:t>
            </w:r>
          </w:p>
        </w:tc>
        <w:tc>
          <w:tcPr>
            <w:tcW w:w="60" w:type="dxa"/>
            <w:vAlign w:val="bottom"/>
          </w:tcPr>
          <w:p>
            <w:pPr>
              <w:spacing w:after="0"/>
              <w:rPr>
                <w:sz w:val="21"/>
                <w:szCs w:val="2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08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99,364</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108,993</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(9,629 )</w:t>
            </w:r>
          </w:p>
        </w:tc>
        <w:tc>
          <w:tcPr>
            <w:tcW w:w="4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60" w:type="dxa"/>
            <w:vAlign w:val="bottom"/>
          </w:tcPr>
          <w:p>
            <w:pPr>
              <w:spacing w:after="0"/>
              <w:rPr>
                <w:sz w:val="20"/>
                <w:szCs w:val="20"/>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90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(46,164</w:t>
            </w:r>
          </w:p>
        </w:tc>
        <w:tc>
          <w:tcPr>
            <w:tcW w:w="30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(66,901</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20,737</w:t>
            </w:r>
          </w:p>
        </w:tc>
        <w:tc>
          <w:tcPr>
            <w:tcW w:w="220" w:type="dxa"/>
            <w:vAlign w:val="bottom"/>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1"/>
                <w:szCs w:val="2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20"/>
                <w:szCs w:val="20"/>
                <w:color w:val="auto"/>
              </w:rPr>
            </w:pPr>
          </w:p>
        </w:tc>
        <w:tc>
          <w:tcPr>
            <w:tcW w:w="880" w:type="dxa"/>
            <w:vAlign w:val="bottom"/>
            <w:gridSpan w:val="2"/>
          </w:tcPr>
          <w:p>
            <w:pPr>
              <w:jc w:val="right"/>
              <w:ind w:right="136"/>
              <w:spacing w:after="0"/>
              <w:rPr>
                <w:sz w:val="20"/>
                <w:szCs w:val="20"/>
                <w:color w:val="auto"/>
              </w:rPr>
            </w:pPr>
            <w:r>
              <w:rPr>
                <w:rFonts w:ascii="Arial" w:cs="Arial" w:eastAsia="Arial" w:hAnsi="Arial"/>
                <w:sz w:val="18"/>
                <w:szCs w:val="18"/>
                <w:color w:val="auto"/>
              </w:rPr>
              <w:t>(4,057 )</w:t>
            </w:r>
          </w:p>
        </w:tc>
        <w:tc>
          <w:tcPr>
            <w:tcW w:w="100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(3,243 )</w:t>
            </w:r>
          </w:p>
        </w:tc>
        <w:tc>
          <w:tcPr>
            <w:tcW w:w="4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(814 )</w:t>
            </w:r>
          </w:p>
        </w:tc>
        <w:tc>
          <w:tcPr>
            <w:tcW w:w="4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9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5,465</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4,619</w:t>
            </w:r>
          </w:p>
        </w:tc>
        <w:tc>
          <w:tcPr>
            <w:tcW w:w="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546.0</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 before income tax</w:t>
            </w:r>
          </w:p>
        </w:tc>
        <w:tc>
          <w:tcPr>
            <w:tcW w:w="9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36"/>
              <w:spacing w:after="0"/>
              <w:rPr>
                <w:sz w:val="20"/>
                <w:szCs w:val="20"/>
                <w:color w:val="auto"/>
              </w:rPr>
            </w:pPr>
            <w:r>
              <w:rPr>
                <w:rFonts w:ascii="Arial" w:cs="Arial" w:eastAsia="Arial" w:hAnsi="Arial"/>
                <w:sz w:val="18"/>
                <w:szCs w:val="18"/>
                <w:color w:val="auto"/>
                <w:w w:val="88"/>
              </w:rPr>
              <w:t>(44,756 )</w:t>
            </w:r>
          </w:p>
        </w:tc>
        <w:tc>
          <w:tcPr>
            <w:tcW w:w="10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w w:val="91"/>
              </w:rPr>
              <w:t>(69,298 )</w:t>
            </w:r>
          </w:p>
        </w:tc>
        <w:tc>
          <w:tcPr>
            <w:tcW w:w="4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24,542</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(35.4 )</w:t>
            </w:r>
          </w:p>
        </w:tc>
        <w:tc>
          <w:tcPr>
            <w:tcW w:w="60" w:type="dxa"/>
            <w:vAlign w:val="bottom"/>
          </w:tcPr>
          <w:p>
            <w:pPr>
              <w:spacing w:after="0"/>
              <w:rPr>
                <w:sz w:val="21"/>
                <w:szCs w:val="21"/>
                <w:color w:val="auto"/>
              </w:rPr>
            </w:pPr>
          </w:p>
        </w:tc>
      </w:tr>
      <w:tr>
        <w:trPr>
          <w:trHeight w:val="236"/>
        </w:trPr>
        <w:tc>
          <w:tcPr>
            <w:tcW w:w="4080" w:type="dxa"/>
            <w:vAlign w:val="bottom"/>
          </w:tcPr>
          <w:p>
            <w:pPr>
              <w:ind w:left="20"/>
              <w:spacing w:after="0"/>
              <w:rPr>
                <w:sz w:val="20"/>
                <w:szCs w:val="20"/>
                <w:color w:val="auto"/>
              </w:rPr>
            </w:pPr>
            <w:r>
              <w:rPr>
                <w:rFonts w:ascii="Arial" w:cs="Arial" w:eastAsia="Arial" w:hAnsi="Arial"/>
                <w:sz w:val="18"/>
                <w:szCs w:val="18"/>
                <w:color w:val="auto"/>
              </w:rPr>
              <w:t>Provision for income tax</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0"/>
                <w:szCs w:val="20"/>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Net loss and comprehensive loss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(44,856</w:t>
            </w:r>
          </w:p>
        </w:tc>
        <w:tc>
          <w:tcPr>
            <w:tcW w:w="30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(69,335</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24,479</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-35.3 %</w:t>
            </w:r>
          </w:p>
        </w:tc>
      </w:tr>
      <w:tr>
        <w:trPr>
          <w:trHeight w:val="20"/>
        </w:trPr>
        <w:tc>
          <w:tcPr>
            <w:tcW w:w="4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-3796665</wp:posOffset>
            </wp:positionV>
            <wp:extent cx="76835"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-3796665</wp:posOffset>
            </wp:positionV>
            <wp:extent cx="68580"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-3796665</wp:posOffset>
            </wp:positionV>
            <wp:extent cx="68580"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-3171190</wp:posOffset>
            </wp:positionV>
            <wp:extent cx="76835"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-3171190</wp:posOffset>
            </wp:positionV>
            <wp:extent cx="6858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-3171190</wp:posOffset>
            </wp:positionV>
            <wp:extent cx="68580"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-2545080</wp:posOffset>
            </wp:positionV>
            <wp:extent cx="76835"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-2545080</wp:posOffset>
            </wp:positionV>
            <wp:extent cx="6858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-2545080</wp:posOffset>
            </wp:positionV>
            <wp:extent cx="6858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-1919605</wp:posOffset>
            </wp:positionV>
            <wp:extent cx="68580"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-1293495</wp:posOffset>
            </wp:positionV>
            <wp:extent cx="76835"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-1293495</wp:posOffset>
            </wp:positionV>
            <wp:extent cx="6858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-1293495</wp:posOffset>
            </wp:positionV>
            <wp:extent cx="6858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-659765</wp:posOffset>
            </wp:positionV>
            <wp:extent cx="76835"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-659765</wp:posOffset>
            </wp:positionV>
            <wp:extent cx="68580"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-659765</wp:posOffset>
            </wp:positionV>
            <wp:extent cx="6858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82"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Revenue for the nine months ended September 30, 2023 was $62.3 million, an increase of $11.5 million, or 22.7%, from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comparable period. The overall increase in Surgical Glaucoma revenue was primarily attributable to an increase in the number of OMNI and SION units sold in the nine months ended September 30, 2023. This growth in units was driven by both a growth in the number of facilities ordering OMNI and SION, as well as an increase in unit utilization per ordering facility. Our Dry Eye revenue increased in the nine months ended September 30, 2023 versus the comparable period in 2022 due to the continued growth in our customer base and an increase in total TearCare procedures performed. Surgical Glaucoma sales represented 91.7% and 92.2% of our total revenue generated in the nine months ended September 30, 2023 and 2022, respectively.</w:t>
      </w:r>
    </w:p>
    <w:p>
      <w:pPr>
        <w:spacing w:after="0" w:line="164"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i w:val="1"/>
          <w:iCs w:val="1"/>
          <w:color w:val="auto"/>
        </w:rPr>
        <w:t>Cost of Goods Sold and Gross Profit</w:t>
      </w:r>
      <w:r>
        <w:rPr>
          <w:rFonts w:ascii="Arial" w:cs="Arial" w:eastAsia="Arial" w:hAnsi="Arial"/>
          <w:sz w:val="18"/>
          <w:szCs w:val="18"/>
          <w:color w:val="auto"/>
        </w:rPr>
        <w:t>. Cost of goods sold increased $0.4 million during the nine months September 30, 2023 compared to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comparable period. Our Surgical Glaucoma cost of goods sold increased $1.4 million as compared to the comparable period in 2022. The increase was driven by increased sales activity, and product mix, partially offset by lower per unit production costs as a result of continued manufacturing efficiencies. Dry Eye cost of goods sold decreased $1.0 million in the nine months ended September 30, 2023 over the comparable period in 2022 driven primarily by prior year charges associated with the voluntary recall of our SmartHub 1.0 devices, as well as increased efficiencies driven by increased volumes and higher average selling price of our SmartHubs.</w:t>
      </w:r>
    </w:p>
    <w:p>
      <w:pPr>
        <w:spacing w:after="0" w:line="19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Our total gross profit was $53.2 million in the nine months ended September 30, 2023, an increase of $11.1 million from the comparable period in 2022. Our total gross margin for the nine months ended September 30, 2023,</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30" w:name="page31"/>
    <w:bookmarkEnd w:id="30"/>
    <w:p>
      <w:pPr>
        <w:ind w:right="80"/>
        <w:spacing w:after="0" w:line="255" w:lineRule="auto"/>
        <w:rPr>
          <w:sz w:val="20"/>
          <w:szCs w:val="20"/>
          <w:color w:val="auto"/>
        </w:rPr>
      </w:pPr>
      <w:r>
        <w:rPr>
          <w:rFonts w:ascii="Arial" w:cs="Arial" w:eastAsia="Arial" w:hAnsi="Arial"/>
          <w:sz w:val="18"/>
          <w:szCs w:val="18"/>
          <w:color w:val="auto"/>
        </w:rPr>
        <w:t>increased to 85.4%, up from 82.9% in the prior year comparable period primarily related to charges from the voluntary recall in our Dry Eye segment mentioned above. Gross margin in our Surgical Glaucoma segment was 88.1% for the nine months ended September 30, 2023, a decrease from 88.5% for the prior year comparable period primarily driven by product mix . In our Dry Eye segment, gross margin increased from 15.8% in the nine months ended September 30, 2022, to 55.4% for the nine months ended September 30, 2023, primarily driven by the impact of the previously announced voluntary recall of SmartHub 1.0 devices in the first quarter of 2022, lower manufacturing costs, an increased mix of SmartLids, which has a higher gross margin than SmartHubs and higher average selling price of SmartHubs.</w:t>
      </w:r>
    </w:p>
    <w:p>
      <w:pPr>
        <w:spacing w:after="0" w:line="192"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The $3.5 million decrease in R&amp;D expenses during the nine months ended September 30, 2023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2022 was primarily attributable to a $1.6 million decrease in costs associated with clinical studies and general R&amp;D. In addition, the Company saw a $0.7 million decrease in consulting, legal, and professional services.</w:t>
      </w:r>
    </w:p>
    <w:p>
      <w:pPr>
        <w:spacing w:after="0" w:line="184"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SG&amp;A expenses were $85.2 million for the nine months ended September 30, 2023,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$6.1 million from the prior year comparable period. The decrease was primarily attributable to a $2.9 million decrease in marketing expenses, a $2.2 million decrease in consulting expenses, a $2.4 million decrease in personnel expenses, including payroll and related benefits, commissions, and incentive compensation. These decreases were offset by a $1.5 million increase in legal, accounting and related expenses, and a $0.7 million increase in stock-based compensation expense.</w:t>
      </w:r>
    </w:p>
    <w:p>
      <w:pPr>
        <w:spacing w:after="0" w:line="188"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$0.8 million, due to an increase in lending rates during the nine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2022.</w:t>
      </w:r>
    </w:p>
    <w:p>
      <w:pPr>
        <w:spacing w:after="0" w:line="170"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was $5.5 million for the nine months ended September 30, 2023 as compared to $0.8 million in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2022. The income is attributable to the amortization of purchase discounts on held-to-maturity cash-equivalent investments. The Company began investing in treasury securities in June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(40,700 )</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8"/>
              </w:rPr>
              <w:t>(60,463 )</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(527 )</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(841 )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Net (decrease) increase in cash</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(40,499 )</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(60,868 )</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76835"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140" w:firstLine="509"/>
        <w:spacing w:after="0" w:line="291" w:lineRule="auto"/>
        <w:rPr>
          <w:sz w:val="20"/>
          <w:szCs w:val="20"/>
          <w:color w:val="auto"/>
        </w:rPr>
      </w:pPr>
      <w:r>
        <w:rPr>
          <w:rFonts w:ascii="Arial" w:cs="Arial" w:eastAsia="Arial" w:hAnsi="Arial"/>
          <w:sz w:val="16"/>
          <w:szCs w:val="16"/>
          <w:color w:val="auto"/>
        </w:rPr>
        <w:t>Net cash used in operating activities for the nine months ended September 30, 2023 was $40.7 million, consisting primarily of a net loss of $44.9 million and a net change in our operating assets and liabilities of $9.3 million, partially offset by non-cash charges of $13.5 million. The net change in our operating assets and liabilities was primarily due to a $2.2 million increase in accounts receivable and a $3.3 million increase in inventory to support the continued growth of our operations and increase stocking levels. We had a $0.9 million increase in accounts payable, while accrued compensation and accrued and other current liabilities decreased by an aggregate of $4.9 million, primarily driven by the timing of payments on invoices and bonuses. The non-cash charges primarily consisted of $11.1 million related to stock-based compensation, $0.7 million of noncash operating lease expense, $0.5 million of depreciation, and $0.5 million of accretion of debt discount and amortization of debt issuance costs.</w:t>
      </w:r>
    </w:p>
    <w:p>
      <w:pPr>
        <w:spacing w:after="0" w:line="166"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Net cash used in operating activities for the nine months ended September 30, 2022 was $60.5 million, consisting primarily of a net loss of $69.3 million and a net change in our operating assets and liabilities of $2.9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spacing w:after="0" w:line="296" w:lineRule="auto"/>
        <w:rPr>
          <w:sz w:val="20"/>
          <w:szCs w:val="20"/>
          <w:color w:val="auto"/>
        </w:rPr>
      </w:pPr>
      <w:r>
        <w:rPr>
          <w:rFonts w:ascii="Arial" w:cs="Arial" w:eastAsia="Arial" w:hAnsi="Arial"/>
          <w:sz w:val="16"/>
          <w:szCs w:val="16"/>
          <w:color w:val="auto"/>
        </w:rPr>
        <w:t>million, partially offset by non-cash charges of $11.7 million. The change in our net operating assets and liabilities was primarily due to a $4.3 million increase in accounts receivable and a $2.2 million increase in inventory to support the continued growth of our operations. The Company had a $0.1 million decrease in accounts payable, while accrued compensation, as well as accrued and other current liabilities, increased $3.6 million, driven by the timing of payments on invoices and bonuses. The non-cash charges primarily consisted of $9.7 million related to stock-based compensation, $0.6 million of depreciation, $0.5 of accretion of debt discount and amortization of debt issuance costs, and $0.4 million of noncash operating lease expense.</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Net cash used in investing activities in the nine months ended September 30, 2023 and 2022 was $0.5 million and $0.8 million, respectively, in both cases for purchases of property and equipment.</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Net cash provided by financing activities in the nine months ended September 30, 2023 of $0.7 million primarily relates to the exercise of common stock options and proceeds from ESPP purchases, partially offset by taxes paid on the net share settlement of RSUs.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provided by financing activities in the nine months ended September 30, 2022 related to proceeds from stock option exercises.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231F20"/>
        </w:rPr>
        <w:t>To date, our primary sources of capital have been private placements of redeemable convertible preferred stock, debt financing agreements, the sale of common stock in our IPO, and revenue from the sale of our products. Since our inception, we have raised an aggregate of approximately $402.4 million in net proceeds from sales of our redeemable convertible preferred stock and common stock and borrowed $32.9 million of net proceeds under our term loans.</w:t>
      </w:r>
    </w:p>
    <w:p>
      <w:pPr>
        <w:spacing w:after="0" w:line="18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As of September 30, 2023, we had cash and cash equivalents of $144.5 million, an accumulated deficit of $284.1 million and $35.0 million outstanding under our Term Loan agreement (before debt discount and amortized debt issuance costs). Based on our current planned operations, we expect revenue from sales of our products and our cash and cash equivalents will enable us to fund our operations for at least the next 12 months and the foreseeable future thereafter.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MidCap Term Loan</w:t>
      </w:r>
    </w:p>
    <w:p>
      <w:pPr>
        <w:spacing w:after="0" w:line="11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As of September 30, 2023, we had a credit and security agreement with certain entities affiliated with MidCap Financial Services (such entities collectively, the "Lender"), which provides a $35.0 million senior secured term loan (the "Term Loan").</w:t>
      </w:r>
    </w:p>
    <w:p>
      <w:pPr>
        <w:spacing w:after="0" w:line="62"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231F20"/>
        </w:rPr>
        <w:t>Our obligations under the Term Loan agreement are guaranteed by us and our future subsidiaries, subject to exceptions for certain foreign subsidiaries and secured by substantially all of our assets, including our material intellectual property. Additionally, we are subject to affirmative and negative covenants, including certain minimum revenue and cash covenants as well as covenants that limit or restrict the ability of us to, among other things, incur indebtedness, grant liens, merge or consolidate, make investments, dispose of assets, make acquisitions, pay dividends or make distributions, repurchase stock and enter into certain transactions with affiliates, in each case subject to certain exceptions. As of September 30, 2023, we were in compliance with all financial and non-financial covenants under the Term Loan agreement.</w:t>
      </w:r>
    </w:p>
    <w:p>
      <w:pPr>
        <w:spacing w:after="0" w:line="70"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231F20"/>
        </w:rPr>
        <w:t>The Term Loan agreement contains events of default that include, among others, non-payment of principal, interest or fees, breach of covenants, inaccuracy of representations and warranties, cross-defaults and bankruptcy and insolvency events.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ind w:right="180" w:firstLine="509"/>
        <w:spacing w:after="0" w:line="308" w:lineRule="auto"/>
        <w:rPr>
          <w:sz w:val="20"/>
          <w:szCs w:val="20"/>
          <w:color w:val="auto"/>
        </w:rPr>
      </w:pPr>
      <w:r>
        <w:rPr>
          <w:rFonts w:ascii="Arial" w:cs="Arial" w:eastAsia="Arial" w:hAnsi="Arial"/>
          <w:sz w:val="17"/>
          <w:szCs w:val="17"/>
          <w:color w:val="231F20"/>
        </w:rPr>
        <w:t>We incurred $0.7 million of issuance costs in conjunction with the Term Loan which were netted against the borrowed funds in the balance sheets and are being accreted using the effective interest method as interest expense over the contractual period of the Term Loan.</w:t>
      </w:r>
    </w:p>
    <w:p>
      <w:pPr>
        <w:spacing w:after="0" w:line="38"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231F20"/>
        </w:rPr>
        <w:t xml:space="preserve">The Term Loan agreement includes a maturity date of November 1, 2025 and includes a stated floating interest rate that is reserve-adjusted Secured Overnight Finance Rate ("SOFR"), </w:t>
      </w:r>
      <w:r>
        <w:rPr>
          <w:rFonts w:ascii="Arial" w:cs="Arial" w:eastAsia="Arial" w:hAnsi="Arial"/>
          <w:sz w:val="16"/>
          <w:szCs w:val="16"/>
          <w:i w:val="1"/>
          <w:iCs w:val="1"/>
          <w:color w:val="231F20"/>
        </w:rPr>
        <w:t>plus</w:t>
      </w:r>
      <w:r>
        <w:rPr>
          <w:rFonts w:ascii="Arial" w:cs="Arial" w:eastAsia="Arial" w:hAnsi="Arial"/>
          <w:sz w:val="16"/>
          <w:szCs w:val="16"/>
          <w:color w:val="231F20"/>
        </w:rPr>
        <w:t xml:space="preserve"> 7.00%. Principal payments under the Term Loan are scheduled to begin in December 2023. However, we currently expect to meet certain conditions, which, if satisfied, will delay the commencement of principal payments to December 2024. In addition, the Term Loan contains a provision for a final payment fee of 6.0% of the $35.0 million Term Loan balance, which has been partially accrued and recorded as a long-term interest payable in other noncurrent liabilities of $1.4 million as of September 30, 2023 and $1.2 million as of December 31, 2022.</w:t>
      </w:r>
    </w:p>
    <w:p>
      <w:pPr>
        <w:spacing w:after="0" w:line="16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231F20"/>
        </w:rPr>
        <w:t>In conjunction with the initial funding of the Term Loan in 2020, we issued a ten-year warrant to the Lender to purchase 300,000 shares of our Series F redeemable convertible preferred stock at an exercise price of $21.88 per share, (the "MidCap Warrant"), with the estimated fair value of $1.8 million. The MidCap Warrant was recorded at the fair value as a debt discount and as a warrant liability. The debt discount is being accreted using the effective interest method as interest expense over the contractual period of the Term Loan. The MidCap Warrant was automatically converted into a common stock warrant in connection with the IPO and subsequently exercised in the third quarter of fiscal year 2021. Accordingly, the MidCap Warrant no longer remains outstanding.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1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Our corporate headquarters are located in Menlo Park, California, where we lease approximately 11,000 square feet of office, research and development, engineering and laboratory space pursuant to a lease that commenced on August 1, 2021, and expires on August 31, 2024. We also lease approximately 2,040 square feet of office space, which is primarily used by our commercial leadership team, in Southlake, Texas, pursuant to a lease that commenced on April 30, 2019 and expires on May 15, 2024.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Our condensed consolidated financial statements included elsewhere in this Quarterly Report are prepared in accordance with GAAP. The preparation of these condensed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1"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stock-based compensation has the greatest potential impact on our condensed consolidated financial statements. Therefore, we consider this to be a critical accounting estimate.</w:t>
      </w:r>
    </w:p>
    <w:p>
      <w:pPr>
        <w:spacing w:after="0" w:line="15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audited consolidated financial statements for the year ended December 31, 2022, included under the heading “Management’s Discussion and Analysis of Financial Condition and Results of Operations—Critical Accounting Policies and Estimates” in our Annual Report and in Note 2 to our condensed consolidated financial statements in this Quarterly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We have elected to use this extended transition period under the JOBS Act. As a result, our financial statements may not be comparable to</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3" w:name="page34"/>
    <w:bookmarkEnd w:id="33"/>
    <w:p>
      <w:pPr>
        <w:ind w:right="80"/>
        <w:spacing w:after="0" w:line="277" w:lineRule="auto"/>
        <w:rPr>
          <w:sz w:val="20"/>
          <w:szCs w:val="20"/>
          <w:color w:val="auto"/>
        </w:rPr>
      </w:pPr>
      <w:r>
        <w:rPr>
          <w:rFonts w:ascii="Arial" w:cs="Arial" w:eastAsia="Arial" w:hAnsi="Arial"/>
          <w:sz w:val="18"/>
          <w:szCs w:val="18"/>
          <w:color w:val="auto"/>
        </w:rPr>
        <w:t>the financial statements of issuers who are required to comply with the effective dates for new or revised accounting standards that are applicable to public companies, which may make comparison of our financial statements to those of other public companies more difficult.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As of September 30, 2023, there are no significant ASUs issued and not yet adopted, that are expected to have a material impact on the Company's financial statements and related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risk and foreign currency exchange rate risk. There have been no material changes to such risks from those described in our Annual Report under the heading "Quantitative and Qualitative Disclosures About Market Risk."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Our management, with the participation and supervision of our principal executive officer and our principal financial and accounting officer, evaluated our disclosure controls and procedures (as defined in Rules 13a-15(e) and 15d-15(e) under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principal financial officer and principal accounting officer, as appropriate to allow timely decisions regarding required disclosure.</w:t>
      </w:r>
    </w:p>
    <w:p>
      <w:pPr>
        <w:spacing w:after="0" w:line="84"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Based on this evaluation, our principal executive officer and our principal financial and accounting officer concluded that, as a result of the material weakness in our internal control over financial reporting described below, as of the end of the period covered by this Quarterly Report, our disclosure controls and procedures were not effective. However, our management, including our principal executive officer and our principal financial and accounting officer, has concluded that, notwithstanding the identified material weakness in our internal control over financial reporting, the condensed consolidated financial statements in this Quarterly Report fairly present, in all material respects, our financial position, results of operations, and cash flows for the periods presented in conformity with GAAP.</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on Previously Reported Material Weaknesses</w:t>
      </w:r>
    </w:p>
    <w:p>
      <w:pPr>
        <w:spacing w:after="0" w:line="121"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 xml:space="preserve">In connection with the preparation of our financial statements in connection with our IPO,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related to a lack of </w:t>
      </w:r>
      <w:r>
        <w:rPr>
          <w:rFonts w:ascii="Arial" w:cs="Arial" w:eastAsia="Arial" w:hAnsi="Arial"/>
          <w:sz w:val="18"/>
          <w:szCs w:val="18"/>
          <w:color w:val="231F20"/>
        </w:rPr>
        <w:t>sufficient full-time accounting personnel with requisite experience and deep technical accounting knowledge to (i)</w:t>
      </w:r>
      <w:r>
        <w:rPr>
          <w:rFonts w:ascii="Arial" w:cs="Arial" w:eastAsia="Arial" w:hAnsi="Arial"/>
          <w:sz w:val="18"/>
          <w:szCs w:val="18"/>
          <w:color w:val="auto"/>
        </w:rPr>
        <w:t xml:space="preserve"> </w:t>
      </w:r>
      <w:r>
        <w:rPr>
          <w:rFonts w:ascii="Arial" w:cs="Arial" w:eastAsia="Arial" w:hAnsi="Arial"/>
          <w:sz w:val="18"/>
          <w:szCs w:val="18"/>
          <w:color w:val="231F20"/>
        </w:rPr>
        <w:t>identify and resolve complex accounting issues under GAAP, and (ii) enable appropriate segregation of duties and reviews over the financial close and reporting process.</w:t>
      </w:r>
    </w:p>
    <w:p>
      <w:pPr>
        <w:spacing w:after="0" w:line="84" w:lineRule="exact"/>
        <w:rPr>
          <w:sz w:val="20"/>
          <w:szCs w:val="20"/>
          <w:color w:val="auto"/>
        </w:rPr>
      </w:pPr>
    </w:p>
    <w:p>
      <w:pPr>
        <w:ind w:right="360" w:firstLine="509"/>
        <w:spacing w:after="0" w:line="311" w:lineRule="auto"/>
        <w:rPr>
          <w:sz w:val="20"/>
          <w:szCs w:val="20"/>
          <w:color w:val="auto"/>
        </w:rPr>
      </w:pPr>
      <w:r>
        <w:rPr>
          <w:rFonts w:ascii="Arial" w:cs="Arial" w:eastAsia="Arial" w:hAnsi="Arial"/>
          <w:sz w:val="16"/>
          <w:szCs w:val="16"/>
          <w:color w:val="231F20"/>
        </w:rPr>
        <w:t>During the year ended December 31, 2022, our management, with the oversight of the Audit Committee of our board of directors, designed and implemented measures to remediate the control deficiencies contributing to the material weakness and completed testing of internal controls. These remediation efforts, which continued initiatives that began during the year ended December 31, 2021, included the following:</w:t>
      </w:r>
    </w:p>
    <w:p>
      <w:pPr>
        <w:spacing w:after="0" w:line="41" w:lineRule="exact"/>
        <w:rPr>
          <w:sz w:val="20"/>
          <w:szCs w:val="20"/>
          <w:color w:val="auto"/>
        </w:rPr>
      </w:pPr>
    </w:p>
    <w:p>
      <w:pPr>
        <w:ind w:left="740" w:right="1240" w:hanging="358"/>
        <w:spacing w:after="0" w:line="308" w:lineRule="auto"/>
        <w:tabs>
          <w:tab w:leader="none" w:pos="740" w:val="left"/>
        </w:tabs>
        <w:numPr>
          <w:ilvl w:val="0"/>
          <w:numId w:val="5"/>
        </w:numPr>
        <w:rPr>
          <w:rFonts w:ascii="Arial" w:cs="Arial" w:eastAsia="Arial" w:hAnsi="Arial"/>
          <w:sz w:val="17"/>
          <w:szCs w:val="17"/>
          <w:color w:val="231F20"/>
        </w:rPr>
      </w:pPr>
      <w:r>
        <w:rPr>
          <w:rFonts w:ascii="Arial" w:cs="Arial" w:eastAsia="Arial" w:hAnsi="Arial"/>
          <w:sz w:val="17"/>
          <w:szCs w:val="17"/>
          <w:color w:val="231F20"/>
        </w:rPr>
        <w:t>significantly increased our accounting and financial reporting personnel, including the hiring of certified public accountants, and technical accounting and SEC reporting resources with requisite technical accounting knowledge; and</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left="740" w:right="780" w:hanging="358"/>
        <w:spacing w:after="0" w:line="263" w:lineRule="auto"/>
        <w:tabs>
          <w:tab w:leader="none" w:pos="74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 xml:space="preserve">designed and implemented controls to formalize review procedures around the financial close and reporting process with appropriate segregation of duties </w:t>
      </w:r>
      <w:r>
        <w:rPr>
          <w:rFonts w:ascii="Arial" w:cs="Arial" w:eastAsia="Arial" w:hAnsi="Arial"/>
          <w:sz w:val="18"/>
          <w:szCs w:val="18"/>
          <w:color w:val="000000"/>
        </w:rPr>
        <w:t>and to improve the completeness, timeliness and accuracy of our financial reporting and disclosures including the</w:t>
      </w:r>
      <w:r>
        <w:rPr>
          <w:rFonts w:ascii="Arial" w:cs="Arial" w:eastAsia="Arial" w:hAnsi="Arial"/>
          <w:sz w:val="18"/>
          <w:szCs w:val="18"/>
          <w:color w:val="231F20"/>
        </w:rPr>
        <w:t xml:space="preserve"> </w:t>
      </w:r>
      <w:r>
        <w:rPr>
          <w:rFonts w:ascii="Arial" w:cs="Arial" w:eastAsia="Arial" w:hAnsi="Arial"/>
          <w:sz w:val="18"/>
          <w:szCs w:val="18"/>
          <w:color w:val="000000"/>
        </w:rPr>
        <w:t>assessment of more judgmental areas of accounting.</w:t>
      </w:r>
    </w:p>
    <w:p>
      <w:pPr>
        <w:spacing w:after="0" w:line="76"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231F20"/>
        </w:rPr>
        <w:t>While significant progress has been made to improve our internal control over financial reporting, not all aspects of our past material weakness have been sufficiently remediated. The remaining aspect of the material weakness relates to the lack of sufficient accounting resources with deep technical accounting knowledge to identify and resolve complex accounting issues in a timely manner. Remediation of the material weakness will require further validation and testing of the operating effectiveness of the applicable remedial controls over a sustained period of financial reporting cycles.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Other than the changes intended to remediate the material weakness noted above, there were no changes in our internal control over financial reporting during the most recently completed fiscal quarter that has materially affected, or is reasonably likely to materially affect, our internal control over financial reporting.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Except as set forth in Note 6, Commitments and Contingencies, in the notes to the unaudited condensed consolidated financial statements in this Quarterly Report, we do not believe we are currently a party to any legal proceedings, regulatory matters, or other disputes or claims which, if determined adversely to us, would, individually or taken together, have a material adverse effect on our business, financial condition, operating results, liquidity or future prospects. However, regardless of the merits of the claims raised or the outcome, legal proceedings, regulatory matters, and other disputes and claims may have an adverse impact on us as a result of defense and settlement costs, diversion of management time and resources, and other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Except as set forth below, we are not aware of any material changes to the risk factors set forth under the heading "Risk Factors" in our 2022 Form 10-K or Q2 Quarterly Report, which are incorporated herein by reference. The risks described in the 2022 Form 10-K are not the only ones we face. Additional risks we currently do not know about or that we currently believe to be immaterial may also impair our business, financial condition, operating results, liquidity, and future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380"/>
        <w:spacing w:after="0" w:line="340" w:lineRule="auto"/>
        <w:rPr>
          <w:sz w:val="20"/>
          <w:szCs w:val="20"/>
          <w:color w:val="auto"/>
        </w:rPr>
      </w:pPr>
      <w:r>
        <w:rPr>
          <w:rFonts w:ascii="Arial" w:cs="Arial" w:eastAsia="Arial" w:hAnsi="Arial"/>
          <w:sz w:val="15"/>
          <w:szCs w:val="15"/>
          <w:b w:val="1"/>
          <w:bCs w:val="1"/>
          <w:i w:val="1"/>
          <w:iCs w:val="1"/>
          <w:color w:val="auto"/>
        </w:rPr>
        <w:t>We may not be able to incrementally secure or maintain adequate levels of third-party coverage and reimbursement for procedures in which our Surgical Glaucoma or TearCare products are used, and third parties have recently rescinded, and others in the future may rescind or modify, their coverage or delay payments related to these products, which will adversely affect our business, financial condition, and results of operations.</w:t>
      </w:r>
    </w:p>
    <w:p>
      <w:pPr>
        <w:spacing w:after="0" w:line="131"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We derive revenue from sales of OMNI and SION to physicians, ASCs, and HOPDs, which typically bill all or a portion of the costs and fees associated with our products to various third-party payors, including Medicare, Medicaid, private commercial insurance companies, health maintenance organizations, and other healthcare-related organizations, and then bill patients for any applicable deductibles or co-payments.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As a result, access to adequate coverage and reimbursement for procedures in which our Surgical Glaucoma products are used by third-party payors is essential to their acceptance and adoption by patients and ECPs.</w:t>
      </w:r>
    </w:p>
    <w:p>
      <w:pPr>
        <w:spacing w:after="0" w:line="17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These third-party payors continually review new and existing technologies for possible coverage and can deny or reverse coverage for new or existing products and procedures, and there can be no assurance that third-party payor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ind w:right="120"/>
        <w:spacing w:after="0" w:line="267" w:lineRule="auto"/>
        <w:rPr>
          <w:sz w:val="20"/>
          <w:szCs w:val="20"/>
          <w:color w:val="auto"/>
        </w:rPr>
      </w:pPr>
      <w:r>
        <w:rPr>
          <w:rFonts w:ascii="Arial" w:cs="Arial" w:eastAsia="Arial" w:hAnsi="Arial"/>
          <w:sz w:val="17"/>
          <w:szCs w:val="17"/>
          <w:color w:val="auto"/>
        </w:rPr>
        <w:t>policies provide coverage, or will continue to provide coverage, for procedures in which OMNI or our other products are used. For example, CMS, MACs or commercial payors could issue coverage policies that could restrict or eliminate coverage for the patient populations eligible for treatment with our products or that are otherwise unfavorable to our business. In June 2023, for instance, five MACs issued the Draft LCDs, which propose to establish or update Medicare coverage policies for MIGS. The Draft LCDs propose to identify certain non-implantable MIGS procedures as investigational and not reasonable and necessary in the jurisdictions where these MACS administer Medicare Part B benefits, including but not limited to adult canaloplasty in combination with trabeculotomy ab interno, a procedure performed with OMNI and for which it is indicated. The Draft LCDs may also categorize our SION technology as investigational and thus non-covered with respect to goniotomy procedures. On October 26, 2023, one of the five MACs released the Final LCD, identifying certain procedures as investigational, including adult canaloplasty in combination with trabeculotomy ab interno. The states served by that MAC accounted for approximately 8% of our Surgical Glaucoma revenue in 2022. We expect that if the Final LCD is not withdrawn before it becomes effective on December 24, 2023, it will have an adverse impact on our revenue, results of operations, and financial condition, the full extent of which is not known at this time. Further, if the remaining MACs ultimately adopt similar coverage policies, or adopt policies as contemplated by the Draft LCDs, the determinations would establish a policy of Medicare non-coverage for these procedures and other non-implantable MIGS procedures in these Medicare jurisdictions. The states served by all five of these MACs accounted for approximately 63% of our Surgical Glaucoma revenue in 2022. If these five LCDs are not withdrawn, or modified or clarified before they become effective so as to provide for continued coverage of adult canaloplasty in combination with trabeculotomy ab interno (and potentially use of our SION technology in goniotomy procedures), or if these MACS or other third-party payors that currently cover or reimburse procedures in which our products are used reverse or limit their coverage in the future, or if the remaining two MACs or other third-party payors issue similar policies, there will be a material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-633095</wp:posOffset>
            </wp:positionV>
            <wp:extent cx="1238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170" w:lineRule="exact"/>
        <w:rPr>
          <w:sz w:val="20"/>
          <w:szCs w:val="20"/>
          <w:color w:val="auto"/>
        </w:rPr>
      </w:pPr>
    </w:p>
    <w:p>
      <w:pPr>
        <w:ind w:right="140" w:firstLine="509"/>
        <w:spacing w:after="0" w:line="287" w:lineRule="auto"/>
        <w:rPr>
          <w:sz w:val="20"/>
          <w:szCs w:val="20"/>
          <w:color w:val="auto"/>
        </w:rPr>
      </w:pPr>
      <w:r>
        <w:rPr>
          <w:rFonts w:ascii="Arial" w:cs="Arial" w:eastAsia="Arial" w:hAnsi="Arial"/>
          <w:sz w:val="16"/>
          <w:szCs w:val="16"/>
          <w:color w:val="auto"/>
        </w:rPr>
        <w:t>We also derive revenue from sales of TearCare to ECPs and eye care clinics, which bill all or a portion of the costs and fees associated with treatments and products to patients or, on a limited basis, to third-party payors. We believe access to adequate coverage and reimbursement for procedures in which TearCare is used by third-party payors is important to the broad acceptance and adoption of TearCare. Currently, no MACs have formal policies establishing coverage for the TearCare procedure; however, MACs from time to time may include, and we are currently aware of three MACs that have included, low payment rates for TearCare procedures in their fee schedules that, if not removed or increased to what we believe is an appropriate reimbursement level, could adversely impact our efforts to achieve reimbursement for TearCare that is sufficient to support its broad commercial growth and adoption. Further, commercial payers may from time to time make “no coverage” or similar determinations with respect to our TearCare product that could hamper our efforts to drive broad commercial adoption of TearCare. We are pursuing a comprehensive long-term market development and patient access plan for TearCare and focusing our efforts on partnering with key strategic accounts to pursue prior authorization approvals and reimbursement claims for procedures in which TearCare is used, but there is no guarantee that we will be successful. If patients are not willing to pay for procedures in which TearCare is used, or if third-party payors continue to refuse to provide coverage and reimbursement, or provide insufficient levels of coverage and reimbursement, it could have a negative impact on ECPs’ adoption of TearCare and sales of TearCare, which could adversely affect our business.</w:t>
      </w:r>
    </w:p>
    <w:p>
      <w:pPr>
        <w:spacing w:after="0" w:line="168"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Third-party payors, whether foreign or domestic, or governmental or commercial,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Obtaining and maintaining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 With regard to our international sales efforts, even if and as we succeed in bringing our products to market in foreign countries, uncertainties regarding future healthcare policy, legislation and regulation, as well as private market practices, could affect our ability to sell our products in commercially acceptable quantities at acceptable prices.</w:t>
      </w:r>
    </w:p>
    <w:p>
      <w:pPr>
        <w:spacing w:after="0" w:line="178"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 the United States, the American Medical Association (“AMA”) generally assigns specific billing codes for procedures under a coding system known as Current Procedure Terminology (“CPT”), which surgeons use to bill third-party payors and receive reimbursement. Once a permanent CPT code (“Category I CPT code”) is established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right="60"/>
        <w:spacing w:after="0" w:line="273" w:lineRule="auto"/>
        <w:rPr>
          <w:sz w:val="20"/>
          <w:szCs w:val="20"/>
          <w:color w:val="auto"/>
        </w:rPr>
      </w:pPr>
      <w:r>
        <w:rPr>
          <w:rFonts w:ascii="Arial" w:cs="Arial" w:eastAsia="Arial" w:hAnsi="Arial"/>
          <w:sz w:val="17"/>
          <w:szCs w:val="17"/>
          <w:color w:val="auto"/>
        </w:rPr>
        <w:t>for a service, CMS establishes payment levels under Medicare, while other payors may establish rates and coverage rules independently. Canaloplasty followed by trabeculotomy procedures using OMNI are typically billed using the Category I CPT code 66174, which describes canaloplasty. Coding for ophthalmic surgical procedures is complex, and changes to the codes used to report services performed with our products may result in significant changes in reimbursement, which could negatively impact our revenue. For example, in 2021 the RVS Update Committee (“RUC”) of the AMA reevaluated the physician work associated with CPT code 66174. As a result of this RUC review, CMS reduced the Medicare Physician Fee Schedule amount associated with this service from approximately $950 in 2021 to $761 in 2022 and approximately $607 in 2023</w:t>
      </w:r>
      <w:r>
        <w:rPr>
          <w:rFonts w:ascii="Arial" w:cs="Arial" w:eastAsia="Arial" w:hAnsi="Arial"/>
          <w:sz w:val="17"/>
          <w:szCs w:val="17"/>
          <w:b w:val="1"/>
          <w:bCs w:val="1"/>
          <w:color w:val="auto"/>
        </w:rPr>
        <w:t>.</w:t>
      </w:r>
    </w:p>
    <w:p>
      <w:pPr>
        <w:spacing w:after="0" w:line="17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AMA maintains a subset of temporary CPT codes (“Category III CPT codes”) used for new and emerging technologies. For example, TearCare was assigned a Category III CPT code effective beginning January 1, 2020. Coverage for Category III CPT codes is often limited. Medicare does not generally establish national payment rates for Category III CPT codes on the Medicare Physician Fee Schedule. As a result, individual Medicare contractors and private payors may establish their own payment rates for services described by Category III CPT codes, as has been the case with TearCare, which payment rates are subject to change, may be variable across Medicare contractors, may be materially below the final reimbursement rates that we are currently targeting, or may determine not to reimburse services described by Category III CPT codes.</w:t>
      </w:r>
    </w:p>
    <w:p>
      <w:pPr>
        <w:spacing w:after="0" w:line="178"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Further, we believe that future coverage and reimbursement may be subject to increased restrictions, such as additional prior authorization requirements, both in the United States and in international markets. Third-party coverage and reimbursement for procedures using our products or any of our products in development for which we may receive regulatory clearance, certification or approval may not be available or adequate in either the United States or international markets. Further, other devices or treatments that compete with our products may be more widely covered or subject to different co-pay policies and requirements, which could impact demand for our products. If hospital, surgical center, ECP and/or patient demand for our products is adversely affected by third-party reimbursement policies and decisions, it could have a material adverse effect on our business, financial condition and results of operations.</w:t>
      </w:r>
    </w:p>
    <w:p>
      <w:pPr>
        <w:spacing w:after="0" w:line="1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strategic realignment and cost saving initiatives could result in higher than expected costs, fail to achieve the anticipated cost savings, and cause disruptions in our business that could make it difficult to achieve our strategic objectives.</w:t>
      </w:r>
    </w:p>
    <w:p>
      <w:pPr>
        <w:spacing w:after="0" w:line="170"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On October 17, 2023, we initiated a strategic realignment of our operations, including approximately a 10% reduction in our workforce, which is intended to reduce operating expenses, improve cost efficiencies, and further extend our cash runway. However, these initiatives may not result in the anticipated benefits, and may result in unexpected difficulties or costs.</w:t>
      </w:r>
    </w:p>
    <w:p>
      <w:pPr>
        <w:spacing w:after="0" w:line="76"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expect to record a cash restructuring charge of approximately $1.3 million in the fourth quarter of 2023. However, this estimate is subject to assumptions, and actual costs and charges may be higher than anticipated. In addition, we may fail to accurately estimate the level of cost savings and improvements to our cost structure associated with our initiatives, in which case our future operating results may be worse than expected. Further, our workforce reduction may be disruptive to our business and have unanticipated consequences, such as attrition beyond planned staff reductions, reduced employee morale, and decreased operational capabilities primarily within our Dry Eye business. Our workforce reductions could also harm our ability to attract and retain qualified personnel, which could adversely affect our business and results of operation. Our strategic initiatives may also have a negative effect on our existing relationships within our Dry Eye business segment, including with respect to business partners, customers, and other constituents. For example, we intend to amend or terminate certain contractual relationships with existing partners, which could harm our business relationships and result in unexpected costs</w:t>
      </w:r>
      <w:r>
        <w:rPr>
          <w:rFonts w:ascii="Arial" w:cs="Arial" w:eastAsia="Arial" w:hAnsi="Arial"/>
          <w:sz w:val="17"/>
          <w:szCs w:val="17"/>
          <w:b w:val="1"/>
          <w:bCs w:val="1"/>
          <w:i w:val="1"/>
          <w:iCs w:val="1"/>
          <w:color w:val="auto"/>
        </w:rPr>
        <w:t>.</w:t>
      </w:r>
    </w:p>
    <w:p>
      <w:pPr>
        <w:spacing w:after="0" w:line="73" w:lineRule="exact"/>
        <w:rPr>
          <w:sz w:val="20"/>
          <w:szCs w:val="20"/>
          <w:color w:val="auto"/>
        </w:rPr>
      </w:pPr>
    </w:p>
    <w:p>
      <w:pPr>
        <w:ind w:right="380" w:firstLine="509"/>
        <w:spacing w:after="0" w:line="257" w:lineRule="auto"/>
        <w:rPr>
          <w:sz w:val="20"/>
          <w:szCs w:val="20"/>
          <w:color w:val="auto"/>
        </w:rPr>
      </w:pPr>
      <w:r>
        <w:rPr>
          <w:rFonts w:ascii="Arial" w:cs="Arial" w:eastAsia="Arial" w:hAnsi="Arial"/>
          <w:sz w:val="18"/>
          <w:szCs w:val="18"/>
          <w:color w:val="auto"/>
        </w:rPr>
        <w:t>We have limited experience implementing similar strategic initiatives and, as a result, we may fail to achieve the associated benefits, or fail to anticipate the associated costs or manage any expected difficulties. If we are unable to successfully manage these realignment activities, or any similar activities in the future, our financial performance, results of operations, and prospects could be negatively affected. In addition, the impact of these initiatives could result in variations in our financial results from period to period, which could make comparisons of our financial performance more difficult.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ind w:right="80"/>
        <w:spacing w:after="0" w:line="277" w:lineRule="auto"/>
        <w:rPr>
          <w:sz w:val="20"/>
          <w:szCs w:val="20"/>
          <w:color w:val="auto"/>
        </w:rPr>
      </w:pPr>
      <w:r>
        <w:rPr>
          <w:rFonts w:ascii="Arial" w:cs="Arial" w:eastAsia="Arial" w:hAnsi="Arial"/>
          <w:sz w:val="18"/>
          <w:szCs w:val="18"/>
          <w:b w:val="1"/>
          <w:bCs w:val="1"/>
          <w:i w:val="1"/>
          <w:iCs w:val="1"/>
          <w:color w:val="auto"/>
        </w:rPr>
        <w:t>We are an early-stage company with a history of significant losses, we expect to incur losses in the future, and we may not be able to achieve or sustain profitability.</w:t>
      </w:r>
    </w:p>
    <w:p>
      <w:pPr>
        <w:spacing w:after="0" w:line="170" w:lineRule="exact"/>
        <w:rPr>
          <w:sz w:val="20"/>
          <w:szCs w:val="20"/>
          <w:color w:val="auto"/>
        </w:rPr>
      </w:pPr>
    </w:p>
    <w:p>
      <w:pPr>
        <w:ind w:right="100" w:firstLine="509"/>
        <w:spacing w:after="0" w:line="288" w:lineRule="auto"/>
        <w:rPr>
          <w:sz w:val="20"/>
          <w:szCs w:val="20"/>
          <w:color w:val="auto"/>
        </w:rPr>
      </w:pPr>
      <w:r>
        <w:rPr>
          <w:rFonts w:ascii="Arial" w:cs="Arial" w:eastAsia="Arial" w:hAnsi="Arial"/>
          <w:sz w:val="16"/>
          <w:szCs w:val="16"/>
          <w:color w:val="auto"/>
        </w:rPr>
        <w:t>We have incurred annual net losses since our formation in 2010. For the years ended December 31, 2022 and 2021, we had net losses of $86.2 million and $63.0 million, respectively. As of December 31, 2022, we had an accumulated a deficit of $239.2 million. To date, we have financed our operations primarily through equity and debt financings and from the sales of our products, which include OMNI, a device that enables canaloplasty followed by trabeculotomy for the reduction of intraocular pressure in adult patients with primary open-angle glaucoma, and TearCare, which is indicated for the application of localized heat therapy in adult patients with dry eye disease due to MGD, when used in conjunction with manual expression of the meibomian glands. Starting in the second half of 2022, we commenced sales of SION, a manually operated device indicated for use in ophthalmic surgical procedures to excise trabecular meshwork. The losses and accumulated deficit have primarily been due to the substantial investments we have made to develop our products, costs related to our sales and marketing efforts, general research and development expenses, including costs related to clinical trials and regulatory initiatives to obtain marketing clearance, and infrastructure improvements. In addition, as a public company, we incur significant legal, accounting, and other expenses that we did not incur as a private company.</w:t>
      </w:r>
    </w:p>
    <w:p>
      <w:pPr>
        <w:spacing w:after="0" w:line="168" w:lineRule="exact"/>
        <w:rPr>
          <w:sz w:val="20"/>
          <w:szCs w:val="20"/>
          <w:color w:val="auto"/>
        </w:rPr>
      </w:pPr>
    </w:p>
    <w:p>
      <w:pPr>
        <w:ind w:right="20" w:firstLine="554"/>
        <w:spacing w:after="0" w:line="269" w:lineRule="auto"/>
        <w:rPr>
          <w:sz w:val="20"/>
          <w:szCs w:val="20"/>
          <w:color w:val="auto"/>
        </w:rPr>
      </w:pPr>
      <w:r>
        <w:rPr>
          <w:rFonts w:ascii="Arial" w:cs="Arial" w:eastAsia="Arial" w:hAnsi="Arial"/>
          <w:sz w:val="17"/>
          <w:szCs w:val="17"/>
          <w:color w:val="auto"/>
        </w:rPr>
        <w:t>Accordingly, we expect to continue to incur losses for the foreseeable future and we cannot assure you that we will ever achieve profitability or that, if we do become profitable, we will sustain profitability. In addition, we expect the publication of the Final LCD to have a material adverse effect on our OMNI sales in the states served by WPS if it becomes effective in December 2023 in its current form. Further, if the other four MACs that published the Remaining Draft LCDs adopt similar coverage policies, determinations of Medicare non-coverage may be made for non-implantable MIGS procedures, which are performed with our Surgical Glaucoma products. The states served by WPS and these four other MACs accounted for approximately 63% of our Surgical Glaucoma revenue during 2022, and additional final LCDs from these other four MACs that reverse or limit coverage for procedures in which our products are used would have a material adverse effect on our revenue and results of operations. Our failure to achieve and sustain profitability in the future would make it more difficult to finance our business and accomplish our strategic objectives, which would have a material adverse effect on our business, financial condition and results of operations. In addition, failure of our products to significantly penetrate our target markets would negatively affect our business, financial condition, and results of operations.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highly dependent on revenue from the sales of our products, and our inability to successfully execute our growth strategy could negatively affect our results of operations and financial condition.</w:t>
      </w:r>
    </w:p>
    <w:p>
      <w:pPr>
        <w:spacing w:after="0" w:line="170"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We began selling VISCO360 and TRAB360, commercial predicate devices to OMNI, in 2015, TearCare in 2019 and SION in the second half of 2022, and therefore do not have a long history operating as a commercial company. Currently, we are highly dependent on the success of our OMNI and SION technologies, which comprise our Surgical Glaucoma products, and TearCare, and we expect substantially all of our product revenues in at least the next 12 months to be derived from these products. We are particularly dependent on the success of OMNI and SION, which accounted for &gt;90% of our total revenues for the year ended December 31, 2022. We expect that if the Final LCD becomes effective in December 2023 in its current form, it will have a material adverse effect on our OMNI sales in the states served by WPS, and if other four MACs that published Draft LCDs adopt similar coverage policies, determinations of Medicare non-coverage may be made for non-implantable MIGS procedures, which are performed with our OMNI technology (and may also include procedures performed with our SION technology), in states accounting for approximately 63% of our Surgical Glaucoma revenue in 2022. Because we devote substantially all of our resources to these products and rely on them as our sole source of revenue, any factors that negatively impact our products, and particularly OMNI, or result in a decrease in sales, could have a material adverse effect on our business, financial condition and results of operations.</w:t>
      </w:r>
    </w:p>
    <w:p>
      <w:pPr>
        <w:spacing w:after="0" w:line="182"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Over the next several years, we expect to continue to devote substantial resources to expand our commercialization efforts, drive increased adoption of our products and continue to develop new and improved products. Our limited commercialization experience and number of products make it difficult to evaluate our current business and predict our future prospects. For example, we believe that OMNI can be used as a Standalone procedure to help effectively reduce IOP in adult POAG patients, but we have limited commercial experience with this Standalone market segment, and the extent to which we are able to penetrate and grow this market is unknown.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ind w:right="140"/>
        <w:spacing w:after="0" w:line="277" w:lineRule="auto"/>
        <w:rPr>
          <w:sz w:val="20"/>
          <w:szCs w:val="20"/>
          <w:color w:val="auto"/>
        </w:rPr>
      </w:pPr>
      <w:r>
        <w:rPr>
          <w:rFonts w:ascii="Arial" w:cs="Arial" w:eastAsia="Arial" w:hAnsi="Arial"/>
          <w:sz w:val="18"/>
          <w:szCs w:val="18"/>
          <w:color w:val="auto"/>
        </w:rPr>
        <w:t>In addition, a number of factors, including some outside of our control, may render our products economically impracticable or obsolete and contribute to fluctuations in our financial results, including:</w:t>
      </w:r>
    </w:p>
    <w:p>
      <w:pPr>
        <w:spacing w:after="0" w:line="62" w:lineRule="exact"/>
        <w:rPr>
          <w:sz w:val="20"/>
          <w:szCs w:val="20"/>
          <w:color w:val="auto"/>
        </w:rPr>
      </w:pPr>
    </w:p>
    <w:p>
      <w:pPr>
        <w:ind w:left="760" w:hanging="378"/>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reimbursement coverage for procedures in which our products are used, and to successfully engage with MACs to obtain or retain favorable coverage determinations;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reimbursement rates by government or commercial payors;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our clinical trials or investigations;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positive or negative media coverage, or public, patient and/or physician perception, of our products or competing products and treatments;</w:t>
      </w:r>
    </w:p>
    <w:p>
      <w:pPr>
        <w:spacing w:after="0" w:line="128" w:lineRule="exact"/>
        <w:rPr>
          <w:rFonts w:ascii="Arial" w:cs="Arial" w:eastAsia="Arial" w:hAnsi="Arial"/>
          <w:sz w:val="17"/>
          <w:szCs w:val="17"/>
          <w:color w:val="auto"/>
        </w:rPr>
      </w:pPr>
    </w:p>
    <w:p>
      <w:pPr>
        <w:ind w:left="760" w:right="480" w:hanging="378"/>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safety or effectiveness concerns that arise regarding our products for either their currently authorized uses or the uses for which we are developing our products;</w:t>
      </w:r>
    </w:p>
    <w:p>
      <w:pPr>
        <w:spacing w:after="0" w:line="62" w:lineRule="exact"/>
        <w:rPr>
          <w:rFonts w:ascii="Arial" w:cs="Arial" w:eastAsia="Arial" w:hAnsi="Arial"/>
          <w:sz w:val="18"/>
          <w:szCs w:val="18"/>
          <w:color w:val="auto"/>
        </w:rPr>
      </w:pPr>
    </w:p>
    <w:p>
      <w:pPr>
        <w:ind w:left="760" w:right="60" w:hanging="378"/>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marketing and sales efforts, including our ability to have a sufficient number of qualified sales representatives to sell our products;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delays in product development or launches;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raise additional capital on acceptable terms, or at all, if needed to support the commercialization of our products and operations;</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and maintain compliance with all legal and regulatory requirements applicable to our products;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w:t>
      </w:r>
    </w:p>
    <w:p>
      <w:pPr>
        <w:spacing w:after="0" w:line="117"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third-party manufacturers’ ability to supply our products in a timely manner, in accordance with our specifications, and in compliance with applicable regulatory requirements;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introduction of new products or alternative treatments that compete with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the broad adoption of our products by eyecare professionals and patients.</w:t>
      </w:r>
    </w:p>
    <w:p>
      <w:pPr>
        <w:spacing w:after="0" w:line="225"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ECPs, including ophthalmologists and optometrists, have limited awareness of, and experience with, our products and brand. Our future growth and profitability largely depend on our ability to increase ECP and patient awareness of our products and on the willingness of ECPs and patients to adopt our products. ECPs may not adopt our products unless they believe they will receive appropriate compensation for such use and are able to determine, based on experience, clinical data, medical society and association recommendations and other analyses, that our products are clinically differentiated from, or otherwise preferable to, available alternatives. Even if we are able to raise awareness among ECPs, they may be slow to change their medical treatment practices and may be hesitant to select our products for a variety of reasons, including:</w:t>
      </w:r>
    </w:p>
    <w:p>
      <w:pPr>
        <w:spacing w:after="0" w:line="70" w:lineRule="exact"/>
        <w:rPr>
          <w:sz w:val="20"/>
          <w:szCs w:val="20"/>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experience with our products and concerns that we are relatively new to market;</w:t>
      </w:r>
    </w:p>
    <w:p>
      <w:pPr>
        <w:spacing w:after="0" w:line="117" w:lineRule="exact"/>
        <w:rPr>
          <w:rFonts w:ascii="Arial" w:cs="Arial" w:eastAsia="Arial" w:hAnsi="Arial"/>
          <w:sz w:val="18"/>
          <w:szCs w:val="18"/>
          <w:color w:val="auto"/>
        </w:rPr>
      </w:pPr>
    </w:p>
    <w:p>
      <w:pPr>
        <w:ind w:left="760" w:right="740" w:hanging="378"/>
        <w:spacing w:after="0" w:line="26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availability of adequate third-party payor coverage or reimbursement, or changes in (or new) third-party payor coverage or reimbursement policies that are materially adverse to our interest, including the publication of the Final LCD by WPS and the potential publication of substantively similar final LCDs by other MACs;</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perceived liability risk generally associated with the use of new products and treatment options;</w:t>
      </w:r>
    </w:p>
    <w:p>
      <w:pPr>
        <w:spacing w:after="0" w:line="117" w:lineRule="exact"/>
        <w:rPr>
          <w:rFonts w:ascii="Arial" w:cs="Arial" w:eastAsia="Arial" w:hAnsi="Arial"/>
          <w:sz w:val="18"/>
          <w:szCs w:val="18"/>
          <w:color w:val="auto"/>
        </w:rPr>
      </w:pPr>
    </w:p>
    <w:p>
      <w:pPr>
        <w:ind w:left="760" w:right="42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or perceived lack, of sufficient clinical evidence, including long-term data, supporting clinical benefits or the cost-effectiveness of our products over existing treatments;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of key ophthalmologist and optometrist leaders to support and recommend our products;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perceptions that our products are unproven;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ECPs’ long-standing relationships with companies, distributors and salespeople that sell competing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9" w:name="page40"/>
    <w:bookmarkEnd w:id="39"/>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response, including new product introduction and negative selling efforts from providers of alternative treatments;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of integrating TearCare into established ophthalmologic and optometric practices;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perceptions regarding the time commitment and skill development that may be required to gain familiarity and proficiency with our products.</w:t>
      </w:r>
    </w:p>
    <w:p>
      <w:pPr>
        <w:spacing w:after="0" w:line="23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To effectively market and sell our products, we will need to continue to educate the medical community about the safety, efficacy, necessity and efficiency of our products and about the patient populations that would potentially benefit from the use of our products. For example, if first-line ECPs or primary care physicians that serve as the early point of contact for patients are not made aware of our OMNI products, they may not refer patients to ECPs who utilize our products, and those patients may be treated with alternative procedures or treatments. In addition, some physicians may choose to utilize our products on only a subset of their total patient population or may not adopt our products at all. Further, if we are unable to obtain or maintain favorable third-party reimbursement coverage of procedures in which our products are used, particularly as compared to competitive products, adoption of our products by ECPs and patients will suffer. We cannot assure you that our products will achieve broad market acceptance among payors, physicians and patients. Any failure of our products to satisfy demand or to achieve meaningful market acceptance and penetration will harm our future prospects and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significant amount of debt, which may affect our ability to operate our business and secure additional financing in the future.</w:t>
      </w:r>
    </w:p>
    <w:p>
      <w:pPr>
        <w:spacing w:after="0" w:line="23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 xml:space="preserve">As of September 30, 2023, we had a credit and security agreement with the Lender, which provides for a $35.0 million Term Loan. </w:t>
      </w:r>
      <w:r>
        <w:rPr>
          <w:rFonts w:ascii="Arial" w:cs="Arial" w:eastAsia="Arial" w:hAnsi="Arial"/>
          <w:sz w:val="17"/>
          <w:szCs w:val="17"/>
          <w:color w:val="231F20"/>
        </w:rPr>
        <w:t>The Term Loan</w:t>
      </w:r>
      <w:r>
        <w:rPr>
          <w:rFonts w:ascii="Arial" w:cs="Arial" w:eastAsia="Arial" w:hAnsi="Arial"/>
          <w:sz w:val="17"/>
          <w:szCs w:val="17"/>
          <w:color w:val="auto"/>
        </w:rPr>
        <w:t xml:space="preserve"> </w:t>
      </w:r>
      <w:r>
        <w:rPr>
          <w:rFonts w:ascii="Arial" w:cs="Arial" w:eastAsia="Arial" w:hAnsi="Arial"/>
          <w:sz w:val="17"/>
          <w:szCs w:val="17"/>
          <w:color w:val="231F20"/>
        </w:rPr>
        <w:t>agreement includes a maturity date of November 1, 2025 and includes a stated floating interest rate that is reserve-adjusted SOFR, plus 7.00%. Principal payments under the Term Loan are scheduled to begin in December 2023. However, we currently expect to meet certain conditions, which, if satisfied, will delay the commencement of principal payments to December 2024. In addition, the Term Loan contains a provision for a final payment fee of 6.0% of the $35.0 million Term Loan balance, which has been partially accrued and recorded as a long-term interest payable in other noncurrent liabilities of $1.4 million as of September 30, 2023 and $1.2 million as of December 31, 2022.</w:t>
      </w:r>
    </w:p>
    <w:p>
      <w:pPr>
        <w:spacing w:after="0" w:line="178"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Our obligations under the Term Loan agreement are collateralized by a security interest in substantially all of our assets, and we are subject to customary financial and operating covenants limiting our ability to, among other things, relocate or dispose of assets, undergo a change in control, merge or consolidate, enter into certain transactions with affiliates, make acquisitions, incur debt, pay dividends, grant liens, store certain amounts of inventory or equipment with third parties and make investments, in each case subject to certain exceptions. We are also subject to minimum trailing revenue targets that are evaluated on a monthly basis and a $50 million minimum unrestricted cash requirement. While we are currently in compliance with the covenants, trailing revenue targets and minimum cash requirements set forth in the Term Loan agreement, we expect the publication of the Final LCD to adversely affect our OMNI revenue generated in the states served by WPS, which states accounted for approximately 8% of our Surgical Glaucoma revenue in 2022. In addition, the states served by the other four MACs that have published the Remaining Draft LCDs accounted for approximately 55% of our Surgical Glaucoma revenue in 2022. If those other MACs adopt similar coverage policies, the determinations would establish a policy of Medicare non-coverage for adult canaloplasty followed by trabeculotomy ab interno, a procedure performed with our OMNI technology in these Medicare jurisdictions, and may also result in Medicare non-coverage for our SION technology in these jurisdictions. Any such non-coverage would materially adversely affect our revenue. Our failure to comply with the minimum trailing revenue targets or the minimum unrestricted cash requirement would lead to an event of default under the Term Loan agreement, and the Lender could accelerate payments due under the Term Loan. In addition, the covenants related to the Term Loan agreement, as well as any future financing agreements into which we may enter, may restrict our ability to finance our operations and engage in, expand, or otherwise pursue our business activities and strategies.</w:t>
      </w:r>
    </w:p>
    <w:p>
      <w:pPr>
        <w:spacing w:after="0" w:line="182"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While we believe that we have not previously breached and are not currently in breach of these or any other covenants contained in the Term Loan agreement, there can be no guarantee that we will not breach these covenants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spacing w:after="0" w:line="293" w:lineRule="auto"/>
        <w:rPr>
          <w:sz w:val="20"/>
          <w:szCs w:val="20"/>
          <w:color w:val="auto"/>
        </w:rPr>
      </w:pPr>
      <w:r>
        <w:rPr>
          <w:rFonts w:ascii="Arial" w:cs="Arial" w:eastAsia="Arial" w:hAnsi="Arial"/>
          <w:sz w:val="16"/>
          <w:szCs w:val="16"/>
          <w:color w:val="auto"/>
        </w:rPr>
        <w:t>in the future. Our ability to comply with these covenants may be affected by events beyond our control, and future breaches of any of these covenants could result in a default under the Term Loan agreement. If not waived, future defaults could cause all of the outstanding indebtedness under the Term Loan agreement to become immediately due and payable and terminate commitments to extend further credit and foreclose on the collateral granted to it to collateralize such indebtedness. If we do not have or are unable to generate sufficient cash available to repay our debt obligations when they become due and payable, either upon maturity or in the event of a default, our assets could be foreclosed upon and we may not be able to obtain additional debt or equity financing on favorable terms, if at all, which may negatively impact our ability to operate and continue our business as a going concern.</w:t>
      </w:r>
    </w:p>
    <w:p>
      <w:pPr>
        <w:spacing w:after="0" w:line="164"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cash flow from 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may place us at a competitive disadvantage compared to our competitors that have less indebtedness or greater financial resources to service their debt.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fluctuate substantially or may decline regardless of our operating performance and you could lose all or part of your investment.</w:t>
      </w:r>
    </w:p>
    <w:p>
      <w:pPr>
        <w:spacing w:after="0" w:line="170"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 market price of our common stock may be highly volatile and may fluctuate or decline substantially as a result of a variety of factors, some of which are beyond our control or are related in complex ways, including:</w:t>
      </w:r>
    </w:p>
    <w:p>
      <w:pPr>
        <w:spacing w:after="0" w:line="62"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analysts’ estimates, investors’ perceptions, recommendations by securities analysts or our failure to achieve analysts’ estimates;</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quarterly variations in our or our competitors’ results of operations;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periodic fluctuations in our revenue, which could be due in part to the way in which we recognize revenue;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general market conditions and other factors unrelated to our operating performance or the operating performance of our competitors;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payors, and coverage determinations published by MACs;</w:t>
      </w:r>
    </w:p>
    <w:p>
      <w:pPr>
        <w:spacing w:after="0" w:line="117" w:lineRule="exact"/>
        <w:rPr>
          <w:rFonts w:ascii="Arial" w:cs="Arial" w:eastAsia="Arial" w:hAnsi="Arial"/>
          <w:sz w:val="18"/>
          <w:szCs w:val="18"/>
          <w:color w:val="auto"/>
        </w:rPr>
      </w:pPr>
    </w:p>
    <w:p>
      <w:pPr>
        <w:ind w:left="760" w:right="120" w:hanging="378"/>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the medical device industry in particular;</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our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key personnel, including changes in our board of directors or management;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recalls or other problems associated with our products;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legislation or regulation of our market;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related to patents issued to us or our competitors and related litigation;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1" w:name="page42"/>
    <w:bookmarkEnd w:id="41"/>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225" w:lineRule="exact"/>
        <w:rPr>
          <w:sz w:val="20"/>
          <w:szCs w:val="20"/>
          <w:color w:val="auto"/>
        </w:rPr>
      </w:pPr>
    </w:p>
    <w:p>
      <w:pPr>
        <w:ind w:right="200" w:firstLine="509"/>
        <w:spacing w:after="0" w:line="275" w:lineRule="auto"/>
        <w:rPr>
          <w:sz w:val="20"/>
          <w:szCs w:val="20"/>
          <w:color w:val="auto"/>
        </w:rPr>
      </w:pPr>
      <w:r>
        <w:rPr>
          <w:rFonts w:ascii="Arial" w:cs="Arial" w:eastAsia="Arial" w:hAnsi="Arial"/>
          <w:sz w:val="17"/>
          <w:szCs w:val="17"/>
          <w:color w:val="auto"/>
        </w:rPr>
        <w:t>In recent years, including as the result of the COVID-19 pandemic, the stock markets generally have experienced extreme price and volume fluctuations that have often been unrelated or disproportionate to the operating performance of listed companies. Broad market and industry factors may significantly affect the market price of our common stock, regardless of our actual operating performance. In addition, the recent publication of the Final LCD, as well as the possibility the MACs that published the Draft LCDs may adopt similar coverage policies, has resulted in a substantial decline in the market price of our common stock, and future determinations may similarly impact our stock price.</w:t>
      </w:r>
    </w:p>
    <w:p>
      <w:pPr>
        <w:spacing w:after="0" w:line="176"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In addition,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financial condition and reputation. These factors may materially and adversely affect the market price of our common stock.</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 July 2021, we completed our IPO. All shares sold were registered pursuant to a registration statement on Form S-1 (File No. 333-257320), as amended (the "Registration Statement"), declared effective by the SEC on July 14, 2021.</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has been no material change in the intended use of proceeds from the IPO as described in the Registration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661" w:right="6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filed or furnished as a part of, or incorporated by reference into, this Quarterly Report.</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ind w:left="200"/>
              <w:spacing w:after="0"/>
              <w:rPr>
                <w:sz w:val="20"/>
                <w:szCs w:val="20"/>
                <w:color w:val="auto"/>
              </w:rPr>
            </w:pPr>
            <w:r>
              <w:rPr>
                <w:rFonts w:ascii="Arial" w:cs="Arial" w:eastAsia="Arial" w:hAnsi="Arial"/>
                <w:sz w:val="16"/>
                <w:szCs w:val="16"/>
                <w:b w:val="1"/>
                <w:bCs w:val="1"/>
                <w:color w:val="auto"/>
              </w:rPr>
              <w:t>Incorporated by</w:t>
            </w: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1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ind w:left="200"/>
              <w:spacing w:after="0"/>
              <w:rPr>
                <w:sz w:val="20"/>
                <w:szCs w:val="20"/>
                <w:color w:val="auto"/>
              </w:rPr>
            </w:pPr>
            <w:r>
              <w:rPr>
                <w:rFonts w:ascii="Arial" w:cs="Arial" w:eastAsia="Arial" w:hAnsi="Arial"/>
                <w:sz w:val="16"/>
                <w:szCs w:val="16"/>
                <w:b w:val="1"/>
                <w:bCs w:val="1"/>
                <w:color w:val="auto"/>
              </w:rPr>
              <w:t>Reference</w:t>
            </w: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8"/>
        </w:trPr>
        <w:tc>
          <w:tcPr>
            <w:tcW w:w="104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3960" w:type="dxa"/>
            <w:vAlign w:val="bottom"/>
            <w:gridSpan w:val="11"/>
          </w:tcPr>
          <w:p>
            <w:pPr>
              <w:ind w:left="1320"/>
              <w:spacing w:after="0"/>
              <w:rPr>
                <w:sz w:val="20"/>
                <w:szCs w:val="20"/>
                <w:color w:val="auto"/>
              </w:rPr>
            </w:pPr>
            <w:r>
              <w:rPr>
                <w:rFonts w:ascii="Arial" w:cs="Arial" w:eastAsia="Arial" w:hAnsi="Arial"/>
                <w:sz w:val="16"/>
                <w:szCs w:val="16"/>
                <w:b w:val="1"/>
                <w:bCs w:val="1"/>
                <w:color w:val="auto"/>
              </w:rPr>
              <w:t>Exhibit Description</w:t>
            </w:r>
          </w:p>
        </w:tc>
        <w:tc>
          <w:tcPr>
            <w:tcW w:w="1500" w:type="dxa"/>
            <w:vAlign w:val="bottom"/>
          </w:tcPr>
          <w:p>
            <w:pPr>
              <w:ind w:left="200"/>
              <w:spacing w:after="0"/>
              <w:rPr>
                <w:sz w:val="20"/>
                <w:szCs w:val="20"/>
                <w:color w:val="auto"/>
              </w:rPr>
            </w:pPr>
            <w:r>
              <w:rPr>
                <w:rFonts w:ascii="Arial" w:cs="Arial" w:eastAsia="Arial" w:hAnsi="Arial"/>
                <w:sz w:val="16"/>
                <w:szCs w:val="16"/>
                <w:b w:val="1"/>
                <w:bCs w:val="1"/>
                <w:color w:val="auto"/>
              </w:rPr>
              <w:t>Form</w:t>
            </w:r>
          </w:p>
        </w:tc>
        <w:tc>
          <w:tcPr>
            <w:tcW w:w="1120" w:type="dxa"/>
            <w:vAlign w:val="bottom"/>
          </w:tcPr>
          <w:p>
            <w:pPr>
              <w:ind w:left="160"/>
              <w:spacing w:after="0"/>
              <w:rPr>
                <w:sz w:val="20"/>
                <w:szCs w:val="20"/>
                <w:color w:val="auto"/>
              </w:rPr>
            </w:pPr>
            <w:r>
              <w:rPr>
                <w:rFonts w:ascii="Arial" w:cs="Arial" w:eastAsia="Arial" w:hAnsi="Arial"/>
                <w:sz w:val="16"/>
                <w:szCs w:val="16"/>
                <w:b w:val="1"/>
                <w:bCs w:val="1"/>
                <w:color w:val="auto"/>
              </w:rPr>
              <w:t>File No.</w:t>
            </w:r>
          </w:p>
        </w:tc>
        <w:tc>
          <w:tcPr>
            <w:tcW w:w="960" w:type="dxa"/>
            <w:vAlign w:val="bottom"/>
          </w:tcPr>
          <w:p>
            <w:pPr>
              <w:ind w:left="260"/>
              <w:spacing w:after="0"/>
              <w:rPr>
                <w:sz w:val="20"/>
                <w:szCs w:val="20"/>
                <w:color w:val="auto"/>
              </w:rPr>
            </w:pPr>
            <w:r>
              <w:rPr>
                <w:rFonts w:ascii="Arial" w:cs="Arial" w:eastAsia="Arial" w:hAnsi="Arial"/>
                <w:sz w:val="16"/>
                <w:szCs w:val="16"/>
                <w:b w:val="1"/>
                <w:bCs w:val="1"/>
                <w:color w:val="auto"/>
              </w:rPr>
              <w:t>Exhibit</w:t>
            </w:r>
          </w:p>
        </w:tc>
        <w:tc>
          <w:tcPr>
            <w:tcW w:w="880" w:type="dxa"/>
            <w:vAlign w:val="bottom"/>
          </w:tcPr>
          <w:p>
            <w:pPr>
              <w:ind w:left="200"/>
              <w:spacing w:after="0"/>
              <w:rPr>
                <w:sz w:val="20"/>
                <w:szCs w:val="20"/>
                <w:color w:val="auto"/>
              </w:rPr>
            </w:pPr>
            <w:r>
              <w:rPr>
                <w:rFonts w:ascii="Arial" w:cs="Arial" w:eastAsia="Arial" w:hAnsi="Arial"/>
                <w:sz w:val="16"/>
                <w:szCs w:val="16"/>
                <w:b w:val="1"/>
                <w:bCs w:val="1"/>
                <w:color w:val="auto"/>
              </w:rPr>
              <w:t>Filing</w:t>
            </w:r>
          </w:p>
        </w:tc>
        <w:tc>
          <w:tcPr>
            <w:tcW w:w="1320" w:type="dxa"/>
            <w:vAlign w:val="bottom"/>
          </w:tcPr>
          <w:p>
            <w:pPr>
              <w:ind w:left="200"/>
              <w:spacing w:after="0"/>
              <w:rPr>
                <w:sz w:val="20"/>
                <w:szCs w:val="20"/>
                <w:color w:val="auto"/>
              </w:rPr>
            </w:pPr>
            <w:r>
              <w:rPr>
                <w:rFonts w:ascii="Arial" w:cs="Arial" w:eastAsia="Arial" w:hAnsi="Arial"/>
                <w:sz w:val="16"/>
                <w:szCs w:val="16"/>
                <w:b w:val="1"/>
                <w:bCs w:val="1"/>
                <w:color w:val="auto"/>
                <w:w w:val="92"/>
              </w:rPr>
              <w:t>Filed/Furnished</w:t>
            </w:r>
          </w:p>
        </w:tc>
      </w:tr>
      <w:tr>
        <w:trPr>
          <w:trHeight w:val="210"/>
        </w:trPr>
        <w:tc>
          <w:tcPr>
            <w:tcW w:w="104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6"/>
                <w:szCs w:val="16"/>
                <w:b w:val="1"/>
                <w:bCs w:val="1"/>
                <w:color w:val="auto"/>
              </w:rPr>
              <w:t>Date</w:t>
            </w:r>
          </w:p>
        </w:tc>
        <w:tc>
          <w:tcPr>
            <w:tcW w:w="1320" w:type="dxa"/>
            <w:vAlign w:val="bottom"/>
          </w:tcPr>
          <w:p>
            <w:pPr>
              <w:ind w:left="200"/>
              <w:spacing w:after="0"/>
              <w:rPr>
                <w:sz w:val="20"/>
                <w:szCs w:val="20"/>
                <w:color w:val="auto"/>
              </w:rPr>
            </w:pPr>
            <w:r>
              <w:rPr>
                <w:rFonts w:ascii="Arial" w:cs="Arial" w:eastAsia="Arial" w:hAnsi="Arial"/>
                <w:sz w:val="16"/>
                <w:szCs w:val="16"/>
                <w:b w:val="1"/>
                <w:bCs w:val="1"/>
                <w:color w:val="auto"/>
              </w:rPr>
              <w:t>Herewith</w:t>
            </w:r>
          </w:p>
        </w:tc>
      </w:tr>
      <w:tr>
        <w:trPr>
          <w:trHeight w:val="181"/>
        </w:trPr>
        <w:tc>
          <w:tcPr>
            <w:tcW w:w="1040" w:type="dxa"/>
            <w:vAlign w:val="bottom"/>
          </w:tcPr>
          <w:p>
            <w:pPr>
              <w:spacing w:after="0" w:line="181" w:lineRule="exact"/>
              <w:rPr>
                <w:sz w:val="20"/>
                <w:szCs w:val="20"/>
                <w:color w:val="auto"/>
              </w:rPr>
            </w:pPr>
            <w:r>
              <w:rPr>
                <w:rFonts w:ascii="Arial" w:cs="Arial" w:eastAsia="Arial" w:hAnsi="Arial"/>
                <w:sz w:val="16"/>
                <w:szCs w:val="16"/>
                <w:color w:val="auto"/>
              </w:rPr>
              <w:t>3.1</w:t>
            </w:r>
          </w:p>
        </w:tc>
        <w:tc>
          <w:tcPr>
            <w:tcW w:w="3960" w:type="dxa"/>
            <w:vAlign w:val="bottom"/>
            <w:gridSpan w:val="11"/>
          </w:tcPr>
          <w:p>
            <w:pPr>
              <w:spacing w:after="0" w:line="181" w:lineRule="exact"/>
              <w:rPr>
                <w:rFonts w:ascii="Arial" w:cs="Arial" w:eastAsia="Arial" w:hAnsi="Arial"/>
                <w:sz w:val="16"/>
                <w:szCs w:val="16"/>
                <w:color w:val="0000FF"/>
                <w:w w:val="94"/>
              </w:rPr>
            </w:pPr>
            <w:hyperlink r:id="rId220">
              <w:r>
                <w:rPr>
                  <w:rFonts w:ascii="Arial" w:cs="Arial" w:eastAsia="Arial" w:hAnsi="Arial"/>
                  <w:sz w:val="16"/>
                  <w:szCs w:val="16"/>
                  <w:color w:val="0000FF"/>
                  <w:w w:val="94"/>
                </w:rPr>
                <w:t>Restated Certificate of Incorporation of Sight Sciences, Inc.</w:t>
              </w:r>
            </w:hyperlink>
          </w:p>
        </w:tc>
        <w:tc>
          <w:tcPr>
            <w:tcW w:w="1500" w:type="dxa"/>
            <w:vAlign w:val="bottom"/>
          </w:tcPr>
          <w:p>
            <w:pPr>
              <w:ind w:left="200"/>
              <w:spacing w:after="0" w:line="181" w:lineRule="exact"/>
              <w:rPr>
                <w:sz w:val="20"/>
                <w:szCs w:val="20"/>
                <w:color w:val="auto"/>
              </w:rPr>
            </w:pPr>
            <w:r>
              <w:rPr>
                <w:rFonts w:ascii="Arial" w:cs="Arial" w:eastAsia="Arial" w:hAnsi="Arial"/>
                <w:sz w:val="16"/>
                <w:szCs w:val="16"/>
                <w:color w:val="auto"/>
              </w:rPr>
              <w:t>8-K</w:t>
            </w:r>
          </w:p>
        </w:tc>
        <w:tc>
          <w:tcPr>
            <w:tcW w:w="1120" w:type="dxa"/>
            <w:vAlign w:val="bottom"/>
          </w:tcPr>
          <w:p>
            <w:pPr>
              <w:ind w:left="160"/>
              <w:spacing w:after="0" w:line="181" w:lineRule="exact"/>
              <w:rPr>
                <w:sz w:val="20"/>
                <w:szCs w:val="20"/>
                <w:color w:val="auto"/>
              </w:rPr>
            </w:pPr>
            <w:r>
              <w:rPr>
                <w:rFonts w:ascii="Arial" w:cs="Arial" w:eastAsia="Arial" w:hAnsi="Arial"/>
                <w:sz w:val="16"/>
                <w:szCs w:val="16"/>
                <w:color w:val="auto"/>
              </w:rPr>
              <w:t>001-40587</w:t>
            </w:r>
          </w:p>
        </w:tc>
        <w:tc>
          <w:tcPr>
            <w:tcW w:w="960" w:type="dxa"/>
            <w:vAlign w:val="bottom"/>
          </w:tcPr>
          <w:p>
            <w:pPr>
              <w:ind w:left="260"/>
              <w:spacing w:after="0" w:line="181" w:lineRule="exact"/>
              <w:rPr>
                <w:sz w:val="20"/>
                <w:szCs w:val="20"/>
                <w:color w:val="auto"/>
              </w:rPr>
            </w:pPr>
            <w:r>
              <w:rPr>
                <w:rFonts w:ascii="Arial" w:cs="Arial" w:eastAsia="Arial" w:hAnsi="Arial"/>
                <w:sz w:val="16"/>
                <w:szCs w:val="16"/>
                <w:color w:val="auto"/>
              </w:rPr>
              <w:t>3.1</w:t>
            </w:r>
          </w:p>
        </w:tc>
        <w:tc>
          <w:tcPr>
            <w:tcW w:w="880" w:type="dxa"/>
            <w:vAlign w:val="bottom"/>
          </w:tcPr>
          <w:p>
            <w:pPr>
              <w:ind w:left="200"/>
              <w:spacing w:after="0" w:line="181" w:lineRule="exact"/>
              <w:rPr>
                <w:sz w:val="20"/>
                <w:szCs w:val="20"/>
                <w:color w:val="auto"/>
              </w:rPr>
            </w:pPr>
            <w:r>
              <w:rPr>
                <w:rFonts w:ascii="Arial" w:cs="Arial" w:eastAsia="Arial" w:hAnsi="Arial"/>
                <w:sz w:val="16"/>
                <w:szCs w:val="16"/>
                <w:color w:val="auto"/>
              </w:rPr>
              <w:t>7/19/21</w:t>
            </w:r>
          </w:p>
        </w:tc>
        <w:tc>
          <w:tcPr>
            <w:tcW w:w="13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3.2</w:t>
            </w:r>
          </w:p>
        </w:tc>
        <w:tc>
          <w:tcPr>
            <w:tcW w:w="3960" w:type="dxa"/>
            <w:vAlign w:val="bottom"/>
            <w:gridSpan w:val="11"/>
          </w:tcPr>
          <w:p>
            <w:pPr>
              <w:spacing w:after="0"/>
              <w:rPr>
                <w:rFonts w:ascii="Arial" w:cs="Arial" w:eastAsia="Arial" w:hAnsi="Arial"/>
                <w:sz w:val="16"/>
                <w:szCs w:val="16"/>
                <w:color w:val="0000FF"/>
              </w:rPr>
            </w:pPr>
            <w:hyperlink r:id="rId221">
              <w:r>
                <w:rPr>
                  <w:rFonts w:ascii="Arial" w:cs="Arial" w:eastAsia="Arial" w:hAnsi="Arial"/>
                  <w:sz w:val="16"/>
                  <w:szCs w:val="16"/>
                  <w:color w:val="0000FF"/>
                </w:rPr>
                <w:t>Amended and Restated Bylaws of Sight Sciences, Inc.</w:t>
              </w:r>
            </w:hyperlink>
          </w:p>
        </w:tc>
        <w:tc>
          <w:tcPr>
            <w:tcW w:w="1500" w:type="dxa"/>
            <w:vAlign w:val="bottom"/>
          </w:tcPr>
          <w:p>
            <w:pPr>
              <w:ind w:left="200"/>
              <w:spacing w:after="0"/>
              <w:rPr>
                <w:sz w:val="20"/>
                <w:szCs w:val="20"/>
                <w:color w:val="auto"/>
              </w:rPr>
            </w:pPr>
            <w:r>
              <w:rPr>
                <w:rFonts w:ascii="Arial" w:cs="Arial" w:eastAsia="Arial" w:hAnsi="Arial"/>
                <w:sz w:val="16"/>
                <w:szCs w:val="16"/>
                <w:color w:val="auto"/>
              </w:rPr>
              <w:t>8-K</w:t>
            </w:r>
          </w:p>
        </w:tc>
        <w:tc>
          <w:tcPr>
            <w:tcW w:w="1120" w:type="dxa"/>
            <w:vAlign w:val="bottom"/>
          </w:tcPr>
          <w:p>
            <w:pPr>
              <w:ind w:left="160"/>
              <w:spacing w:after="0"/>
              <w:rPr>
                <w:sz w:val="20"/>
                <w:szCs w:val="20"/>
                <w:color w:val="auto"/>
              </w:rPr>
            </w:pPr>
            <w:r>
              <w:rPr>
                <w:rFonts w:ascii="Arial" w:cs="Arial" w:eastAsia="Arial" w:hAnsi="Arial"/>
                <w:sz w:val="16"/>
                <w:szCs w:val="16"/>
                <w:color w:val="auto"/>
              </w:rPr>
              <w:t>001-40587</w:t>
            </w:r>
          </w:p>
        </w:tc>
        <w:tc>
          <w:tcPr>
            <w:tcW w:w="960" w:type="dxa"/>
            <w:vAlign w:val="bottom"/>
          </w:tcPr>
          <w:p>
            <w:pPr>
              <w:ind w:left="260"/>
              <w:spacing w:after="0"/>
              <w:rPr>
                <w:sz w:val="20"/>
                <w:szCs w:val="20"/>
                <w:color w:val="auto"/>
              </w:rPr>
            </w:pPr>
            <w:r>
              <w:rPr>
                <w:rFonts w:ascii="Arial" w:cs="Arial" w:eastAsia="Arial" w:hAnsi="Arial"/>
                <w:sz w:val="16"/>
                <w:szCs w:val="16"/>
                <w:color w:val="auto"/>
              </w:rPr>
              <w:t>3.2</w:t>
            </w:r>
          </w:p>
        </w:tc>
        <w:tc>
          <w:tcPr>
            <w:tcW w:w="880" w:type="dxa"/>
            <w:vAlign w:val="bottom"/>
          </w:tcPr>
          <w:p>
            <w:pPr>
              <w:ind w:left="200"/>
              <w:spacing w:after="0"/>
              <w:rPr>
                <w:sz w:val="20"/>
                <w:szCs w:val="20"/>
                <w:color w:val="auto"/>
              </w:rPr>
            </w:pPr>
            <w:r>
              <w:rPr>
                <w:rFonts w:ascii="Arial" w:cs="Arial" w:eastAsia="Arial" w:hAnsi="Arial"/>
                <w:sz w:val="16"/>
                <w:szCs w:val="16"/>
                <w:color w:val="auto"/>
              </w:rPr>
              <w:t>7/19/21</w:t>
            </w:r>
          </w:p>
        </w:tc>
        <w:tc>
          <w:tcPr>
            <w:tcW w:w="13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10.1#</w:t>
            </w:r>
          </w:p>
        </w:tc>
        <w:tc>
          <w:tcPr>
            <w:tcW w:w="3960" w:type="dxa"/>
            <w:vAlign w:val="bottom"/>
            <w:gridSpan w:val="11"/>
          </w:tcPr>
          <w:p>
            <w:pPr>
              <w:spacing w:after="0"/>
              <w:rPr>
                <w:rFonts w:ascii="Arial" w:cs="Arial" w:eastAsia="Arial" w:hAnsi="Arial"/>
                <w:sz w:val="16"/>
                <w:szCs w:val="16"/>
                <w:color w:val="0000FF"/>
                <w:w w:val="95"/>
              </w:rPr>
            </w:pPr>
            <w:hyperlink r:id="rId222">
              <w:r>
                <w:rPr>
                  <w:rFonts w:ascii="Arial" w:cs="Arial" w:eastAsia="Arial" w:hAnsi="Arial"/>
                  <w:sz w:val="16"/>
                  <w:szCs w:val="16"/>
                  <w:color w:val="0000FF"/>
                  <w:w w:val="95"/>
                </w:rPr>
                <w:t>Employment Agreement between Sight Sciences, Inc. and</w:t>
              </w:r>
            </w:hyperlink>
          </w:p>
        </w:tc>
        <w:tc>
          <w:tcPr>
            <w:tcW w:w="1500" w:type="dxa"/>
            <w:vAlign w:val="bottom"/>
          </w:tcPr>
          <w:p>
            <w:pPr>
              <w:ind w:left="200"/>
              <w:spacing w:after="0"/>
              <w:rPr>
                <w:sz w:val="20"/>
                <w:szCs w:val="20"/>
                <w:color w:val="auto"/>
              </w:rPr>
            </w:pPr>
            <w:r>
              <w:rPr>
                <w:rFonts w:ascii="Arial" w:cs="Arial" w:eastAsia="Arial" w:hAnsi="Arial"/>
                <w:sz w:val="16"/>
                <w:szCs w:val="16"/>
                <w:color w:val="auto"/>
              </w:rPr>
              <w:t>10-Q</w:t>
            </w:r>
          </w:p>
        </w:tc>
        <w:tc>
          <w:tcPr>
            <w:tcW w:w="1120" w:type="dxa"/>
            <w:vAlign w:val="bottom"/>
          </w:tcPr>
          <w:p>
            <w:pPr>
              <w:ind w:left="160"/>
              <w:spacing w:after="0"/>
              <w:rPr>
                <w:sz w:val="20"/>
                <w:szCs w:val="20"/>
                <w:color w:val="auto"/>
              </w:rPr>
            </w:pPr>
            <w:r>
              <w:rPr>
                <w:rFonts w:ascii="Arial" w:cs="Arial" w:eastAsia="Arial" w:hAnsi="Arial"/>
                <w:sz w:val="16"/>
                <w:szCs w:val="16"/>
                <w:color w:val="auto"/>
              </w:rPr>
              <w:t>001-40587</w:t>
            </w:r>
          </w:p>
        </w:tc>
        <w:tc>
          <w:tcPr>
            <w:tcW w:w="960" w:type="dxa"/>
            <w:vAlign w:val="bottom"/>
          </w:tcPr>
          <w:p>
            <w:pPr>
              <w:ind w:left="260"/>
              <w:spacing w:after="0"/>
              <w:rPr>
                <w:sz w:val="20"/>
                <w:szCs w:val="20"/>
                <w:color w:val="auto"/>
              </w:rPr>
            </w:pPr>
            <w:r>
              <w:rPr>
                <w:rFonts w:ascii="Arial" w:cs="Arial" w:eastAsia="Arial" w:hAnsi="Arial"/>
                <w:sz w:val="16"/>
                <w:szCs w:val="16"/>
                <w:color w:val="auto"/>
              </w:rPr>
              <w:t>10.1</w:t>
            </w:r>
          </w:p>
        </w:tc>
        <w:tc>
          <w:tcPr>
            <w:tcW w:w="880" w:type="dxa"/>
            <w:vAlign w:val="bottom"/>
          </w:tcPr>
          <w:p>
            <w:pPr>
              <w:ind w:left="200"/>
              <w:spacing w:after="0"/>
              <w:rPr>
                <w:sz w:val="20"/>
                <w:szCs w:val="20"/>
                <w:color w:val="auto"/>
              </w:rPr>
            </w:pPr>
            <w:r>
              <w:rPr>
                <w:rFonts w:ascii="Arial" w:cs="Arial" w:eastAsia="Arial" w:hAnsi="Arial"/>
                <w:sz w:val="16"/>
                <w:szCs w:val="16"/>
                <w:color w:val="auto"/>
              </w:rPr>
              <w:t>5/8/23</w:t>
            </w:r>
          </w:p>
        </w:tc>
        <w:tc>
          <w:tcPr>
            <w:tcW w:w="13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3960" w:type="dxa"/>
            <w:vAlign w:val="bottom"/>
            <w:gridSpan w:val="11"/>
          </w:tcPr>
          <w:p>
            <w:pPr>
              <w:spacing w:after="0" w:line="183" w:lineRule="exact"/>
              <w:rPr>
                <w:rFonts w:ascii="Arial" w:cs="Arial" w:eastAsia="Arial" w:hAnsi="Arial"/>
                <w:sz w:val="16"/>
                <w:szCs w:val="16"/>
                <w:color w:val="0000FF"/>
              </w:rPr>
            </w:pPr>
            <w:hyperlink r:id="rId222">
              <w:r>
                <w:rPr>
                  <w:rFonts w:ascii="Arial" w:cs="Arial" w:eastAsia="Arial" w:hAnsi="Arial"/>
                  <w:sz w:val="16"/>
                  <w:szCs w:val="16"/>
                  <w:color w:val="0000FF"/>
                </w:rPr>
                <w:t>Alison Bauerlein, dated April 3, 2023</w:t>
              </w:r>
            </w:hyperlink>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10.2#</w:t>
            </w:r>
          </w:p>
        </w:tc>
        <w:tc>
          <w:tcPr>
            <w:tcW w:w="3960" w:type="dxa"/>
            <w:vAlign w:val="bottom"/>
            <w:gridSpan w:val="11"/>
          </w:tcPr>
          <w:p>
            <w:pPr>
              <w:spacing w:after="0"/>
              <w:rPr>
                <w:sz w:val="20"/>
                <w:szCs w:val="20"/>
                <w:color w:val="auto"/>
              </w:rPr>
            </w:pPr>
            <w:r>
              <w:rPr>
                <w:rFonts w:ascii="Arial" w:cs="Arial" w:eastAsia="Arial" w:hAnsi="Arial"/>
                <w:sz w:val="16"/>
                <w:szCs w:val="16"/>
                <w:color w:val="0000FF"/>
                <w:w w:val="95"/>
              </w:rPr>
              <w:t>Employment Agreement between Sight Sciences, Inc. and</w:t>
            </w: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
        </w:trPr>
        <w:tc>
          <w:tcPr>
            <w:tcW w:w="10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3960" w:type="dxa"/>
            <w:vAlign w:val="bottom"/>
            <w:gridSpan w:val="11"/>
          </w:tcPr>
          <w:p>
            <w:pPr>
              <w:spacing w:after="0" w:line="183" w:lineRule="exact"/>
              <w:rPr>
                <w:sz w:val="20"/>
                <w:szCs w:val="20"/>
                <w:color w:val="auto"/>
              </w:rPr>
            </w:pPr>
            <w:r>
              <w:rPr>
                <w:rFonts w:ascii="Arial" w:cs="Arial" w:eastAsia="Arial" w:hAnsi="Arial"/>
                <w:sz w:val="16"/>
                <w:szCs w:val="16"/>
                <w:color w:val="0000FF"/>
              </w:rPr>
              <w:t>Matthew Link, dated September 11, 2023</w:t>
            </w: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10.3</w:t>
            </w:r>
          </w:p>
        </w:tc>
        <w:tc>
          <w:tcPr>
            <w:tcW w:w="3960" w:type="dxa"/>
            <w:vAlign w:val="bottom"/>
            <w:gridSpan w:val="11"/>
          </w:tcPr>
          <w:p>
            <w:pPr>
              <w:spacing w:after="0"/>
              <w:rPr>
                <w:sz w:val="20"/>
                <w:szCs w:val="20"/>
                <w:color w:val="auto"/>
              </w:rPr>
            </w:pPr>
            <w:r>
              <w:rPr>
                <w:rFonts w:ascii="Arial" w:cs="Arial" w:eastAsia="Arial" w:hAnsi="Arial"/>
                <w:sz w:val="16"/>
                <w:szCs w:val="16"/>
                <w:color w:val="0000FF"/>
                <w:w w:val="91"/>
              </w:rPr>
              <w:t>Fourth Amendment to the Amended and Restated Credit and</w:t>
            </w: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3960" w:type="dxa"/>
            <w:vAlign w:val="bottom"/>
            <w:gridSpan w:val="11"/>
          </w:tcPr>
          <w:p>
            <w:pPr>
              <w:spacing w:after="0" w:line="183" w:lineRule="exact"/>
              <w:rPr>
                <w:sz w:val="20"/>
                <w:szCs w:val="20"/>
                <w:color w:val="auto"/>
              </w:rPr>
            </w:pPr>
            <w:r>
              <w:rPr>
                <w:rFonts w:ascii="Arial" w:cs="Arial" w:eastAsia="Arial" w:hAnsi="Arial"/>
                <w:sz w:val="16"/>
                <w:szCs w:val="16"/>
                <w:color w:val="0000FF"/>
                <w:w w:val="95"/>
              </w:rPr>
              <w:t>Security Agreement (Term Loan) between Sight Sciences,</w:t>
            </w: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3960" w:type="dxa"/>
            <w:vAlign w:val="bottom"/>
            <w:gridSpan w:val="11"/>
          </w:tcPr>
          <w:p>
            <w:pPr>
              <w:spacing w:after="0" w:line="183" w:lineRule="exact"/>
              <w:rPr>
                <w:sz w:val="20"/>
                <w:szCs w:val="20"/>
                <w:color w:val="auto"/>
              </w:rPr>
            </w:pPr>
            <w:r>
              <w:rPr>
                <w:rFonts w:ascii="Arial" w:cs="Arial" w:eastAsia="Arial" w:hAnsi="Arial"/>
                <w:sz w:val="16"/>
                <w:szCs w:val="16"/>
                <w:color w:val="0000FF"/>
                <w:w w:val="96"/>
              </w:rPr>
              <w:t>Inc. and Midcap Financial Trust, dated November 6, 2023</w:t>
            </w: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31.1</w:t>
            </w:r>
          </w:p>
        </w:tc>
        <w:tc>
          <w:tcPr>
            <w:tcW w:w="3960" w:type="dxa"/>
            <w:vAlign w:val="bottom"/>
            <w:gridSpan w:val="11"/>
          </w:tcPr>
          <w:p>
            <w:pPr>
              <w:spacing w:after="0"/>
              <w:rPr>
                <w:sz w:val="20"/>
                <w:szCs w:val="20"/>
                <w:color w:val="auto"/>
              </w:rPr>
            </w:pPr>
            <w:r>
              <w:rPr>
                <w:rFonts w:ascii="Arial" w:cs="Arial" w:eastAsia="Arial" w:hAnsi="Arial"/>
                <w:sz w:val="16"/>
                <w:szCs w:val="16"/>
                <w:color w:val="0000FF"/>
              </w:rPr>
              <w:t>Certification of the Chief Executive Officer pursuant to</w:t>
            </w: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
        </w:trPr>
        <w:tc>
          <w:tcPr>
            <w:tcW w:w="10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3960" w:type="dxa"/>
            <w:vAlign w:val="bottom"/>
            <w:gridSpan w:val="11"/>
          </w:tcPr>
          <w:p>
            <w:pPr>
              <w:spacing w:after="0" w:line="183" w:lineRule="exact"/>
              <w:rPr>
                <w:sz w:val="20"/>
                <w:szCs w:val="20"/>
                <w:color w:val="auto"/>
              </w:rPr>
            </w:pPr>
            <w:r>
              <w:rPr>
                <w:rFonts w:ascii="Arial" w:cs="Arial" w:eastAsia="Arial" w:hAnsi="Arial"/>
                <w:sz w:val="16"/>
                <w:szCs w:val="16"/>
                <w:color w:val="0000FF"/>
              </w:rPr>
              <w:t>Section 906 of the Sarbanes-Oxley Act</w:t>
            </w: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31.2</w:t>
            </w:r>
          </w:p>
        </w:tc>
        <w:tc>
          <w:tcPr>
            <w:tcW w:w="3960" w:type="dxa"/>
            <w:vAlign w:val="bottom"/>
            <w:gridSpan w:val="11"/>
          </w:tcPr>
          <w:p>
            <w:pPr>
              <w:spacing w:after="0"/>
              <w:rPr>
                <w:sz w:val="20"/>
                <w:szCs w:val="20"/>
                <w:color w:val="auto"/>
              </w:rPr>
            </w:pPr>
            <w:r>
              <w:rPr>
                <w:rFonts w:ascii="Arial" w:cs="Arial" w:eastAsia="Arial" w:hAnsi="Arial"/>
                <w:sz w:val="16"/>
                <w:szCs w:val="16"/>
                <w:color w:val="0000FF"/>
              </w:rPr>
              <w:t>Certification of the Chief Financial Officer pursuant to</w:t>
            </w: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
        </w:trPr>
        <w:tc>
          <w:tcPr>
            <w:tcW w:w="10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3960" w:type="dxa"/>
            <w:vAlign w:val="bottom"/>
            <w:gridSpan w:val="11"/>
          </w:tcPr>
          <w:p>
            <w:pPr>
              <w:spacing w:after="0" w:line="183" w:lineRule="exact"/>
              <w:rPr>
                <w:sz w:val="20"/>
                <w:szCs w:val="20"/>
                <w:color w:val="auto"/>
              </w:rPr>
            </w:pPr>
            <w:r>
              <w:rPr>
                <w:rFonts w:ascii="Arial" w:cs="Arial" w:eastAsia="Arial" w:hAnsi="Arial"/>
                <w:sz w:val="16"/>
                <w:szCs w:val="16"/>
                <w:color w:val="0000FF"/>
              </w:rPr>
              <w:t>Section 906 of the Sarbanes-Oxley Act</w:t>
            </w: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32.1</w:t>
            </w:r>
          </w:p>
        </w:tc>
        <w:tc>
          <w:tcPr>
            <w:tcW w:w="3960" w:type="dxa"/>
            <w:vAlign w:val="bottom"/>
            <w:gridSpan w:val="11"/>
          </w:tcPr>
          <w:p>
            <w:pPr>
              <w:spacing w:after="0"/>
              <w:rPr>
                <w:sz w:val="20"/>
                <w:szCs w:val="20"/>
                <w:color w:val="auto"/>
              </w:rPr>
            </w:pPr>
            <w:r>
              <w:rPr>
                <w:rFonts w:ascii="Arial" w:cs="Arial" w:eastAsia="Arial" w:hAnsi="Arial"/>
                <w:sz w:val="16"/>
                <w:szCs w:val="16"/>
                <w:color w:val="0000FF"/>
                <w:w w:val="97"/>
              </w:rPr>
              <w:t>Certification of the Chief Executive Officer pursuant to 18</w:t>
            </w: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
        </w:trPr>
        <w:tc>
          <w:tcPr>
            <w:tcW w:w="10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3960" w:type="dxa"/>
            <w:vAlign w:val="bottom"/>
            <w:gridSpan w:val="11"/>
          </w:tcPr>
          <w:p>
            <w:pPr>
              <w:spacing w:after="0" w:line="183" w:lineRule="exact"/>
              <w:rPr>
                <w:sz w:val="20"/>
                <w:szCs w:val="20"/>
                <w:color w:val="auto"/>
              </w:rPr>
            </w:pPr>
            <w:r>
              <w:rPr>
                <w:rFonts w:ascii="Arial" w:cs="Arial" w:eastAsia="Arial" w:hAnsi="Arial"/>
                <w:sz w:val="16"/>
                <w:szCs w:val="16"/>
                <w:color w:val="0000FF"/>
                <w:w w:val="93"/>
              </w:rPr>
              <w:t>U.S.C Section 1350, as adopted pursuant to Section 906 of</w:t>
            </w: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3960" w:type="dxa"/>
            <w:vAlign w:val="bottom"/>
            <w:gridSpan w:val="11"/>
          </w:tcPr>
          <w:p>
            <w:pPr>
              <w:spacing w:after="0" w:line="183" w:lineRule="exact"/>
              <w:rPr>
                <w:sz w:val="20"/>
                <w:szCs w:val="20"/>
                <w:color w:val="auto"/>
              </w:rPr>
            </w:pPr>
            <w:r>
              <w:rPr>
                <w:rFonts w:ascii="Arial" w:cs="Arial" w:eastAsia="Arial" w:hAnsi="Arial"/>
                <w:sz w:val="16"/>
                <w:szCs w:val="16"/>
                <w:color w:val="0000FF"/>
              </w:rPr>
              <w:t>the Sarbanes-Oxley Act of 2002</w:t>
            </w: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32.2</w:t>
            </w:r>
          </w:p>
        </w:tc>
        <w:tc>
          <w:tcPr>
            <w:tcW w:w="3960" w:type="dxa"/>
            <w:vAlign w:val="bottom"/>
            <w:gridSpan w:val="11"/>
          </w:tcPr>
          <w:p>
            <w:pPr>
              <w:spacing w:after="0"/>
              <w:rPr>
                <w:sz w:val="20"/>
                <w:szCs w:val="20"/>
                <w:color w:val="auto"/>
              </w:rPr>
            </w:pPr>
            <w:r>
              <w:rPr>
                <w:rFonts w:ascii="Arial" w:cs="Arial" w:eastAsia="Arial" w:hAnsi="Arial"/>
                <w:sz w:val="16"/>
                <w:szCs w:val="16"/>
                <w:color w:val="0000FF"/>
                <w:w w:val="99"/>
              </w:rPr>
              <w:t>Certification of the Chief Financial Officer pursuant to 18</w:t>
            </w: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
        </w:trPr>
        <w:tc>
          <w:tcPr>
            <w:tcW w:w="1040" w:type="dxa"/>
            <w:vAlign w:val="bottom"/>
          </w:tcPr>
          <w:p>
            <w:pPr>
              <w:spacing w:after="0" w:line="20" w:lineRule="exact"/>
              <w:rPr>
                <w:sz w:val="1"/>
                <w:szCs w:val="1"/>
                <w:color w:val="auto"/>
              </w:rPr>
            </w:pPr>
          </w:p>
        </w:tc>
        <w:tc>
          <w:tcPr>
            <w:tcW w:w="3780" w:type="dxa"/>
            <w:vAlign w:val="bottom"/>
            <w:gridSpan w:val="8"/>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3960" w:type="dxa"/>
            <w:vAlign w:val="bottom"/>
            <w:gridSpan w:val="11"/>
          </w:tcPr>
          <w:p>
            <w:pPr>
              <w:spacing w:after="0" w:line="183" w:lineRule="exact"/>
              <w:rPr>
                <w:sz w:val="20"/>
                <w:szCs w:val="20"/>
                <w:color w:val="auto"/>
              </w:rPr>
            </w:pPr>
            <w:r>
              <w:rPr>
                <w:rFonts w:ascii="Arial" w:cs="Arial" w:eastAsia="Arial" w:hAnsi="Arial"/>
                <w:sz w:val="16"/>
                <w:szCs w:val="16"/>
                <w:color w:val="0000FF"/>
                <w:w w:val="92"/>
              </w:rPr>
              <w:t>U.S.C. Section 1350, as adopted pursuant to Section 906 of</w:t>
            </w: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3880" w:type="dxa"/>
            <w:vAlign w:val="bottom"/>
            <w:gridSpan w:val="10"/>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3960" w:type="dxa"/>
            <w:vAlign w:val="bottom"/>
            <w:gridSpan w:val="11"/>
          </w:tcPr>
          <w:p>
            <w:pPr>
              <w:spacing w:after="0" w:line="183" w:lineRule="exact"/>
              <w:rPr>
                <w:sz w:val="20"/>
                <w:szCs w:val="20"/>
                <w:color w:val="auto"/>
              </w:rPr>
            </w:pPr>
            <w:r>
              <w:rPr>
                <w:rFonts w:ascii="Arial" w:cs="Arial" w:eastAsia="Arial" w:hAnsi="Arial"/>
                <w:sz w:val="16"/>
                <w:szCs w:val="16"/>
                <w:color w:val="0000FF"/>
              </w:rPr>
              <w:t>the Sarbanes-Oxley Act of 2002</w:t>
            </w: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1"/>
        </w:trPr>
        <w:tc>
          <w:tcPr>
            <w:tcW w:w="1040" w:type="dxa"/>
            <w:vAlign w:val="bottom"/>
          </w:tcPr>
          <w:p>
            <w:pPr>
              <w:spacing w:after="0"/>
              <w:rPr>
                <w:sz w:val="20"/>
                <w:szCs w:val="20"/>
                <w:color w:val="auto"/>
              </w:rPr>
            </w:pPr>
            <w:r>
              <w:rPr>
                <w:rFonts w:ascii="Arial" w:cs="Arial" w:eastAsia="Arial" w:hAnsi="Arial"/>
                <w:sz w:val="16"/>
                <w:szCs w:val="16"/>
                <w:color w:val="auto"/>
              </w:rPr>
              <w:t>101.INS</w:t>
            </w:r>
          </w:p>
        </w:tc>
        <w:tc>
          <w:tcPr>
            <w:tcW w:w="3960" w:type="dxa"/>
            <w:vAlign w:val="bottom"/>
            <w:gridSpan w:val="11"/>
          </w:tcPr>
          <w:p>
            <w:pPr>
              <w:spacing w:after="0"/>
              <w:rPr>
                <w:sz w:val="20"/>
                <w:szCs w:val="20"/>
                <w:color w:val="auto"/>
              </w:rPr>
            </w:pPr>
            <w:r>
              <w:rPr>
                <w:rFonts w:ascii="Arial" w:cs="Arial" w:eastAsia="Arial" w:hAnsi="Arial"/>
                <w:sz w:val="16"/>
                <w:szCs w:val="16"/>
                <w:color w:val="auto"/>
              </w:rPr>
              <w:t>Inline XBRL Instance Document</w:t>
            </w:r>
          </w:p>
        </w:tc>
        <w:tc>
          <w:tcPr>
            <w:tcW w:w="1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16"/>
        </w:trPr>
        <w:tc>
          <w:tcPr>
            <w:tcW w:w="1040" w:type="dxa"/>
            <w:vAlign w:val="bottom"/>
          </w:tcPr>
          <w:p>
            <w:pPr>
              <w:spacing w:after="0"/>
              <w:rPr>
                <w:sz w:val="20"/>
                <w:szCs w:val="20"/>
                <w:color w:val="auto"/>
              </w:rPr>
            </w:pPr>
            <w:r>
              <w:rPr>
                <w:rFonts w:ascii="Arial" w:cs="Arial" w:eastAsia="Arial" w:hAnsi="Arial"/>
                <w:sz w:val="16"/>
                <w:szCs w:val="16"/>
                <w:color w:val="auto"/>
              </w:rPr>
              <w:t>101.SCH</w:t>
            </w:r>
          </w:p>
        </w:tc>
        <w:tc>
          <w:tcPr>
            <w:tcW w:w="396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12"/>
        </w:trPr>
        <w:tc>
          <w:tcPr>
            <w:tcW w:w="1040" w:type="dxa"/>
            <w:vAlign w:val="bottom"/>
          </w:tcPr>
          <w:p>
            <w:pPr>
              <w:spacing w:after="0"/>
              <w:rPr>
                <w:sz w:val="20"/>
                <w:szCs w:val="20"/>
                <w:color w:val="auto"/>
              </w:rPr>
            </w:pPr>
            <w:r>
              <w:rPr>
                <w:rFonts w:ascii="Arial" w:cs="Arial" w:eastAsia="Arial" w:hAnsi="Arial"/>
                <w:sz w:val="16"/>
                <w:szCs w:val="16"/>
                <w:color w:val="auto"/>
              </w:rPr>
              <w:t>101.CAL</w:t>
            </w:r>
          </w:p>
        </w:tc>
        <w:tc>
          <w:tcPr>
            <w:tcW w:w="3960" w:type="dxa"/>
            <w:vAlign w:val="bottom"/>
            <w:gridSpan w:val="11"/>
          </w:tcPr>
          <w:p>
            <w:pPr>
              <w:spacing w:after="0"/>
              <w:rPr>
                <w:sz w:val="20"/>
                <w:szCs w:val="20"/>
                <w:color w:val="auto"/>
              </w:rPr>
            </w:pPr>
            <w:r>
              <w:rPr>
                <w:rFonts w:ascii="Arial" w:cs="Arial" w:eastAsia="Arial" w:hAnsi="Arial"/>
                <w:sz w:val="16"/>
                <w:szCs w:val="16"/>
                <w:color w:val="auto"/>
              </w:rPr>
              <w:t>Inline XBRL Taxonomy Extension Calculation Linkbase</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6"/>
        </w:trPr>
        <w:tc>
          <w:tcPr>
            <w:tcW w:w="1040" w:type="dxa"/>
            <w:vAlign w:val="bottom"/>
          </w:tcPr>
          <w:p>
            <w:pPr>
              <w:spacing w:after="0"/>
              <w:rPr>
                <w:sz w:val="17"/>
                <w:szCs w:val="17"/>
                <w:color w:val="auto"/>
              </w:rPr>
            </w:pPr>
          </w:p>
        </w:tc>
        <w:tc>
          <w:tcPr>
            <w:tcW w:w="396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2"/>
        </w:trPr>
        <w:tc>
          <w:tcPr>
            <w:tcW w:w="1040" w:type="dxa"/>
            <w:vAlign w:val="bottom"/>
          </w:tcPr>
          <w:p>
            <w:pPr>
              <w:spacing w:after="0"/>
              <w:rPr>
                <w:sz w:val="20"/>
                <w:szCs w:val="20"/>
                <w:color w:val="auto"/>
              </w:rPr>
            </w:pPr>
            <w:r>
              <w:rPr>
                <w:rFonts w:ascii="Arial" w:cs="Arial" w:eastAsia="Arial" w:hAnsi="Arial"/>
                <w:sz w:val="16"/>
                <w:szCs w:val="16"/>
                <w:color w:val="auto"/>
              </w:rPr>
              <w:t>101.DEF</w:t>
            </w:r>
          </w:p>
        </w:tc>
        <w:tc>
          <w:tcPr>
            <w:tcW w:w="396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6"/>
        </w:trPr>
        <w:tc>
          <w:tcPr>
            <w:tcW w:w="1040" w:type="dxa"/>
            <w:vAlign w:val="bottom"/>
          </w:tcPr>
          <w:p>
            <w:pPr>
              <w:spacing w:after="0"/>
              <w:rPr>
                <w:sz w:val="17"/>
                <w:szCs w:val="17"/>
                <w:color w:val="auto"/>
              </w:rPr>
            </w:pPr>
          </w:p>
        </w:tc>
        <w:tc>
          <w:tcPr>
            <w:tcW w:w="396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2"/>
        </w:trPr>
        <w:tc>
          <w:tcPr>
            <w:tcW w:w="1040" w:type="dxa"/>
            <w:vAlign w:val="bottom"/>
          </w:tcPr>
          <w:p>
            <w:pPr>
              <w:spacing w:after="0"/>
              <w:rPr>
                <w:sz w:val="20"/>
                <w:szCs w:val="20"/>
                <w:color w:val="auto"/>
              </w:rPr>
            </w:pPr>
            <w:r>
              <w:rPr>
                <w:rFonts w:ascii="Arial" w:cs="Arial" w:eastAsia="Arial" w:hAnsi="Arial"/>
                <w:sz w:val="16"/>
                <w:szCs w:val="16"/>
                <w:color w:val="auto"/>
              </w:rPr>
              <w:t>101.LAB</w:t>
            </w:r>
          </w:p>
        </w:tc>
        <w:tc>
          <w:tcPr>
            <w:tcW w:w="396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 Linkbase</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6"/>
        </w:trPr>
        <w:tc>
          <w:tcPr>
            <w:tcW w:w="1040" w:type="dxa"/>
            <w:vAlign w:val="bottom"/>
          </w:tcPr>
          <w:p>
            <w:pPr>
              <w:spacing w:after="0"/>
              <w:rPr>
                <w:sz w:val="17"/>
                <w:szCs w:val="17"/>
                <w:color w:val="auto"/>
              </w:rPr>
            </w:pPr>
          </w:p>
        </w:tc>
        <w:tc>
          <w:tcPr>
            <w:tcW w:w="396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2"/>
        </w:trPr>
        <w:tc>
          <w:tcPr>
            <w:tcW w:w="1040" w:type="dxa"/>
            <w:vAlign w:val="bottom"/>
          </w:tcPr>
          <w:p>
            <w:pPr>
              <w:spacing w:after="0"/>
              <w:rPr>
                <w:sz w:val="20"/>
                <w:szCs w:val="20"/>
                <w:color w:val="auto"/>
              </w:rPr>
            </w:pPr>
            <w:r>
              <w:rPr>
                <w:rFonts w:ascii="Arial" w:cs="Arial" w:eastAsia="Arial" w:hAnsi="Arial"/>
                <w:sz w:val="16"/>
                <w:szCs w:val="16"/>
                <w:color w:val="auto"/>
              </w:rPr>
              <w:t>101.PRE</w:t>
            </w:r>
          </w:p>
        </w:tc>
        <w:tc>
          <w:tcPr>
            <w:tcW w:w="3960" w:type="dxa"/>
            <w:vAlign w:val="bottom"/>
            <w:gridSpan w:val="11"/>
          </w:tcPr>
          <w:p>
            <w:pPr>
              <w:spacing w:after="0"/>
              <w:rPr>
                <w:sz w:val="20"/>
                <w:szCs w:val="20"/>
                <w:color w:val="auto"/>
              </w:rPr>
            </w:pPr>
            <w:r>
              <w:rPr>
                <w:rFonts w:ascii="Arial" w:cs="Arial" w:eastAsia="Arial" w:hAnsi="Arial"/>
                <w:sz w:val="16"/>
                <w:szCs w:val="16"/>
                <w:color w:val="auto"/>
                <w:w w:val="98"/>
              </w:rPr>
              <w:t>Inline XBRL Taxonomy Extension Presentation Linkbase</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6"/>
        </w:trPr>
        <w:tc>
          <w:tcPr>
            <w:tcW w:w="1040" w:type="dxa"/>
            <w:vAlign w:val="bottom"/>
          </w:tcPr>
          <w:p>
            <w:pPr>
              <w:spacing w:after="0"/>
              <w:rPr>
                <w:sz w:val="17"/>
                <w:szCs w:val="17"/>
                <w:color w:val="auto"/>
              </w:rPr>
            </w:pPr>
          </w:p>
        </w:tc>
        <w:tc>
          <w:tcPr>
            <w:tcW w:w="396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2"/>
        </w:trPr>
        <w:tc>
          <w:tcPr>
            <w:tcW w:w="1040" w:type="dxa"/>
            <w:vAlign w:val="bottom"/>
          </w:tcPr>
          <w:p>
            <w:pPr>
              <w:spacing w:after="0"/>
              <w:rPr>
                <w:sz w:val="20"/>
                <w:szCs w:val="20"/>
                <w:color w:val="auto"/>
              </w:rPr>
            </w:pPr>
            <w:r>
              <w:rPr>
                <w:rFonts w:ascii="Arial" w:cs="Arial" w:eastAsia="Arial" w:hAnsi="Arial"/>
                <w:sz w:val="16"/>
                <w:szCs w:val="16"/>
                <w:color w:val="auto"/>
              </w:rPr>
              <w:t>104</w:t>
            </w:r>
          </w:p>
        </w:tc>
        <w:tc>
          <w:tcPr>
            <w:tcW w:w="3960" w:type="dxa"/>
            <w:vAlign w:val="bottom"/>
            <w:gridSpan w:val="11"/>
          </w:tcPr>
          <w:p>
            <w:pPr>
              <w:spacing w:after="0"/>
              <w:rPr>
                <w:sz w:val="20"/>
                <w:szCs w:val="20"/>
                <w:color w:val="auto"/>
              </w:rPr>
            </w:pPr>
            <w:r>
              <w:rPr>
                <w:rFonts w:ascii="Arial" w:cs="Arial" w:eastAsia="Arial" w:hAnsi="Arial"/>
                <w:sz w:val="16"/>
                <w:szCs w:val="16"/>
                <w:color w:val="auto"/>
                <w:w w:val="94"/>
              </w:rPr>
              <w:t>Cover Page Interactive Data File (formatted as Inline XBRL</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6"/>
        </w:trPr>
        <w:tc>
          <w:tcPr>
            <w:tcW w:w="1040" w:type="dxa"/>
            <w:vAlign w:val="bottom"/>
          </w:tcPr>
          <w:p>
            <w:pPr>
              <w:spacing w:after="0"/>
              <w:rPr>
                <w:sz w:val="17"/>
                <w:szCs w:val="17"/>
                <w:color w:val="auto"/>
              </w:rPr>
            </w:pPr>
          </w:p>
        </w:tc>
        <w:tc>
          <w:tcPr>
            <w:tcW w:w="3960" w:type="dxa"/>
            <w:vAlign w:val="bottom"/>
            <w:gridSpan w:val="11"/>
          </w:tcPr>
          <w:p>
            <w:pPr>
              <w:spacing w:after="0"/>
              <w:rPr>
                <w:sz w:val="20"/>
                <w:szCs w:val="20"/>
                <w:color w:val="auto"/>
              </w:rPr>
            </w:pPr>
            <w:r>
              <w:rPr>
                <w:rFonts w:ascii="Arial" w:cs="Arial" w:eastAsia="Arial" w:hAnsi="Arial"/>
                <w:sz w:val="16"/>
                <w:szCs w:val="16"/>
                <w:color w:val="auto"/>
              </w:rPr>
              <w:t>and contained in Exhibit 101)</w:t>
            </w: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12" w:lineRule="exact"/>
        <w:rPr>
          <w:sz w:val="20"/>
          <w:szCs w:val="20"/>
          <w:color w:val="auto"/>
        </w:rPr>
      </w:pPr>
    </w:p>
    <w:p>
      <w:pPr>
        <w:ind w:left="620" w:hanging="612"/>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2" w:lineRule="exact"/>
        <w:rPr>
          <w:sz w:val="20"/>
          <w:szCs w:val="20"/>
          <w:color w:val="auto"/>
        </w:rPr>
      </w:pPr>
    </w:p>
    <w:p>
      <w:pPr>
        <w:ind w:left="620" w:hanging="612"/>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19"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Indicates a management or compensatory plan</w:t>
      </w:r>
    </w:p>
    <w:p>
      <w:pPr>
        <w:spacing w:after="0" w:line="22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37" w:right="77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700" w:type="dxa"/>
            <w:vAlign w:val="bottom"/>
            <w:gridSpan w:val="2"/>
          </w:tcPr>
          <w:p>
            <w:pPr>
              <w:ind w:left="2680"/>
              <w:spacing w:after="0"/>
              <w:rPr>
                <w:sz w:val="20"/>
                <w:szCs w:val="20"/>
                <w:color w:val="auto"/>
              </w:rPr>
            </w:pPr>
            <w:r>
              <w:rPr>
                <w:rFonts w:ascii="Arial" w:cs="Arial" w:eastAsia="Arial" w:hAnsi="Arial"/>
                <w:sz w:val="18"/>
                <w:szCs w:val="18"/>
                <w:color w:val="auto"/>
              </w:rPr>
              <w:t>SIGHT SCIENCES, INC</w:t>
            </w:r>
          </w:p>
        </w:tc>
        <w:tc>
          <w:tcPr>
            <w:tcW w:w="60" w:type="dxa"/>
            <w:vAlign w:val="bottom"/>
          </w:tcPr>
          <w:p>
            <w:pPr>
              <w:spacing w:after="0"/>
              <w:rPr>
                <w:sz w:val="20"/>
                <w:szCs w:val="20"/>
                <w:color w:val="auto"/>
              </w:rPr>
            </w:pPr>
          </w:p>
        </w:tc>
      </w:tr>
      <w:tr>
        <w:trPr>
          <w:trHeight w:val="473"/>
        </w:trPr>
        <w:tc>
          <w:tcPr>
            <w:tcW w:w="3480" w:type="dxa"/>
            <w:vAlign w:val="bottom"/>
          </w:tcPr>
          <w:p>
            <w:pPr>
              <w:ind w:left="80"/>
              <w:spacing w:after="0"/>
              <w:rPr>
                <w:sz w:val="20"/>
                <w:szCs w:val="20"/>
                <w:color w:val="auto"/>
              </w:rPr>
            </w:pPr>
            <w:r>
              <w:rPr>
                <w:rFonts w:ascii="Arial" w:cs="Arial" w:eastAsia="Arial" w:hAnsi="Arial"/>
                <w:sz w:val="18"/>
                <w:szCs w:val="18"/>
                <w:color w:val="auto"/>
              </w:rPr>
              <w:t>November 7, 2023</w:t>
            </w:r>
          </w:p>
        </w:tc>
        <w:tc>
          <w:tcPr>
            <w:tcW w:w="7700" w:type="dxa"/>
            <w:vAlign w:val="bottom"/>
            <w:gridSpan w:val="2"/>
          </w:tcPr>
          <w:p>
            <w:pPr>
              <w:ind w:left="2680"/>
              <w:spacing w:after="0"/>
              <w:rPr>
                <w:sz w:val="20"/>
                <w:szCs w:val="20"/>
                <w:color w:val="auto"/>
              </w:rPr>
            </w:pPr>
            <w:r>
              <w:rPr>
                <w:rFonts w:ascii="Arial" w:cs="Arial" w:eastAsia="Arial" w:hAnsi="Arial"/>
                <w:sz w:val="18"/>
                <w:szCs w:val="18"/>
                <w:color w:val="auto"/>
              </w:rPr>
              <w:t>By:  /s/ Alison Bauerlein</w:t>
            </w:r>
          </w:p>
        </w:tc>
        <w:tc>
          <w:tcPr>
            <w:tcW w:w="60" w:type="dxa"/>
            <w:vAlign w:val="bottom"/>
          </w:tcPr>
          <w:p>
            <w:pPr>
              <w:spacing w:after="0"/>
              <w:rPr>
                <w:sz w:val="24"/>
                <w:szCs w:val="24"/>
                <w:color w:val="auto"/>
              </w:rPr>
            </w:pPr>
          </w:p>
        </w:tc>
      </w:tr>
      <w:tr>
        <w:trPr>
          <w:trHeight w:val="209"/>
        </w:trPr>
        <w:tc>
          <w:tcPr>
            <w:tcW w:w="34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Alison Bauerlein</w:t>
            </w:r>
          </w:p>
        </w:tc>
        <w:tc>
          <w:tcPr>
            <w:tcW w:w="6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0" w:type="dxa"/>
            <w:vAlign w:val="bottom"/>
          </w:tcPr>
          <w:p>
            <w:pPr>
              <w:spacing w:after="0"/>
              <w:rPr>
                <w:sz w:val="20"/>
                <w:szCs w:val="20"/>
                <w:color w:val="auto"/>
              </w:rPr>
            </w:pPr>
          </w:p>
        </w:tc>
      </w:tr>
      <w:tr>
        <w:trPr>
          <w:trHeight w:val="891"/>
        </w:trPr>
        <w:tc>
          <w:tcPr>
            <w:tcW w:w="3480" w:type="dxa"/>
            <w:vAlign w:val="bottom"/>
          </w:tcPr>
          <w:p>
            <w:pPr>
              <w:spacing w:after="0"/>
              <w:rPr>
                <w:sz w:val="24"/>
                <w:szCs w:val="24"/>
                <w:color w:val="auto"/>
              </w:rPr>
            </w:pPr>
          </w:p>
        </w:tc>
        <w:tc>
          <w:tcPr>
            <w:tcW w:w="3120" w:type="dxa"/>
            <w:vAlign w:val="bottom"/>
          </w:tcPr>
          <w:p>
            <w:pPr>
              <w:jc w:val="right"/>
              <w:ind w:right="790"/>
              <w:spacing w:after="0"/>
              <w:rPr>
                <w:sz w:val="20"/>
                <w:szCs w:val="20"/>
                <w:color w:val="auto"/>
              </w:rPr>
            </w:pPr>
            <w:r>
              <w:rPr>
                <w:rFonts w:ascii="Arial" w:cs="Arial" w:eastAsia="Arial" w:hAnsi="Arial"/>
                <w:sz w:val="18"/>
                <w:szCs w:val="18"/>
                <w:color w:val="auto"/>
              </w:rPr>
              <w:t>45</w:t>
            </w:r>
          </w:p>
        </w:tc>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10.2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Employment Agreement</w:t>
      </w:r>
    </w:p>
    <w:p>
      <w:pPr>
        <w:spacing w:after="0" w:line="222" w:lineRule="exact"/>
        <w:rPr>
          <w:sz w:val="20"/>
          <w:szCs w:val="20"/>
          <w:color w:val="auto"/>
        </w:rPr>
      </w:pPr>
    </w:p>
    <w:p>
      <w:pPr>
        <w:ind w:right="640" w:firstLine="749"/>
        <w:spacing w:after="0" w:line="269" w:lineRule="auto"/>
        <w:rPr>
          <w:sz w:val="20"/>
          <w:szCs w:val="20"/>
          <w:color w:val="auto"/>
        </w:rPr>
      </w:pPr>
      <w:r>
        <w:rPr>
          <w:rFonts w:ascii="Arial" w:cs="Arial" w:eastAsia="Arial" w:hAnsi="Arial"/>
          <w:sz w:val="19"/>
          <w:szCs w:val="19"/>
          <w:color w:val="auto"/>
        </w:rPr>
        <w:t>This Employment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effective as of September 11, 2023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made by and between Sight Sciences, Inc., a Delaware corporation (together with any successor thereto, the “</w:t>
      </w:r>
      <w:r>
        <w:rPr>
          <w:rFonts w:ascii="Arial" w:cs="Arial" w:eastAsia="Arial" w:hAnsi="Arial"/>
          <w:sz w:val="19"/>
          <w:szCs w:val="19"/>
          <w:u w:val="single" w:color="auto"/>
          <w:color w:val="auto"/>
        </w:rPr>
        <w:t>Company</w:t>
      </w:r>
      <w:r>
        <w:rPr>
          <w:rFonts w:ascii="Arial" w:cs="Arial" w:eastAsia="Arial" w:hAnsi="Arial"/>
          <w:sz w:val="19"/>
          <w:szCs w:val="19"/>
          <w:color w:val="auto"/>
        </w:rPr>
        <w:t>”), and Matthew Link (“</w:t>
      </w:r>
      <w:r>
        <w:rPr>
          <w:rFonts w:ascii="Arial" w:cs="Arial" w:eastAsia="Arial" w:hAnsi="Arial"/>
          <w:sz w:val="19"/>
          <w:szCs w:val="19"/>
          <w:u w:val="single" w:color="auto"/>
          <w:color w:val="auto"/>
        </w:rPr>
        <w:t>Executive</w:t>
      </w:r>
      <w:r>
        <w:rPr>
          <w:rFonts w:ascii="Arial" w:cs="Arial" w:eastAsia="Arial" w:hAnsi="Arial"/>
          <w:sz w:val="19"/>
          <w:szCs w:val="19"/>
          <w:color w:val="auto"/>
        </w:rPr>
        <w:t>”) (collectively referred to herein as the “</w:t>
      </w:r>
      <w:r>
        <w:rPr>
          <w:rFonts w:ascii="Arial" w:cs="Arial" w:eastAsia="Arial" w:hAnsi="Arial"/>
          <w:sz w:val="19"/>
          <w:szCs w:val="19"/>
          <w:u w:val="single" w:color="auto"/>
          <w:color w:val="auto"/>
        </w:rPr>
        <w:t>Parties</w:t>
      </w:r>
      <w:r>
        <w:rPr>
          <w:rFonts w:ascii="Arial" w:cs="Arial" w:eastAsia="Arial" w:hAnsi="Arial"/>
          <w:sz w:val="19"/>
          <w:szCs w:val="19"/>
          <w:color w:val="auto"/>
        </w:rPr>
        <w:t>” or individually referred to as a “</w:t>
      </w:r>
      <w:r>
        <w:rPr>
          <w:rFonts w:ascii="Arial" w:cs="Arial" w:eastAsia="Arial" w:hAnsi="Arial"/>
          <w:sz w:val="19"/>
          <w:szCs w:val="19"/>
          <w:u w:val="single" w:color="auto"/>
          <w:color w:val="auto"/>
        </w:rPr>
        <w:t>Party</w:t>
      </w:r>
      <w:r>
        <w:rPr>
          <w:rFonts w:ascii="Arial" w:cs="Arial" w:eastAsia="Arial" w:hAnsi="Arial"/>
          <w:sz w:val="19"/>
          <w:szCs w:val="19"/>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760" w:right="260" w:hanging="752"/>
        <w:spacing w:after="0" w:line="260" w:lineRule="auto"/>
        <w:tabs>
          <w:tab w:leader="none" w:pos="407" w:val="left"/>
        </w:tabs>
        <w:numPr>
          <w:ilvl w:val="0"/>
          <w:numId w:val="15"/>
        </w:numPr>
        <w:rPr>
          <w:rFonts w:ascii="Arial" w:cs="Arial" w:eastAsia="Arial" w:hAnsi="Arial"/>
          <w:sz w:val="20"/>
          <w:szCs w:val="20"/>
          <w:color w:val="auto"/>
        </w:rPr>
      </w:pPr>
      <w:r>
        <w:rPr>
          <w:rFonts w:ascii="Arial" w:cs="Arial" w:eastAsia="Arial" w:hAnsi="Arial"/>
          <w:sz w:val="20"/>
          <w:szCs w:val="20"/>
          <w:color w:val="auto"/>
        </w:rPr>
        <w:t>It is the desire of the Company to assure itself of the services of Executive as of the Effective Date and thereafter by entering into this Agreement.</w:t>
      </w:r>
    </w:p>
    <w:p>
      <w:pPr>
        <w:spacing w:after="0" w:line="176" w:lineRule="exact"/>
        <w:rPr>
          <w:rFonts w:ascii="Arial" w:cs="Arial" w:eastAsia="Arial" w:hAnsi="Arial"/>
          <w:sz w:val="20"/>
          <w:szCs w:val="20"/>
          <w:color w:val="auto"/>
        </w:rPr>
      </w:pPr>
    </w:p>
    <w:p>
      <w:pPr>
        <w:ind w:left="400" w:hanging="392"/>
        <w:spacing w:after="0"/>
        <w:tabs>
          <w:tab w:leader="none" w:pos="4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Executive and the Company mutually desire that Executive provide services to the Company on the terms herein provided.</w:t>
      </w:r>
    </w:p>
    <w:p>
      <w:pPr>
        <w:spacing w:after="0" w:line="209" w:lineRule="exact"/>
        <w:rPr>
          <w:rFonts w:ascii="Arial" w:cs="Arial" w:eastAsia="Arial" w:hAnsi="Arial"/>
          <w:sz w:val="20"/>
          <w:szCs w:val="20"/>
          <w:color w:val="auto"/>
        </w:rPr>
      </w:pPr>
    </w:p>
    <w:p>
      <w:pPr>
        <w:ind w:left="4980"/>
        <w:spacing w:after="0"/>
        <w:rPr>
          <w:rFonts w:ascii="Arial" w:cs="Arial" w:eastAsia="Arial" w:hAnsi="Arial"/>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right="120" w:firstLine="749"/>
        <w:spacing w:after="0" w:line="260" w:lineRule="auto"/>
        <w:rPr>
          <w:sz w:val="20"/>
          <w:szCs w:val="20"/>
          <w:color w:val="auto"/>
        </w:rPr>
      </w:pPr>
      <w:r>
        <w:rPr>
          <w:rFonts w:ascii="Arial" w:cs="Arial" w:eastAsia="Arial" w:hAnsi="Arial"/>
          <w:sz w:val="20"/>
          <w:szCs w:val="20"/>
          <w:color w:val="auto"/>
        </w:rPr>
        <w:t>NOW, THEREFORE, in consideration of the foregoing and of the respective covenants and agreements set forth below, the Parties hereto agree as follows:</w:t>
      </w:r>
    </w:p>
    <w:p>
      <w:pPr>
        <w:spacing w:after="0" w:line="18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Employment</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ind w:right="440" w:firstLine="757"/>
        <w:spacing w:after="0" w:line="260" w:lineRule="auto"/>
        <w:tabs>
          <w:tab w:leader="none" w:pos="1018" w:val="left"/>
        </w:tabs>
        <w:numPr>
          <w:ilvl w:val="1"/>
          <w:numId w:val="16"/>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xml:space="preserve">. Effective on the Effective Date, the Company shall commence employment of Executive for the period and in the positions set forth in this </w:t>
      </w:r>
      <w:r>
        <w:rPr>
          <w:rFonts w:ascii="Arial" w:cs="Arial" w:eastAsia="Arial" w:hAnsi="Arial"/>
          <w:sz w:val="20"/>
          <w:szCs w:val="20"/>
          <w:u w:val="single" w:color="auto"/>
          <w:color w:val="auto"/>
        </w:rPr>
        <w:t>Section 1</w:t>
      </w:r>
      <w:r>
        <w:rPr>
          <w:rFonts w:ascii="Arial" w:cs="Arial" w:eastAsia="Arial" w:hAnsi="Arial"/>
          <w:sz w:val="20"/>
          <w:szCs w:val="20"/>
          <w:color w:val="auto"/>
        </w:rPr>
        <w:t>, and subject to the other terms and conditions herein provided.</w:t>
      </w:r>
    </w:p>
    <w:p>
      <w:pPr>
        <w:spacing w:after="0" w:line="176" w:lineRule="exact"/>
        <w:rPr>
          <w:rFonts w:ascii="Arial" w:cs="Arial" w:eastAsia="Arial" w:hAnsi="Arial"/>
          <w:sz w:val="20"/>
          <w:szCs w:val="20"/>
          <w:color w:val="auto"/>
        </w:rPr>
      </w:pPr>
    </w:p>
    <w:p>
      <w:pPr>
        <w:ind w:firstLine="757"/>
        <w:spacing w:after="0" w:line="242" w:lineRule="auto"/>
        <w:tabs>
          <w:tab w:leader="none" w:pos="1018" w:val="left"/>
        </w:tabs>
        <w:numPr>
          <w:ilvl w:val="1"/>
          <w:numId w:val="16"/>
        </w:numPr>
        <w:rPr>
          <w:rFonts w:ascii="Arial" w:cs="Arial" w:eastAsia="Arial" w:hAnsi="Arial"/>
          <w:sz w:val="20"/>
          <w:szCs w:val="20"/>
          <w:color w:val="auto"/>
        </w:rPr>
      </w:pPr>
      <w:r>
        <w:rPr>
          <w:rFonts w:ascii="Arial" w:cs="Arial" w:eastAsia="Arial" w:hAnsi="Arial"/>
          <w:sz w:val="20"/>
          <w:szCs w:val="20"/>
          <w:u w:val="single" w:color="auto"/>
          <w:color w:val="auto"/>
        </w:rPr>
        <w:t>At-Will Employment</w:t>
      </w:r>
      <w:r>
        <w:rPr>
          <w:rFonts w:ascii="Arial" w:cs="Arial" w:eastAsia="Arial" w:hAnsi="Arial"/>
          <w:sz w:val="20"/>
          <w:szCs w:val="20"/>
          <w:color w:val="auto"/>
        </w:rPr>
        <w:t xml:space="preserve">. The Company and Executive acknowledge that Executive’s employment is at-will, as defined under applicable law, and that Executive’s employment with the Company may be terminated by either Party at any time for any or no reason (subject to the notice requirements of </w:t>
      </w:r>
      <w:r>
        <w:rPr>
          <w:rFonts w:ascii="Arial" w:cs="Arial" w:eastAsia="Arial" w:hAnsi="Arial"/>
          <w:sz w:val="20"/>
          <w:szCs w:val="20"/>
          <w:u w:val="single" w:color="auto"/>
          <w:color w:val="auto"/>
        </w:rPr>
        <w:t>Section 3(b)</w:t>
      </w:r>
      <w:r>
        <w:rPr>
          <w:rFonts w:ascii="Arial" w:cs="Arial" w:eastAsia="Arial" w:hAnsi="Arial"/>
          <w:sz w:val="20"/>
          <w:szCs w:val="20"/>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shall commence on the Effective Date and end on the date this Agreement is terminated under </w:t>
      </w:r>
      <w:r>
        <w:rPr>
          <w:rFonts w:ascii="Arial" w:cs="Arial" w:eastAsia="Arial" w:hAnsi="Arial"/>
          <w:sz w:val="20"/>
          <w:szCs w:val="20"/>
          <w:u w:val="single" w:color="auto"/>
          <w:color w:val="auto"/>
        </w:rPr>
        <w:t>Section 3</w:t>
      </w:r>
      <w:r>
        <w:rPr>
          <w:rFonts w:ascii="Arial" w:cs="Arial" w:eastAsia="Arial" w:hAnsi="Arial"/>
          <w:sz w:val="20"/>
          <w:szCs w:val="20"/>
          <w:color w:val="auto"/>
        </w:rPr>
        <w:t>.</w:t>
      </w:r>
    </w:p>
    <w:p>
      <w:pPr>
        <w:spacing w:after="0" w:line="196" w:lineRule="exact"/>
        <w:rPr>
          <w:rFonts w:ascii="Arial" w:cs="Arial" w:eastAsia="Arial" w:hAnsi="Arial"/>
          <w:sz w:val="20"/>
          <w:szCs w:val="20"/>
          <w:color w:val="auto"/>
        </w:rPr>
      </w:pPr>
    </w:p>
    <w:p>
      <w:pPr>
        <w:ind w:firstLine="757"/>
        <w:spacing w:after="0" w:line="257" w:lineRule="auto"/>
        <w:tabs>
          <w:tab w:leader="none" w:pos="1018"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Positions and Duties</w:t>
      </w:r>
      <w:r>
        <w:rPr>
          <w:rFonts w:ascii="Arial" w:cs="Arial" w:eastAsia="Arial" w:hAnsi="Arial"/>
          <w:sz w:val="19"/>
          <w:szCs w:val="19"/>
          <w:color w:val="auto"/>
        </w:rPr>
        <w:t>. During the Term, Executive shall serve as Chief Commercial Officer of the Company, with such responsibilities, duties and authority normally associated with such position and as may from time to time be assigned to Executive by the Chief Executive Officer of the Company.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Board of Directors of the Company or an authorized committee of the Board (in either case, the “</w:t>
      </w:r>
      <w:r>
        <w:rPr>
          <w:rFonts w:ascii="Arial" w:cs="Arial" w:eastAsia="Arial" w:hAnsi="Arial"/>
          <w:sz w:val="19"/>
          <w:szCs w:val="19"/>
          <w:u w:val="single" w:color="auto"/>
          <w:color w:val="auto"/>
        </w:rPr>
        <w:t>Board</w:t>
      </w:r>
      <w:r>
        <w:rPr>
          <w:rFonts w:ascii="Arial" w:cs="Arial" w:eastAsia="Arial" w:hAnsi="Arial"/>
          <w:sz w:val="19"/>
          <w:szCs w:val="19"/>
          <w:color w:val="auto"/>
        </w:rPr>
        <w:t>”), provided that Executive shall be permitted to (i) manage Executive’s personal, financial and legal affairs, (ii) participate in trade associations, (iii) continue to serve on those private and public company boards of directors on which Executive is serving as of the Effective Date, and (iv) serve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ind w:right="140"/>
        <w:spacing w:after="0" w:line="263" w:lineRule="auto"/>
        <w:rPr>
          <w:sz w:val="20"/>
          <w:szCs w:val="20"/>
          <w:color w:val="auto"/>
        </w:rPr>
      </w:pPr>
      <w:r>
        <w:rPr>
          <w:rFonts w:ascii="Arial" w:cs="Arial" w:eastAsia="Arial" w:hAnsi="Arial"/>
          <w:sz w:val="19"/>
          <w:szCs w:val="19"/>
          <w:color w:val="auto"/>
        </w:rPr>
        <w:t>of not-for-profit or tax-exempt charitable organizations, in each case, subject to compliance with this Agreement and provided that such activities do not materially interfere with Executive’s performance of Executive’s duties and responsibilities hereunder. Executive agrees to observe and comply with the rules and policies of the Company as adopted by the Company from time to time, in each case, as amended from time to time, and as delivered or made available to Executive (each, a “</w:t>
      </w:r>
      <w:r>
        <w:rPr>
          <w:rFonts w:ascii="Arial" w:cs="Arial" w:eastAsia="Arial" w:hAnsi="Arial"/>
          <w:sz w:val="19"/>
          <w:szCs w:val="19"/>
          <w:u w:val="single" w:color="auto"/>
          <w:color w:val="auto"/>
        </w:rPr>
        <w:t>Policy</w:t>
      </w:r>
      <w:r>
        <w:rPr>
          <w:rFonts w:ascii="Arial" w:cs="Arial" w:eastAsia="Arial" w:hAnsi="Arial"/>
          <w:sz w:val="19"/>
          <w:szCs w:val="19"/>
          <w:color w:val="auto"/>
        </w:rPr>
        <w:t>”).</w:t>
      </w:r>
    </w:p>
    <w:p>
      <w:pPr>
        <w:spacing w:after="0" w:line="184"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Compensation and Related Matters</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ind w:right="40" w:firstLine="757"/>
        <w:spacing w:after="0" w:line="246" w:lineRule="auto"/>
        <w:tabs>
          <w:tab w:leader="none" w:pos="1018"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Annual Base Salary</w:t>
      </w:r>
      <w:r>
        <w:rPr>
          <w:rFonts w:ascii="Arial" w:cs="Arial" w:eastAsia="Arial" w:hAnsi="Arial"/>
          <w:sz w:val="20"/>
          <w:szCs w:val="20"/>
          <w:color w:val="auto"/>
        </w:rPr>
        <w:t>. During the Term, Executive shall receive a base salary at a rate of $410,000 per annum, which shall be paid in accordance with the customary payroll practices of the Company and shall be pro-rated for partial years of employment. Such annual base salary shall be reviewed (and may be adjusted) from time to time by the Board (such annual base salary, as it may be adjusted from time to time, the “</w:t>
      </w:r>
      <w:r>
        <w:rPr>
          <w:rFonts w:ascii="Arial" w:cs="Arial" w:eastAsia="Arial" w:hAnsi="Arial"/>
          <w:sz w:val="20"/>
          <w:szCs w:val="20"/>
          <w:u w:val="single" w:color="auto"/>
          <w:color w:val="auto"/>
        </w:rPr>
        <w:t>Annual Base Salary</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firstLine="757"/>
        <w:spacing w:after="0" w:line="259" w:lineRule="auto"/>
        <w:tabs>
          <w:tab w:leader="none" w:pos="1018"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Annual Cash Bonus Opportunity</w:t>
      </w:r>
      <w:r>
        <w:rPr>
          <w:rFonts w:ascii="Arial" w:cs="Arial" w:eastAsia="Arial" w:hAnsi="Arial"/>
          <w:sz w:val="19"/>
          <w:szCs w:val="19"/>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9"/>
          <w:szCs w:val="19"/>
          <w:u w:val="single" w:color="auto"/>
          <w:color w:val="auto"/>
        </w:rPr>
        <w:t>Annual Bonus</w:t>
      </w:r>
      <w:r>
        <w:rPr>
          <w:rFonts w:ascii="Arial" w:cs="Arial" w:eastAsia="Arial" w:hAnsi="Arial"/>
          <w:sz w:val="19"/>
          <w:szCs w:val="19"/>
          <w:color w:val="auto"/>
        </w:rPr>
        <w:t>”) shall be targeted at 50% of Executive’s Annual Base Salary (such target, as may be adjusted by the Board from time to time, the “</w:t>
      </w:r>
      <w:r>
        <w:rPr>
          <w:rFonts w:ascii="Arial" w:cs="Arial" w:eastAsia="Arial" w:hAnsi="Arial"/>
          <w:sz w:val="19"/>
          <w:szCs w:val="19"/>
          <w:u w:val="single" w:color="auto"/>
          <w:color w:val="auto"/>
        </w:rPr>
        <w:t>Target Annual Bonus</w:t>
      </w:r>
      <w:r>
        <w:rPr>
          <w:rFonts w:ascii="Arial" w:cs="Arial" w:eastAsia="Arial" w:hAnsi="Arial"/>
          <w:sz w:val="19"/>
          <w:szCs w:val="19"/>
          <w:color w:val="auto"/>
        </w:rPr>
        <w:t xml:space="preserve">”). The Annual Bonus payable under the incentive program shall be based on the achievement of performance goals to be determined by the Board. The payment of any Annual Bonus pursuant to the incentive program shall be subject to Executive’s continued employment with the Company through the date of payment, except as otherwise provided in </w:t>
      </w:r>
      <w:r>
        <w:rPr>
          <w:rFonts w:ascii="Arial" w:cs="Arial" w:eastAsia="Arial" w:hAnsi="Arial"/>
          <w:sz w:val="19"/>
          <w:szCs w:val="19"/>
          <w:u w:val="single" w:color="auto"/>
          <w:color w:val="auto"/>
        </w:rPr>
        <w:t>Section 4(b)</w:t>
      </w:r>
      <w:r>
        <w:rPr>
          <w:rFonts w:ascii="Arial" w:cs="Arial" w:eastAsia="Arial" w:hAnsi="Arial"/>
          <w:sz w:val="19"/>
          <w:szCs w:val="19"/>
          <w:color w:val="auto"/>
        </w:rPr>
        <w:t>.</w:t>
      </w:r>
    </w:p>
    <w:p>
      <w:pPr>
        <w:spacing w:after="0" w:line="178" w:lineRule="exact"/>
        <w:rPr>
          <w:rFonts w:ascii="Arial" w:cs="Arial" w:eastAsia="Arial" w:hAnsi="Arial"/>
          <w:sz w:val="19"/>
          <w:szCs w:val="19"/>
          <w:color w:val="auto"/>
        </w:rPr>
      </w:pPr>
    </w:p>
    <w:p>
      <w:pPr>
        <w:jc w:val="both"/>
        <w:ind w:right="140" w:firstLine="757"/>
        <w:spacing w:after="0" w:line="246" w:lineRule="auto"/>
        <w:tabs>
          <w:tab w:leader="none" w:pos="1018"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xml:space="preserve">. During the Term, Executive shall be eligible to participate in employee benefit plans, programs and arrangements of the Company,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of this Agreement.</w:t>
      </w:r>
    </w:p>
    <w:p>
      <w:pPr>
        <w:spacing w:after="0" w:line="191" w:lineRule="exact"/>
        <w:rPr>
          <w:rFonts w:ascii="Arial" w:cs="Arial" w:eastAsia="Arial" w:hAnsi="Arial"/>
          <w:sz w:val="20"/>
          <w:szCs w:val="20"/>
          <w:color w:val="auto"/>
        </w:rPr>
      </w:pPr>
    </w:p>
    <w:p>
      <w:pPr>
        <w:ind w:right="120" w:firstLine="757"/>
        <w:spacing w:after="0" w:line="260" w:lineRule="auto"/>
        <w:tabs>
          <w:tab w:leader="none" w:pos="1018"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Vacation</w:t>
      </w:r>
      <w:r>
        <w:rPr>
          <w:rFonts w:ascii="Arial" w:cs="Arial" w:eastAsia="Arial" w:hAnsi="Arial"/>
          <w:sz w:val="20"/>
          <w:szCs w:val="20"/>
          <w:color w:val="auto"/>
        </w:rPr>
        <w:t>. During the Term, Executive shall be entitled to paid personal leave in accordance with the Company’s Policies. Any vacation shall be taken at the reasonable and mutual convenience of the Company and Executive.</w:t>
      </w:r>
    </w:p>
    <w:p>
      <w:pPr>
        <w:spacing w:after="0" w:line="176" w:lineRule="exact"/>
        <w:rPr>
          <w:rFonts w:ascii="Arial" w:cs="Arial" w:eastAsia="Arial" w:hAnsi="Arial"/>
          <w:sz w:val="20"/>
          <w:szCs w:val="20"/>
          <w:color w:val="auto"/>
        </w:rPr>
      </w:pPr>
    </w:p>
    <w:p>
      <w:pPr>
        <w:ind w:right="540" w:firstLine="757"/>
        <w:spacing w:after="0" w:line="250" w:lineRule="auto"/>
        <w:tabs>
          <w:tab w:leader="none" w:pos="1018"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Business Expenses</w:t>
      </w:r>
      <w:r>
        <w:rPr>
          <w:rFonts w:ascii="Arial" w:cs="Arial" w:eastAsia="Arial" w:hAnsi="Arial"/>
          <w:sz w:val="20"/>
          <w:szCs w:val="20"/>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85" w:lineRule="exact"/>
        <w:rPr>
          <w:rFonts w:ascii="Arial" w:cs="Arial" w:eastAsia="Arial" w:hAnsi="Arial"/>
          <w:sz w:val="20"/>
          <w:szCs w:val="20"/>
          <w:color w:val="auto"/>
        </w:rPr>
      </w:pPr>
    </w:p>
    <w:p>
      <w:pPr>
        <w:ind w:firstLine="757"/>
        <w:spacing w:after="0" w:line="243" w:lineRule="auto"/>
        <w:tabs>
          <w:tab w:leader="none" w:pos="1018"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Key Person Insurance</w:t>
      </w:r>
      <w:r>
        <w:rPr>
          <w:rFonts w:ascii="Arial" w:cs="Arial" w:eastAsia="Arial" w:hAnsi="Arial"/>
          <w:sz w:val="20"/>
          <w:szCs w:val="20"/>
          <w:color w:val="auto"/>
        </w:rPr>
        <w:t>. At any time during the Term, the Company shall have the right (but not the obligation)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47" w:name="page48"/>
    <w:bookmarkEnd w:id="47"/>
    <w:p>
      <w:pPr>
        <w:ind w:left="520" w:hanging="512"/>
        <w:spacing w:after="0"/>
        <w:tabs>
          <w:tab w:leader="none" w:pos="520" w:val="left"/>
        </w:tabs>
        <w:numPr>
          <w:ilvl w:val="0"/>
          <w:numId w:val="1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w:t>
      </w:r>
    </w:p>
    <w:p>
      <w:pPr>
        <w:spacing w:after="0" w:line="199" w:lineRule="exact"/>
        <w:rPr>
          <w:sz w:val="20"/>
          <w:szCs w:val="20"/>
          <w:color w:val="auto"/>
        </w:rPr>
      </w:pPr>
    </w:p>
    <w:p>
      <w:pPr>
        <w:ind w:right="480" w:firstLine="749"/>
        <w:spacing w:after="0" w:line="287" w:lineRule="auto"/>
        <w:rPr>
          <w:sz w:val="20"/>
          <w:szCs w:val="20"/>
          <w:color w:val="auto"/>
        </w:rPr>
      </w:pPr>
      <w:r>
        <w:rPr>
          <w:rFonts w:ascii="Arial" w:cs="Arial" w:eastAsia="Arial" w:hAnsi="Arial"/>
          <w:sz w:val="19"/>
          <w:szCs w:val="19"/>
          <w:color w:val="auto"/>
        </w:rPr>
        <w:t>Executive’s employment hereunder and the Term may be terminated by the Company or Executive, as applicable, without any breach of this Agreement under the following circumstances and the Term will end on the Date of Termination:</w:t>
      </w:r>
    </w:p>
    <w:p>
      <w:pPr>
        <w:spacing w:after="0" w:line="152" w:lineRule="exact"/>
        <w:rPr>
          <w:sz w:val="20"/>
          <w:szCs w:val="20"/>
          <w:color w:val="auto"/>
        </w:rPr>
      </w:pPr>
    </w:p>
    <w:p>
      <w:pPr>
        <w:ind w:left="1020" w:hanging="263"/>
        <w:spacing w:after="0"/>
        <w:tabs>
          <w:tab w:leader="none" w:pos="102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Circumstances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040" w:hanging="535"/>
        <w:spacing w:after="0"/>
        <w:tabs>
          <w:tab w:leader="none" w:pos="2040" w:val="left"/>
        </w:tabs>
        <w:numPr>
          <w:ilvl w:val="1"/>
          <w:numId w:val="19"/>
        </w:numPr>
        <w:rPr>
          <w:rFonts w:ascii="Arial" w:cs="Arial" w:eastAsia="Arial" w:hAnsi="Arial"/>
          <w:sz w:val="20"/>
          <w:szCs w:val="20"/>
          <w:color w:val="auto"/>
        </w:rPr>
      </w:pPr>
      <w:r>
        <w:rPr>
          <w:rFonts w:ascii="Arial" w:cs="Arial" w:eastAsia="Arial" w:hAnsi="Arial"/>
          <w:sz w:val="20"/>
          <w:szCs w:val="20"/>
          <w:i w:val="1"/>
          <w:iCs w:val="1"/>
          <w:color w:val="auto"/>
        </w:rPr>
        <w:t>Death</w:t>
      </w:r>
      <w:r>
        <w:rPr>
          <w:rFonts w:ascii="Arial" w:cs="Arial" w:eastAsia="Arial" w:hAnsi="Arial"/>
          <w:sz w:val="20"/>
          <w:szCs w:val="20"/>
          <w:color w:val="auto"/>
        </w:rPr>
        <w:t>. Executive’s employment hereunder shall terminate upon Executive’s death.</w:t>
      </w:r>
    </w:p>
    <w:p>
      <w:pPr>
        <w:spacing w:after="0" w:line="215" w:lineRule="exact"/>
        <w:rPr>
          <w:rFonts w:ascii="Arial" w:cs="Arial" w:eastAsia="Arial" w:hAnsi="Arial"/>
          <w:sz w:val="20"/>
          <w:szCs w:val="20"/>
          <w:color w:val="auto"/>
        </w:rPr>
      </w:pPr>
    </w:p>
    <w:p>
      <w:pPr>
        <w:ind w:left="2040" w:hanging="535"/>
        <w:spacing w:after="0"/>
        <w:tabs>
          <w:tab w:leader="none" w:pos="2040" w:val="left"/>
        </w:tabs>
        <w:numPr>
          <w:ilvl w:val="1"/>
          <w:numId w:val="19"/>
        </w:numPr>
        <w:rPr>
          <w:rFonts w:ascii="Arial" w:cs="Arial" w:eastAsia="Arial" w:hAnsi="Arial"/>
          <w:sz w:val="19"/>
          <w:szCs w:val="19"/>
          <w:color w:val="auto"/>
        </w:rPr>
      </w:pPr>
      <w:r>
        <w:rPr>
          <w:rFonts w:ascii="Arial" w:cs="Arial" w:eastAsia="Arial" w:hAnsi="Arial"/>
          <w:sz w:val="19"/>
          <w:szCs w:val="19"/>
          <w:i w:val="1"/>
          <w:iCs w:val="1"/>
          <w:color w:val="auto"/>
        </w:rPr>
        <w:t>Disability</w:t>
      </w:r>
      <w:r>
        <w:rPr>
          <w:rFonts w:ascii="Arial" w:cs="Arial" w:eastAsia="Arial" w:hAnsi="Arial"/>
          <w:sz w:val="19"/>
          <w:szCs w:val="19"/>
          <w:color w:val="auto"/>
        </w:rPr>
        <w:t>. If Executive has incurred a Disability, as defined below, the Company may terminate Executive’s</w:t>
      </w:r>
    </w:p>
    <w:p>
      <w:pPr>
        <w:spacing w:after="0" w:line="27"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0"/>
          <w:szCs w:val="20"/>
          <w:color w:val="auto"/>
        </w:rPr>
        <w:t>employment.</w:t>
      </w:r>
    </w:p>
    <w:p>
      <w:pPr>
        <w:spacing w:after="0" w:line="199" w:lineRule="exact"/>
        <w:rPr>
          <w:rFonts w:ascii="Arial" w:cs="Arial" w:eastAsia="Arial" w:hAnsi="Arial"/>
          <w:sz w:val="19"/>
          <w:szCs w:val="19"/>
          <w:color w:val="auto"/>
        </w:rPr>
      </w:pPr>
    </w:p>
    <w:p>
      <w:pPr>
        <w:ind w:left="2040" w:hanging="535"/>
        <w:spacing w:after="0"/>
        <w:tabs>
          <w:tab w:leader="none" w:pos="2040" w:val="left"/>
        </w:tabs>
        <w:numPr>
          <w:ilvl w:val="1"/>
          <w:numId w:val="19"/>
        </w:numPr>
        <w:rPr>
          <w:rFonts w:ascii="Arial" w:cs="Arial" w:eastAsia="Arial" w:hAnsi="Arial"/>
          <w:sz w:val="19"/>
          <w:szCs w:val="19"/>
          <w:color w:val="auto"/>
        </w:rPr>
      </w:pPr>
      <w:r>
        <w:rPr>
          <w:rFonts w:ascii="Arial" w:cs="Arial" w:eastAsia="Arial" w:hAnsi="Arial"/>
          <w:sz w:val="19"/>
          <w:szCs w:val="19"/>
          <w:i w:val="1"/>
          <w:iCs w:val="1"/>
          <w:color w:val="auto"/>
        </w:rPr>
        <w:t>Termination for Cause</w:t>
      </w:r>
      <w:r>
        <w:rPr>
          <w:rFonts w:ascii="Arial" w:cs="Arial" w:eastAsia="Arial" w:hAnsi="Arial"/>
          <w:sz w:val="19"/>
          <w:szCs w:val="19"/>
          <w:color w:val="auto"/>
        </w:rPr>
        <w:t>. The Company may terminate Executive’s employment for Cause, as defined below.</w:t>
      </w:r>
    </w:p>
    <w:p>
      <w:pPr>
        <w:spacing w:after="0" w:line="227" w:lineRule="exact"/>
        <w:rPr>
          <w:rFonts w:ascii="Arial" w:cs="Arial" w:eastAsia="Arial" w:hAnsi="Arial"/>
          <w:sz w:val="19"/>
          <w:szCs w:val="19"/>
          <w:color w:val="auto"/>
        </w:rPr>
      </w:pPr>
    </w:p>
    <w:p>
      <w:pPr>
        <w:ind w:left="2040" w:hanging="535"/>
        <w:spacing w:after="0"/>
        <w:tabs>
          <w:tab w:leader="none" w:pos="2040" w:val="left"/>
        </w:tabs>
        <w:numPr>
          <w:ilvl w:val="1"/>
          <w:numId w:val="19"/>
        </w:numPr>
        <w:rPr>
          <w:rFonts w:ascii="Arial" w:cs="Arial" w:eastAsia="Arial" w:hAnsi="Arial"/>
          <w:sz w:val="20"/>
          <w:szCs w:val="20"/>
          <w:color w:val="auto"/>
        </w:rPr>
      </w:pPr>
      <w:r>
        <w:rPr>
          <w:rFonts w:ascii="Arial" w:cs="Arial" w:eastAsia="Arial" w:hAnsi="Arial"/>
          <w:sz w:val="20"/>
          <w:szCs w:val="20"/>
          <w:i w:val="1"/>
          <w:iCs w:val="1"/>
          <w:color w:val="auto"/>
        </w:rPr>
        <w:t>Termination without Cause</w:t>
      </w:r>
      <w:r>
        <w:rPr>
          <w:rFonts w:ascii="Arial" w:cs="Arial" w:eastAsia="Arial" w:hAnsi="Arial"/>
          <w:sz w:val="20"/>
          <w:szCs w:val="20"/>
          <w:color w:val="auto"/>
        </w:rPr>
        <w:t>. The Company may terminate Executive’s employment without Cause.</w:t>
      </w:r>
    </w:p>
    <w:p>
      <w:pPr>
        <w:spacing w:after="0" w:line="215" w:lineRule="exact"/>
        <w:rPr>
          <w:rFonts w:ascii="Arial" w:cs="Arial" w:eastAsia="Arial" w:hAnsi="Arial"/>
          <w:sz w:val="20"/>
          <w:szCs w:val="20"/>
          <w:color w:val="auto"/>
        </w:rPr>
      </w:pPr>
    </w:p>
    <w:p>
      <w:pPr>
        <w:ind w:left="760" w:right="640" w:firstLine="745"/>
        <w:spacing w:after="0" w:line="260" w:lineRule="auto"/>
        <w:tabs>
          <w:tab w:leader="none" w:pos="2048" w:val="left"/>
        </w:tabs>
        <w:numPr>
          <w:ilvl w:val="1"/>
          <w:numId w:val="19"/>
        </w:numPr>
        <w:rPr>
          <w:rFonts w:ascii="Arial" w:cs="Arial" w:eastAsia="Arial" w:hAnsi="Arial"/>
          <w:sz w:val="20"/>
          <w:szCs w:val="20"/>
          <w:color w:val="auto"/>
        </w:rPr>
      </w:pPr>
      <w:r>
        <w:rPr>
          <w:rFonts w:ascii="Arial" w:cs="Arial" w:eastAsia="Arial" w:hAnsi="Arial"/>
          <w:sz w:val="20"/>
          <w:szCs w:val="20"/>
          <w:i w:val="1"/>
          <w:iCs w:val="1"/>
          <w:color w:val="auto"/>
        </w:rPr>
        <w:t xml:space="preserve">Resignation from the Company with Good Reason. </w:t>
      </w:r>
      <w:r>
        <w:rPr>
          <w:rFonts w:ascii="Arial" w:cs="Arial" w:eastAsia="Arial" w:hAnsi="Arial"/>
          <w:sz w:val="20"/>
          <w:szCs w:val="20"/>
          <w:color w:val="auto"/>
        </w:rPr>
        <w:t>Executive may resign Executive’s employment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with Good Reason, as defined below.</w:t>
      </w:r>
    </w:p>
    <w:p>
      <w:pPr>
        <w:spacing w:after="0" w:line="176" w:lineRule="exact"/>
        <w:rPr>
          <w:rFonts w:ascii="Arial" w:cs="Arial" w:eastAsia="Arial" w:hAnsi="Arial"/>
          <w:sz w:val="20"/>
          <w:szCs w:val="20"/>
          <w:color w:val="auto"/>
        </w:rPr>
      </w:pPr>
    </w:p>
    <w:p>
      <w:pPr>
        <w:ind w:left="760" w:right="380" w:firstLine="745"/>
        <w:spacing w:after="0" w:line="260" w:lineRule="auto"/>
        <w:tabs>
          <w:tab w:leader="none" w:pos="2048" w:val="left"/>
        </w:tabs>
        <w:numPr>
          <w:ilvl w:val="1"/>
          <w:numId w:val="19"/>
        </w:numPr>
        <w:rPr>
          <w:rFonts w:ascii="Arial" w:cs="Arial" w:eastAsia="Arial" w:hAnsi="Arial"/>
          <w:sz w:val="20"/>
          <w:szCs w:val="20"/>
          <w:color w:val="auto"/>
        </w:rPr>
      </w:pPr>
      <w:r>
        <w:rPr>
          <w:rFonts w:ascii="Arial" w:cs="Arial" w:eastAsia="Arial" w:hAnsi="Arial"/>
          <w:sz w:val="20"/>
          <w:szCs w:val="20"/>
          <w:i w:val="1"/>
          <w:iCs w:val="1"/>
          <w:color w:val="auto"/>
        </w:rPr>
        <w:t>Resignation from the Company without Good Reason</w:t>
      </w:r>
      <w:r>
        <w:rPr>
          <w:rFonts w:ascii="Arial" w:cs="Arial" w:eastAsia="Arial" w:hAnsi="Arial"/>
          <w:sz w:val="20"/>
          <w:szCs w:val="20"/>
          <w:color w:val="auto"/>
        </w:rPr>
        <w:t>. Executive may resign Executive’s employment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for any reason other than Good Reason or for no reason.</w:t>
      </w:r>
    </w:p>
    <w:p>
      <w:pPr>
        <w:spacing w:after="0" w:line="176" w:lineRule="exact"/>
        <w:rPr>
          <w:rFonts w:ascii="Arial" w:cs="Arial" w:eastAsia="Arial" w:hAnsi="Arial"/>
          <w:sz w:val="20"/>
          <w:szCs w:val="20"/>
          <w:color w:val="auto"/>
        </w:rPr>
      </w:pPr>
    </w:p>
    <w:p>
      <w:pPr>
        <w:ind w:firstLine="757"/>
        <w:spacing w:after="0" w:line="270" w:lineRule="auto"/>
        <w:tabs>
          <w:tab w:leader="none" w:pos="101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Any termination of Executive’s employment by the Company or by Executive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(other than termination pursuant to </w:t>
      </w:r>
      <w:r>
        <w:rPr>
          <w:rFonts w:ascii="Arial" w:cs="Arial" w:eastAsia="Arial" w:hAnsi="Arial"/>
          <w:sz w:val="18"/>
          <w:szCs w:val="18"/>
          <w:u w:val="single" w:color="auto"/>
          <w:color w:val="auto"/>
        </w:rPr>
        <w:t>Section 3(a)(i))</w:t>
      </w:r>
      <w:r>
        <w:rPr>
          <w:rFonts w:ascii="Arial" w:cs="Arial" w:eastAsia="Arial" w:hAnsi="Arial"/>
          <w:sz w:val="18"/>
          <w:szCs w:val="18"/>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thirty (30) days following the date of such notice (a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that Executive delivers a Notice of Termination to the Company, the Company may, in its sole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The failure by either Party to set forth in the Notice of Termination any fact or circumstance which contributes to a showing of Cause or Good Reason shall not waive any right of the Party hereunder or preclude the Party from asserting such fact or circumstance in enforcing the Party’s rights hereunder.</w:t>
      </w:r>
    </w:p>
    <w:p>
      <w:pPr>
        <w:spacing w:after="0" w:line="175" w:lineRule="exact"/>
        <w:rPr>
          <w:rFonts w:ascii="Arial" w:cs="Arial" w:eastAsia="Arial" w:hAnsi="Arial"/>
          <w:sz w:val="18"/>
          <w:szCs w:val="18"/>
          <w:color w:val="auto"/>
        </w:rPr>
      </w:pPr>
    </w:p>
    <w:p>
      <w:pPr>
        <w:ind w:firstLine="757"/>
        <w:spacing w:after="0" w:line="243" w:lineRule="auto"/>
        <w:tabs>
          <w:tab w:leader="none" w:pos="1018"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Company Obligations upon Termination</w:t>
      </w:r>
      <w:r>
        <w:rPr>
          <w:rFonts w:ascii="Arial" w:cs="Arial" w:eastAsia="Arial" w:hAnsi="Arial"/>
          <w:sz w:val="20"/>
          <w:szCs w:val="20"/>
          <w:color w:val="auto"/>
        </w:rPr>
        <w:t xml:space="preserve">. Upon termination of Executive’s employment pursuant to any of the circumstances listed in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Arial" w:cs="Arial" w:eastAsia="Arial" w:hAnsi="Arial"/>
          <w:sz w:val="20"/>
          <w:szCs w:val="20"/>
          <w:u w:val="single" w:color="auto"/>
          <w:color w:val="auto"/>
        </w:rPr>
        <w:t>Section 2(e)</w:t>
      </w:r>
      <w:r>
        <w:rPr>
          <w:rFonts w:ascii="Arial" w:cs="Arial" w:eastAsia="Arial" w:hAnsi="Arial"/>
          <w:sz w:val="20"/>
          <w:szCs w:val="20"/>
          <w:color w:val="auto"/>
        </w:rPr>
        <w:t>; and (iii) any amount accrued and arising from Executive’s participation in, or benefits accrued under any employee benefit plans, programs or arrangements, which amounts shall be payable in accordance with the terms and conditions of such employee benefit plans, programs or</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9" w:right="359" w:bottom="1440" w:gutter="0" w:footer="0" w:header="0"/>
        </w:sectPr>
      </w:pPr>
    </w:p>
    <w:bookmarkStart w:id="48" w:name="page49"/>
    <w:bookmarkEnd w:id="48"/>
    <w:p>
      <w:pPr>
        <w:ind w:right="120"/>
        <w:spacing w:after="0" w:line="244" w:lineRule="auto"/>
        <w:rPr>
          <w:sz w:val="20"/>
          <w:szCs w:val="20"/>
          <w:color w:val="auto"/>
        </w:rPr>
      </w:pPr>
      <w:r>
        <w:rPr>
          <w:rFonts w:ascii="Arial" w:cs="Arial" w:eastAsia="Arial" w:hAnsi="Arial"/>
          <w:sz w:val="20"/>
          <w:szCs w:val="20"/>
          <w:color w:val="auto"/>
        </w:rPr>
        <w:t>arrangements (collectively, the “</w:t>
      </w:r>
      <w:r>
        <w:rPr>
          <w:rFonts w:ascii="Arial" w:cs="Arial" w:eastAsia="Arial" w:hAnsi="Arial"/>
          <w:sz w:val="20"/>
          <w:szCs w:val="20"/>
          <w:u w:val="single" w:color="auto"/>
          <w:color w:val="auto"/>
        </w:rPr>
        <w:t>Company Arrangements</w:t>
      </w:r>
      <w:r>
        <w:rPr>
          <w:rFonts w:ascii="Arial" w:cs="Arial" w:eastAsia="Arial" w:hAnsi="Arial"/>
          <w:sz w:val="20"/>
          <w:szCs w:val="20"/>
          <w:color w:val="auto"/>
        </w:rPr>
        <w:t>”). Except as otherwise expressly required by law (</w:t>
      </w:r>
      <w:r>
        <w:rPr>
          <w:rFonts w:ascii="Arial" w:cs="Arial" w:eastAsia="Arial" w:hAnsi="Arial"/>
          <w:sz w:val="20"/>
          <w:szCs w:val="20"/>
          <w:u w:val="single" w:color="auto"/>
          <w:color w:val="auto"/>
        </w:rPr>
        <w:t>e.g.</w:t>
      </w:r>
      <w:r>
        <w:rPr>
          <w:rFonts w:ascii="Arial" w:cs="Arial" w:eastAsia="Arial" w:hAnsi="Arial"/>
          <w:sz w:val="20"/>
          <w:szCs w:val="20"/>
          <w:color w:val="auto"/>
        </w:rPr>
        <w:t xml:space="preserve">,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Arial" w:cs="Arial" w:eastAsia="Arial" w:hAnsi="Arial"/>
          <w:sz w:val="20"/>
          <w:szCs w:val="20"/>
          <w:u w:val="single" w:color="auto"/>
          <w:color w:val="auto"/>
        </w:rPr>
        <w:t>Section 3(c)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w:t>
      </w:r>
      <w:r>
        <w:rPr>
          <w:rFonts w:ascii="Arial" w:cs="Arial" w:eastAsia="Arial" w:hAnsi="Arial"/>
          <w:sz w:val="20"/>
          <w:szCs w:val="20"/>
          <w:color w:val="auto"/>
        </w:rPr>
        <w:t>, as applicable.</w:t>
      </w:r>
    </w:p>
    <w:p>
      <w:pPr>
        <w:spacing w:after="0" w:line="194" w:lineRule="exact"/>
        <w:rPr>
          <w:sz w:val="20"/>
          <w:szCs w:val="20"/>
          <w:color w:val="auto"/>
        </w:rPr>
      </w:pPr>
    </w:p>
    <w:p>
      <w:pPr>
        <w:ind w:right="40" w:firstLine="757"/>
        <w:spacing w:after="0" w:line="260" w:lineRule="auto"/>
        <w:tabs>
          <w:tab w:leader="none" w:pos="1018"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Deemed Resignation</w:t>
      </w:r>
      <w:r>
        <w:rPr>
          <w:rFonts w:ascii="Arial" w:cs="Arial" w:eastAsia="Arial" w:hAnsi="Arial"/>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84" w:lineRule="exact"/>
        <w:rPr>
          <w:rFonts w:ascii="Arial" w:cs="Arial" w:eastAsia="Arial" w:hAnsi="Arial"/>
          <w:sz w:val="20"/>
          <w:szCs w:val="20"/>
          <w:color w:val="auto"/>
        </w:rPr>
      </w:pPr>
    </w:p>
    <w:p>
      <w:pPr>
        <w:ind w:left="520" w:hanging="512"/>
        <w:spacing w:after="0"/>
        <w:tabs>
          <w:tab w:leader="none" w:pos="520" w:val="left"/>
        </w:tabs>
        <w:numPr>
          <w:ilvl w:val="0"/>
          <w:numId w:val="21"/>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Severance Payments</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ind w:right="140" w:firstLine="757"/>
        <w:spacing w:after="0" w:line="282" w:lineRule="auto"/>
        <w:tabs>
          <w:tab w:leader="none" w:pos="1018"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Termination for Cause, or Termination Upon Death, Disability or Resignation from the Company Without Good Reason</w:t>
      </w:r>
      <w:r>
        <w:rPr>
          <w:rFonts w:ascii="Arial" w:cs="Arial" w:eastAsia="Arial" w:hAnsi="Arial"/>
          <w:sz w:val="18"/>
          <w:szCs w:val="18"/>
          <w:color w:val="auto"/>
        </w:rPr>
        <w:t xml:space="preserve">. If Executive’s employment shall terminate as a result of Executive’s death pursuant to </w:t>
      </w:r>
      <w:r>
        <w:rPr>
          <w:rFonts w:ascii="Arial" w:cs="Arial" w:eastAsia="Arial" w:hAnsi="Arial"/>
          <w:sz w:val="18"/>
          <w:szCs w:val="18"/>
          <w:u w:val="single" w:color="auto"/>
          <w:color w:val="auto"/>
        </w:rPr>
        <w:t>Section 3(a)(i)</w:t>
      </w:r>
      <w:r>
        <w:rPr>
          <w:rFonts w:ascii="Arial" w:cs="Arial" w:eastAsia="Arial" w:hAnsi="Arial"/>
          <w:sz w:val="18"/>
          <w:szCs w:val="18"/>
          <w:color w:val="auto"/>
        </w:rPr>
        <w:t xml:space="preserve"> or Disability pursuant to </w:t>
      </w:r>
      <w:r>
        <w:rPr>
          <w:rFonts w:ascii="Arial" w:cs="Arial" w:eastAsia="Arial" w:hAnsi="Arial"/>
          <w:sz w:val="18"/>
          <w:szCs w:val="18"/>
          <w:u w:val="single" w:color="auto"/>
          <w:color w:val="auto"/>
        </w:rPr>
        <w:t>Section 3(a)(ii)</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3(a)(iii)</w:t>
      </w:r>
      <w:r>
        <w:rPr>
          <w:rFonts w:ascii="Arial" w:cs="Arial" w:eastAsia="Arial" w:hAnsi="Arial"/>
          <w:sz w:val="18"/>
          <w:szCs w:val="18"/>
          <w:color w:val="auto"/>
        </w:rPr>
        <w:t xml:space="preserve"> for Cause, or pursuant to </w:t>
      </w:r>
      <w:r>
        <w:rPr>
          <w:rFonts w:ascii="Arial" w:cs="Arial" w:eastAsia="Arial" w:hAnsi="Arial"/>
          <w:sz w:val="18"/>
          <w:szCs w:val="18"/>
          <w:u w:val="single" w:color="auto"/>
          <w:color w:val="auto"/>
        </w:rPr>
        <w:t>Section 3(a)(vi)</w:t>
      </w:r>
      <w:r>
        <w:rPr>
          <w:rFonts w:ascii="Arial" w:cs="Arial" w:eastAsia="Arial" w:hAnsi="Arial"/>
          <w:sz w:val="18"/>
          <w:szCs w:val="18"/>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8"/>
          <w:szCs w:val="18"/>
          <w:u w:val="single" w:color="auto"/>
          <w:color w:val="auto"/>
        </w:rPr>
        <w:t>Section 3(c)</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right="240" w:firstLine="757"/>
        <w:spacing w:after="0" w:line="243" w:lineRule="auto"/>
        <w:tabs>
          <w:tab w:leader="none" w:pos="1018" w:val="left"/>
        </w:tabs>
        <w:numPr>
          <w:ilvl w:val="1"/>
          <w:numId w:val="21"/>
        </w:numPr>
        <w:rPr>
          <w:rFonts w:ascii="Arial" w:cs="Arial" w:eastAsia="Arial" w:hAnsi="Arial"/>
          <w:sz w:val="20"/>
          <w:szCs w:val="20"/>
          <w:color w:val="auto"/>
        </w:rPr>
      </w:pPr>
      <w:r>
        <w:rPr>
          <w:rFonts w:ascii="Arial" w:cs="Arial" w:eastAsia="Arial" w:hAnsi="Arial"/>
          <w:sz w:val="20"/>
          <w:szCs w:val="20"/>
          <w:u w:val="single" w:color="auto"/>
          <w:color w:val="auto"/>
        </w:rPr>
        <w:t>Termination without Cause or Resignation from the Company with Good Reason</w:t>
      </w:r>
      <w:r>
        <w:rPr>
          <w:rFonts w:ascii="Arial" w:cs="Arial" w:eastAsia="Arial" w:hAnsi="Arial"/>
          <w:sz w:val="20"/>
          <w:szCs w:val="20"/>
          <w:color w:val="auto"/>
        </w:rPr>
        <w:t xml:space="preserve">. If Executive’s employment terminates without Cause pursuant to </w:t>
      </w:r>
      <w:r>
        <w:rPr>
          <w:rFonts w:ascii="Arial" w:cs="Arial" w:eastAsia="Arial" w:hAnsi="Arial"/>
          <w:sz w:val="20"/>
          <w:szCs w:val="20"/>
          <w:u w:val="single" w:color="auto"/>
          <w:color w:val="auto"/>
        </w:rPr>
        <w:t>Section 3(a)(iv)</w:t>
      </w:r>
      <w:r>
        <w:rPr>
          <w:rFonts w:ascii="Arial" w:cs="Arial" w:eastAsia="Arial" w:hAnsi="Arial"/>
          <w:sz w:val="20"/>
          <w:szCs w:val="20"/>
          <w:color w:val="auto"/>
        </w:rPr>
        <w:t xml:space="preserve">, or pursuant to </w:t>
      </w:r>
      <w:r>
        <w:rPr>
          <w:rFonts w:ascii="Arial" w:cs="Arial" w:eastAsia="Arial" w:hAnsi="Arial"/>
          <w:sz w:val="20"/>
          <w:szCs w:val="20"/>
          <w:u w:val="single" w:color="auto"/>
          <w:color w:val="auto"/>
        </w:rPr>
        <w:t>Section 3(a)(v)</w:t>
      </w:r>
      <w:r>
        <w:rPr>
          <w:rFonts w:ascii="Arial" w:cs="Arial" w:eastAsia="Arial" w:hAnsi="Arial"/>
          <w:sz w:val="20"/>
          <w:szCs w:val="20"/>
          <w:color w:val="auto"/>
        </w:rPr>
        <w:t xml:space="preserve"> due to Executive’s resignation with Good Reason, then except as otherwise provided under </w:t>
      </w:r>
      <w:r>
        <w:rPr>
          <w:rFonts w:ascii="Arial" w:cs="Arial" w:eastAsia="Arial" w:hAnsi="Arial"/>
          <w:sz w:val="20"/>
          <w:szCs w:val="20"/>
          <w:u w:val="single" w:color="auto"/>
          <w:color w:val="auto"/>
        </w:rPr>
        <w:t>Section 4(c)</w:t>
      </w:r>
      <w:r>
        <w:rPr>
          <w:rFonts w:ascii="Arial" w:cs="Arial" w:eastAsia="Arial" w:hAnsi="Arial"/>
          <w:sz w:val="20"/>
          <w:szCs w:val="20"/>
          <w:color w:val="auto"/>
        </w:rPr>
        <w:t xml:space="preserve"> and subject to Executive signing on or before the 21st day following Executive’s Separation from Service (as defined below), and not revoking, a release of claims substantially in the form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Agreement (the “</w:t>
      </w:r>
      <w:r>
        <w:rPr>
          <w:rFonts w:ascii="Arial" w:cs="Arial" w:eastAsia="Arial" w:hAnsi="Arial"/>
          <w:sz w:val="20"/>
          <w:szCs w:val="20"/>
          <w:u w:val="single" w:color="auto"/>
          <w:color w:val="auto"/>
        </w:rPr>
        <w:t>Release</w:t>
      </w:r>
      <w:r>
        <w:rPr>
          <w:rFonts w:ascii="Arial" w:cs="Arial" w:eastAsia="Arial" w:hAnsi="Arial"/>
          <w:sz w:val="20"/>
          <w:szCs w:val="20"/>
          <w:color w:val="auto"/>
        </w:rPr>
        <w:t xml:space="preserve">”) and Executive’s continued compliance with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Executive shall receive, in addition to payments and benefits set forth in </w:t>
      </w:r>
      <w:r>
        <w:rPr>
          <w:rFonts w:ascii="Arial" w:cs="Arial" w:eastAsia="Arial" w:hAnsi="Arial"/>
          <w:sz w:val="20"/>
          <w:szCs w:val="20"/>
          <w:u w:val="single" w:color="auto"/>
          <w:color w:val="auto"/>
        </w:rPr>
        <w:t>Section 3(c)</w:t>
      </w:r>
      <w:r>
        <w:rPr>
          <w:rFonts w:ascii="Arial" w:cs="Arial" w:eastAsia="Arial" w:hAnsi="Arial"/>
          <w:sz w:val="20"/>
          <w:szCs w:val="20"/>
          <w:color w:val="auto"/>
        </w:rPr>
        <w:t>, the following:</w:t>
      </w:r>
    </w:p>
    <w:p>
      <w:pPr>
        <w:spacing w:after="0" w:line="195" w:lineRule="exact"/>
        <w:rPr>
          <w:rFonts w:ascii="Arial" w:cs="Arial" w:eastAsia="Arial" w:hAnsi="Arial"/>
          <w:sz w:val="20"/>
          <w:szCs w:val="20"/>
          <w:color w:val="auto"/>
        </w:rPr>
      </w:pPr>
    </w:p>
    <w:p>
      <w:pPr>
        <w:ind w:left="760" w:right="180" w:firstLine="745"/>
        <w:spacing w:after="0" w:line="250" w:lineRule="auto"/>
        <w:tabs>
          <w:tab w:leader="none" w:pos="2048" w:val="left"/>
        </w:tabs>
        <w:numPr>
          <w:ilvl w:val="2"/>
          <w:numId w:val="21"/>
        </w:numPr>
        <w:rPr>
          <w:rFonts w:ascii="Arial" w:cs="Arial" w:eastAsia="Arial" w:hAnsi="Arial"/>
          <w:sz w:val="20"/>
          <w:szCs w:val="20"/>
          <w:color w:val="auto"/>
        </w:rPr>
      </w:pPr>
      <w:r>
        <w:rPr>
          <w:rFonts w:ascii="Arial" w:cs="Arial" w:eastAsia="Arial" w:hAnsi="Arial"/>
          <w:sz w:val="20"/>
          <w:szCs w:val="20"/>
          <w:color w:val="auto"/>
        </w:rPr>
        <w:t>an amount in cash equal to 1.0 times the Annual Base Salary, payable in the form of salary continuation in regular installments over the 12 month period following the date of Executive’s Separation from Service (the “</w:t>
      </w:r>
      <w:r>
        <w:rPr>
          <w:rFonts w:ascii="Arial" w:cs="Arial" w:eastAsia="Arial" w:hAnsi="Arial"/>
          <w:sz w:val="20"/>
          <w:szCs w:val="20"/>
          <w:u w:val="single" w:color="auto"/>
          <w:color w:val="auto"/>
        </w:rPr>
        <w:t>Severance Period</w:t>
      </w:r>
      <w:r>
        <w:rPr>
          <w:rFonts w:ascii="Arial" w:cs="Arial" w:eastAsia="Arial" w:hAnsi="Arial"/>
          <w:sz w:val="20"/>
          <w:szCs w:val="20"/>
          <w:color w:val="auto"/>
        </w:rPr>
        <w:t>”) in accordance with the Company’s normal payroll practices;</w:t>
      </w:r>
    </w:p>
    <w:p>
      <w:pPr>
        <w:spacing w:after="0" w:line="185" w:lineRule="exact"/>
        <w:rPr>
          <w:rFonts w:ascii="Arial" w:cs="Arial" w:eastAsia="Arial" w:hAnsi="Arial"/>
          <w:sz w:val="20"/>
          <w:szCs w:val="20"/>
          <w:color w:val="auto"/>
        </w:rPr>
      </w:pPr>
    </w:p>
    <w:p>
      <w:pPr>
        <w:ind w:left="760" w:right="40" w:firstLine="745"/>
        <w:spacing w:after="0" w:line="244" w:lineRule="auto"/>
        <w:tabs>
          <w:tab w:leader="none" w:pos="2048" w:val="left"/>
        </w:tabs>
        <w:numPr>
          <w:ilvl w:val="2"/>
          <w:numId w:val="21"/>
        </w:numPr>
        <w:rPr>
          <w:rFonts w:ascii="Arial" w:cs="Arial" w:eastAsia="Arial" w:hAnsi="Arial"/>
          <w:sz w:val="20"/>
          <w:szCs w:val="20"/>
          <w:color w:val="auto"/>
        </w:rPr>
      </w:pPr>
      <w:r>
        <w:rPr>
          <w:rFonts w:ascii="Arial" w:cs="Arial" w:eastAsia="Arial" w:hAnsi="Arial"/>
          <w:sz w:val="20"/>
          <w:szCs w:val="20"/>
          <w:color w:val="auto"/>
        </w:rPr>
        <w:t>to the extent unpaid as of the Date of Termination, an amount in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spacing w:after="0" w:line="194" w:lineRule="exact"/>
        <w:rPr>
          <w:rFonts w:ascii="Arial" w:cs="Arial" w:eastAsia="Arial" w:hAnsi="Arial"/>
          <w:sz w:val="20"/>
          <w:szCs w:val="20"/>
          <w:color w:val="auto"/>
        </w:rPr>
      </w:pPr>
    </w:p>
    <w:p>
      <w:pPr>
        <w:ind w:left="760" w:firstLine="745"/>
        <w:spacing w:after="0" w:line="274" w:lineRule="auto"/>
        <w:tabs>
          <w:tab w:leader="none" w:pos="2048" w:val="left"/>
        </w:tabs>
        <w:numPr>
          <w:ilvl w:val="2"/>
          <w:numId w:val="21"/>
        </w:numPr>
        <w:rPr>
          <w:rFonts w:ascii="Arial" w:cs="Arial" w:eastAsia="Arial" w:hAnsi="Arial"/>
          <w:sz w:val="18"/>
          <w:szCs w:val="18"/>
          <w:color w:val="auto"/>
        </w:rPr>
      </w:pPr>
      <w:r>
        <w:rPr>
          <w:rFonts w:ascii="Arial" w:cs="Arial" w:eastAsia="Arial" w:hAnsi="Arial"/>
          <w:sz w:val="18"/>
          <w:szCs w:val="18"/>
          <w:color w:val="auto"/>
        </w:rPr>
        <w:t>if Executive timely elects to receive continued medical, dental or vision coverage under one or more of the Company’s group medical, dental or vision plans pursuant to the Consolidated Omnibus Budget Reconciliation Act of 1985, as amended (“</w:t>
      </w:r>
      <w:r>
        <w:rPr>
          <w:rFonts w:ascii="Arial" w:cs="Arial" w:eastAsia="Arial" w:hAnsi="Arial"/>
          <w:sz w:val="18"/>
          <w:szCs w:val="18"/>
          <w:u w:val="single" w:color="auto"/>
          <w:color w:val="auto"/>
        </w:rPr>
        <w:t>COBRA</w:t>
      </w:r>
      <w:r>
        <w:rPr>
          <w:rFonts w:ascii="Arial" w:cs="Arial" w:eastAsia="Arial" w:hAnsi="Arial"/>
          <w:sz w:val="18"/>
          <w:szCs w:val="18"/>
          <w:color w:val="auto"/>
        </w:rPr>
        <w:t>”), then the Company shall directly pay, or reimburse Executive for, the COBRA premiums for Executive and Executive’s covered dependents under such plans, less the amount Executive would have had to pay to receive such coverage as an active employee based on the cost sharing levels in effect on the Date of Termination, during the period commencing on Executive’s Separation from Service and ending upon the earliest of (A) the last day of the Severance Period, (B) the date that Executive and/or Executive’s covered dependents become no longer eligible for COBRA and (C) the date</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9" w:name="page50"/>
    <w:bookmarkEnd w:id="49"/>
    <w:p>
      <w:pPr>
        <w:ind w:left="360"/>
        <w:spacing w:after="0" w:line="310" w:lineRule="auto"/>
        <w:rPr>
          <w:sz w:val="20"/>
          <w:szCs w:val="20"/>
          <w:color w:val="auto"/>
        </w:rPr>
      </w:pPr>
      <w:r>
        <w:rPr>
          <w:rFonts w:ascii="Arial" w:cs="Arial" w:eastAsia="Arial" w:hAnsi="Arial"/>
          <w:sz w:val="16"/>
          <w:szCs w:val="16"/>
          <w:color w:val="auto"/>
        </w:rPr>
        <w:t>Executive becomes eligible to receive medical, dental or vision coverage, as applicable, from a subsequent employer (and Executive agrees to promptly notify the Company of such eligibility) (the “</w:t>
      </w:r>
      <w:r>
        <w:rPr>
          <w:rFonts w:ascii="Arial" w:cs="Arial" w:eastAsia="Arial" w:hAnsi="Arial"/>
          <w:sz w:val="16"/>
          <w:szCs w:val="16"/>
          <w:u w:val="single" w:color="auto"/>
          <w:color w:val="auto"/>
        </w:rPr>
        <w:t>COBRA Continuation Period</w:t>
      </w:r>
      <w:r>
        <w:rPr>
          <w:rFonts w:ascii="Arial" w:cs="Arial" w:eastAsia="Arial" w:hAnsi="Arial"/>
          <w:sz w:val="16"/>
          <w:szCs w:val="16"/>
          <w:color w:val="auto"/>
        </w:rPr>
        <w:t>”). Notwithstanding the foregoing, if the Company determines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less the amount Executive would have had to pay to receive group health coverage as an active employee for Executive and his or her covered dependents based on the cost sharing levels in effect on the Date of Termination, which payments shall be made for the remainder of the COBRA Continuation Period.</w:t>
      </w:r>
    </w:p>
    <w:p>
      <w:pPr>
        <w:spacing w:after="0" w:line="143" w:lineRule="exact"/>
        <w:rPr>
          <w:sz w:val="20"/>
          <w:szCs w:val="20"/>
          <w:color w:val="auto"/>
        </w:rPr>
      </w:pPr>
    </w:p>
    <w:p>
      <w:pPr>
        <w:ind w:left="-400" w:right="20" w:firstLine="757"/>
        <w:spacing w:after="0" w:line="260" w:lineRule="auto"/>
        <w:tabs>
          <w:tab w:leader="none" w:pos="618"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In lieu of the payments and benefits set forth in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in the event Executive’s employment terminates without Cause pursuant to </w:t>
      </w:r>
      <w:r>
        <w:rPr>
          <w:rFonts w:ascii="Arial" w:cs="Arial" w:eastAsia="Arial" w:hAnsi="Arial"/>
          <w:sz w:val="19"/>
          <w:szCs w:val="19"/>
          <w:u w:val="single" w:color="auto"/>
          <w:color w:val="auto"/>
        </w:rPr>
        <w:t>Section 3(a)(iv)</w:t>
      </w:r>
      <w:r>
        <w:rPr>
          <w:rFonts w:ascii="Arial" w:cs="Arial" w:eastAsia="Arial" w:hAnsi="Arial"/>
          <w:sz w:val="19"/>
          <w:szCs w:val="19"/>
          <w:color w:val="auto"/>
        </w:rPr>
        <w:t xml:space="preserve">, or pursuant to </w:t>
      </w:r>
      <w:r>
        <w:rPr>
          <w:rFonts w:ascii="Arial" w:cs="Arial" w:eastAsia="Arial" w:hAnsi="Arial"/>
          <w:sz w:val="19"/>
          <w:szCs w:val="19"/>
          <w:u w:val="single" w:color="auto"/>
          <w:color w:val="auto"/>
        </w:rPr>
        <w:t>Section 3(a)(v)</w:t>
      </w:r>
      <w:r>
        <w:rPr>
          <w:rFonts w:ascii="Arial" w:cs="Arial" w:eastAsia="Arial" w:hAnsi="Arial"/>
          <w:sz w:val="19"/>
          <w:szCs w:val="19"/>
          <w:color w:val="auto"/>
        </w:rPr>
        <w:t xml:space="preserve"> due to Executive’s resignation with Good Reason, in either case, on or within twelve (12) months following the date of a Change in Control, subject to Executive signing on or before the 21st day following Executive’s Separation from Service, and not revoking, the Release and Executive’s continued compliance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Executive shall receive, in addition to the payments and benefits set forth in </w:t>
      </w:r>
      <w:r>
        <w:rPr>
          <w:rFonts w:ascii="Arial" w:cs="Arial" w:eastAsia="Arial" w:hAnsi="Arial"/>
          <w:sz w:val="19"/>
          <w:szCs w:val="19"/>
          <w:u w:val="single" w:color="auto"/>
          <w:color w:val="auto"/>
        </w:rPr>
        <w:t>Section 3(c)</w:t>
      </w:r>
      <w:r>
        <w:rPr>
          <w:rFonts w:ascii="Arial" w:cs="Arial" w:eastAsia="Arial" w:hAnsi="Arial"/>
          <w:sz w:val="19"/>
          <w:szCs w:val="19"/>
          <w:color w:val="auto"/>
        </w:rPr>
        <w:t>, the following:</w:t>
      </w:r>
    </w:p>
    <w:p>
      <w:pPr>
        <w:spacing w:after="0" w:line="180" w:lineRule="exact"/>
        <w:rPr>
          <w:rFonts w:ascii="Arial" w:cs="Arial" w:eastAsia="Arial" w:hAnsi="Arial"/>
          <w:sz w:val="19"/>
          <w:szCs w:val="19"/>
          <w:color w:val="auto"/>
        </w:rPr>
      </w:pPr>
    </w:p>
    <w:p>
      <w:pPr>
        <w:ind w:left="360" w:right="140" w:firstLine="745"/>
        <w:spacing w:after="0" w:line="250" w:lineRule="auto"/>
        <w:tabs>
          <w:tab w:leader="none" w:pos="1648" w:val="left"/>
        </w:tabs>
        <w:numPr>
          <w:ilvl w:val="1"/>
          <w:numId w:val="22"/>
        </w:numPr>
        <w:rPr>
          <w:rFonts w:ascii="Arial" w:cs="Arial" w:eastAsia="Arial" w:hAnsi="Arial"/>
          <w:sz w:val="20"/>
          <w:szCs w:val="20"/>
          <w:color w:val="auto"/>
        </w:rPr>
      </w:pPr>
      <w:r>
        <w:rPr>
          <w:rFonts w:ascii="Arial" w:cs="Arial" w:eastAsia="Arial" w:hAnsi="Arial"/>
          <w:sz w:val="20"/>
          <w:szCs w:val="20"/>
          <w:color w:val="auto"/>
        </w:rPr>
        <w:t>an amount in cash equal to 1.5 times the Annual Base Salary, payable in equal installments over the 18 month period following the date of Executive’s Separation from Service (the “</w:t>
      </w:r>
      <w:r>
        <w:rPr>
          <w:rFonts w:ascii="Arial" w:cs="Arial" w:eastAsia="Arial" w:hAnsi="Arial"/>
          <w:sz w:val="20"/>
          <w:szCs w:val="20"/>
          <w:u w:val="single" w:color="auto"/>
          <w:color w:val="auto"/>
        </w:rPr>
        <w:t>CIC Severance Period</w:t>
      </w:r>
      <w:r>
        <w:rPr>
          <w:rFonts w:ascii="Arial" w:cs="Arial" w:eastAsia="Arial" w:hAnsi="Arial"/>
          <w:sz w:val="20"/>
          <w:szCs w:val="20"/>
          <w:color w:val="auto"/>
        </w:rPr>
        <w:t>”) in accordance with the Company’s normal payroll practices;</w:t>
      </w:r>
    </w:p>
    <w:p>
      <w:pPr>
        <w:spacing w:after="0" w:line="185" w:lineRule="exact"/>
        <w:rPr>
          <w:rFonts w:ascii="Arial" w:cs="Arial" w:eastAsia="Arial" w:hAnsi="Arial"/>
          <w:sz w:val="20"/>
          <w:szCs w:val="20"/>
          <w:color w:val="auto"/>
        </w:rPr>
      </w:pPr>
    </w:p>
    <w:p>
      <w:pPr>
        <w:ind w:left="1640" w:hanging="535"/>
        <w:spacing w:after="0"/>
        <w:tabs>
          <w:tab w:leader="none" w:pos="1640" w:val="left"/>
        </w:tabs>
        <w:numPr>
          <w:ilvl w:val="1"/>
          <w:numId w:val="22"/>
        </w:numPr>
        <w:rPr>
          <w:rFonts w:ascii="Arial" w:cs="Arial" w:eastAsia="Arial" w:hAnsi="Arial"/>
          <w:sz w:val="20"/>
          <w:szCs w:val="20"/>
          <w:color w:val="auto"/>
        </w:rPr>
      </w:pPr>
      <w:r>
        <w:rPr>
          <w:rFonts w:ascii="Arial" w:cs="Arial" w:eastAsia="Arial" w:hAnsi="Arial"/>
          <w:sz w:val="20"/>
          <w:szCs w:val="20"/>
          <w:color w:val="auto"/>
        </w:rPr>
        <w:t xml:space="preserve">the payment set forth in </w:t>
      </w:r>
      <w:r>
        <w:rPr>
          <w:rFonts w:ascii="Arial" w:cs="Arial" w:eastAsia="Arial" w:hAnsi="Arial"/>
          <w:sz w:val="20"/>
          <w:szCs w:val="20"/>
          <w:u w:val="single" w:color="auto"/>
          <w:color w:val="auto"/>
        </w:rPr>
        <w:t>Section 4(b)(ii)</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360" w:right="160" w:firstLine="745"/>
        <w:spacing w:after="0" w:line="260" w:lineRule="auto"/>
        <w:tabs>
          <w:tab w:leader="none" w:pos="1648" w:val="left"/>
        </w:tabs>
        <w:numPr>
          <w:ilvl w:val="1"/>
          <w:numId w:val="22"/>
        </w:numPr>
        <w:rPr>
          <w:rFonts w:ascii="Arial" w:cs="Arial" w:eastAsia="Arial" w:hAnsi="Arial"/>
          <w:sz w:val="20"/>
          <w:szCs w:val="20"/>
          <w:color w:val="auto"/>
        </w:rPr>
      </w:pPr>
      <w:r>
        <w:rPr>
          <w:rFonts w:ascii="Arial" w:cs="Arial" w:eastAsia="Arial" w:hAnsi="Arial"/>
          <w:sz w:val="20"/>
          <w:szCs w:val="20"/>
          <w:color w:val="auto"/>
        </w:rPr>
        <w:t xml:space="preserve">the benefits set forth in </w:t>
      </w:r>
      <w:r>
        <w:rPr>
          <w:rFonts w:ascii="Arial" w:cs="Arial" w:eastAsia="Arial" w:hAnsi="Arial"/>
          <w:sz w:val="20"/>
          <w:szCs w:val="20"/>
          <w:u w:val="single" w:color="auto"/>
          <w:color w:val="auto"/>
        </w:rPr>
        <w:t>Section 4(b)(iii)</w:t>
      </w:r>
      <w:r>
        <w:rPr>
          <w:rFonts w:ascii="Arial" w:cs="Arial" w:eastAsia="Arial" w:hAnsi="Arial"/>
          <w:sz w:val="20"/>
          <w:szCs w:val="20"/>
          <w:color w:val="auto"/>
        </w:rPr>
        <w:t>, provided that for this purpose, the “Severance Period” will mean the CIC Severance Period;</w:t>
      </w:r>
    </w:p>
    <w:p>
      <w:pPr>
        <w:spacing w:after="0" w:line="176" w:lineRule="exact"/>
        <w:rPr>
          <w:rFonts w:ascii="Arial" w:cs="Arial" w:eastAsia="Arial" w:hAnsi="Arial"/>
          <w:sz w:val="20"/>
          <w:szCs w:val="20"/>
          <w:color w:val="auto"/>
        </w:rPr>
      </w:pPr>
    </w:p>
    <w:p>
      <w:pPr>
        <w:ind w:left="360" w:right="540" w:firstLine="745"/>
        <w:spacing w:after="0" w:line="260" w:lineRule="auto"/>
        <w:tabs>
          <w:tab w:leader="none" w:pos="1648" w:val="left"/>
        </w:tabs>
        <w:numPr>
          <w:ilvl w:val="1"/>
          <w:numId w:val="22"/>
        </w:numPr>
        <w:rPr>
          <w:rFonts w:ascii="Arial" w:cs="Arial" w:eastAsia="Arial" w:hAnsi="Arial"/>
          <w:sz w:val="20"/>
          <w:szCs w:val="20"/>
          <w:color w:val="auto"/>
        </w:rPr>
      </w:pPr>
      <w:r>
        <w:rPr>
          <w:rFonts w:ascii="Arial" w:cs="Arial" w:eastAsia="Arial" w:hAnsi="Arial"/>
          <w:sz w:val="20"/>
          <w:szCs w:val="20"/>
          <w:color w:val="auto"/>
        </w:rPr>
        <w:t>an amount in cash equal to 1.5 times the Target Annual Bonus, payable in a lump sum on the Company’s first ordinary payroll date that occurs after the Date of Termination; and</w:t>
      </w:r>
    </w:p>
    <w:p>
      <w:pPr>
        <w:spacing w:after="0" w:line="176" w:lineRule="exact"/>
        <w:rPr>
          <w:rFonts w:ascii="Arial" w:cs="Arial" w:eastAsia="Arial" w:hAnsi="Arial"/>
          <w:sz w:val="20"/>
          <w:szCs w:val="20"/>
          <w:color w:val="auto"/>
        </w:rPr>
      </w:pPr>
    </w:p>
    <w:p>
      <w:pPr>
        <w:ind w:left="360" w:right="180" w:firstLine="745"/>
        <w:spacing w:after="0" w:line="269" w:lineRule="auto"/>
        <w:tabs>
          <w:tab w:leader="none" w:pos="1648" w:val="left"/>
        </w:tabs>
        <w:numPr>
          <w:ilvl w:val="1"/>
          <w:numId w:val="22"/>
        </w:numPr>
        <w:rPr>
          <w:rFonts w:ascii="Arial" w:cs="Arial" w:eastAsia="Arial" w:hAnsi="Arial"/>
          <w:sz w:val="19"/>
          <w:szCs w:val="19"/>
          <w:color w:val="auto"/>
        </w:rPr>
      </w:pPr>
      <w:r>
        <w:rPr>
          <w:rFonts w:ascii="Arial" w:cs="Arial" w:eastAsia="Arial" w:hAnsi="Arial"/>
          <w:sz w:val="19"/>
          <w:szCs w:val="19"/>
          <w:color w:val="auto"/>
        </w:rPr>
        <w:t>all unvested equity or equity-based awards held by Executive under any Company equity compensation plans that vest solely based on continued employment or service shall immediately become 100% vested, with any other equity or equity-based awards being governed by the terms of the applicable award agreement.</w:t>
      </w:r>
    </w:p>
    <w:p>
      <w:pPr>
        <w:spacing w:after="0" w:line="169" w:lineRule="exact"/>
        <w:rPr>
          <w:rFonts w:ascii="Arial" w:cs="Arial" w:eastAsia="Arial" w:hAnsi="Arial"/>
          <w:sz w:val="19"/>
          <w:szCs w:val="19"/>
          <w:color w:val="auto"/>
        </w:rPr>
      </w:pPr>
    </w:p>
    <w:p>
      <w:pPr>
        <w:ind w:left="-400" w:right="280" w:firstLine="757"/>
        <w:spacing w:after="0" w:line="260" w:lineRule="auto"/>
        <w:tabs>
          <w:tab w:leader="none" w:pos="618"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Notwithstanding anything to the contrary in this Agreement, the provisions of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5 through </w:t>
      </w:r>
      <w:r>
        <w:rPr>
          <w:rFonts w:ascii="Arial" w:cs="Arial" w:eastAsia="Arial" w:hAnsi="Arial"/>
          <w:sz w:val="20"/>
          <w:szCs w:val="20"/>
          <w:u w:val="single" w:color="auto"/>
          <w:color w:val="auto"/>
        </w:rPr>
        <w:t>9</w:t>
      </w:r>
      <w:r>
        <w:rPr>
          <w:rFonts w:ascii="Arial" w:cs="Arial" w:eastAsia="Arial" w:hAnsi="Arial"/>
          <w:sz w:val="20"/>
          <w:szCs w:val="20"/>
          <w:color w:val="auto"/>
        </w:rPr>
        <w:t xml:space="preserve"> will survive the termination of Executive’s employment and the termination of the Term.</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597535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582" w:right="339" w:bottom="1440" w:gutter="0" w:footer="0" w:header="0"/>
        </w:sectPr>
      </w:pPr>
    </w:p>
    <w:bookmarkStart w:id="50" w:name="page51"/>
    <w:bookmarkEnd w:id="50"/>
    <w:p>
      <w:pPr>
        <w:ind w:right="80" w:firstLine="8"/>
        <w:spacing w:after="0" w:line="276" w:lineRule="auto"/>
        <w:tabs>
          <w:tab w:leader="none" w:pos="509" w:val="left"/>
        </w:tabs>
        <w:numPr>
          <w:ilvl w:val="0"/>
          <w:numId w:val="23"/>
        </w:numPr>
        <w:rPr>
          <w:rFonts w:ascii="Arial" w:cs="Arial" w:eastAsia="Arial" w:hAnsi="Arial"/>
          <w:sz w:val="19"/>
          <w:szCs w:val="19"/>
          <w:b w:val="1"/>
          <w:bCs w:val="1"/>
          <w:color w:val="auto"/>
        </w:rPr>
      </w:pPr>
      <w:r>
        <w:rPr>
          <w:rFonts w:ascii="Arial" w:cs="Arial" w:eastAsia="Arial" w:hAnsi="Arial"/>
          <w:sz w:val="18"/>
          <w:szCs w:val="18"/>
          <w:b w:val="1"/>
          <w:bCs w:val="1"/>
          <w:u w:val="single" w:color="auto"/>
          <w:color w:val="auto"/>
        </w:rPr>
        <w:t>Restrictive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acknowledges that Executive is subject to the terms and provisions of an Employee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and Inventions Assignment Agreement, effective as of September 11, 2023 (the “</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Executive agrees to abide by the terms of the Restrictive Covenant Agreement, which is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73" w:lineRule="exact"/>
        <w:rPr>
          <w:rFonts w:ascii="Arial" w:cs="Arial" w:eastAsia="Arial" w:hAnsi="Arial"/>
          <w:sz w:val="19"/>
          <w:szCs w:val="19"/>
          <w:b w:val="1"/>
          <w:bCs w:val="1"/>
          <w:color w:val="auto"/>
        </w:rPr>
      </w:pPr>
    </w:p>
    <w:p>
      <w:pPr>
        <w:ind w:left="520" w:hanging="512"/>
        <w:spacing w:after="0"/>
        <w:tabs>
          <w:tab w:leader="none" w:pos="520" w:val="left"/>
        </w:tabs>
        <w:numPr>
          <w:ilvl w:val="0"/>
          <w:numId w:val="23"/>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Assignment and Successors</w:t>
      </w:r>
      <w:r>
        <w:rPr>
          <w:rFonts w:ascii="Arial" w:cs="Arial" w:eastAsia="Arial" w:hAnsi="Arial"/>
          <w:sz w:val="20"/>
          <w:szCs w:val="20"/>
          <w:b w:val="1"/>
          <w:bCs w:val="1"/>
          <w:color w:val="auto"/>
        </w:rPr>
        <w:t>.</w:t>
      </w:r>
    </w:p>
    <w:p>
      <w:pPr>
        <w:spacing w:after="0" w:line="199" w:lineRule="exact"/>
        <w:rPr>
          <w:sz w:val="20"/>
          <w:szCs w:val="20"/>
          <w:color w:val="auto"/>
        </w:rPr>
      </w:pPr>
    </w:p>
    <w:p>
      <w:pPr>
        <w:ind w:firstLine="749"/>
        <w:spacing w:after="0" w:line="242" w:lineRule="auto"/>
        <w:rPr>
          <w:sz w:val="20"/>
          <w:szCs w:val="20"/>
          <w:color w:val="auto"/>
        </w:rPr>
      </w:pPr>
      <w:r>
        <w:rPr>
          <w:rFonts w:ascii="Arial" w:cs="Arial" w:eastAsia="Arial" w:hAnsi="Arial"/>
          <w:sz w:val="20"/>
          <w:szCs w:val="20"/>
          <w:color w:val="auto"/>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202"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Certain Definitions</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ind w:left="1020" w:hanging="263"/>
        <w:spacing w:after="0"/>
        <w:tabs>
          <w:tab w:leader="none" w:pos="1020" w:val="left"/>
        </w:tabs>
        <w:numPr>
          <w:ilvl w:val="1"/>
          <w:numId w:val="24"/>
        </w:numPr>
        <w:rPr>
          <w:rFonts w:ascii="Arial" w:cs="Arial" w:eastAsia="Arial" w:hAnsi="Arial"/>
          <w:sz w:val="20"/>
          <w:szCs w:val="20"/>
          <w:color w:val="auto"/>
        </w:rPr>
      </w:pPr>
      <w:r>
        <w:rPr>
          <w:rFonts w:ascii="Arial" w:cs="Arial" w:eastAsia="Arial" w:hAnsi="Arial"/>
          <w:sz w:val="20"/>
          <w:szCs w:val="20"/>
          <w:u w:val="single" w:color="auto"/>
          <w:color w:val="auto"/>
        </w:rPr>
        <w:t>Cause</w:t>
      </w:r>
      <w:r>
        <w:rPr>
          <w:rFonts w:ascii="Arial" w:cs="Arial" w:eastAsia="Arial" w:hAnsi="Arial"/>
          <w:sz w:val="20"/>
          <w:szCs w:val="20"/>
          <w:color w:val="auto"/>
        </w:rPr>
        <w:t>. The Company shall have “Cause” to terminate Executive’s employment hereunder upon:</w:t>
      </w:r>
    </w:p>
    <w:p>
      <w:pPr>
        <w:spacing w:after="0" w:line="215" w:lineRule="exact"/>
        <w:rPr>
          <w:rFonts w:ascii="Arial" w:cs="Arial" w:eastAsia="Arial" w:hAnsi="Arial"/>
          <w:sz w:val="20"/>
          <w:szCs w:val="20"/>
          <w:color w:val="auto"/>
        </w:rPr>
      </w:pPr>
    </w:p>
    <w:p>
      <w:pPr>
        <w:ind w:left="760" w:right="20" w:firstLine="745"/>
        <w:spacing w:after="0" w:line="250" w:lineRule="auto"/>
        <w:tabs>
          <w:tab w:leader="none" w:pos="2048" w:val="left"/>
        </w:tabs>
        <w:numPr>
          <w:ilvl w:val="2"/>
          <w:numId w:val="24"/>
        </w:numPr>
        <w:rPr>
          <w:rFonts w:ascii="Arial" w:cs="Arial" w:eastAsia="Arial" w:hAnsi="Arial"/>
          <w:sz w:val="20"/>
          <w:szCs w:val="20"/>
          <w:color w:val="auto"/>
        </w:rPr>
      </w:pPr>
      <w:r>
        <w:rPr>
          <w:rFonts w:ascii="Arial" w:cs="Arial" w:eastAsia="Arial" w:hAnsi="Arial"/>
          <w:sz w:val="20"/>
          <w:szCs w:val="20"/>
          <w:color w:val="auto"/>
        </w:rPr>
        <w:t>The Board’s reasonable, good faith determination that Executive has refused to (A) substantially perform the duties associated with Executive’s position with the Company or (B) carry out the reasonable and lawful instructions of the Board concerning duties or actions consistent with the Executive’s position with the Company;</w:t>
      </w:r>
    </w:p>
    <w:p>
      <w:pPr>
        <w:spacing w:after="0" w:line="185" w:lineRule="exact"/>
        <w:rPr>
          <w:rFonts w:ascii="Arial" w:cs="Arial" w:eastAsia="Arial" w:hAnsi="Arial"/>
          <w:sz w:val="20"/>
          <w:szCs w:val="20"/>
          <w:color w:val="auto"/>
        </w:rPr>
      </w:pPr>
    </w:p>
    <w:p>
      <w:pPr>
        <w:ind w:left="760" w:firstLine="745"/>
        <w:spacing w:after="0" w:line="260" w:lineRule="auto"/>
        <w:tabs>
          <w:tab w:leader="none" w:pos="2048" w:val="left"/>
        </w:tabs>
        <w:numPr>
          <w:ilvl w:val="2"/>
          <w:numId w:val="24"/>
        </w:numPr>
        <w:rPr>
          <w:rFonts w:ascii="Arial" w:cs="Arial" w:eastAsia="Arial" w:hAnsi="Arial"/>
          <w:sz w:val="20"/>
          <w:szCs w:val="20"/>
          <w:color w:val="auto"/>
        </w:rPr>
      </w:pPr>
      <w:r>
        <w:rPr>
          <w:rFonts w:ascii="Arial" w:cs="Arial" w:eastAsia="Arial" w:hAnsi="Arial"/>
          <w:sz w:val="20"/>
          <w:szCs w:val="20"/>
          <w:color w:val="auto"/>
        </w:rPr>
        <w:t>Executive’s material breach of a Policy, this Agreement or any other material agreement between the Executive and the Company (including, without limitation, the Restrictive Covenant Agreement);</w:t>
      </w:r>
    </w:p>
    <w:p>
      <w:pPr>
        <w:spacing w:after="0" w:line="176" w:lineRule="exact"/>
        <w:rPr>
          <w:rFonts w:ascii="Arial" w:cs="Arial" w:eastAsia="Arial" w:hAnsi="Arial"/>
          <w:sz w:val="20"/>
          <w:szCs w:val="20"/>
          <w:color w:val="auto"/>
        </w:rPr>
      </w:pPr>
    </w:p>
    <w:p>
      <w:pPr>
        <w:ind w:left="760" w:right="260" w:firstLine="745"/>
        <w:spacing w:after="0" w:line="260" w:lineRule="auto"/>
        <w:tabs>
          <w:tab w:leader="none" w:pos="2048" w:val="left"/>
        </w:tabs>
        <w:numPr>
          <w:ilvl w:val="2"/>
          <w:numId w:val="24"/>
        </w:numPr>
        <w:rPr>
          <w:rFonts w:ascii="Arial" w:cs="Arial" w:eastAsia="Arial" w:hAnsi="Arial"/>
          <w:sz w:val="20"/>
          <w:szCs w:val="20"/>
          <w:color w:val="auto"/>
        </w:rPr>
      </w:pPr>
      <w:r>
        <w:rPr>
          <w:rFonts w:ascii="Arial" w:cs="Arial" w:eastAsia="Arial" w:hAnsi="Arial"/>
          <w:sz w:val="20"/>
          <w:szCs w:val="20"/>
          <w:color w:val="auto"/>
        </w:rPr>
        <w:t xml:space="preserve">Executive’s conviction, plea of no contest, plea of </w:t>
      </w:r>
      <w:r>
        <w:rPr>
          <w:rFonts w:ascii="Arial" w:cs="Arial" w:eastAsia="Arial" w:hAnsi="Arial"/>
          <w:sz w:val="20"/>
          <w:szCs w:val="20"/>
          <w:i w:val="1"/>
          <w:iCs w:val="1"/>
          <w:color w:val="auto"/>
        </w:rPr>
        <w:t>nolo contendere</w:t>
      </w:r>
      <w:r>
        <w:rPr>
          <w:rFonts w:ascii="Arial" w:cs="Arial" w:eastAsia="Arial" w:hAnsi="Arial"/>
          <w:sz w:val="20"/>
          <w:szCs w:val="20"/>
          <w:color w:val="auto"/>
        </w:rPr>
        <w:t>, or imposition of unadjudicated probation for any felony or crime involving moral turpitude;</w:t>
      </w:r>
    </w:p>
    <w:p>
      <w:pPr>
        <w:spacing w:after="0" w:line="176" w:lineRule="exact"/>
        <w:rPr>
          <w:rFonts w:ascii="Arial" w:cs="Arial" w:eastAsia="Arial" w:hAnsi="Arial"/>
          <w:sz w:val="20"/>
          <w:szCs w:val="20"/>
          <w:color w:val="auto"/>
        </w:rPr>
      </w:pPr>
    </w:p>
    <w:p>
      <w:pPr>
        <w:ind w:left="760" w:right="40" w:firstLine="745"/>
        <w:spacing w:after="0" w:line="316" w:lineRule="auto"/>
        <w:tabs>
          <w:tab w:leader="none" w:pos="2048" w:val="left"/>
        </w:tabs>
        <w:numPr>
          <w:ilvl w:val="2"/>
          <w:numId w:val="24"/>
        </w:numPr>
        <w:rPr>
          <w:rFonts w:ascii="Arial" w:cs="Arial" w:eastAsia="Arial" w:hAnsi="Arial"/>
          <w:sz w:val="18"/>
          <w:szCs w:val="18"/>
          <w:color w:val="auto"/>
        </w:rPr>
      </w:pPr>
      <w:r>
        <w:rPr>
          <w:rFonts w:ascii="Arial" w:cs="Arial" w:eastAsia="Arial" w:hAnsi="Arial"/>
          <w:sz w:val="18"/>
          <w:szCs w:val="18"/>
          <w:color w:val="auto"/>
        </w:rPr>
        <w:t>Executive’s unlawful use (including being under the influence) or possession of illegal drugs on the Company’s (or any of its affiliate’s) premises or while performing Executive’s duties and responsibilities under this Agreement; or</w:t>
      </w:r>
    </w:p>
    <w:p>
      <w:pPr>
        <w:spacing w:after="0" w:line="129" w:lineRule="exact"/>
        <w:rPr>
          <w:rFonts w:ascii="Arial" w:cs="Arial" w:eastAsia="Arial" w:hAnsi="Arial"/>
          <w:sz w:val="18"/>
          <w:szCs w:val="18"/>
          <w:color w:val="auto"/>
        </w:rPr>
      </w:pPr>
    </w:p>
    <w:p>
      <w:pPr>
        <w:ind w:left="760" w:right="600" w:firstLine="745"/>
        <w:spacing w:after="0" w:line="260" w:lineRule="auto"/>
        <w:tabs>
          <w:tab w:leader="none" w:pos="2048" w:val="left"/>
        </w:tabs>
        <w:numPr>
          <w:ilvl w:val="2"/>
          <w:numId w:val="24"/>
        </w:numPr>
        <w:rPr>
          <w:rFonts w:ascii="Arial" w:cs="Arial" w:eastAsia="Arial" w:hAnsi="Arial"/>
          <w:sz w:val="20"/>
          <w:szCs w:val="20"/>
          <w:color w:val="auto"/>
        </w:rPr>
      </w:pPr>
      <w:r>
        <w:rPr>
          <w:rFonts w:ascii="Arial" w:cs="Arial" w:eastAsia="Arial" w:hAnsi="Arial"/>
          <w:sz w:val="20"/>
          <w:szCs w:val="20"/>
          <w:color w:val="auto"/>
        </w:rPr>
        <w:t>Executive’s commission of any act of fraud or material dishonesty, embezzlement, misappropriation, willful misconduct, or breach of fiduciary duty against the Company or any of its affiliates;</w:t>
      </w:r>
    </w:p>
    <w:p>
      <w:pPr>
        <w:spacing w:after="0" w:line="177"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Executive’s termination will not be considered for Cause unless and until (a) the Company has provided Executive,</w:t>
      </w:r>
      <w:r>
        <w:rPr>
          <w:rFonts w:ascii="Arial" w:cs="Arial" w:eastAsia="Arial" w:hAnsi="Arial"/>
          <w:sz w:val="20"/>
          <w:szCs w:val="20"/>
          <w:i w:val="1"/>
          <w:iCs w:val="1"/>
          <w:color w:val="auto"/>
        </w:rPr>
        <w:t xml:space="preserve"> </w:t>
      </w:r>
      <w:r>
        <w:rPr>
          <w:rFonts w:ascii="Arial" w:cs="Arial" w:eastAsia="Arial" w:hAnsi="Arial"/>
          <w:sz w:val="20"/>
          <w:szCs w:val="20"/>
          <w:color w:val="auto"/>
        </w:rPr>
        <w:t>within 60 days of the Company’s knowledge of the occurrence of the</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9" w:right="379" w:bottom="1440" w:gutter="0" w:footer="0" w:header="0"/>
        </w:sectPr>
      </w:pPr>
    </w:p>
    <w:bookmarkStart w:id="51" w:name="page52"/>
    <w:bookmarkEnd w:id="51"/>
    <w:p>
      <w:pPr>
        <w:jc w:val="both"/>
        <w:ind w:right="80"/>
        <w:spacing w:after="0" w:line="278" w:lineRule="auto"/>
        <w:rPr>
          <w:sz w:val="20"/>
          <w:szCs w:val="20"/>
          <w:color w:val="auto"/>
        </w:rPr>
      </w:pPr>
      <w:r>
        <w:rPr>
          <w:rFonts w:ascii="Arial" w:cs="Arial" w:eastAsia="Arial" w:hAnsi="Arial"/>
          <w:sz w:val="18"/>
          <w:szCs w:val="18"/>
          <w:color w:val="auto"/>
        </w:rPr>
        <w:t>facts and circumstances underlying the Cause event, written notice stating with reasonable specificity the applicable facts and circumstances underlying such finding of Cause and (b) in the case of alleged Cause under clause (i) or (ii) of the foregoing definition (except with respect to a breach of the Restrictive Covenant Agreement) and to the extent the applicable condition or event is reasonably capable of being cured, Executive shall have failed to cure such condition or event within 30 days after the receipt of such notice, provided that Executive need not have been provided an opportunity to cure more than once in any twelve month period.</w:t>
      </w:r>
    </w:p>
    <w:p>
      <w:pPr>
        <w:spacing w:after="0" w:line="165" w:lineRule="exact"/>
        <w:rPr>
          <w:sz w:val="20"/>
          <w:szCs w:val="20"/>
          <w:color w:val="auto"/>
        </w:rPr>
      </w:pPr>
    </w:p>
    <w:p>
      <w:pPr>
        <w:ind w:left="1020" w:hanging="26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“Change in Control” shall have the meaning set forth in the Sight Sciences, Inc. 2021 Incentive Award Plan.</w:t>
      </w:r>
    </w:p>
    <w:p>
      <w:pPr>
        <w:spacing w:after="0" w:line="238" w:lineRule="exact"/>
        <w:rPr>
          <w:rFonts w:ascii="Arial" w:cs="Arial" w:eastAsia="Arial" w:hAnsi="Arial"/>
          <w:sz w:val="18"/>
          <w:szCs w:val="18"/>
          <w:color w:val="auto"/>
        </w:rPr>
      </w:pPr>
    </w:p>
    <w:p>
      <w:pPr>
        <w:ind w:left="1020" w:hanging="26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shall mean the Internal Revenue Code of 1986, as amended, and the regulations and guidance promulgated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thereunder.</w:t>
      </w:r>
    </w:p>
    <w:p>
      <w:pPr>
        <w:spacing w:after="0" w:line="199" w:lineRule="exact"/>
        <w:rPr>
          <w:rFonts w:ascii="Arial" w:cs="Arial" w:eastAsia="Arial" w:hAnsi="Arial"/>
          <w:sz w:val="18"/>
          <w:szCs w:val="18"/>
          <w:color w:val="auto"/>
        </w:rPr>
      </w:pPr>
    </w:p>
    <w:p>
      <w:pPr>
        <w:jc w:val="both"/>
        <w:ind w:right="220" w:firstLine="757"/>
        <w:spacing w:after="0" w:line="269" w:lineRule="auto"/>
        <w:tabs>
          <w:tab w:leader="none" w:pos="1018"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19"/>
          <w:szCs w:val="19"/>
          <w:u w:val="single" w:color="auto"/>
          <w:color w:val="auto"/>
        </w:rPr>
        <w:t>Section 3(a)(ii)</w:t>
      </w:r>
      <w:r>
        <w:rPr>
          <w:rFonts w:ascii="Arial" w:cs="Arial" w:eastAsia="Arial" w:hAnsi="Arial"/>
          <w:sz w:val="19"/>
          <w:szCs w:val="19"/>
          <w:color w:val="auto"/>
        </w:rPr>
        <w:t xml:space="preserve"> –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either the date indicated in the Notice of Termination or the date specified by the Company pursuant to </w:t>
      </w:r>
      <w:r>
        <w:rPr>
          <w:rFonts w:ascii="Arial" w:cs="Arial" w:eastAsia="Arial" w:hAnsi="Arial"/>
          <w:sz w:val="19"/>
          <w:szCs w:val="19"/>
          <w:u w:val="single" w:color="auto"/>
          <w:color w:val="auto"/>
        </w:rPr>
        <w:t>Section 3(b)</w:t>
      </w:r>
      <w:r>
        <w:rPr>
          <w:rFonts w:ascii="Arial" w:cs="Arial" w:eastAsia="Arial" w:hAnsi="Arial"/>
          <w:sz w:val="19"/>
          <w:szCs w:val="19"/>
          <w:color w:val="auto"/>
        </w:rPr>
        <w:t>, whichever is earlier.</w:t>
      </w:r>
    </w:p>
    <w:p>
      <w:pPr>
        <w:spacing w:after="0" w:line="169" w:lineRule="exact"/>
        <w:rPr>
          <w:rFonts w:ascii="Arial" w:cs="Arial" w:eastAsia="Arial" w:hAnsi="Arial"/>
          <w:sz w:val="19"/>
          <w:szCs w:val="19"/>
          <w:color w:val="auto"/>
        </w:rPr>
      </w:pPr>
    </w:p>
    <w:p>
      <w:pPr>
        <w:ind w:right="20" w:firstLine="757"/>
        <w:spacing w:after="0" w:line="271" w:lineRule="auto"/>
        <w:tabs>
          <w:tab w:leader="none" w:pos="101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8"/>
          <w:szCs w:val="18"/>
          <w:i w:val="1"/>
          <w:iCs w:val="1"/>
          <w:color w:val="auto"/>
        </w:rPr>
        <w:t>provided, however</w:t>
      </w:r>
      <w:r>
        <w:rPr>
          <w:rFonts w:ascii="Arial" w:cs="Arial" w:eastAsia="Arial" w:hAnsi="Arial"/>
          <w:sz w:val="18"/>
          <w:szCs w:val="18"/>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169" w:lineRule="exact"/>
        <w:rPr>
          <w:rFonts w:ascii="Arial" w:cs="Arial" w:eastAsia="Arial" w:hAnsi="Arial"/>
          <w:sz w:val="18"/>
          <w:szCs w:val="18"/>
          <w:color w:val="auto"/>
        </w:rPr>
      </w:pPr>
    </w:p>
    <w:p>
      <w:pPr>
        <w:ind w:firstLine="757"/>
        <w:spacing w:after="0" w:line="255" w:lineRule="auto"/>
        <w:tabs>
          <w:tab w:leader="none" w:pos="1018"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“Good Reason” means the occurrence of any of the following events, unless Executive consents in writing to the applicable event: (i) a reduction in Executive’s Annual Base Salary or Target Annual Bonus (excluding any reduction in Annual Base Salary that is proportionate to a reduction of base salaries affecting substantially all other executive officers of the Company), (ii) a material decrease in Executive’s authority or areas of responsibility as are commensurate with Executive’s title or position with the Company (other than in connection with a Change in Control transaction where the Executive continues to have substantially the same authority and duties with respect to the Company’s business, substantially as such business exists prior to the date of consummation of such corporate transaction, but does not hold such position with respect to the successor or surviving entity (or its ultimate parent)), (iii) the relocation of Executive’s primary office to a location more than thirty-five (35) miles from the Executive’s primary office as of the date of this Agreement, (iv) the failure of any successor of all or substantially all of the Company’s assets to assume this Agreement, to the extent such assumption does not occur automatically by operation of law, or (v) the Company’s breach of a material provision of this Agreement or any other material agreement between the Company and the</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2" w:right="379" w:bottom="1440" w:gutter="0" w:footer="0" w:header="0"/>
        </w:sectPr>
      </w:pPr>
    </w:p>
    <w:bookmarkStart w:id="52" w:name="page53"/>
    <w:bookmarkEnd w:id="52"/>
    <w:p>
      <w:pPr>
        <w:ind w:right="100"/>
        <w:spacing w:after="0" w:line="243" w:lineRule="auto"/>
        <w:rPr>
          <w:sz w:val="20"/>
          <w:szCs w:val="20"/>
          <w:color w:val="auto"/>
        </w:rPr>
      </w:pPr>
      <w:r>
        <w:rPr>
          <w:rFonts w:ascii="Arial" w:cs="Arial" w:eastAsia="Arial" w:hAnsi="Arial"/>
          <w:sz w:val="20"/>
          <w:szCs w:val="20"/>
          <w:color w:val="auto"/>
        </w:rPr>
        <w:t>Executive. Notwithstanding the foregoing, Executive’s resignation of employment will not be for Good Reason unless and until: (a) Executive has provided the Company, within sixty (60) days of Executive’s knowledge of the occurrence of the facts and circumstances underlying the Good Reason event, written notice stating with reasonable specificity the applicable facts and circumstances underlying such finding of Good Reason; (b) to the extent reasonably capable of cure, the Company has had an opportunity to cure the same for thirty (30) days after the receipt of such notice; (c) the Company shall have failed to so cure within such period; and (d) Executive resigns within 60 days following the end of such cure period.</w:t>
      </w:r>
    </w:p>
    <w:p>
      <w:pPr>
        <w:spacing w:after="0" w:line="203"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Parachute Payments</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ind w:firstLine="757"/>
        <w:spacing w:after="0" w:line="270" w:lineRule="auto"/>
        <w:tabs>
          <w:tab w:leader="none" w:pos="1018"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being hereinafter referred to as the “</w:t>
      </w:r>
      <w:r>
        <w:rPr>
          <w:rFonts w:ascii="Arial" w:cs="Arial" w:eastAsia="Arial" w:hAnsi="Arial"/>
          <w:sz w:val="18"/>
          <w:szCs w:val="18"/>
          <w:u w:val="single" w:color="auto"/>
          <w:color w:val="auto"/>
        </w:rPr>
        <w:t>Total Payments</w:t>
      </w:r>
      <w:r>
        <w:rPr>
          <w:rFonts w:ascii="Arial" w:cs="Arial" w:eastAsia="Arial" w:hAnsi="Arial"/>
          <w:sz w:val="18"/>
          <w:szCs w:val="18"/>
          <w:color w:val="auto"/>
        </w:rPr>
        <w:t>”), would be subject (in whole or in part) to the excise tax imposed by Section 4999 of the Code (the “</w:t>
      </w:r>
      <w:r>
        <w:rPr>
          <w:rFonts w:ascii="Arial" w:cs="Arial" w:eastAsia="Arial" w:hAnsi="Arial"/>
          <w:sz w:val="18"/>
          <w:szCs w:val="18"/>
          <w:u w:val="single" w:color="auto"/>
          <w:color w:val="auto"/>
        </w:rPr>
        <w:t>Excise Tax</w:t>
      </w:r>
      <w:r>
        <w:rPr>
          <w:rFonts w:ascii="Arial" w:cs="Arial" w:eastAsia="Arial" w:hAnsi="Arial"/>
          <w:sz w:val="18"/>
          <w:szCs w:val="18"/>
          <w:color w:val="auto"/>
        </w:rPr>
        <w:t xml:space="preserve">”), then the Total Payments shall be reduced (in the order provided in </w:t>
      </w:r>
      <w:r>
        <w:rPr>
          <w:rFonts w:ascii="Arial" w:cs="Arial" w:eastAsia="Arial" w:hAnsi="Arial"/>
          <w:sz w:val="18"/>
          <w:szCs w:val="18"/>
          <w:u w:val="single" w:color="auto"/>
          <w:color w:val="auto"/>
        </w:rPr>
        <w:t>Section 8(b)</w:t>
      </w:r>
      <w:r>
        <w:rPr>
          <w:rFonts w:ascii="Arial" w:cs="Arial" w:eastAsia="Arial" w:hAnsi="Arial"/>
          <w:sz w:val="18"/>
          <w:szCs w:val="18"/>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75" w:lineRule="exact"/>
        <w:rPr>
          <w:rFonts w:ascii="Arial" w:cs="Arial" w:eastAsia="Arial" w:hAnsi="Arial"/>
          <w:sz w:val="18"/>
          <w:szCs w:val="18"/>
          <w:color w:val="auto"/>
        </w:rPr>
      </w:pPr>
    </w:p>
    <w:p>
      <w:pPr>
        <w:ind w:firstLine="757"/>
        <w:spacing w:after="0" w:line="276" w:lineRule="auto"/>
        <w:tabs>
          <w:tab w:leader="none" w:pos="101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Total Payments shall be reduced in the following order: (i) reduction on a pro rata basis of any cash severance payments that are exempt from Section 409A of the Code (“</w:t>
      </w:r>
      <w:r>
        <w:rPr>
          <w:rFonts w:ascii="Arial" w:cs="Arial" w:eastAsia="Arial" w:hAnsi="Arial"/>
          <w:sz w:val="18"/>
          <w:szCs w:val="18"/>
          <w:u w:val="single" w:color="auto"/>
          <w:color w:val="auto"/>
        </w:rPr>
        <w:t>Section 409A</w:t>
      </w:r>
      <w:r>
        <w:rPr>
          <w:rFonts w:ascii="Arial" w:cs="Arial" w:eastAsia="Arial" w:hAnsi="Arial"/>
          <w:sz w:val="18"/>
          <w:szCs w:val="18"/>
          <w:color w:val="auto"/>
        </w:rPr>
        <w:t>”), (ii) reduction on a pro rata basis of any non-cash severance payments or benefits that are exempt from Section 409A, (iii) reduction on a pro rata basis of any other payments or benefits that are exempt from Section 409A, and (iv) reduction of any payments or benefits otherwise payable to Executive on a pro 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64" w:lineRule="exact"/>
        <w:rPr>
          <w:rFonts w:ascii="Arial" w:cs="Arial" w:eastAsia="Arial" w:hAnsi="Arial"/>
          <w:sz w:val="18"/>
          <w:szCs w:val="18"/>
          <w:color w:val="auto"/>
        </w:rPr>
      </w:pPr>
    </w:p>
    <w:p>
      <w:pPr>
        <w:ind w:right="20" w:firstLine="757"/>
        <w:spacing w:after="0" w:line="273" w:lineRule="auto"/>
        <w:tabs>
          <w:tab w:leader="none" w:pos="1018"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All determinations regarding the application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be made by an accounting firm or consulting group with experience in performing calculations regarding the applicability of Section 280G of the Code and the Excise Tax selected by the Company (the “</w:t>
      </w:r>
      <w:r>
        <w:rPr>
          <w:rFonts w:ascii="Arial" w:cs="Arial" w:eastAsia="Arial" w:hAnsi="Arial"/>
          <w:sz w:val="18"/>
          <w:szCs w:val="18"/>
          <w:u w:val="single" w:color="auto"/>
          <w:color w:val="auto"/>
        </w:rPr>
        <w:t>Independent Advisors</w:t>
      </w:r>
      <w:r>
        <w:rPr>
          <w:rFonts w:ascii="Arial" w:cs="Arial" w:eastAsia="Arial" w:hAnsi="Arial"/>
          <w:sz w:val="18"/>
          <w:szCs w:val="18"/>
          <w:color w:val="auto"/>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2" w:right="379" w:bottom="1440" w:gutter="0" w:footer="0" w:header="0"/>
        </w:sectPr>
      </w:pPr>
    </w:p>
    <w:bookmarkStart w:id="53" w:name="page54"/>
    <w:bookmarkEnd w:id="53"/>
    <w:p>
      <w:pPr>
        <w:ind w:left="-8" w:right="640" w:firstLine="757"/>
        <w:spacing w:after="0" w:line="316" w:lineRule="auto"/>
        <w:tabs>
          <w:tab w:leader="none" w:pos="101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In the event it is later determined that a greater reduction in the Total Payments should have been made to implement the objective and intent of this </w:t>
      </w:r>
      <w:r>
        <w:rPr>
          <w:rFonts w:ascii="Arial" w:cs="Arial" w:eastAsia="Arial" w:hAnsi="Arial"/>
          <w:sz w:val="18"/>
          <w:szCs w:val="18"/>
          <w:u w:val="single" w:color="auto"/>
          <w:color w:val="auto"/>
        </w:rPr>
        <w:t>Section 8</w:t>
      </w:r>
      <w:r>
        <w:rPr>
          <w:rFonts w:ascii="Arial" w:cs="Arial" w:eastAsia="Arial" w:hAnsi="Arial"/>
          <w:sz w:val="18"/>
          <w:szCs w:val="18"/>
          <w:color w:val="auto"/>
        </w:rPr>
        <w:t>, the excess amount shall be returned promptly by Executive to the Company.</w:t>
      </w:r>
    </w:p>
    <w:p>
      <w:pPr>
        <w:spacing w:after="0" w:line="137" w:lineRule="exact"/>
        <w:rPr>
          <w:rFonts w:ascii="Arial" w:cs="Arial" w:eastAsia="Arial" w:hAnsi="Arial"/>
          <w:sz w:val="18"/>
          <w:szCs w:val="18"/>
          <w:color w:val="auto"/>
        </w:rPr>
      </w:pPr>
    </w:p>
    <w:p>
      <w:pPr>
        <w:ind w:left="512" w:hanging="512"/>
        <w:spacing w:after="0"/>
        <w:tabs>
          <w:tab w:leader="none" w:pos="512" w:val="left"/>
        </w:tabs>
        <w:numPr>
          <w:ilvl w:val="0"/>
          <w:numId w:val="28"/>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Miscellaneous Provisions</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jc w:val="both"/>
        <w:ind w:left="-8" w:right="160" w:firstLine="757"/>
        <w:spacing w:after="0" w:line="246" w:lineRule="auto"/>
        <w:tabs>
          <w:tab w:leader="none" w:pos="1010"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construed, interpreted and enforced in accordance with its express terms, and otherwise in accordance with the substantive laws of the State of Delaware without reference to the principles of conflicts of law of the State of Delaware or any other jurisdiction that would result in the application of the laws of a jurisdiction other than the State of Delaware, and where applicable, the laws of the United States.</w:t>
      </w:r>
    </w:p>
    <w:p>
      <w:pPr>
        <w:spacing w:after="0" w:line="191" w:lineRule="exact"/>
        <w:rPr>
          <w:rFonts w:ascii="Arial" w:cs="Arial" w:eastAsia="Arial" w:hAnsi="Arial"/>
          <w:sz w:val="20"/>
          <w:szCs w:val="20"/>
          <w:color w:val="auto"/>
        </w:rPr>
      </w:pPr>
    </w:p>
    <w:p>
      <w:pPr>
        <w:ind w:left="-8" w:right="440" w:firstLine="757"/>
        <w:spacing w:after="0" w:line="260" w:lineRule="auto"/>
        <w:tabs>
          <w:tab w:leader="none" w:pos="1010"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Validity</w:t>
      </w:r>
      <w:r>
        <w:rPr>
          <w:rFonts w:ascii="Arial" w:cs="Arial" w:eastAsia="Arial" w:hAnsi="Arial"/>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76" w:lineRule="exact"/>
        <w:rPr>
          <w:rFonts w:ascii="Arial" w:cs="Arial" w:eastAsia="Arial" w:hAnsi="Arial"/>
          <w:sz w:val="20"/>
          <w:szCs w:val="20"/>
          <w:color w:val="auto"/>
        </w:rPr>
      </w:pPr>
    </w:p>
    <w:p>
      <w:pPr>
        <w:ind w:left="-8" w:firstLine="757"/>
        <w:spacing w:after="0" w:line="250" w:lineRule="auto"/>
        <w:tabs>
          <w:tab w:leader="none" w:pos="1010"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85" w:lineRule="exact"/>
        <w:rPr>
          <w:rFonts w:ascii="Arial" w:cs="Arial" w:eastAsia="Arial" w:hAnsi="Arial"/>
          <w:sz w:val="20"/>
          <w:szCs w:val="20"/>
          <w:color w:val="auto"/>
        </w:rPr>
      </w:pPr>
    </w:p>
    <w:p>
      <w:pPr>
        <w:ind w:left="2032" w:hanging="535"/>
        <w:spacing w:after="0"/>
        <w:tabs>
          <w:tab w:leader="none" w:pos="2032" w:val="left"/>
        </w:tabs>
        <w:numPr>
          <w:ilvl w:val="2"/>
          <w:numId w:val="28"/>
        </w:numPr>
        <w:rPr>
          <w:rFonts w:ascii="Arial" w:cs="Arial" w:eastAsia="Arial" w:hAnsi="Arial"/>
          <w:sz w:val="20"/>
          <w:szCs w:val="20"/>
          <w:color w:val="auto"/>
        </w:rPr>
      </w:pPr>
      <w:r>
        <w:rPr>
          <w:rFonts w:ascii="Arial" w:cs="Arial" w:eastAsia="Arial" w:hAnsi="Arial"/>
          <w:sz w:val="20"/>
          <w:szCs w:val="20"/>
          <w:color w:val="auto"/>
        </w:rPr>
        <w:t>If to the Company, to the Chief Executive Officer of the Company at the Company’s headquarters,</w:t>
      </w:r>
    </w:p>
    <w:p>
      <w:pPr>
        <w:spacing w:after="0" w:line="215" w:lineRule="exact"/>
        <w:rPr>
          <w:rFonts w:ascii="Arial" w:cs="Arial" w:eastAsia="Arial" w:hAnsi="Arial"/>
          <w:sz w:val="20"/>
          <w:szCs w:val="20"/>
          <w:color w:val="auto"/>
        </w:rPr>
      </w:pPr>
    </w:p>
    <w:p>
      <w:pPr>
        <w:ind w:left="2032" w:hanging="535"/>
        <w:spacing w:after="0"/>
        <w:tabs>
          <w:tab w:leader="none" w:pos="2032" w:val="left"/>
        </w:tabs>
        <w:numPr>
          <w:ilvl w:val="2"/>
          <w:numId w:val="28"/>
        </w:numPr>
        <w:rPr>
          <w:rFonts w:ascii="Arial" w:cs="Arial" w:eastAsia="Arial" w:hAnsi="Arial"/>
          <w:sz w:val="20"/>
          <w:szCs w:val="20"/>
          <w:color w:val="auto"/>
        </w:rPr>
      </w:pPr>
      <w:r>
        <w:rPr>
          <w:rFonts w:ascii="Arial" w:cs="Arial" w:eastAsia="Arial" w:hAnsi="Arial"/>
          <w:sz w:val="20"/>
          <w:szCs w:val="20"/>
          <w:color w:val="auto"/>
        </w:rPr>
        <w:t>If to Executive, to the last address that the Company has in its personnel records for Executive, or</w:t>
      </w:r>
    </w:p>
    <w:p>
      <w:pPr>
        <w:spacing w:after="0" w:line="215" w:lineRule="exact"/>
        <w:rPr>
          <w:rFonts w:ascii="Arial" w:cs="Arial" w:eastAsia="Arial" w:hAnsi="Arial"/>
          <w:sz w:val="20"/>
          <w:szCs w:val="20"/>
          <w:color w:val="auto"/>
        </w:rPr>
      </w:pPr>
    </w:p>
    <w:p>
      <w:pPr>
        <w:ind w:left="2032" w:hanging="535"/>
        <w:spacing w:after="0"/>
        <w:tabs>
          <w:tab w:leader="none" w:pos="2032" w:val="left"/>
        </w:tabs>
        <w:numPr>
          <w:ilvl w:val="2"/>
          <w:numId w:val="28"/>
        </w:numPr>
        <w:rPr>
          <w:rFonts w:ascii="Arial" w:cs="Arial" w:eastAsia="Arial" w:hAnsi="Arial"/>
          <w:sz w:val="20"/>
          <w:szCs w:val="20"/>
          <w:color w:val="auto"/>
        </w:rPr>
      </w:pPr>
      <w:r>
        <w:rPr>
          <w:rFonts w:ascii="Arial" w:cs="Arial" w:eastAsia="Arial" w:hAnsi="Arial"/>
          <w:sz w:val="20"/>
          <w:szCs w:val="20"/>
          <w:color w:val="auto"/>
        </w:rPr>
        <w:t>At any other address as any Party shall have specified by notice in writing to the other Party.</w:t>
      </w:r>
    </w:p>
    <w:p>
      <w:pPr>
        <w:spacing w:after="0" w:line="215" w:lineRule="exact"/>
        <w:rPr>
          <w:rFonts w:ascii="Arial" w:cs="Arial" w:eastAsia="Arial" w:hAnsi="Arial"/>
          <w:sz w:val="20"/>
          <w:szCs w:val="20"/>
          <w:color w:val="auto"/>
        </w:rPr>
      </w:pPr>
    </w:p>
    <w:p>
      <w:pPr>
        <w:ind w:left="-8" w:right="60" w:firstLine="757"/>
        <w:spacing w:after="0" w:line="250" w:lineRule="auto"/>
        <w:tabs>
          <w:tab w:leader="none" w:pos="1010"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several counterparts, each of which shall be deemed to be an original, but all of which together will constitute one and the same Agreement. Signatures delivered by facsimile, PDF, DocuSign (or similar electronic signature) shall be deemed effective for all purposes.</w:t>
      </w:r>
    </w:p>
    <w:p>
      <w:pPr>
        <w:spacing w:after="0" w:line="185" w:lineRule="exact"/>
        <w:rPr>
          <w:rFonts w:ascii="Arial" w:cs="Arial" w:eastAsia="Arial" w:hAnsi="Arial"/>
          <w:sz w:val="20"/>
          <w:szCs w:val="20"/>
          <w:color w:val="auto"/>
        </w:rPr>
      </w:pPr>
    </w:p>
    <w:p>
      <w:pPr>
        <w:ind w:left="-8" w:right="180" w:firstLine="757"/>
        <w:spacing w:after="0" w:line="243" w:lineRule="auto"/>
        <w:tabs>
          <w:tab w:leader="none" w:pos="1010"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xml:space="preserve">. The terms of this Agreement, and the Restrictive Covenant Agreement incorporated herein by reference as set forth in </w:t>
      </w:r>
      <w:r>
        <w:rPr>
          <w:rFonts w:ascii="Arial" w:cs="Arial" w:eastAsia="Arial" w:hAnsi="Arial"/>
          <w:sz w:val="20"/>
          <w:szCs w:val="20"/>
          <w:u w:val="single" w:color="auto"/>
          <w:color w:val="auto"/>
        </w:rPr>
        <w:t>Section 5</w:t>
      </w:r>
      <w:r>
        <w:rPr>
          <w:rFonts w:ascii="Arial" w:cs="Arial" w:eastAsia="Arial" w:hAnsi="Arial"/>
          <w:sz w:val="20"/>
          <w:szCs w:val="20"/>
          <w:color w:val="auto"/>
        </w:rPr>
        <w:t>, are intended by the Parties to be the final expression of their agreement with respect to the subject matter hereof and supersede all prior understandings and agreements, whether written or oral, including any prior employment offer letter or employment agreement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95" w:lineRule="exact"/>
        <w:rPr>
          <w:rFonts w:ascii="Arial" w:cs="Arial" w:eastAsia="Arial" w:hAnsi="Arial"/>
          <w:sz w:val="20"/>
          <w:szCs w:val="20"/>
          <w:color w:val="auto"/>
        </w:rPr>
      </w:pPr>
    </w:p>
    <w:p>
      <w:pPr>
        <w:ind w:left="-8" w:right="20" w:firstLine="757"/>
        <w:spacing w:after="0" w:line="244" w:lineRule="auto"/>
        <w:tabs>
          <w:tab w:leader="none" w:pos="1010"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Amendments; Waivers</w:t>
      </w:r>
      <w:r>
        <w:rPr>
          <w:rFonts w:ascii="Arial" w:cs="Arial" w:eastAsia="Arial" w:hAnsi="Arial"/>
          <w:sz w:val="20"/>
          <w:szCs w:val="20"/>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such waiver shall not operate as a waiver of, or estoppel with respect to, any other or subsequent failure. No failure to</w:t>
      </w:r>
    </w:p>
    <w:p>
      <w:pPr>
        <w:spacing w:after="0" w:line="194" w:lineRule="exact"/>
        <w:rPr>
          <w:sz w:val="20"/>
          <w:szCs w:val="20"/>
          <w:color w:val="auto"/>
        </w:rPr>
      </w:pPr>
    </w:p>
    <w:p>
      <w:pPr>
        <w:ind w:left="392"/>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597535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582" w:right="359" w:bottom="1440" w:gutter="0" w:footer="0" w:header="0"/>
        </w:sectPr>
      </w:pPr>
    </w:p>
    <w:bookmarkStart w:id="54" w:name="page55"/>
    <w:bookmarkEnd w:id="54"/>
    <w:p>
      <w:pPr>
        <w:ind w:right="520"/>
        <w:spacing w:after="0" w:line="260" w:lineRule="auto"/>
        <w:rPr>
          <w:sz w:val="20"/>
          <w:szCs w:val="20"/>
          <w:color w:val="auto"/>
        </w:rPr>
      </w:pPr>
      <w:r>
        <w:rPr>
          <w:rFonts w:ascii="Arial" w:cs="Arial" w:eastAsia="Arial" w:hAnsi="Arial"/>
          <w:sz w:val="20"/>
          <w:szCs w:val="20"/>
          <w:color w:val="auto"/>
        </w:rPr>
        <w:t>exercise and no delay in exercising any right, remedy, or power hereunder will preclude any other or further exercise of any other right, remedy, or power provided herein or by law or in equity.</w:t>
      </w:r>
    </w:p>
    <w:p>
      <w:pPr>
        <w:spacing w:after="0" w:line="177" w:lineRule="exact"/>
        <w:rPr>
          <w:sz w:val="20"/>
          <w:szCs w:val="20"/>
          <w:color w:val="auto"/>
        </w:rPr>
      </w:pPr>
    </w:p>
    <w:p>
      <w:pPr>
        <w:ind w:right="20" w:firstLine="757"/>
        <w:spacing w:after="0" w:line="255" w:lineRule="auto"/>
        <w:tabs>
          <w:tab w:leader="none" w:pos="1018"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89" w:lineRule="exact"/>
        <w:rPr>
          <w:rFonts w:ascii="Arial" w:cs="Arial" w:eastAsia="Arial" w:hAnsi="Arial"/>
          <w:sz w:val="19"/>
          <w:szCs w:val="19"/>
          <w:color w:val="auto"/>
        </w:rPr>
      </w:pPr>
    </w:p>
    <w:p>
      <w:pPr>
        <w:ind w:right="40" w:firstLine="757"/>
        <w:spacing w:after="0" w:line="254" w:lineRule="auto"/>
        <w:tabs>
          <w:tab w:leader="none" w:pos="1018"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Any controversy, claim or dispute arising out of or relating to this Agreement, shall be settled solely and exclusively by a binding arbitration process administered by JAMS/Endispute in San Jose, California. Such arbitration shall be conducted in accordance with the then-existing JAMS/Endispute Rules of Practice and Procedure, with the following exceptions if in conflict: (i) one arbitrator who is a retired judge shall be chosen by JAMS/Endispute; (ii) all fees and costs unique to arbitration, including all fees charged by the arbitrator, shall be paid by the Company; and (iii) arbitration may proceed in the absence of any Party if written notice (pursuant to the JAMS/Endispute rules and regulations) of the proceedings has been given to such Party. Each Party shall bear its own attorney’s fees and expenses; provided that the arbitrator may award the prevailing Party its attorney’s fees and costs to the extent permitted by applicable law.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Covenant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spacing w:after="0" w:line="184" w:lineRule="exact"/>
        <w:rPr>
          <w:rFonts w:ascii="Arial" w:cs="Arial" w:eastAsia="Arial" w:hAnsi="Arial"/>
          <w:sz w:val="19"/>
          <w:szCs w:val="19"/>
          <w:color w:val="auto"/>
        </w:rPr>
      </w:pPr>
    </w:p>
    <w:p>
      <w:pPr>
        <w:ind w:firstLine="757"/>
        <w:spacing w:after="0" w:line="244" w:lineRule="auto"/>
        <w:tabs>
          <w:tab w:leader="none" w:pos="1018"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Enforcement</w:t>
      </w:r>
      <w:r>
        <w:rPr>
          <w:rFonts w:ascii="Arial" w:cs="Arial" w:eastAsia="Arial" w:hAnsi="Arial"/>
          <w:sz w:val="20"/>
          <w:szCs w:val="20"/>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5" w:name="page56"/>
    <w:bookmarkEnd w:id="55"/>
    <w:p>
      <w:pPr>
        <w:ind w:right="20"/>
        <w:spacing w:after="0" w:line="260" w:lineRule="auto"/>
        <w:rPr>
          <w:sz w:val="20"/>
          <w:szCs w:val="20"/>
          <w:color w:val="auto"/>
        </w:rPr>
      </w:pPr>
      <w:r>
        <w:rPr>
          <w:rFonts w:ascii="Arial" w:cs="Arial" w:eastAsia="Arial" w:hAnsi="Arial"/>
          <w:sz w:val="20"/>
          <w:szCs w:val="20"/>
          <w:color w:val="auto"/>
        </w:rPr>
        <w:t>provision there shall be added automatically as part of this Agreement a provision as similar in terms to such illegal, invalid or unenforceable provision as may be possible and be legal, valid and enforceable.</w:t>
      </w:r>
    </w:p>
    <w:p>
      <w:pPr>
        <w:spacing w:after="0" w:line="177" w:lineRule="exact"/>
        <w:rPr>
          <w:sz w:val="20"/>
          <w:szCs w:val="20"/>
          <w:color w:val="auto"/>
        </w:rPr>
      </w:pPr>
    </w:p>
    <w:p>
      <w:pPr>
        <w:ind w:right="160" w:firstLine="757"/>
        <w:spacing w:after="0" w:line="269" w:lineRule="auto"/>
        <w:tabs>
          <w:tab w:leader="none" w:pos="1018"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69" w:lineRule="exact"/>
        <w:rPr>
          <w:rFonts w:ascii="Arial" w:cs="Arial" w:eastAsia="Arial" w:hAnsi="Arial"/>
          <w:sz w:val="19"/>
          <w:szCs w:val="19"/>
          <w:color w:val="auto"/>
        </w:rPr>
      </w:pPr>
    </w:p>
    <w:p>
      <w:pPr>
        <w:ind w:left="1020" w:hanging="263"/>
        <w:spacing w:after="0"/>
        <w:tabs>
          <w:tab w:leader="none" w:pos="102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760" w:right="560" w:firstLine="745"/>
        <w:spacing w:after="0" w:line="250" w:lineRule="auto"/>
        <w:tabs>
          <w:tab w:leader="none" w:pos="2048" w:val="left"/>
        </w:tabs>
        <w:numPr>
          <w:ilvl w:val="1"/>
          <w:numId w:val="30"/>
        </w:numPr>
        <w:rPr>
          <w:rFonts w:ascii="Arial" w:cs="Arial" w:eastAsia="Arial" w:hAnsi="Arial"/>
          <w:sz w:val="20"/>
          <w:szCs w:val="20"/>
          <w:color w:val="auto"/>
        </w:rPr>
      </w:pPr>
      <w:r>
        <w:rPr>
          <w:rFonts w:ascii="Arial" w:cs="Arial" w:eastAsia="Arial" w:hAnsi="Arial"/>
          <w:sz w:val="20"/>
          <w:szCs w:val="20"/>
          <w:i w:val="1"/>
          <w:iCs w:val="1"/>
          <w:color w:val="auto"/>
        </w:rPr>
        <w:t xml:space="preserve">General. </w:t>
      </w:r>
      <w:r>
        <w:rPr>
          <w:rFonts w:ascii="Arial" w:cs="Arial" w:eastAsia="Arial" w:hAnsi="Arial"/>
          <w:sz w:val="20"/>
          <w:szCs w:val="20"/>
          <w:color w:val="auto"/>
        </w:rPr>
        <w:t>The intent of the Parties is that the payments and benefits under this Agreement comply with or be</w:t>
      </w:r>
      <w:r>
        <w:rPr>
          <w:rFonts w:ascii="Arial" w:cs="Arial" w:eastAsia="Arial" w:hAnsi="Arial"/>
          <w:sz w:val="20"/>
          <w:szCs w:val="20"/>
          <w:i w:val="1"/>
          <w:iCs w:val="1"/>
          <w:color w:val="auto"/>
        </w:rPr>
        <w:t xml:space="preserve"> </w:t>
      </w:r>
      <w:r>
        <w:rPr>
          <w:rFonts w:ascii="Arial" w:cs="Arial" w:eastAsia="Arial" w:hAnsi="Arial"/>
          <w:sz w:val="20"/>
          <w:szCs w:val="20"/>
          <w:color w:val="auto"/>
        </w:rPr>
        <w:t>exempt from Section 409A and, accordingly, to the maximum extent permitted, this Agreement shall be interpreted to be in compliance therewith.</w:t>
      </w:r>
    </w:p>
    <w:p>
      <w:pPr>
        <w:spacing w:after="0" w:line="185" w:lineRule="exact"/>
        <w:rPr>
          <w:rFonts w:ascii="Arial" w:cs="Arial" w:eastAsia="Arial" w:hAnsi="Arial"/>
          <w:sz w:val="20"/>
          <w:szCs w:val="20"/>
          <w:color w:val="auto"/>
        </w:rPr>
      </w:pPr>
    </w:p>
    <w:p>
      <w:pPr>
        <w:ind w:left="760" w:firstLine="745"/>
        <w:spacing w:after="0" w:line="273" w:lineRule="auto"/>
        <w:tabs>
          <w:tab w:leader="none" w:pos="2048"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Separation from Service. </w:t>
      </w:r>
      <w:r>
        <w:rPr>
          <w:rFonts w:ascii="Arial" w:cs="Arial" w:eastAsia="Arial" w:hAnsi="Arial"/>
          <w:sz w:val="18"/>
          <w:szCs w:val="18"/>
          <w:color w:val="auto"/>
        </w:rPr>
        <w:t>Notwithstanding anything in this Agreement to the contrary, any compensation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payable under this Agreement that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xml:space="preserve">”) and, except as provided below, any such compensation or benefits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shall not be paid, or, in the case of installments, shall not commence payment, until the thirtieth (30th) day following Executive’s Separation from Service (the “</w:t>
      </w:r>
      <w:r>
        <w:rPr>
          <w:rFonts w:ascii="Arial" w:cs="Arial" w:eastAsia="Arial" w:hAnsi="Arial"/>
          <w:sz w:val="18"/>
          <w:szCs w:val="18"/>
          <w:u w:val="single" w:color="auto"/>
          <w:color w:val="auto"/>
        </w:rPr>
        <w:t>First Payment Date</w:t>
      </w:r>
      <w:r>
        <w:rPr>
          <w:rFonts w:ascii="Arial" w:cs="Arial" w:eastAsia="Arial" w:hAnsi="Arial"/>
          <w:sz w:val="18"/>
          <w:szCs w:val="18"/>
          <w:color w:val="auto"/>
        </w:rPr>
        <w:t>”). Any installment payments that would have been made to Executive during the thirty (30) day period immediately following Executive’s Separation from Service but for the preceding sentence shall be paid to Executive on the First Payment Date and the remaining payments shall be made as provided in this Agreement.</w:t>
      </w:r>
    </w:p>
    <w:p>
      <w:pPr>
        <w:spacing w:after="0" w:line="168" w:lineRule="exact"/>
        <w:rPr>
          <w:rFonts w:ascii="Arial" w:cs="Arial" w:eastAsia="Arial" w:hAnsi="Arial"/>
          <w:sz w:val="18"/>
          <w:szCs w:val="18"/>
          <w:color w:val="auto"/>
        </w:rPr>
      </w:pPr>
    </w:p>
    <w:p>
      <w:pPr>
        <w:ind w:left="760" w:right="40" w:firstLine="745"/>
        <w:spacing w:after="0" w:line="256" w:lineRule="auto"/>
        <w:tabs>
          <w:tab w:leader="none" w:pos="2048" w:val="left"/>
        </w:tabs>
        <w:numPr>
          <w:ilvl w:val="1"/>
          <w:numId w:val="30"/>
        </w:numPr>
        <w:rPr>
          <w:rFonts w:ascii="Arial" w:cs="Arial" w:eastAsia="Arial" w:hAnsi="Arial"/>
          <w:sz w:val="19"/>
          <w:szCs w:val="19"/>
          <w:color w:val="auto"/>
        </w:rPr>
      </w:pPr>
      <w:r>
        <w:rPr>
          <w:rFonts w:ascii="Arial" w:cs="Arial" w:eastAsia="Arial" w:hAnsi="Arial"/>
          <w:sz w:val="19"/>
          <w:szCs w:val="19"/>
          <w:i w:val="1"/>
          <w:iCs w:val="1"/>
          <w:color w:val="auto"/>
        </w:rPr>
        <w:t xml:space="preserve">Specified Employee. </w:t>
      </w:r>
      <w:r>
        <w:rPr>
          <w:rFonts w:ascii="Arial" w:cs="Arial" w:eastAsia="Arial" w:hAnsi="Arial"/>
          <w:sz w:val="19"/>
          <w:szCs w:val="19"/>
          <w:color w:val="auto"/>
        </w:rPr>
        <w:t>Notwithstanding anything in this Agreement to the contrary, if Executive is deemed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84" w:lineRule="exact"/>
        <w:rPr>
          <w:rFonts w:ascii="Arial" w:cs="Arial" w:eastAsia="Arial" w:hAnsi="Arial"/>
          <w:sz w:val="19"/>
          <w:szCs w:val="19"/>
          <w:color w:val="auto"/>
        </w:rPr>
      </w:pPr>
    </w:p>
    <w:p>
      <w:pPr>
        <w:ind w:left="760" w:right="200" w:firstLine="745"/>
        <w:spacing w:after="0" w:line="276" w:lineRule="auto"/>
        <w:tabs>
          <w:tab w:leader="none" w:pos="2048"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Expense Reimbursements. </w:t>
      </w:r>
      <w:r>
        <w:rPr>
          <w:rFonts w:ascii="Arial" w:cs="Arial" w:eastAsia="Arial" w:hAnsi="Arial"/>
          <w:sz w:val="18"/>
          <w:szCs w:val="18"/>
          <w:color w:val="auto"/>
        </w:rPr>
        <w:t>To the extent that any reimbursements under this Agreement are subject to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409A, (A) any such reimbursements payable to Executive shall be paid to Executive no later than December 31 of the year following the year in which the expense was incurred, (B) Executive shall submit Executive’s reimbursement request promptly following the date the expense is incurred, (C) the amount of expenses reimbursed in one year shall not affect the amount eligible for reimbursement in any subsequent year, other than medical expenses referred to in Section 105(b) of the Code, and (D) Executive’s right to reimbursement under this Agreement will not be subject to liquidation or exchange for another benefit.</w:t>
      </w:r>
    </w:p>
    <w:p>
      <w:pPr>
        <w:spacing w:after="0" w:line="164" w:lineRule="exact"/>
        <w:rPr>
          <w:rFonts w:ascii="Arial" w:cs="Arial" w:eastAsia="Arial" w:hAnsi="Arial"/>
          <w:sz w:val="18"/>
          <w:szCs w:val="18"/>
          <w:color w:val="auto"/>
        </w:rPr>
      </w:pPr>
    </w:p>
    <w:p>
      <w:pPr>
        <w:ind w:left="760" w:right="540" w:firstLine="745"/>
        <w:spacing w:after="0" w:line="260" w:lineRule="auto"/>
        <w:tabs>
          <w:tab w:leader="none" w:pos="2048" w:val="left"/>
        </w:tabs>
        <w:numPr>
          <w:ilvl w:val="1"/>
          <w:numId w:val="30"/>
        </w:numPr>
        <w:rPr>
          <w:rFonts w:ascii="Arial" w:cs="Arial" w:eastAsia="Arial" w:hAnsi="Arial"/>
          <w:sz w:val="20"/>
          <w:szCs w:val="20"/>
          <w:color w:val="auto"/>
        </w:rPr>
      </w:pPr>
      <w:r>
        <w:rPr>
          <w:rFonts w:ascii="Arial" w:cs="Arial" w:eastAsia="Arial" w:hAnsi="Arial"/>
          <w:sz w:val="20"/>
          <w:szCs w:val="20"/>
          <w:i w:val="1"/>
          <w:iCs w:val="1"/>
          <w:color w:val="auto"/>
        </w:rPr>
        <w:t xml:space="preserve">Installments. </w:t>
      </w:r>
      <w:r>
        <w:rPr>
          <w:rFonts w:ascii="Arial" w:cs="Arial" w:eastAsia="Arial" w:hAnsi="Arial"/>
          <w:sz w:val="20"/>
          <w:szCs w:val="20"/>
          <w:color w:val="auto"/>
        </w:rPr>
        <w:t>Executive’s right to receive any installment payments under this Agreement, including without</w:t>
      </w:r>
      <w:r>
        <w:rPr>
          <w:rFonts w:ascii="Arial" w:cs="Arial" w:eastAsia="Arial" w:hAnsi="Arial"/>
          <w:sz w:val="20"/>
          <w:szCs w:val="20"/>
          <w:i w:val="1"/>
          <w:iCs w:val="1"/>
          <w:color w:val="auto"/>
        </w:rPr>
        <w:t xml:space="preserve"> </w:t>
      </w:r>
      <w:r>
        <w:rPr>
          <w:rFonts w:ascii="Arial" w:cs="Arial" w:eastAsia="Arial" w:hAnsi="Arial"/>
          <w:sz w:val="20"/>
          <w:szCs w:val="20"/>
          <w:color w:val="auto"/>
        </w:rPr>
        <w:t>limitation any continuation salary payments that are payable on</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2" w:right="379" w:bottom="1440" w:gutter="0" w:footer="0" w:header="0"/>
        </w:sectPr>
      </w:pPr>
    </w:p>
    <w:bookmarkStart w:id="56" w:name="page57"/>
    <w:bookmarkEnd w:id="56"/>
    <w:p>
      <w:pPr>
        <w:ind w:left="760"/>
        <w:spacing w:after="0" w:line="246" w:lineRule="auto"/>
        <w:rPr>
          <w:sz w:val="20"/>
          <w:szCs w:val="20"/>
          <w:color w:val="auto"/>
        </w:rPr>
      </w:pPr>
      <w:r>
        <w:rPr>
          <w:rFonts w:ascii="Arial" w:cs="Arial" w:eastAsia="Arial" w:hAnsi="Arial"/>
          <w:sz w:val="20"/>
          <w:szCs w:val="20"/>
          <w:color w:val="auto"/>
        </w:rPr>
        <w:t>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99"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22"/>
          <w:szCs w:val="22"/>
          <w:b w:val="1"/>
          <w:bCs w:val="1"/>
          <w:color w:val="auto"/>
        </w:rPr>
      </w:pPr>
      <w:r>
        <w:rPr>
          <w:rFonts w:ascii="Arial" w:cs="Arial" w:eastAsia="Arial" w:hAnsi="Arial"/>
          <w:sz w:val="20"/>
          <w:szCs w:val="20"/>
          <w:b w:val="1"/>
          <w:bCs w:val="1"/>
          <w:u w:val="single" w:color="auto"/>
          <w:color w:val="auto"/>
        </w:rPr>
        <w:t>Executive Acknowledgement</w:t>
      </w:r>
      <w:r>
        <w:rPr>
          <w:rFonts w:ascii="Arial" w:cs="Arial" w:eastAsia="Arial" w:hAnsi="Arial"/>
          <w:sz w:val="20"/>
          <w:szCs w:val="20"/>
          <w:b w:val="1"/>
          <w:bCs w:val="1"/>
          <w:color w:val="auto"/>
        </w:rPr>
        <w:t>.</w:t>
      </w:r>
    </w:p>
    <w:p>
      <w:pPr>
        <w:spacing w:after="0" w:line="199" w:lineRule="exact"/>
        <w:rPr>
          <w:sz w:val="20"/>
          <w:szCs w:val="20"/>
          <w:color w:val="auto"/>
        </w:rPr>
      </w:pPr>
    </w:p>
    <w:p>
      <w:pPr>
        <w:jc w:val="both"/>
        <w:ind w:right="120" w:firstLine="749"/>
        <w:spacing w:after="0" w:line="250" w:lineRule="auto"/>
        <w:rPr>
          <w:sz w:val="20"/>
          <w:szCs w:val="20"/>
          <w:color w:val="auto"/>
        </w:rPr>
      </w:pPr>
      <w:r>
        <w:rPr>
          <w:rFonts w:ascii="Arial" w:cs="Arial" w:eastAsia="Arial" w:hAnsi="Arial"/>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57" w:name="page58"/>
    <w:bookmarkEnd w:id="57"/>
    <w:p>
      <w:pPr>
        <w:ind w:left="320"/>
        <w:spacing w:after="0"/>
        <w:rPr>
          <w:sz w:val="20"/>
          <w:szCs w:val="20"/>
          <w:color w:val="auto"/>
        </w:rPr>
      </w:pPr>
      <w:r>
        <w:rPr>
          <w:rFonts w:ascii="Arial" w:cs="Arial" w:eastAsia="Arial" w:hAnsi="Arial"/>
          <w:sz w:val="16"/>
          <w:szCs w:val="16"/>
          <w:color w:val="auto"/>
        </w:rPr>
        <w:t>IN WITNESS WHEREOF, the Parties have executed this Agreement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900"/>
        <w:spacing w:after="0"/>
        <w:rPr>
          <w:sz w:val="20"/>
          <w:szCs w:val="20"/>
          <w:color w:val="auto"/>
        </w:rPr>
      </w:pPr>
      <w:r>
        <w:rPr>
          <w:rFonts w:ascii="Arial" w:cs="Arial" w:eastAsia="Arial" w:hAnsi="Arial"/>
          <w:sz w:val="20"/>
          <w:szCs w:val="20"/>
          <w:b w:val="1"/>
          <w:bCs w:val="1"/>
          <w:color w:val="auto"/>
        </w:rPr>
        <w:t>SIGHT SCIENCES, INC.</w:t>
      </w:r>
    </w:p>
    <w:p>
      <w:pPr>
        <w:spacing w:after="0" w:line="222"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By:__/s/Paul Badawi___________</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Paul Badawi</w:t>
      </w:r>
    </w:p>
    <w:p>
      <w:pPr>
        <w:ind w:left="3680"/>
        <w:spacing w:after="0"/>
        <w:rPr>
          <w:sz w:val="20"/>
          <w:szCs w:val="20"/>
          <w:color w:val="auto"/>
        </w:rPr>
      </w:pPr>
      <w:r>
        <w:rPr>
          <w:rFonts w:ascii="Arial" w:cs="Arial" w:eastAsia="Arial" w:hAnsi="Arial"/>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EXECUTIVE</w:t>
      </w:r>
    </w:p>
    <w:p>
      <w:pPr>
        <w:spacing w:after="0" w:line="222"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By:__/s/Matthew Link___________</w:t>
      </w:r>
    </w:p>
    <w:p>
      <w:pPr>
        <w:spacing w:after="0" w:line="16"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Name: Matthew Link</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601980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582" w:right="1440"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Separation Agreement and Release</w:t>
      </w:r>
    </w:p>
    <w:p>
      <w:pPr>
        <w:spacing w:after="0" w:line="222" w:lineRule="exact"/>
        <w:rPr>
          <w:sz w:val="20"/>
          <w:szCs w:val="20"/>
          <w:color w:val="auto"/>
        </w:rPr>
      </w:pPr>
    </w:p>
    <w:p>
      <w:pPr>
        <w:ind w:right="320" w:firstLine="614"/>
        <w:spacing w:after="0" w:line="269" w:lineRule="auto"/>
        <w:rPr>
          <w:sz w:val="20"/>
          <w:szCs w:val="20"/>
          <w:color w:val="auto"/>
        </w:rPr>
      </w:pPr>
      <w:r>
        <w:rPr>
          <w:rFonts w:ascii="Arial" w:cs="Arial" w:eastAsia="Arial" w:hAnsi="Arial"/>
          <w:sz w:val="19"/>
          <w:szCs w:val="19"/>
          <w:color w:val="auto"/>
        </w:rPr>
        <w:t>This Separation Agreement and Release (“</w:t>
      </w:r>
      <w:r>
        <w:rPr>
          <w:rFonts w:ascii="Arial" w:cs="Arial" w:eastAsia="Arial" w:hAnsi="Arial"/>
          <w:sz w:val="19"/>
          <w:szCs w:val="19"/>
          <w:u w:val="single" w:color="auto"/>
          <w:color w:val="auto"/>
        </w:rPr>
        <w:t>Agreement</w:t>
      </w:r>
      <w:r>
        <w:rPr>
          <w:rFonts w:ascii="Arial" w:cs="Arial" w:eastAsia="Arial" w:hAnsi="Arial"/>
          <w:sz w:val="19"/>
          <w:szCs w:val="19"/>
          <w:color w:val="auto"/>
        </w:rPr>
        <w:t>”) is made by and between Matthew Link (“</w:t>
      </w:r>
      <w:r>
        <w:rPr>
          <w:rFonts w:ascii="Arial" w:cs="Arial" w:eastAsia="Arial" w:hAnsi="Arial"/>
          <w:sz w:val="19"/>
          <w:szCs w:val="19"/>
          <w:u w:val="single" w:color="auto"/>
          <w:color w:val="auto"/>
        </w:rPr>
        <w:t>Executive</w:t>
      </w:r>
      <w:r>
        <w:rPr>
          <w:rFonts w:ascii="Arial" w:cs="Arial" w:eastAsia="Arial" w:hAnsi="Arial"/>
          <w:sz w:val="19"/>
          <w:szCs w:val="19"/>
          <w:color w:val="auto"/>
        </w:rPr>
        <w:t>”) and Sight Sciences, Inc. (the “</w:t>
      </w:r>
      <w:r>
        <w:rPr>
          <w:rFonts w:ascii="Arial" w:cs="Arial" w:eastAsia="Arial" w:hAnsi="Arial"/>
          <w:sz w:val="19"/>
          <w:szCs w:val="19"/>
          <w:u w:val="single" w:color="auto"/>
          <w:color w:val="auto"/>
        </w:rPr>
        <w:t>Company</w:t>
      </w:r>
      <w:r>
        <w:rPr>
          <w:rFonts w:ascii="Arial" w:cs="Arial" w:eastAsia="Arial" w:hAnsi="Arial"/>
          <w:sz w:val="19"/>
          <w:szCs w:val="19"/>
          <w:color w:val="auto"/>
        </w:rPr>
        <w:t>”) (collectively referred to as the “Parties” or individually referred to as a “Party”). Capitalized terms used but not defined in this Agreement shall have the meanings set forth in the Employment Agreement (as defined below).</w:t>
      </w:r>
    </w:p>
    <w:p>
      <w:pPr>
        <w:spacing w:after="0" w:line="62" w:lineRule="exact"/>
        <w:rPr>
          <w:sz w:val="20"/>
          <w:szCs w:val="20"/>
          <w:color w:val="auto"/>
        </w:rPr>
      </w:pPr>
    </w:p>
    <w:p>
      <w:pPr>
        <w:jc w:val="both"/>
        <w:ind w:right="540" w:firstLine="614"/>
        <w:spacing w:after="0" w:line="250" w:lineRule="auto"/>
        <w:rPr>
          <w:sz w:val="20"/>
          <w:szCs w:val="20"/>
          <w:color w:val="auto"/>
        </w:rPr>
      </w:pPr>
      <w:r>
        <w:rPr>
          <w:rFonts w:ascii="Arial" w:cs="Arial" w:eastAsia="Arial" w:hAnsi="Arial"/>
          <w:sz w:val="20"/>
          <w:szCs w:val="20"/>
          <w:color w:val="auto"/>
        </w:rPr>
        <w:t>WHEREAS, the Parties have previously entered into that certain Employment Agreement, dated as of September 11, 2023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and that certain Employee Proprietary Information and Inventions Assignment Agreement, effective as of September 11, 2023 (the “</w:t>
      </w:r>
      <w:r>
        <w:rPr>
          <w:rFonts w:ascii="Arial" w:cs="Arial" w:eastAsia="Arial" w:hAnsi="Arial"/>
          <w:sz w:val="20"/>
          <w:szCs w:val="20"/>
          <w:u w:val="single" w:color="auto"/>
          <w:color w:val="auto"/>
        </w:rPr>
        <w:t>Restrictive Covenant Agreement</w:t>
      </w:r>
      <w:r>
        <w:rPr>
          <w:rFonts w:ascii="Arial" w:cs="Arial" w:eastAsia="Arial" w:hAnsi="Arial"/>
          <w:sz w:val="20"/>
          <w:szCs w:val="20"/>
          <w:color w:val="auto"/>
        </w:rPr>
        <w:t>”); and</w:t>
      </w:r>
    </w:p>
    <w:p>
      <w:pPr>
        <w:spacing w:after="0" w:line="78" w:lineRule="exact"/>
        <w:rPr>
          <w:sz w:val="20"/>
          <w:szCs w:val="20"/>
          <w:color w:val="auto"/>
        </w:rPr>
      </w:pPr>
    </w:p>
    <w:p>
      <w:pPr>
        <w:ind w:right="640" w:firstLine="614"/>
        <w:spacing w:after="0" w:line="309" w:lineRule="auto"/>
        <w:rPr>
          <w:sz w:val="20"/>
          <w:szCs w:val="20"/>
          <w:color w:val="auto"/>
        </w:rPr>
      </w:pPr>
      <w:r>
        <w:rPr>
          <w:rFonts w:ascii="Arial" w:cs="Arial" w:eastAsia="Arial" w:hAnsi="Arial"/>
          <w:sz w:val="16"/>
          <w:szCs w:val="16"/>
          <w:color w:val="auto"/>
        </w:rPr>
        <w:t>WHEREAS, in connection with Executive’s termination of employment with the Company or a subsidiary or affiliate of the Company effective ________, 20__, the Parties wish to resolve any and all disputes, claims, complaints, grievances, charges, actions,</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by the Company or any of its affiliates pursuant to contract or applicable law (collectively, the “</w:t>
      </w:r>
      <w:r>
        <w:rPr>
          <w:rFonts w:ascii="Arial" w:cs="Arial" w:eastAsia="Arial" w:hAnsi="Arial"/>
          <w:sz w:val="19"/>
          <w:szCs w:val="19"/>
          <w:u w:val="single" w:color="auto"/>
          <w:color w:val="auto"/>
        </w:rPr>
        <w:t>Retained Claims</w:t>
      </w:r>
      <w:r>
        <w:rPr>
          <w:rFonts w:ascii="Arial" w:cs="Arial" w:eastAsia="Arial" w:hAnsi="Arial"/>
          <w:sz w:val="19"/>
          <w:szCs w:val="19"/>
          <w:color w:val="auto"/>
        </w:rPr>
        <w:t>”).</w:t>
      </w:r>
    </w:p>
    <w:p>
      <w:pPr>
        <w:spacing w:after="0" w:line="74" w:lineRule="exact"/>
        <w:rPr>
          <w:sz w:val="20"/>
          <w:szCs w:val="20"/>
          <w:color w:val="auto"/>
        </w:rPr>
      </w:pPr>
    </w:p>
    <w:p>
      <w:pPr>
        <w:ind w:right="20" w:firstLine="614"/>
        <w:spacing w:after="0" w:line="269" w:lineRule="auto"/>
        <w:rPr>
          <w:sz w:val="20"/>
          <w:szCs w:val="20"/>
          <w:color w:val="auto"/>
        </w:rPr>
      </w:pPr>
      <w:r>
        <w:rPr>
          <w:rFonts w:ascii="Arial" w:cs="Arial" w:eastAsia="Arial" w:hAnsi="Arial"/>
          <w:sz w:val="19"/>
          <w:szCs w:val="19"/>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62" w:lineRule="exact"/>
        <w:rPr>
          <w:sz w:val="20"/>
          <w:szCs w:val="20"/>
          <w:color w:val="auto"/>
        </w:rPr>
      </w:pPr>
    </w:p>
    <w:p>
      <w:pPr>
        <w:ind w:right="240" w:firstLine="404"/>
        <w:spacing w:after="0" w:line="260" w:lineRule="auto"/>
        <w:tabs>
          <w:tab w:leader="none" w:pos="791"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Severance Payments and Benefits; Salary and Benefits</w:t>
      </w:r>
      <w:r>
        <w:rPr>
          <w:rFonts w:ascii="Arial" w:cs="Arial" w:eastAsia="Arial" w:hAnsi="Arial"/>
          <w:sz w:val="19"/>
          <w:szCs w:val="19"/>
          <w:color w:val="auto"/>
        </w:rPr>
        <w:t xml:space="preserve">. The Company agrees to provide Executive with the severance payments and benefits described in Section [4(b)/4(c)]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w:t>
      </w:r>
      <w:r>
        <w:rPr>
          <w:rFonts w:ascii="Arial" w:cs="Arial" w:eastAsia="Arial" w:hAnsi="Arial"/>
          <w:sz w:val="19"/>
          <w:szCs w:val="19"/>
          <w:u w:val="single" w:color="auto"/>
          <w:color w:val="auto"/>
        </w:rPr>
        <w:t>3(c)</w:t>
      </w:r>
      <w:r>
        <w:rPr>
          <w:rFonts w:ascii="Arial" w:cs="Arial" w:eastAsia="Arial" w:hAnsi="Arial"/>
          <w:sz w:val="19"/>
          <w:szCs w:val="19"/>
          <w:color w:val="auto"/>
        </w:rPr>
        <w:t xml:space="preserve"> of the Employment Agreement, subject to and in accordance with the terms thereof.</w:t>
      </w:r>
    </w:p>
    <w:p>
      <w:pPr>
        <w:spacing w:after="0" w:line="180" w:lineRule="exact"/>
        <w:rPr>
          <w:rFonts w:ascii="Arial" w:cs="Arial" w:eastAsia="Arial" w:hAnsi="Arial"/>
          <w:sz w:val="19"/>
          <w:szCs w:val="19"/>
          <w:color w:val="auto"/>
        </w:rPr>
      </w:pPr>
    </w:p>
    <w:p>
      <w:pPr>
        <w:ind w:firstLine="404"/>
        <w:spacing w:after="0" w:line="272" w:lineRule="auto"/>
        <w:tabs>
          <w:tab w:leader="none" w:pos="79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current and former officers, directors, equityholders, managers, employees, agents, investors, attorneys, shareholders, administrators, affiliates, benefit plans, plan administrators, insurers, trustees, divisions, and subsidiaries and predecessor and successor corporations and assigns (collectively, the “</w:t>
      </w:r>
      <w:r>
        <w:rPr>
          <w:rFonts w:ascii="Arial" w:cs="Arial" w:eastAsia="Arial" w:hAnsi="Arial"/>
          <w:sz w:val="18"/>
          <w:szCs w:val="18"/>
          <w:u w:val="single" w:color="auto"/>
          <w:color w:val="auto"/>
        </w:rPr>
        <w:t>Releasees</w:t>
      </w:r>
      <w:r>
        <w:rPr>
          <w:rFonts w:ascii="Arial" w:cs="Arial" w:eastAsia="Arial" w:hAnsi="Arial"/>
          <w:sz w:val="18"/>
          <w:szCs w:val="18"/>
          <w:color w:val="auto"/>
        </w:rPr>
        <w:t>”).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860425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facts, or damages that have occurred up until and including the date Executive signs this Agreement, including, without limitation:</w:t>
      </w:r>
    </w:p>
    <w:p>
      <w:pPr>
        <w:spacing w:after="0" w:line="227" w:lineRule="exact"/>
        <w:rPr>
          <w:sz w:val="20"/>
          <w:szCs w:val="20"/>
          <w:color w:val="auto"/>
        </w:rPr>
      </w:pPr>
    </w:p>
    <w:p>
      <w:pPr>
        <w:ind w:right="120" w:firstLine="799"/>
        <w:spacing w:after="0" w:line="260" w:lineRule="auto"/>
        <w:tabs>
          <w:tab w:leader="none" w:pos="1187"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176" w:lineRule="exact"/>
        <w:rPr>
          <w:rFonts w:ascii="Arial" w:cs="Arial" w:eastAsia="Arial" w:hAnsi="Arial"/>
          <w:sz w:val="20"/>
          <w:szCs w:val="20"/>
          <w:color w:val="auto"/>
        </w:rPr>
      </w:pPr>
    </w:p>
    <w:p>
      <w:pPr>
        <w:ind w:right="20" w:firstLine="799"/>
        <w:spacing w:after="0" w:line="269" w:lineRule="auto"/>
        <w:tabs>
          <w:tab w:leader="none" w:pos="1187"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69" w:lineRule="exact"/>
        <w:rPr>
          <w:rFonts w:ascii="Arial" w:cs="Arial" w:eastAsia="Arial" w:hAnsi="Arial"/>
          <w:sz w:val="19"/>
          <w:szCs w:val="19"/>
          <w:color w:val="auto"/>
        </w:rPr>
      </w:pPr>
    </w:p>
    <w:p>
      <w:pPr>
        <w:ind w:right="160" w:firstLine="799"/>
        <w:spacing w:after="0" w:line="278" w:lineRule="auto"/>
        <w:tabs>
          <w:tab w:leader="none" w:pos="11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4" w:lineRule="exact"/>
        <w:rPr>
          <w:rFonts w:ascii="Arial" w:cs="Arial" w:eastAsia="Arial" w:hAnsi="Arial"/>
          <w:sz w:val="18"/>
          <w:szCs w:val="18"/>
          <w:color w:val="auto"/>
        </w:rPr>
      </w:pPr>
    </w:p>
    <w:p>
      <w:pPr>
        <w:ind w:firstLine="799"/>
        <w:spacing w:after="0" w:line="242" w:lineRule="auto"/>
        <w:tabs>
          <w:tab w:leader="none" w:pos="1187"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Worker Adjustment and Retraining Notification Act; the California Fair Employment and Housing Act; the California Family Rights Act; the California Paid Family Leave Act; the California Consumer Credit Reporting Agencies Act; the California Military and Veterans Code; California Business &amp; Professions Code Section 17200; and the California Labor Code;</w:t>
      </w:r>
    </w:p>
    <w:p>
      <w:pPr>
        <w:spacing w:after="0" w:line="196" w:lineRule="exact"/>
        <w:rPr>
          <w:rFonts w:ascii="Arial" w:cs="Arial" w:eastAsia="Arial" w:hAnsi="Arial"/>
          <w:sz w:val="20"/>
          <w:szCs w:val="20"/>
          <w:color w:val="auto"/>
        </w:rPr>
      </w:pPr>
    </w:p>
    <w:p>
      <w:pPr>
        <w:ind w:left="1200" w:hanging="401"/>
        <w:spacing w:after="0"/>
        <w:tabs>
          <w:tab w:leader="none" w:pos="12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and all claims for violation of the federal or any state constitution;</w:t>
      </w:r>
    </w:p>
    <w:p>
      <w:pPr>
        <w:spacing w:after="0" w:line="215" w:lineRule="exact"/>
        <w:rPr>
          <w:rFonts w:ascii="Arial" w:cs="Arial" w:eastAsia="Arial" w:hAnsi="Arial"/>
          <w:sz w:val="20"/>
          <w:szCs w:val="20"/>
          <w:color w:val="auto"/>
        </w:rPr>
      </w:pPr>
    </w:p>
    <w:p>
      <w:pPr>
        <w:ind w:left="1200" w:hanging="401"/>
        <w:spacing w:after="0"/>
        <w:tabs>
          <w:tab w:leader="none" w:pos="12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and all claims arising out of any other laws and regulations relating to employment or employment discrimination;</w:t>
      </w:r>
    </w:p>
    <w:p>
      <w:pPr>
        <w:spacing w:after="0" w:line="227" w:lineRule="exact"/>
        <w:rPr>
          <w:rFonts w:ascii="Arial" w:cs="Arial" w:eastAsia="Arial" w:hAnsi="Arial"/>
          <w:sz w:val="19"/>
          <w:szCs w:val="19"/>
          <w:color w:val="auto"/>
        </w:rPr>
      </w:pPr>
    </w:p>
    <w:p>
      <w:pPr>
        <w:ind w:right="60" w:firstLine="799"/>
        <w:spacing w:after="0" w:line="260" w:lineRule="auto"/>
        <w:tabs>
          <w:tab w:leader="none" w:pos="1187"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76" w:lineRule="exact"/>
        <w:rPr>
          <w:rFonts w:ascii="Arial" w:cs="Arial" w:eastAsia="Arial" w:hAnsi="Arial"/>
          <w:sz w:val="20"/>
          <w:szCs w:val="20"/>
          <w:color w:val="auto"/>
        </w:rPr>
      </w:pPr>
    </w:p>
    <w:p>
      <w:pPr>
        <w:ind w:right="300" w:firstLine="799"/>
        <w:spacing w:after="0" w:line="260" w:lineRule="auto"/>
        <w:tabs>
          <w:tab w:leader="none" w:pos="1187"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and all claims arising out of the wage and hour and wage payments laws and regulations of the state or states in which Executive has provided service to the Company or any of its affiliates; and</w:t>
      </w:r>
    </w:p>
    <w:p>
      <w:pPr>
        <w:spacing w:after="0" w:line="176" w:lineRule="exact"/>
        <w:rPr>
          <w:rFonts w:ascii="Arial" w:cs="Arial" w:eastAsia="Arial" w:hAnsi="Arial"/>
          <w:sz w:val="20"/>
          <w:szCs w:val="20"/>
          <w:color w:val="auto"/>
        </w:rPr>
      </w:pPr>
    </w:p>
    <w:p>
      <w:pPr>
        <w:ind w:left="1200" w:hanging="401"/>
        <w:spacing w:after="0"/>
        <w:tabs>
          <w:tab w:leader="none" w:pos="12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and all claims for attorneys’ fees and costs.</w:t>
      </w: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Executive acknowledges that Executive has been advised of and is familiar with the provisions of California Civil Code Section 1542, which states: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2" w:right="399" w:bottom="1440" w:gutter="0" w:footer="0" w:header="0"/>
        </w:sectPr>
      </w:pPr>
    </w:p>
    <w:bookmarkStart w:id="60" w:name="page61"/>
    <w:bookmarkEnd w:id="60"/>
    <w:p>
      <w:pPr>
        <w:ind w:left="760" w:right="740"/>
        <w:spacing w:after="0" w:line="246" w:lineRule="auto"/>
        <w:rPr>
          <w:sz w:val="20"/>
          <w:szCs w:val="20"/>
          <w:color w:val="auto"/>
        </w:rPr>
      </w:pPr>
      <w:r>
        <w:rPr>
          <w:rFonts w:ascii="Arial" w:cs="Arial" w:eastAsia="Arial" w:hAnsi="Arial"/>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1"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Being aware of said code section, Executive expressly waives all rights Executive may have thereunder, as well as under any other law, including under common law principles of similar effect.</w:t>
      </w:r>
    </w:p>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or Section 4 of the Employment Agreement.</w:t>
      </w:r>
    </w:p>
    <w:p>
      <w:pPr>
        <w:spacing w:after="0" w:line="192" w:lineRule="exact"/>
        <w:rPr>
          <w:sz w:val="20"/>
          <w:szCs w:val="20"/>
          <w:color w:val="auto"/>
        </w:rPr>
      </w:pPr>
    </w:p>
    <w:p>
      <w:pPr>
        <w:ind w:right="120" w:firstLine="404"/>
        <w:spacing w:after="0" w:line="268" w:lineRule="auto"/>
        <w:tabs>
          <w:tab w:leader="none" w:pos="791"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Acknowledgment of Waiver of Claims under ADEA</w:t>
      </w:r>
      <w:r>
        <w:rPr>
          <w:rFonts w:ascii="Arial" w:cs="Arial" w:eastAsia="Arial" w:hAnsi="Arial"/>
          <w:sz w:val="18"/>
          <w:szCs w:val="18"/>
          <w:color w:val="auto"/>
        </w:rPr>
        <w:t>. Executive understands and acknowledges that Executive is waiving and releasing any rights Executive may have under the Age Discrimination in Employment Act of 1967 (“</w:t>
      </w:r>
      <w:r>
        <w:rPr>
          <w:rFonts w:ascii="Arial" w:cs="Arial" w:eastAsia="Arial" w:hAnsi="Arial"/>
          <w:sz w:val="18"/>
          <w:szCs w:val="18"/>
          <w:u w:val="single" w:color="auto"/>
          <w:color w:val="auto"/>
        </w:rPr>
        <w:t>ADEA</w:t>
      </w:r>
      <w:r>
        <w:rPr>
          <w:rFonts w:ascii="Arial" w:cs="Arial" w:eastAsia="Arial" w:hAnsi="Arial"/>
          <w:sz w:val="18"/>
          <w:szCs w:val="18"/>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and the Parties agree that such time period to review this Agreement shall not be extended upon any material or immaterial changes to this Agreement; (c) Executive has seven days following Executive’s execution of this Agreement to revoke this Agreement pursuant to written notice to the Chief Financial Officer of the Company;</w:t>
      </w:r>
    </w:p>
    <w:p>
      <w:pPr>
        <w:spacing w:after="0" w:line="1" w:lineRule="exact"/>
        <w:rPr>
          <w:rFonts w:ascii="Arial" w:cs="Arial" w:eastAsia="Arial" w:hAnsi="Arial"/>
          <w:sz w:val="18"/>
          <w:szCs w:val="18"/>
          <w:color w:val="auto"/>
        </w:rPr>
      </w:pPr>
    </w:p>
    <w:p>
      <w:pPr>
        <w:ind w:firstLine="8"/>
        <w:spacing w:after="0" w:line="256" w:lineRule="auto"/>
        <w:tabs>
          <w:tab w:leader="none" w:pos="2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1" w:name="page62"/>
    <w:bookmarkEnd w:id="61"/>
    <w:p>
      <w:pPr>
        <w:ind w:left="792" w:hanging="396"/>
        <w:spacing w:after="0"/>
        <w:tabs>
          <w:tab w:leader="none" w:pos="792"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8" w:firstLine="799"/>
        <w:spacing w:after="0" w:line="257" w:lineRule="auto"/>
        <w:tabs>
          <w:tab w:leader="none" w:pos="1179" w:val="left"/>
        </w:tabs>
        <w:numPr>
          <w:ilvl w:val="2"/>
          <w:numId w:val="36"/>
        </w:numPr>
        <w:rPr>
          <w:rFonts w:ascii="Arial" w:cs="Arial" w:eastAsia="Arial" w:hAnsi="Arial"/>
          <w:sz w:val="19"/>
          <w:szCs w:val="19"/>
          <w:color w:val="auto"/>
        </w:rPr>
      </w:pPr>
      <w:r>
        <w:rPr>
          <w:rFonts w:ascii="Arial" w:cs="Arial" w:eastAsia="Arial" w:hAnsi="Arial"/>
          <w:sz w:val="19"/>
          <w:szCs w:val="19"/>
          <w:color w:val="auto"/>
        </w:rPr>
        <w:t>Executive acknowledges and agrees that the post-termination obligations set forth in the Restrictive Covenant Agreement, including without limitation Executive’s obligations relating to confidentiality, non-use and non-disclosure of Proprietary Information (as defined in the Restrictive Covenant Agreement), cooperation, and return of property, are hereby incorporated by reference and shall remain in full force and effect pursuant to their terms to the maximum extent permitted by applicable law. Executive represents and warrants that Executive has complied with all provisions of the Restrictive Covenant Agreement at all times through the Effective Date (as defined below). However, nothing in this Agreement prevents Executive from engaging in communications protected by the National Labor Relations Act or discussing or disclosing information about unlawful acts in the workplace, such as harassment or discrimination or any other conduct that Executive has reason to believe is unlawful.</w:t>
      </w:r>
    </w:p>
    <w:p>
      <w:pPr>
        <w:spacing w:after="0" w:line="180" w:lineRule="exact"/>
        <w:rPr>
          <w:rFonts w:ascii="Arial" w:cs="Arial" w:eastAsia="Arial" w:hAnsi="Arial"/>
          <w:sz w:val="19"/>
          <w:szCs w:val="19"/>
          <w:color w:val="auto"/>
        </w:rPr>
      </w:pPr>
    </w:p>
    <w:p>
      <w:pPr>
        <w:ind w:left="-8" w:firstLine="799"/>
        <w:spacing w:after="0" w:line="276" w:lineRule="auto"/>
        <w:tabs>
          <w:tab w:leader="none" w:pos="1179" w:val="left"/>
        </w:tabs>
        <w:numPr>
          <w:ilvl w:val="2"/>
          <w:numId w:val="36"/>
        </w:numPr>
        <w:rPr>
          <w:rFonts w:ascii="Arial" w:cs="Arial" w:eastAsia="Arial" w:hAnsi="Arial"/>
          <w:sz w:val="18"/>
          <w:szCs w:val="18"/>
          <w:color w:val="auto"/>
        </w:rPr>
      </w:pPr>
      <w:r>
        <w:rPr>
          <w:rFonts w:ascii="Arial" w:cs="Arial" w:eastAsia="Arial" w:hAnsi="Arial"/>
          <w:sz w:val="18"/>
          <w:szCs w:val="18"/>
          <w:color w:val="auto"/>
        </w:rPr>
        <w:t>Executive’s continued compliance with the terms of the Restrictive Covenant Agreement is a material condition to receipt of the severance payments and benefits set forth in Section 1 of this Agreement. In the event Executive breaches the Restrictive Covenant Agreement, then, in addition to any remedies and enforcement mechanisms set forth in the Restrictive Covenant Agreement, the Employment Agreement and this Agreement, and any other remedies available to the Company (including equitable and injunctive remedies), Executive shall forfeit any additional consideration owing and shall be obligated to promptly return to the Company (within fifteen (15) business days of any breach) the full gross amount of all severance payments and benefits provided.</w:t>
      </w:r>
    </w:p>
    <w:p>
      <w:pPr>
        <w:spacing w:after="0" w:line="164" w:lineRule="exact"/>
        <w:rPr>
          <w:rFonts w:ascii="Arial" w:cs="Arial" w:eastAsia="Arial" w:hAnsi="Arial"/>
          <w:sz w:val="18"/>
          <w:szCs w:val="18"/>
          <w:color w:val="auto"/>
        </w:rPr>
      </w:pPr>
    </w:p>
    <w:p>
      <w:pPr>
        <w:ind w:left="-8" w:firstLine="404"/>
        <w:spacing w:after="0" w:line="250" w:lineRule="auto"/>
        <w:tabs>
          <w:tab w:leader="none" w:pos="783"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5" w:lineRule="exact"/>
        <w:rPr>
          <w:rFonts w:ascii="Arial" w:cs="Arial" w:eastAsia="Arial" w:hAnsi="Arial"/>
          <w:sz w:val="20"/>
          <w:szCs w:val="20"/>
          <w:color w:val="auto"/>
        </w:rPr>
      </w:pPr>
    </w:p>
    <w:p>
      <w:pPr>
        <w:ind w:left="-8" w:right="40" w:firstLine="404"/>
        <w:spacing w:after="0" w:line="260" w:lineRule="auto"/>
        <w:tabs>
          <w:tab w:leader="none" w:pos="783"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No Oral Modification</w:t>
      </w:r>
      <w:r>
        <w:rPr>
          <w:rFonts w:ascii="Arial" w:cs="Arial" w:eastAsia="Arial" w:hAnsi="Arial"/>
          <w:sz w:val="20"/>
          <w:szCs w:val="20"/>
          <w:color w:val="auto"/>
        </w:rPr>
        <w:t>. This Agreement may only be amended in a writing signed by Executive and a duly authorized officer of the Company.</w:t>
      </w:r>
    </w:p>
    <w:p>
      <w:pPr>
        <w:spacing w:after="0" w:line="176" w:lineRule="exact"/>
        <w:rPr>
          <w:rFonts w:ascii="Arial" w:cs="Arial" w:eastAsia="Arial" w:hAnsi="Arial"/>
          <w:sz w:val="20"/>
          <w:szCs w:val="20"/>
          <w:color w:val="auto"/>
        </w:rPr>
      </w:pPr>
    </w:p>
    <w:p>
      <w:pPr>
        <w:ind w:left="-8" w:right="520" w:firstLine="404"/>
        <w:spacing w:after="0" w:line="260" w:lineRule="auto"/>
        <w:tabs>
          <w:tab w:leader="none" w:pos="783"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Governing Law; Dispute Resolution</w:t>
      </w:r>
      <w:r>
        <w:rPr>
          <w:rFonts w:ascii="Arial" w:cs="Arial" w:eastAsia="Arial" w:hAnsi="Arial"/>
          <w:sz w:val="20"/>
          <w:szCs w:val="20"/>
          <w:color w:val="auto"/>
        </w:rPr>
        <w:t>. This Agreement shall be subject to the provisions of Sections 9(a), 9(c), and 9(h) of the Employment Agreement.</w:t>
      </w:r>
    </w:p>
    <w:p>
      <w:pPr>
        <w:spacing w:after="0" w:line="176" w:lineRule="exact"/>
        <w:rPr>
          <w:rFonts w:ascii="Arial" w:cs="Arial" w:eastAsia="Arial" w:hAnsi="Arial"/>
          <w:sz w:val="20"/>
          <w:szCs w:val="20"/>
          <w:color w:val="auto"/>
        </w:rPr>
      </w:pPr>
    </w:p>
    <w:p>
      <w:pPr>
        <w:ind w:left="-8" w:right="580" w:firstLine="404"/>
        <w:spacing w:after="0" w:line="260" w:lineRule="auto"/>
        <w:tabs>
          <w:tab w:leader="none" w:pos="783"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Executive has seven days after Executive signs this Agreement to revoke it and this Agreement will become effective on the eighth day following the date Executive signed this Agreement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8" w:right="40" w:firstLine="404"/>
        <w:spacing w:after="0" w:line="270" w:lineRule="auto"/>
        <w:tabs>
          <w:tab w:leader="none" w:pos="783"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w:t>
      </w:r>
    </w:p>
    <w:p>
      <w:pPr>
        <w:spacing w:after="0" w:line="2" w:lineRule="exact"/>
        <w:rPr>
          <w:rFonts w:ascii="Arial" w:cs="Arial" w:eastAsia="Arial" w:hAnsi="Arial"/>
          <w:sz w:val="18"/>
          <w:szCs w:val="18"/>
          <w:color w:val="auto"/>
        </w:rPr>
      </w:pPr>
    </w:p>
    <w:p>
      <w:pPr>
        <w:ind w:left="-8" w:right="60" w:firstLine="8"/>
        <w:spacing w:after="0" w:line="260" w:lineRule="auto"/>
        <w:tabs>
          <w:tab w:leader="none" w:pos="261" w:val="left"/>
        </w:tabs>
        <w:numPr>
          <w:ilvl w:val="0"/>
          <w:numId w:val="37"/>
        </w:numPr>
        <w:rPr>
          <w:rFonts w:ascii="Arial" w:cs="Arial" w:eastAsia="Arial" w:hAnsi="Arial"/>
          <w:sz w:val="19"/>
          <w:szCs w:val="19"/>
          <w:color w:val="auto"/>
        </w:rPr>
      </w:pPr>
      <w:r>
        <w:rPr>
          <w:rFonts w:ascii="Arial" w:cs="Arial" w:eastAsia="Arial" w:hAnsi="Arial"/>
          <w:sz w:val="19"/>
          <w:szCs w:val="19"/>
          <w:color w:val="auto"/>
        </w:rPr>
        <w:t>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74" w:lineRule="exact"/>
        <w:rPr>
          <w:sz w:val="20"/>
          <w:szCs w:val="20"/>
          <w:color w:val="auto"/>
        </w:rPr>
      </w:pPr>
    </w:p>
    <w:p>
      <w:pPr>
        <w:ind w:left="432"/>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594360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82" w:right="339" w:bottom="1440" w:gutter="0" w:footer="0" w:header="0"/>
        </w:sectPr>
      </w:pPr>
    </w:p>
    <w:bookmarkStart w:id="62" w:name="page63"/>
    <w:bookmarkEnd w:id="62"/>
    <w:p>
      <w:pPr>
        <w:jc w:val="right"/>
        <w:ind w:right="34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594360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582" w:right="1440" w:bottom="1440" w:gutter="0" w:footer="0" w:header="0"/>
        </w:sectPr>
      </w:pPr>
    </w:p>
    <w:bookmarkStart w:id="63" w:name="page64"/>
    <w:bookmarkEnd w:id="63"/>
    <w:p>
      <w:pPr>
        <w:ind w:left="660"/>
        <w:spacing w:after="0"/>
        <w:rPr>
          <w:sz w:val="20"/>
          <w:szCs w:val="20"/>
          <w:color w:val="auto"/>
        </w:rPr>
      </w:pPr>
      <w:r>
        <w:rPr>
          <w:rFonts w:ascii="Arial" w:cs="Arial" w:eastAsia="Arial" w:hAnsi="Arial"/>
          <w:sz w:val="16"/>
          <w:szCs w:val="16"/>
          <w:color w:val="auto"/>
        </w:rPr>
        <w:t>IN WITNESS WHEREOF, the Parties have executed this Agreement on the respective dates set forth below.</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-14605</wp:posOffset>
            </wp:positionV>
            <wp:extent cx="12566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Matthew Link</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SIGHT SCIENCES, INC.</w:t>
      </w:r>
    </w:p>
    <w:p>
      <w:pPr>
        <w:spacing w:after="0" w:line="249" w:lineRule="exact"/>
        <w:rPr>
          <w:sz w:val="20"/>
          <w:szCs w:val="20"/>
          <w:color w:val="auto"/>
        </w:rPr>
      </w:pPr>
    </w:p>
    <w:p>
      <w:pPr>
        <w:spacing w:after="0"/>
        <w:tabs>
          <w:tab w:leader="none" w:pos="560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13258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5920"/>
        <w:spacing w:after="0"/>
        <w:rPr>
          <w:sz w:val="20"/>
          <w:szCs w:val="20"/>
          <w:color w:val="auto"/>
        </w:rPr>
      </w:pPr>
      <w:r>
        <w:rPr>
          <w:rFonts w:ascii="Arial" w:cs="Arial" w:eastAsia="Arial" w:hAnsi="Arial"/>
          <w:sz w:val="20"/>
          <w:szCs w:val="20"/>
          <w:color w:val="auto"/>
        </w:rPr>
        <w:t>Name:</w:t>
      </w:r>
    </w:p>
    <w:p>
      <w:pPr>
        <w:ind w:left="59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594360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582" w:right="1440" w:bottom="1440" w:gutter="0" w:footer="0" w:header="0"/>
        </w:sectPr>
      </w:pPr>
    </w:p>
    <w:bookmarkStart w:id="64" w:name="page65"/>
    <w:bookmarkEnd w:id="64"/>
    <w:p>
      <w:pPr>
        <w:ind w:left="10140"/>
        <w:spacing w:after="0"/>
        <w:rPr>
          <w:sz w:val="20"/>
          <w:szCs w:val="20"/>
          <w:color w:val="auto"/>
        </w:rPr>
      </w:pPr>
      <w:r>
        <w:rPr>
          <w:rFonts w:ascii="Arial" w:cs="Arial" w:eastAsia="Arial" w:hAnsi="Arial"/>
          <w:sz w:val="19"/>
          <w:szCs w:val="19"/>
          <w:b w:val="1"/>
          <w:bCs w:val="1"/>
          <w:color w:val="auto"/>
        </w:rPr>
        <w:t>Exhibit 10.3</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20"/>
          <w:szCs w:val="20"/>
          <w:b w:val="1"/>
          <w:bCs w:val="1"/>
          <w:u w:val="single" w:color="auto"/>
          <w:color w:val="auto"/>
        </w:rPr>
        <w:t>FOURTH AMENDMENT TO AMENDED AND RESTATED CREDIT AND SECURITY AGREEMENT (TERM LOAN)</w:t>
      </w:r>
    </w:p>
    <w:p>
      <w:pPr>
        <w:spacing w:after="0" w:line="276" w:lineRule="exact"/>
        <w:rPr>
          <w:sz w:val="20"/>
          <w:szCs w:val="20"/>
          <w:color w:val="auto"/>
        </w:rPr>
      </w:pPr>
    </w:p>
    <w:p>
      <w:pPr>
        <w:jc w:val="both"/>
        <w:ind w:firstLine="396"/>
        <w:spacing w:after="0" w:line="244" w:lineRule="auto"/>
        <w:rPr>
          <w:sz w:val="20"/>
          <w:szCs w:val="20"/>
          <w:color w:val="auto"/>
        </w:rPr>
      </w:pPr>
      <w:r>
        <w:rPr>
          <w:rFonts w:ascii="Arial" w:cs="Arial" w:eastAsia="Arial" w:hAnsi="Arial"/>
          <w:sz w:val="20"/>
          <w:szCs w:val="20"/>
          <w:color w:val="auto"/>
        </w:rPr>
        <w:t>This FOURTH AMENDMENT TO AMENDED AND RESTATED CREDIT AND SECURITY AGREEMENT (TERM LOAN) (this “</w:t>
      </w:r>
      <w:r>
        <w:rPr>
          <w:rFonts w:ascii="Arial" w:cs="Arial" w:eastAsia="Arial" w:hAnsi="Arial"/>
          <w:sz w:val="20"/>
          <w:szCs w:val="20"/>
          <w:b w:val="1"/>
          <w:bCs w:val="1"/>
          <w:color w:val="auto"/>
        </w:rPr>
        <w:t>Agreement</w:t>
      </w:r>
      <w:r>
        <w:rPr>
          <w:rFonts w:ascii="Arial" w:cs="Arial" w:eastAsia="Arial" w:hAnsi="Arial"/>
          <w:sz w:val="20"/>
          <w:szCs w:val="20"/>
          <w:color w:val="auto"/>
        </w:rPr>
        <w:t>”) is made as of this 6th day of November, 2023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by and among </w:t>
      </w:r>
      <w:r>
        <w:rPr>
          <w:rFonts w:ascii="Arial" w:cs="Arial" w:eastAsia="Arial" w:hAnsi="Arial"/>
          <w:sz w:val="20"/>
          <w:szCs w:val="20"/>
          <w:b w:val="1"/>
          <w:bCs w:val="1"/>
          <w:color w:val="auto"/>
        </w:rPr>
        <w:t>SIGHT SCIENCES,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Borrower</w:t>
      </w:r>
      <w:r>
        <w:rPr>
          <w:rFonts w:ascii="Arial" w:cs="Arial" w:eastAsia="Arial" w:hAnsi="Arial"/>
          <w:sz w:val="20"/>
          <w:szCs w:val="20"/>
          <w:color w:val="auto"/>
        </w:rPr>
        <w:t xml:space="preserve">”), </w:t>
      </w:r>
      <w:r>
        <w:rPr>
          <w:rFonts w:ascii="Arial" w:cs="Arial" w:eastAsia="Arial" w:hAnsi="Arial"/>
          <w:sz w:val="20"/>
          <w:szCs w:val="20"/>
          <w:b w:val="1"/>
          <w:bCs w:val="1"/>
          <w:color w:val="auto"/>
        </w:rPr>
        <w:t>MIDCAP FINANCIAL TRUST</w:t>
      </w:r>
      <w:r>
        <w:rPr>
          <w:rFonts w:ascii="Arial" w:cs="Arial" w:eastAsia="Arial" w:hAnsi="Arial"/>
          <w:sz w:val="20"/>
          <w:szCs w:val="20"/>
          <w:color w:val="auto"/>
        </w:rPr>
        <w:t>, as Agent for Lenders (in such capacity and together with its permitted successors and assigns, the “</w:t>
      </w:r>
      <w:r>
        <w:rPr>
          <w:rFonts w:ascii="Arial" w:cs="Arial" w:eastAsia="Arial" w:hAnsi="Arial"/>
          <w:sz w:val="20"/>
          <w:szCs w:val="20"/>
          <w:b w:val="1"/>
          <w:bCs w:val="1"/>
          <w:color w:val="auto"/>
        </w:rPr>
        <w:t>Agent</w:t>
      </w:r>
      <w:r>
        <w:rPr>
          <w:rFonts w:ascii="Arial" w:cs="Arial" w:eastAsia="Arial" w:hAnsi="Arial"/>
          <w:sz w:val="20"/>
          <w:szCs w:val="20"/>
          <w:color w:val="auto"/>
        </w:rPr>
        <w:t>”) and the other financial institutions or other entities from time to time parties to the Credit Agreement referenced below, each as a Lender.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757"/>
        <w:spacing w:after="0" w:line="273" w:lineRule="auto"/>
        <w:tabs>
          <w:tab w:leader="none" w:pos="10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Agent, Lenders and Borrower have entered into that certain Amended and Restated Credit and Security Agreement (Term Loan), dated as of November 23, 2020 (as amended by that certain First Amendment to Amended and Restated Credit and Security Agreement (Term Loan), dated as of October 5, 2021, by that certain Second Amendment to Amended and Restated Credit and Security Agreement (Term Loan), dated as of November 15, 2021 and by that certain Third Amendment to Amended and Restated Credit and Security Agreement (Term Loan), dated as of December 28, 2022, as supplemented by that certain Consent Relating to Termination of Affiliated Credit Agreement and Affiliated Financing Documents, dated July 20, 2023, and as further amended, restated, amended and restated, supplemented and/or otherwise modified prior to the date hereof, the “</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and as the same is amended hereby and as it may be further amended, restated, amended and restated, supplemented and/or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pursuant to which the Lenders have agreed to make certain advances of money and to extend certain financial accommodations to Borrower in the amounts and manner set forth in the Credit Agreement.</w:t>
      </w:r>
    </w:p>
    <w:p>
      <w:pPr>
        <w:spacing w:after="0" w:line="399" w:lineRule="exact"/>
        <w:rPr>
          <w:rFonts w:ascii="Arial" w:cs="Arial" w:eastAsia="Arial" w:hAnsi="Arial"/>
          <w:sz w:val="18"/>
          <w:szCs w:val="18"/>
          <w:color w:val="auto"/>
        </w:rPr>
      </w:pPr>
    </w:p>
    <w:p>
      <w:pPr>
        <w:jc w:val="both"/>
        <w:ind w:firstLine="757"/>
        <w:spacing w:after="0" w:line="250" w:lineRule="auto"/>
        <w:tabs>
          <w:tab w:leader="none" w:pos="1018" w:val="left"/>
        </w:tabs>
        <w:numPr>
          <w:ilvl w:val="0"/>
          <w:numId w:val="38"/>
        </w:numPr>
        <w:rPr>
          <w:rFonts w:ascii="Arial" w:cs="Arial" w:eastAsia="Arial" w:hAnsi="Arial"/>
          <w:sz w:val="20"/>
          <w:szCs w:val="20"/>
          <w:color w:val="auto"/>
        </w:rPr>
      </w:pPr>
      <w:r>
        <w:rPr>
          <w:rFonts w:ascii="Arial" w:cs="Arial" w:eastAsia="Arial" w:hAnsi="Arial"/>
          <w:sz w:val="20"/>
          <w:szCs w:val="20"/>
          <w:color w:val="auto"/>
        </w:rPr>
        <w:t>Borrower has requested, and Agent and the Lenders constituting at least the Required Lenders have agreed, on and subject to the terms and conditions set forth in this Agreement to, among other things, amend the Existing Credit Agreement, as more fully set forth in and subject to the terms and conditions herein.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NOW, THEREFORE, in consideration of the foregoing, the terms and conditions set forth in this Agreement, and other good and valuable consideration, the receipt and sufficiency of which are hereby acknowledged, Agent, Required Lenders, and Borrower hereby agree as follows:</w:t>
      </w:r>
    </w:p>
    <w:p>
      <w:pPr>
        <w:spacing w:after="0" w:line="180" w:lineRule="exact"/>
        <w:rPr>
          <w:sz w:val="20"/>
          <w:szCs w:val="20"/>
          <w:color w:val="auto"/>
        </w:rPr>
      </w:pPr>
    </w:p>
    <w:p>
      <w:pPr>
        <w:jc w:val="both"/>
        <w:ind w:firstLine="757"/>
        <w:spacing w:after="0" w:line="246" w:lineRule="auto"/>
        <w:tabs>
          <w:tab w:leader="none" w:pos="1018" w:val="left"/>
        </w:tabs>
        <w:numPr>
          <w:ilvl w:val="0"/>
          <w:numId w:val="39"/>
        </w:numPr>
        <w:rPr>
          <w:rFonts w:ascii="Arial" w:cs="Arial" w:eastAsia="Arial" w:hAnsi="Arial"/>
          <w:sz w:val="20"/>
          <w:szCs w:val="20"/>
          <w:color w:val="010000"/>
        </w:rPr>
      </w:pPr>
      <w:r>
        <w:rPr>
          <w:rFonts w:ascii="Arial" w:cs="Arial" w:eastAsia="Arial" w:hAnsi="Arial"/>
          <w:sz w:val="20"/>
          <w:szCs w:val="20"/>
          <w:b w:val="1"/>
          <w:bCs w:val="1"/>
          <w:u w:val="single" w:color="auto"/>
          <w:color w:val="auto"/>
        </w:rPr>
        <w:t>Recitals; Construction</w:t>
      </w:r>
      <w:r>
        <w:rPr>
          <w:rFonts w:ascii="Arial" w:cs="Arial" w:eastAsia="Arial" w:hAnsi="Arial"/>
          <w:sz w:val="20"/>
          <w:szCs w:val="20"/>
          <w:color w:val="auto"/>
        </w:rPr>
        <w:t>. This Agreement shall constitute a Financing Document and the Recitals and each reference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Credit Agreement, unless otherwise expressly noted, will be deemed to reference the Credit Agreement as modified hereby. The Recitals set forth above shall be construed as part of this Agreement as if set forth fully in the body of this Agreement. Capitalized terms used but not otherwise defined herein shall have the meanings ascribed to them in the Credit Agreement (including those capitalized terms used in the Recitals hereto).</w:t>
      </w:r>
    </w:p>
    <w:p>
      <w:pPr>
        <w:spacing w:after="0" w:line="184" w:lineRule="exact"/>
        <w:rPr>
          <w:rFonts w:ascii="Arial" w:cs="Arial" w:eastAsia="Arial" w:hAnsi="Arial"/>
          <w:sz w:val="20"/>
          <w:szCs w:val="20"/>
          <w:color w:val="010000"/>
        </w:rPr>
      </w:pPr>
    </w:p>
    <w:p>
      <w:pPr>
        <w:jc w:val="both"/>
        <w:ind w:firstLine="757"/>
        <w:spacing w:after="0" w:line="253" w:lineRule="auto"/>
        <w:tabs>
          <w:tab w:leader="none" w:pos="1018" w:val="left"/>
        </w:tabs>
        <w:numPr>
          <w:ilvl w:val="0"/>
          <w:numId w:val="39"/>
        </w:numPr>
        <w:rPr>
          <w:rFonts w:ascii="Arial" w:cs="Arial" w:eastAsia="Arial" w:hAnsi="Arial"/>
          <w:sz w:val="20"/>
          <w:szCs w:val="20"/>
          <w:color w:val="010000"/>
        </w:rPr>
      </w:pPr>
      <w:r>
        <w:rPr>
          <w:rFonts w:ascii="Arial" w:cs="Arial" w:eastAsia="Arial" w:hAnsi="Arial"/>
          <w:sz w:val="20"/>
          <w:szCs w:val="20"/>
          <w:b w:val="1"/>
          <w:bCs w:val="1"/>
          <w:u w:val="single" w:color="auto"/>
          <w:color w:val="auto"/>
        </w:rPr>
        <w:t>Amendments to Credit Agreement</w:t>
      </w:r>
      <w:r>
        <w:rPr>
          <w:rFonts w:ascii="Arial" w:cs="Arial" w:eastAsia="Arial" w:hAnsi="Arial"/>
          <w:sz w:val="20"/>
          <w:szCs w:val="20"/>
          <w:color w:val="auto"/>
        </w:rPr>
        <w:t>. Subject to the terms and conditions in this Agreement, including, without limitation,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to effectiveness set forth in Section 4 below, effective as of the Effective Date, the Existing Credit Agreement is hereby amended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ind w:firstLine="1505"/>
        <w:spacing w:after="0" w:line="260" w:lineRule="auto"/>
        <w:tabs>
          <w:tab w:leader="none" w:pos="2036" w:val="left"/>
        </w:tabs>
        <w:numPr>
          <w:ilvl w:val="0"/>
          <w:numId w:val="40"/>
        </w:numPr>
        <w:rPr>
          <w:rFonts w:ascii="Arial" w:cs="Arial" w:eastAsia="Arial" w:hAnsi="Arial"/>
          <w:sz w:val="20"/>
          <w:szCs w:val="20"/>
          <w:color w:val="010000"/>
        </w:rPr>
      </w:pPr>
      <w:r>
        <w:rPr>
          <w:rFonts w:ascii="Arial" w:cs="Arial" w:eastAsia="Arial" w:hAnsi="Arial"/>
          <w:sz w:val="20"/>
          <w:szCs w:val="20"/>
          <w:color w:val="auto"/>
        </w:rPr>
        <w:t>Section 1.1 of the Existing Credit Agreement is hereby amended to add the following definitions in the appropriate alphabetical order therein:</w:t>
      </w:r>
    </w:p>
    <w:p>
      <w:pPr>
        <w:spacing w:after="0" w:line="171" w:lineRule="exact"/>
        <w:rPr>
          <w:sz w:val="20"/>
          <w:szCs w:val="20"/>
          <w:color w:val="auto"/>
        </w:rPr>
      </w:pPr>
    </w:p>
    <w:p>
      <w:pPr>
        <w:ind w:left="800" w:right="4420" w:firstLine="70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Fourth Amendment Effective Date</w:t>
      </w:r>
      <w:r>
        <w:rPr>
          <w:rFonts w:ascii="Arial" w:cs="Arial" w:eastAsia="Arial" w:hAnsi="Arial"/>
          <w:sz w:val="20"/>
          <w:szCs w:val="20"/>
          <w:color w:val="auto"/>
        </w:rPr>
        <w:t>” means November 6, 2023.” “</w:t>
      </w:r>
      <w:r>
        <w:rPr>
          <w:rFonts w:ascii="Arial" w:cs="Arial" w:eastAsia="Arial" w:hAnsi="Arial"/>
          <w:sz w:val="20"/>
          <w:szCs w:val="20"/>
          <w:b w:val="1"/>
          <w:bCs w:val="1"/>
          <w:color w:val="auto"/>
        </w:rPr>
        <w:t>OMNI</w:t>
      </w:r>
      <w:r>
        <w:rPr>
          <w:rFonts w:ascii="Arial" w:cs="Arial" w:eastAsia="Arial" w:hAnsi="Arial"/>
          <w:sz w:val="20"/>
          <w:szCs w:val="20"/>
          <w:color w:val="auto"/>
        </w:rPr>
        <w:t xml:space="preserve">” has the meaning set forth on </w:t>
      </w:r>
      <w:r>
        <w:rPr>
          <w:rFonts w:ascii="Arial" w:cs="Arial" w:eastAsia="Arial" w:hAnsi="Arial"/>
          <w:sz w:val="20"/>
          <w:szCs w:val="20"/>
          <w:u w:val="single" w:color="auto"/>
          <w:color w:val="auto"/>
        </w:rPr>
        <w:t>Schedule 2.1</w:t>
      </w:r>
      <w:r>
        <w:rPr>
          <w:rFonts w:ascii="Arial" w:cs="Arial" w:eastAsia="Arial" w:hAnsi="Arial"/>
          <w:sz w:val="20"/>
          <w:szCs w:val="20"/>
          <w:color w:val="auto"/>
        </w:rPr>
        <w:t>.”</w:t>
      </w:r>
    </w:p>
    <w:p>
      <w:pPr>
        <w:spacing w:after="0" w:line="183" w:lineRule="exact"/>
        <w:rPr>
          <w:sz w:val="20"/>
          <w:szCs w:val="20"/>
          <w:color w:val="auto"/>
        </w:rPr>
      </w:pPr>
    </w:p>
    <w:p>
      <w:pPr>
        <w:ind w:right="20" w:firstLine="1505"/>
        <w:spacing w:after="0" w:line="260" w:lineRule="auto"/>
        <w:tabs>
          <w:tab w:leader="none" w:pos="2036" w:val="left"/>
        </w:tabs>
        <w:numPr>
          <w:ilvl w:val="0"/>
          <w:numId w:val="41"/>
        </w:numPr>
        <w:rPr>
          <w:rFonts w:ascii="Arial" w:cs="Arial" w:eastAsia="Arial" w:hAnsi="Arial"/>
          <w:sz w:val="20"/>
          <w:szCs w:val="20"/>
          <w:color w:val="010000"/>
        </w:rPr>
      </w:pPr>
      <w:r>
        <w:rPr>
          <w:rFonts w:ascii="Arial" w:cs="Arial" w:eastAsia="Arial" w:hAnsi="Arial"/>
          <w:sz w:val="20"/>
          <w:szCs w:val="20"/>
          <w:color w:val="auto"/>
        </w:rPr>
        <w:t>Section 4.9 of the Existing Credit Agreement is hereby amended by adding the following as a new subclause (d) in the appropriate order therein:</w:t>
      </w:r>
    </w:p>
    <w:p>
      <w:pPr>
        <w:spacing w:after="0" w:line="177" w:lineRule="exact"/>
        <w:rPr>
          <w:sz w:val="20"/>
          <w:szCs w:val="20"/>
          <w:color w:val="auto"/>
        </w:rPr>
      </w:pPr>
    </w:p>
    <w:p>
      <w:pPr>
        <w:jc w:val="both"/>
        <w:ind w:left="1500"/>
        <w:spacing w:after="0" w:line="246" w:lineRule="auto"/>
        <w:rPr>
          <w:sz w:val="20"/>
          <w:szCs w:val="20"/>
          <w:color w:val="auto"/>
        </w:rPr>
      </w:pPr>
      <w:r>
        <w:rPr>
          <w:rFonts w:ascii="Arial" w:cs="Arial" w:eastAsia="Arial" w:hAnsi="Arial"/>
          <w:sz w:val="20"/>
          <w:szCs w:val="20"/>
          <w:color w:val="auto"/>
        </w:rPr>
        <w:t>“(d) Borrower shall, within one (1) Business Day after any Medicare Administrative Contractor issues a final local coverage determination that has the effect of removing, eliminating, or materially reducing reimbursement coverage in respect to procedures in which the OMNI® Surgical System is used, provide written notice to Agent of such Medicare Administrative Contractor’s determination.”</w:t>
      </w:r>
    </w:p>
    <w:p>
      <w:pPr>
        <w:spacing w:after="0" w:line="205" w:lineRule="exact"/>
        <w:rPr>
          <w:sz w:val="20"/>
          <w:szCs w:val="20"/>
          <w:color w:val="auto"/>
        </w:rPr>
      </w:pPr>
    </w:p>
    <w:p>
      <w:pPr>
        <w:ind w:firstLine="1505"/>
        <w:spacing w:after="0" w:line="260" w:lineRule="auto"/>
        <w:tabs>
          <w:tab w:leader="none" w:pos="2036"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Article 6 of the Existing Credit Agreement is hereby amended by renumber the existing Section 6.2 as Section 6.3 and adding the following as a new Section 6.2 in the appropriate order therein:</w:t>
      </w:r>
    </w:p>
    <w:p>
      <w:pPr>
        <w:spacing w:after="0" w:line="177" w:lineRule="exact"/>
        <w:rPr>
          <w:sz w:val="20"/>
          <w:szCs w:val="20"/>
          <w:color w:val="auto"/>
        </w:rPr>
      </w:pPr>
    </w:p>
    <w:p>
      <w:pPr>
        <w:ind w:left="1500"/>
        <w:spacing w:after="0" w:line="287"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Minimum Cash</w:t>
      </w:r>
      <w:r>
        <w:rPr>
          <w:rFonts w:ascii="Arial" w:cs="Arial" w:eastAsia="Arial" w:hAnsi="Arial"/>
          <w:sz w:val="19"/>
          <w:szCs w:val="19"/>
          <w:color w:val="auto"/>
        </w:rPr>
        <w:t>. Commencing on the Fourth Amendment Effective Date and continuing at all times thereafter, Borrower shall not permit Borrower Unrestricted Cash to be less than $50,000,000 at any time.”</w:t>
      </w:r>
    </w:p>
    <w:p>
      <w:pPr>
        <w:spacing w:after="0" w:line="152" w:lineRule="exact"/>
        <w:rPr>
          <w:sz w:val="20"/>
          <w:szCs w:val="20"/>
          <w:color w:val="auto"/>
        </w:rPr>
      </w:pPr>
    </w:p>
    <w:p>
      <w:pPr>
        <w:ind w:left="2040" w:hanging="535"/>
        <w:spacing w:after="0"/>
        <w:tabs>
          <w:tab w:leader="none" w:pos="2040"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Schedule 2.1 attached to the Existing Credit Agreement is hereby deleted and replaced in its entirety in the form of</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attached hereto.</w:t>
      </w:r>
    </w:p>
    <w:p>
      <w:pPr>
        <w:spacing w:after="0" w:line="193" w:lineRule="exact"/>
        <w:rPr>
          <w:rFonts w:ascii="Arial" w:cs="Arial" w:eastAsia="Arial" w:hAnsi="Arial"/>
          <w:sz w:val="18"/>
          <w:szCs w:val="18"/>
          <w:color w:val="010000"/>
        </w:rPr>
      </w:pPr>
    </w:p>
    <w:p>
      <w:pPr>
        <w:jc w:val="both"/>
        <w:ind w:firstLine="757"/>
        <w:spacing w:after="0" w:line="255" w:lineRule="auto"/>
        <w:tabs>
          <w:tab w:leader="none" w:pos="1018" w:val="left"/>
        </w:tabs>
        <w:numPr>
          <w:ilvl w:val="0"/>
          <w:numId w:val="44"/>
        </w:numPr>
        <w:rPr>
          <w:rFonts w:ascii="Arial" w:cs="Arial" w:eastAsia="Arial" w:hAnsi="Arial"/>
          <w:sz w:val="19"/>
          <w:szCs w:val="19"/>
          <w:color w:val="010000"/>
        </w:rPr>
      </w:pPr>
      <w:r>
        <w:rPr>
          <w:rFonts w:ascii="Arial" w:cs="Arial" w:eastAsia="Arial" w:hAnsi="Arial"/>
          <w:sz w:val="19"/>
          <w:szCs w:val="19"/>
          <w:b w:val="1"/>
          <w:bCs w:val="1"/>
          <w:u w:val="single" w:color="auto"/>
          <w:color w:val="auto"/>
        </w:rPr>
        <w:t>Representations and Warranties; Reaffirmation of Security Interest</w:t>
      </w:r>
      <w:r>
        <w:rPr>
          <w:rFonts w:ascii="Arial" w:cs="Arial" w:eastAsia="Arial" w:hAnsi="Arial"/>
          <w:sz w:val="19"/>
          <w:szCs w:val="19"/>
          <w:color w:val="auto"/>
        </w:rPr>
        <w:t>. Borrower hereby confirms that all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representations and warranties set forth in the Credit Agreement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(without duplication of any materiality qualifier in the text of such representation or warranty) as of such earlier date. Without limiting the foregoing, each Borrower represents and warrants that prior to and after giving effect to the agreements set forth herein, no Default or Event of Default shall exist under any of the Financing Documents. Nothing herein is intended to impair or limit the validity, priority or extent of Agent’s security interests in and Liens on the Collateral. Each Borrower acknowledges and agrees that each of this Agreement, the Credit Agreement and the other Financing Documents to which it is a party constitutes the valid and binding agreement or instrument of such Borrower, enforceable against such Borrower in accordance with its respective terms, except as the enforceability thereof may be limited by bankruptcy, insolvency or other similar laws relating to the enforcement of creditors’ rights generally and by general equitable principles.</w:t>
      </w:r>
    </w:p>
    <w:p>
      <w:pPr>
        <w:spacing w:after="0" w:line="184" w:lineRule="exact"/>
        <w:rPr>
          <w:rFonts w:ascii="Arial" w:cs="Arial" w:eastAsia="Arial" w:hAnsi="Arial"/>
          <w:sz w:val="19"/>
          <w:szCs w:val="19"/>
          <w:color w:val="010000"/>
        </w:rPr>
      </w:pPr>
    </w:p>
    <w:p>
      <w:pPr>
        <w:ind w:firstLine="757"/>
        <w:spacing w:after="0" w:line="267" w:lineRule="auto"/>
        <w:tabs>
          <w:tab w:leader="none" w:pos="1018" w:val="left"/>
        </w:tabs>
        <w:numPr>
          <w:ilvl w:val="0"/>
          <w:numId w:val="44"/>
        </w:numPr>
        <w:rPr>
          <w:rFonts w:ascii="Arial" w:cs="Arial" w:eastAsia="Arial" w:hAnsi="Arial"/>
          <w:sz w:val="20"/>
          <w:szCs w:val="20"/>
          <w:color w:val="010000"/>
        </w:rPr>
      </w:pPr>
      <w:r>
        <w:rPr>
          <w:rFonts w:ascii="Arial" w:cs="Arial" w:eastAsia="Arial" w:hAnsi="Arial"/>
          <w:sz w:val="20"/>
          <w:szCs w:val="20"/>
          <w:b w:val="1"/>
          <w:bCs w:val="1"/>
          <w:u w:val="single" w:color="auto"/>
          <w:color w:val="auto"/>
        </w:rPr>
        <w:t>Conditions to Effectiveness</w:t>
      </w:r>
      <w:r>
        <w:rPr>
          <w:rFonts w:ascii="Arial" w:cs="Arial" w:eastAsia="Arial" w:hAnsi="Arial"/>
          <w:sz w:val="20"/>
          <w:szCs w:val="20"/>
          <w:color w:val="auto"/>
        </w:rPr>
        <w:t>. This Agreement shall become effective as of the date on which each of the following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have been satisfied, as determined by Agent in its sole discretion, or waived by Agent in its discretion:</w:t>
      </w:r>
    </w:p>
    <w:p>
      <w:pPr>
        <w:spacing w:after="0" w:line="169" w:lineRule="exact"/>
        <w:rPr>
          <w:rFonts w:ascii="Arial" w:cs="Arial" w:eastAsia="Arial" w:hAnsi="Arial"/>
          <w:sz w:val="20"/>
          <w:szCs w:val="20"/>
          <w:color w:val="010000"/>
        </w:rPr>
      </w:pPr>
    </w:p>
    <w:p>
      <w:pPr>
        <w:ind w:firstLine="1505"/>
        <w:spacing w:after="0" w:line="316" w:lineRule="auto"/>
        <w:tabs>
          <w:tab w:leader="none" w:pos="2036"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Agent shall have received (including by way electronic transmission) a duly authorized, executed and delivered counterpart of the signature page to this Agreement from each Borrower, Agent and each Lender constituting Required Lenders;</w:t>
      </w:r>
    </w:p>
    <w:p>
      <w:pPr>
        <w:spacing w:after="0" w:line="129" w:lineRule="exact"/>
        <w:rPr>
          <w:rFonts w:ascii="Arial" w:cs="Arial" w:eastAsia="Arial" w:hAnsi="Arial"/>
          <w:sz w:val="18"/>
          <w:szCs w:val="18"/>
          <w:color w:val="010000"/>
        </w:rPr>
      </w:pPr>
    </w:p>
    <w:p>
      <w:pPr>
        <w:ind w:firstLine="1505"/>
        <w:spacing w:after="0" w:line="260" w:lineRule="auto"/>
        <w:tabs>
          <w:tab w:leader="none" w:pos="2036" w:val="left"/>
        </w:tabs>
        <w:numPr>
          <w:ilvl w:val="1"/>
          <w:numId w:val="44"/>
        </w:numPr>
        <w:rPr>
          <w:rFonts w:ascii="Arial" w:cs="Arial" w:eastAsia="Arial" w:hAnsi="Arial"/>
          <w:sz w:val="20"/>
          <w:szCs w:val="20"/>
          <w:color w:val="010000"/>
        </w:rPr>
      </w:pPr>
      <w:r>
        <w:rPr>
          <w:rFonts w:ascii="Arial" w:cs="Arial" w:eastAsia="Arial" w:hAnsi="Arial"/>
          <w:sz w:val="20"/>
          <w:szCs w:val="20"/>
          <w:color w:val="auto"/>
        </w:rPr>
        <w:t>all representations and warranties of Credit Parties contained herein shall be true and correct in all material respects (without duplication of any materiality qualifier in the text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6" w:name="page67"/>
    <w:bookmarkEnd w:id="66"/>
    <w:p>
      <w:pPr>
        <w:jc w:val="both"/>
        <w:spacing w:after="0" w:line="250" w:lineRule="auto"/>
        <w:rPr>
          <w:sz w:val="20"/>
          <w:szCs w:val="20"/>
          <w:color w:val="auto"/>
        </w:rPr>
      </w:pPr>
      <w:r>
        <w:rPr>
          <w:rFonts w:ascii="Arial" w:cs="Arial" w:eastAsia="Arial" w:hAnsi="Arial"/>
          <w:sz w:val="20"/>
          <w:szCs w:val="20"/>
          <w:color w:val="auto"/>
        </w:rPr>
        <w:t>representation or warranty) as of the date hereof except to the extent that any such representation or warranty relates to a specific date in which case such representation or warranty shall be true and correct in all material respects as of such earlier date (and such parties’ delivery of their respective signatures hereto shall be deemed to be its certification thereof); and;</w:t>
      </w:r>
    </w:p>
    <w:p>
      <w:pPr>
        <w:spacing w:after="0" w:line="186" w:lineRule="exact"/>
        <w:rPr>
          <w:sz w:val="20"/>
          <w:szCs w:val="20"/>
          <w:color w:val="auto"/>
        </w:rPr>
      </w:pPr>
    </w:p>
    <w:p>
      <w:pPr>
        <w:ind w:firstLine="1505"/>
        <w:spacing w:after="0" w:line="260" w:lineRule="auto"/>
        <w:tabs>
          <w:tab w:leader="none" w:pos="2036" w:val="left"/>
        </w:tabs>
        <w:numPr>
          <w:ilvl w:val="2"/>
          <w:numId w:val="45"/>
        </w:numPr>
        <w:rPr>
          <w:rFonts w:ascii="Arial" w:cs="Arial" w:eastAsia="Arial" w:hAnsi="Arial"/>
          <w:sz w:val="20"/>
          <w:szCs w:val="20"/>
          <w:color w:val="010000"/>
        </w:rPr>
      </w:pPr>
      <w:r>
        <w:rPr>
          <w:rFonts w:ascii="Arial" w:cs="Arial" w:eastAsia="Arial" w:hAnsi="Arial"/>
          <w:sz w:val="20"/>
          <w:szCs w:val="20"/>
          <w:color w:val="auto"/>
        </w:rPr>
        <w:t>immediately prior to and after giving effect to this Agreement, no Default or Event of Default exists under any of the Financing Documents.</w:t>
      </w:r>
    </w:p>
    <w:p>
      <w:pPr>
        <w:spacing w:after="0" w:line="170" w:lineRule="exact"/>
        <w:rPr>
          <w:rFonts w:ascii="Arial" w:cs="Arial" w:eastAsia="Arial" w:hAnsi="Arial"/>
          <w:sz w:val="20"/>
          <w:szCs w:val="20"/>
          <w:color w:val="010000"/>
        </w:rPr>
      </w:pPr>
    </w:p>
    <w:p>
      <w:pPr>
        <w:jc w:val="both"/>
        <w:ind w:firstLine="757"/>
        <w:spacing w:after="0" w:line="246" w:lineRule="auto"/>
        <w:tabs>
          <w:tab w:leader="none" w:pos="1018" w:val="left"/>
        </w:tabs>
        <w:numPr>
          <w:ilvl w:val="1"/>
          <w:numId w:val="46"/>
        </w:numPr>
        <w:rPr>
          <w:rFonts w:ascii="Arial" w:cs="Arial" w:eastAsia="Arial" w:hAnsi="Arial"/>
          <w:sz w:val="20"/>
          <w:szCs w:val="20"/>
          <w:color w:val="010000"/>
        </w:rPr>
      </w:pPr>
      <w:r>
        <w:rPr>
          <w:rFonts w:ascii="Arial" w:cs="Arial" w:eastAsia="Arial" w:hAnsi="Arial"/>
          <w:sz w:val="20"/>
          <w:szCs w:val="20"/>
          <w:b w:val="1"/>
          <w:bCs w:val="1"/>
          <w:u w:val="single" w:color="auto"/>
          <w:color w:val="auto"/>
        </w:rPr>
        <w:t>Costs and Fees</w:t>
      </w:r>
      <w:r>
        <w:rPr>
          <w:rFonts w:ascii="Arial" w:cs="Arial" w:eastAsia="Arial" w:hAnsi="Arial"/>
          <w:sz w:val="20"/>
          <w:szCs w:val="20"/>
          <w:color w:val="auto"/>
        </w:rPr>
        <w:t>. Borrower agrees to promptly pay, or reimburse upon demand for, all reasonable and documented costs and</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of Agent (including, without limitation, the reasonable and documented fees, costs and expenses of counsel to Agent) in connection with the preparation, negotiation, execution and delivery of this Agreement and any other Financing Documents or other agreements prepared, negotiated, executed or delivered in connection with this Agreement or transactions contemplated hereby, in accordance with Section 12.14 of the Credit Agreement.</w:t>
      </w:r>
    </w:p>
    <w:p>
      <w:pPr>
        <w:spacing w:after="0" w:line="184" w:lineRule="exact"/>
        <w:rPr>
          <w:rFonts w:ascii="Arial" w:cs="Arial" w:eastAsia="Arial" w:hAnsi="Arial"/>
          <w:sz w:val="20"/>
          <w:szCs w:val="20"/>
          <w:color w:val="010000"/>
        </w:rPr>
      </w:pPr>
    </w:p>
    <w:p>
      <w:pPr>
        <w:jc w:val="both"/>
        <w:ind w:firstLine="757"/>
        <w:spacing w:after="0" w:line="307" w:lineRule="auto"/>
        <w:tabs>
          <w:tab w:leader="none" w:pos="1018" w:val="left"/>
        </w:tabs>
        <w:numPr>
          <w:ilvl w:val="1"/>
          <w:numId w:val="46"/>
        </w:numPr>
        <w:rPr>
          <w:rFonts w:ascii="Arial" w:cs="Arial" w:eastAsia="Arial" w:hAnsi="Arial"/>
          <w:sz w:val="16"/>
          <w:szCs w:val="16"/>
          <w:color w:val="010000"/>
        </w:rPr>
      </w:pPr>
      <w:r>
        <w:rPr>
          <w:rFonts w:ascii="Arial" w:cs="Arial" w:eastAsia="Arial" w:hAnsi="Arial"/>
          <w:sz w:val="16"/>
          <w:szCs w:val="16"/>
          <w:b w:val="1"/>
          <w:bCs w:val="1"/>
          <w:u w:val="single" w:color="auto"/>
          <w:color w:val="auto"/>
        </w:rPr>
        <w:t>Lender Release</w:t>
      </w:r>
      <w:r>
        <w:rPr>
          <w:rFonts w:ascii="Arial" w:cs="Arial" w:eastAsia="Arial" w:hAnsi="Arial"/>
          <w:sz w:val="16"/>
          <w:szCs w:val="16"/>
          <w:color w:val="auto"/>
        </w:rPr>
        <w:t>. In consideration of the agreements of Agent and Required Lenders contained herein and for other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consideration, the receipt and sufficiency of which is hereby acknowledged, each Borrower, voluntarily, knowingly, unconditionally and irrevocably, with specific and express intent, for and on behalf of itself and all of its respective parents, subsidiaries, affiliates, members, managers, predecessors, successors, and assigns, and each of its respective current and former directors, officers, shareholders, agents, and employees, and each of its respective predecessors, successors, heirs, and assigns (individually and collectively, the “Releasing Parties”)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“Released Parties”),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or arising out of this Agreement, that relate to, arise out of or otherwise are in connection with:</w:t>
      </w:r>
    </w:p>
    <w:p>
      <w:pPr>
        <w:spacing w:after="0" w:line="187" w:lineRule="exact"/>
        <w:rPr>
          <w:rFonts w:ascii="Arial" w:cs="Arial" w:eastAsia="Arial" w:hAnsi="Arial"/>
          <w:sz w:val="16"/>
          <w:szCs w:val="16"/>
          <w:color w:val="010000"/>
        </w:rPr>
      </w:pPr>
    </w:p>
    <w:p>
      <w:pPr>
        <w:jc w:val="both"/>
        <w:ind w:firstLine="8"/>
        <w:spacing w:after="0" w:line="274" w:lineRule="auto"/>
        <w:tabs>
          <w:tab w:leader="none" w:pos="23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or all of the Financing Documents or transactions contemplated thereby or any actions or omissions in connection therewith or (ii) any aspect of the dealings or relationships between or among such Borrower, on the one hand, and any or all of the Released Parties, on the other hand, relating to any or all of the documents, transactions, actions or omissions referenced in clause (i) hereof. Each Borrower acknowledges that the foregoing release is a material inducement to Agent’s and Required Lender’s decision to enter into this Agreement and agree to the modifications contemplated hereunder, and has been relied upon by Agent and Required Lenders in connection therewith.</w:t>
      </w:r>
    </w:p>
    <w:p>
      <w:pPr>
        <w:spacing w:after="0" w:line="159" w:lineRule="exact"/>
        <w:rPr>
          <w:rFonts w:ascii="Arial" w:cs="Arial" w:eastAsia="Arial" w:hAnsi="Arial"/>
          <w:sz w:val="18"/>
          <w:szCs w:val="18"/>
          <w:color w:val="auto"/>
        </w:rPr>
      </w:pPr>
    </w:p>
    <w:p>
      <w:pPr>
        <w:jc w:val="both"/>
        <w:ind w:firstLine="757"/>
        <w:spacing w:after="0" w:line="277" w:lineRule="auto"/>
        <w:tabs>
          <w:tab w:leader="none" w:pos="1018" w:val="left"/>
        </w:tabs>
        <w:numPr>
          <w:ilvl w:val="1"/>
          <w:numId w:val="47"/>
        </w:numPr>
        <w:rPr>
          <w:rFonts w:ascii="Arial" w:cs="Arial" w:eastAsia="Arial" w:hAnsi="Arial"/>
          <w:sz w:val="18"/>
          <w:szCs w:val="18"/>
          <w:color w:val="010000"/>
        </w:rPr>
      </w:pPr>
      <w:r>
        <w:rPr>
          <w:rFonts w:ascii="Arial" w:cs="Arial" w:eastAsia="Arial" w:hAnsi="Arial"/>
          <w:sz w:val="18"/>
          <w:szCs w:val="18"/>
          <w:b w:val="1"/>
          <w:bCs w:val="1"/>
          <w:u w:val="single" w:color="auto"/>
          <w:color w:val="auto"/>
        </w:rPr>
        <w:t>No Waiver or Novation</w:t>
      </w:r>
      <w:r>
        <w:rPr>
          <w:rFonts w:ascii="Arial" w:cs="Arial" w:eastAsia="Arial" w:hAnsi="Arial"/>
          <w:sz w:val="18"/>
          <w:szCs w:val="18"/>
          <w:color w:val="auto"/>
        </w:rPr>
        <w:t>. The execution, delivery and effectiveness of this Agreement shall not operate as a waiver of any right,</w:t>
      </w:r>
      <w:r>
        <w:rPr>
          <w:rFonts w:ascii="Arial" w:cs="Arial" w:eastAsia="Arial" w:hAnsi="Arial"/>
          <w:sz w:val="18"/>
          <w:szCs w:val="18"/>
          <w:b w:val="1"/>
          <w:bCs w:val="1"/>
          <w:color w:val="auto"/>
        </w:rPr>
        <w:t xml:space="preserve"> </w:t>
      </w:r>
      <w:r>
        <w:rPr>
          <w:rFonts w:ascii="Arial" w:cs="Arial" w:eastAsia="Arial" w:hAnsi="Arial"/>
          <w:sz w:val="18"/>
          <w:szCs w:val="18"/>
          <w:color w:val="auto"/>
        </w:rPr>
        <w:t>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7" w:name="page68"/>
    <w:bookmarkEnd w:id="67"/>
    <w:p>
      <w:pPr>
        <w:jc w:val="both"/>
        <w:ind w:left="-757" w:firstLine="757"/>
        <w:spacing w:after="0" w:line="257" w:lineRule="auto"/>
        <w:tabs>
          <w:tab w:leader="none" w:pos="261" w:val="left"/>
        </w:tabs>
        <w:numPr>
          <w:ilvl w:val="0"/>
          <w:numId w:val="48"/>
        </w:numPr>
        <w:rPr>
          <w:rFonts w:ascii="Arial" w:cs="Arial" w:eastAsia="Arial" w:hAnsi="Arial"/>
          <w:sz w:val="19"/>
          <w:szCs w:val="19"/>
          <w:color w:val="010000"/>
        </w:rPr>
      </w:pPr>
      <w:r>
        <w:rPr>
          <w:rFonts w:ascii="Arial" w:cs="Arial" w:eastAsia="Arial" w:hAnsi="Arial"/>
          <w:sz w:val="19"/>
          <w:szCs w:val="19"/>
          <w:b w:val="1"/>
          <w:bCs w:val="1"/>
          <w:u w:val="single" w:color="auto"/>
          <w:color w:val="auto"/>
        </w:rPr>
        <w:t>Affirmation</w:t>
      </w:r>
      <w:r>
        <w:rPr>
          <w:rFonts w:ascii="Arial" w:cs="Arial" w:eastAsia="Arial" w:hAnsi="Arial"/>
          <w:sz w:val="19"/>
          <w:szCs w:val="19"/>
          <w:color w:val="auto"/>
        </w:rPr>
        <w:t>. Except as specifically amended pursuant to the terms hereof, Borrower hereby acknowledges and agrees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Credit Agreement and all other Financing Documents (and all covenants, terms, conditions and agreements therein) shall remain in full force and effect, and are hereby ratified and confirmed in all respects by each Credit Party, including without limitation the granting of Liens in the Collateral to secure the Obligations and other Financing Documents. Borrower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 Borrower confirms and agrees that all security interests and Liens granted to Agent pursuant to the Financing Documents continue in full force and effect, and all Collateral remains free and clear of any Liens, other than those granted to Agent and Permitted Liens.</w:t>
      </w:r>
    </w:p>
    <w:p>
      <w:pPr>
        <w:spacing w:after="0" w:line="175" w:lineRule="exact"/>
        <w:rPr>
          <w:rFonts w:ascii="Arial" w:cs="Arial" w:eastAsia="Arial" w:hAnsi="Arial"/>
          <w:sz w:val="19"/>
          <w:szCs w:val="19"/>
          <w:color w:val="010000"/>
        </w:rPr>
      </w:pPr>
    </w:p>
    <w:p>
      <w:pPr>
        <w:ind w:left="263" w:hanging="263"/>
        <w:spacing w:after="0"/>
        <w:tabs>
          <w:tab w:leader="none" w:pos="263" w:val="left"/>
        </w:tabs>
        <w:numPr>
          <w:ilvl w:val="0"/>
          <w:numId w:val="48"/>
        </w:numPr>
        <w:rPr>
          <w:rFonts w:ascii="Arial" w:cs="Arial" w:eastAsia="Arial" w:hAnsi="Arial"/>
          <w:sz w:val="20"/>
          <w:szCs w:val="20"/>
          <w:color w:val="010000"/>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21" w:lineRule="exact"/>
        <w:rPr>
          <w:rFonts w:ascii="Arial" w:cs="Arial" w:eastAsia="Arial" w:hAnsi="Arial"/>
          <w:sz w:val="20"/>
          <w:szCs w:val="20"/>
          <w:color w:val="010000"/>
        </w:rPr>
      </w:pPr>
    </w:p>
    <w:p>
      <w:pPr>
        <w:jc w:val="both"/>
        <w:ind w:left="-757" w:firstLine="1505"/>
        <w:spacing w:after="0" w:line="244" w:lineRule="auto"/>
        <w:tabs>
          <w:tab w:leader="none" w:pos="1280" w:val="left"/>
        </w:tabs>
        <w:numPr>
          <w:ilvl w:val="1"/>
          <w:numId w:val="48"/>
        </w:numPr>
        <w:rPr>
          <w:rFonts w:ascii="Arial" w:cs="Arial" w:eastAsia="Arial" w:hAnsi="Arial"/>
          <w:sz w:val="20"/>
          <w:szCs w:val="20"/>
          <w:color w:val="010000"/>
        </w:rPr>
      </w:pPr>
      <w:r>
        <w:rPr>
          <w:rFonts w:ascii="Arial" w:cs="Arial" w:eastAsia="Arial" w:hAnsi="Arial"/>
          <w:sz w:val="20"/>
          <w:szCs w:val="20"/>
          <w:u w:val="single" w:color="auto"/>
          <w:color w:val="auto"/>
        </w:rPr>
        <w:t>Reference to the Effect on the Credit Agreement</w:t>
      </w:r>
      <w:r>
        <w:rPr>
          <w:rFonts w:ascii="Arial" w:cs="Arial" w:eastAsia="Arial" w:hAnsi="Arial"/>
          <w:sz w:val="20"/>
          <w:szCs w:val="20"/>
          <w:color w:val="auto"/>
        </w:rPr>
        <w:t>. Upon the effectiveness of this Agreement, each reference in the Credit Agreement to “this Agreement,” “hereunder,” “hereof,” “herein,” or words of similar import shall mean and be a reference to the Credit Agreement, as modified by this Agreement. Except as specifically set forth above, the Credit Agreement, and all other Financing Documents (and all covenants, terms, conditions and agreements therein), shall remain in full force and effect, and are hereby ratified and confirmed in all respects by each Credit Party.</w:t>
      </w:r>
    </w:p>
    <w:p>
      <w:pPr>
        <w:spacing w:after="0" w:line="194" w:lineRule="exact"/>
        <w:rPr>
          <w:rFonts w:ascii="Arial" w:cs="Arial" w:eastAsia="Arial" w:hAnsi="Arial"/>
          <w:sz w:val="20"/>
          <w:szCs w:val="20"/>
          <w:color w:val="010000"/>
        </w:rPr>
      </w:pPr>
    </w:p>
    <w:p>
      <w:pPr>
        <w:jc w:val="both"/>
        <w:ind w:left="-757" w:firstLine="1505"/>
        <w:spacing w:after="0" w:line="263" w:lineRule="auto"/>
        <w:tabs>
          <w:tab w:leader="none" w:pos="1280" w:val="left"/>
        </w:tabs>
        <w:numPr>
          <w:ilvl w:val="1"/>
          <w:numId w:val="48"/>
        </w:numPr>
        <w:rPr>
          <w:rFonts w:ascii="Arial" w:cs="Arial" w:eastAsia="Arial" w:hAnsi="Arial"/>
          <w:sz w:val="19"/>
          <w:szCs w:val="19"/>
          <w:color w:val="010000"/>
        </w:rPr>
      </w:pPr>
      <w:r>
        <w:rPr>
          <w:rFonts w:ascii="Arial" w:cs="Arial" w:eastAsia="Arial" w:hAnsi="Arial"/>
          <w:sz w:val="19"/>
          <w:szCs w:val="19"/>
          <w:color w:val="auto"/>
        </w:rPr>
        <w:t>THIS AGREEMENT AND ALL DISPUTES AND OTHER MATTERS RELATING HERETO OR ARISING THEREFROM (WHETHER SOUNDING IN CONTRACT LAW, TORT LAW OR OTHERWISE), SHALL BE GOVERNED BY, AND SHALL BE CONSTRUED AND ENFORCED IN ACCORDANCE WITH, THE LAWS OF THE STATE OF NEW YORK, WITHOUT REGARD TO ITS CONFLICT OF LAWS PRINCIPLES (OTHER THAN SECTION 5-1401 OF THE GENERAL OBLIGATIONS LAW).</w:t>
      </w:r>
    </w:p>
    <w:p>
      <w:pPr>
        <w:spacing w:after="0" w:line="176" w:lineRule="exact"/>
        <w:rPr>
          <w:rFonts w:ascii="Arial" w:cs="Arial" w:eastAsia="Arial" w:hAnsi="Arial"/>
          <w:sz w:val="19"/>
          <w:szCs w:val="19"/>
          <w:color w:val="010000"/>
        </w:rPr>
      </w:pPr>
    </w:p>
    <w:p>
      <w:pPr>
        <w:jc w:val="both"/>
        <w:ind w:left="-757" w:firstLine="1505"/>
        <w:spacing w:after="0" w:line="256" w:lineRule="auto"/>
        <w:tabs>
          <w:tab w:leader="none" w:pos="1280" w:val="left"/>
        </w:tabs>
        <w:numPr>
          <w:ilvl w:val="1"/>
          <w:numId w:val="48"/>
        </w:numPr>
        <w:rPr>
          <w:rFonts w:ascii="Arial" w:cs="Arial" w:eastAsia="Arial" w:hAnsi="Arial"/>
          <w:sz w:val="19"/>
          <w:szCs w:val="19"/>
          <w:color w:val="010000"/>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BORROWER, AGENT AND THE LENDERS PARTY HERETO HEREBY IRREVOCABLY WAIVES ANY AND ALL RIGHT TO TRIAL BY JURY IN ANY LEGAL ACTION OR PROCEEDING ARISING OUT OF OR RELATING TO THIS AGREEMENT OR THE TRANSACTIONS CONTEMPLATED HEREBY AND AGREES THAT ANY SUCH ACTION OR PROCEEDING SHALL BE TRIED BEFORE A COURT AND NOT BEFORE A JURY. EACH BORROWER, AGENT AND EACH LENDER ACKNOWLEDGES THAT THIS WAIVER IS A MATERIAL INDUCEMENT TO ENTER INTO THIS AGREEMENT, THAT EACH HAS RELIED ON THE WAIVER IN ENTERING INTO THIS AGREEMENT,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84" w:lineRule="exact"/>
        <w:rPr>
          <w:rFonts w:ascii="Arial" w:cs="Arial" w:eastAsia="Arial" w:hAnsi="Arial"/>
          <w:sz w:val="19"/>
          <w:szCs w:val="19"/>
          <w:color w:val="010000"/>
        </w:rPr>
      </w:pPr>
    </w:p>
    <w:p>
      <w:pPr>
        <w:jc w:val="both"/>
        <w:ind w:left="-757" w:firstLine="1505"/>
        <w:spacing w:after="0" w:line="250" w:lineRule="auto"/>
        <w:tabs>
          <w:tab w:leader="none" w:pos="1280" w:val="left"/>
        </w:tabs>
        <w:numPr>
          <w:ilvl w:val="1"/>
          <w:numId w:val="48"/>
        </w:numPr>
        <w:rPr>
          <w:rFonts w:ascii="Arial" w:cs="Arial" w:eastAsia="Arial" w:hAnsi="Arial"/>
          <w:sz w:val="20"/>
          <w:szCs w:val="20"/>
          <w:color w:val="010000"/>
        </w:rPr>
      </w:pPr>
      <w:r>
        <w:rPr>
          <w:rFonts w:ascii="Arial" w:cs="Arial" w:eastAsia="Arial" w:hAnsi="Arial"/>
          <w:sz w:val="20"/>
          <w:szCs w:val="20"/>
          <w:u w:val="single" w:color="auto"/>
          <w:color w:val="auto"/>
        </w:rPr>
        <w:t>Incorporation of Credit Agreement Provisions</w:t>
      </w:r>
      <w:r>
        <w:rPr>
          <w:rFonts w:ascii="Arial" w:cs="Arial" w:eastAsia="Arial" w:hAnsi="Arial"/>
          <w:sz w:val="20"/>
          <w:szCs w:val="20"/>
          <w:color w:val="auto"/>
        </w:rPr>
        <w:t>. The provisions contained in Section 11.6 (Indemnification), Section 12.8(b) (Submission to Jurisdiction) and Section 12.9(b) (Waiver of Jury Trial) of the Credit Agreement are incorporated herein by reference to the same extent as if reproduced herein in their entirety.</w:t>
      </w:r>
    </w:p>
    <w:p>
      <w:pPr>
        <w:spacing w:after="0" w:line="185" w:lineRule="exact"/>
        <w:rPr>
          <w:rFonts w:ascii="Arial" w:cs="Arial" w:eastAsia="Arial" w:hAnsi="Arial"/>
          <w:sz w:val="20"/>
          <w:szCs w:val="20"/>
          <w:color w:val="010000"/>
        </w:rPr>
      </w:pPr>
    </w:p>
    <w:p>
      <w:pPr>
        <w:ind w:left="-757" w:right="20" w:firstLine="1505"/>
        <w:spacing w:after="0" w:line="260" w:lineRule="auto"/>
        <w:tabs>
          <w:tab w:leader="none" w:pos="1280" w:val="left"/>
        </w:tabs>
        <w:numPr>
          <w:ilvl w:val="1"/>
          <w:numId w:val="48"/>
        </w:numPr>
        <w:rPr>
          <w:rFonts w:ascii="Arial" w:cs="Arial" w:eastAsia="Arial" w:hAnsi="Arial"/>
          <w:sz w:val="20"/>
          <w:szCs w:val="20"/>
          <w:color w:val="010000"/>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Agreement are included for convenience of reference only and shall not constitute a part of this Agreement for any other purpose.</w:t>
      </w:r>
    </w:p>
    <w:p>
      <w:pPr>
        <w:spacing w:after="0" w:line="176" w:lineRule="exact"/>
        <w:rPr>
          <w:rFonts w:ascii="Arial" w:cs="Arial" w:eastAsia="Arial" w:hAnsi="Arial"/>
          <w:sz w:val="20"/>
          <w:szCs w:val="20"/>
          <w:color w:val="010000"/>
        </w:rPr>
      </w:pPr>
    </w:p>
    <w:p>
      <w:pPr>
        <w:jc w:val="both"/>
        <w:ind w:left="-757" w:firstLine="1505"/>
        <w:spacing w:after="0" w:line="250" w:lineRule="auto"/>
        <w:tabs>
          <w:tab w:leader="none" w:pos="1280" w:val="left"/>
        </w:tabs>
        <w:numPr>
          <w:ilvl w:val="1"/>
          <w:numId w:val="48"/>
        </w:numPr>
        <w:rPr>
          <w:rFonts w:ascii="Arial" w:cs="Arial" w:eastAsia="Arial" w:hAnsi="Arial"/>
          <w:sz w:val="20"/>
          <w:szCs w:val="20"/>
          <w:color w:val="010000"/>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signed in any number of counterparts, each of which shall be deemed an original and all of which when taken together shall constitute one and the same instrument. Delivery of an executed counterpart of this Agreement by facsimile or by electronic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321945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33" w:right="339" w:bottom="1440" w:gutter="0" w:footer="0" w:header="0"/>
        </w:sectPr>
      </w:pPr>
    </w:p>
    <w:bookmarkStart w:id="68" w:name="page69"/>
    <w:bookmarkEnd w:id="68"/>
    <w:p>
      <w:pPr>
        <w:jc w:val="both"/>
        <w:spacing w:after="0" w:line="255" w:lineRule="auto"/>
        <w:rPr>
          <w:sz w:val="20"/>
          <w:szCs w:val="20"/>
          <w:color w:val="auto"/>
        </w:rPr>
      </w:pPr>
      <w:r>
        <w:rPr>
          <w:rFonts w:ascii="Arial" w:cs="Arial" w:eastAsia="Arial" w:hAnsi="Arial"/>
          <w:sz w:val="19"/>
          <w:szCs w:val="19"/>
          <w:color w:val="auto"/>
        </w:rPr>
        <w:t>delivery of an electronic version (e.g., .pdf or .tif file) of an executed signature page shall be effective as delivery of an original executed counterpart hereof and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Arial" w:cs="Arial" w:eastAsia="Arial" w:hAnsi="Arial"/>
          <w:sz w:val="19"/>
          <w:szCs w:val="19"/>
          <w:b w:val="1"/>
          <w:bCs w:val="1"/>
          <w:color w:val="auto"/>
        </w:rPr>
        <w:t>Electronic Signature</w:t>
      </w:r>
      <w:r>
        <w:rPr>
          <w:rFonts w:ascii="Arial" w:cs="Arial" w:eastAsia="Arial" w:hAnsi="Arial"/>
          <w:sz w:val="19"/>
          <w:szCs w:val="19"/>
          <w:color w:val="auto"/>
        </w:rPr>
        <w:t>” means an electronic sound, symbol, or process attached to, or associated with, a contract or other record and adopted by a Person with the intent to sign, authenticate or accept such contract or other record.</w:t>
      </w:r>
    </w:p>
    <w:p>
      <w:pPr>
        <w:spacing w:after="0" w:line="190" w:lineRule="exact"/>
        <w:rPr>
          <w:sz w:val="20"/>
          <w:szCs w:val="20"/>
          <w:color w:val="auto"/>
        </w:rPr>
      </w:pPr>
    </w:p>
    <w:p>
      <w:pPr>
        <w:ind w:firstLine="1505"/>
        <w:spacing w:after="0" w:line="287" w:lineRule="auto"/>
        <w:tabs>
          <w:tab w:leader="none" w:pos="2036" w:val="left"/>
        </w:tabs>
        <w:numPr>
          <w:ilvl w:val="0"/>
          <w:numId w:val="49"/>
        </w:numPr>
        <w:rPr>
          <w:rFonts w:ascii="Arial" w:cs="Arial" w:eastAsia="Arial" w:hAnsi="Arial"/>
          <w:sz w:val="19"/>
          <w:szCs w:val="19"/>
          <w:color w:val="010000"/>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and understanding among the parties hereto and supersedes any and all prior agreements and understandings, oral or written, relating to the subject matter hereof.</w:t>
      </w:r>
    </w:p>
    <w:p>
      <w:pPr>
        <w:spacing w:after="0" w:line="152" w:lineRule="exact"/>
        <w:rPr>
          <w:rFonts w:ascii="Arial" w:cs="Arial" w:eastAsia="Arial" w:hAnsi="Arial"/>
          <w:sz w:val="19"/>
          <w:szCs w:val="19"/>
          <w:color w:val="010000"/>
        </w:rPr>
      </w:pPr>
    </w:p>
    <w:p>
      <w:pPr>
        <w:jc w:val="both"/>
        <w:ind w:firstLine="1505"/>
        <w:spacing w:after="0" w:line="250" w:lineRule="auto"/>
        <w:tabs>
          <w:tab w:leader="none" w:pos="2036" w:val="left"/>
        </w:tabs>
        <w:numPr>
          <w:ilvl w:val="0"/>
          <w:numId w:val="49"/>
        </w:numPr>
        <w:rPr>
          <w:rFonts w:ascii="Arial" w:cs="Arial" w:eastAsia="Arial" w:hAnsi="Arial"/>
          <w:sz w:val="20"/>
          <w:szCs w:val="20"/>
          <w:color w:val="010000"/>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85" w:lineRule="exact"/>
        <w:rPr>
          <w:rFonts w:ascii="Arial" w:cs="Arial" w:eastAsia="Arial" w:hAnsi="Arial"/>
          <w:sz w:val="20"/>
          <w:szCs w:val="20"/>
          <w:color w:val="010000"/>
        </w:rPr>
      </w:pPr>
    </w:p>
    <w:p>
      <w:pPr>
        <w:ind w:firstLine="1505"/>
        <w:spacing w:after="0" w:line="287" w:lineRule="auto"/>
        <w:tabs>
          <w:tab w:leader="none" w:pos="2036" w:val="left"/>
        </w:tabs>
        <w:numPr>
          <w:ilvl w:val="0"/>
          <w:numId w:val="49"/>
        </w:numPr>
        <w:rPr>
          <w:rFonts w:ascii="Arial" w:cs="Arial" w:eastAsia="Arial" w:hAnsi="Arial"/>
          <w:sz w:val="19"/>
          <w:szCs w:val="19"/>
          <w:color w:val="010000"/>
        </w:rPr>
      </w:pPr>
      <w:r>
        <w:rPr>
          <w:rFonts w:ascii="Arial" w:cs="Arial" w:eastAsia="Arial" w:hAnsi="Arial"/>
          <w:sz w:val="19"/>
          <w:szCs w:val="19"/>
          <w:u w:val="single" w:color="auto"/>
          <w:color w:val="auto"/>
        </w:rPr>
        <w:t>Successors/Assigns</w:t>
      </w:r>
      <w:r>
        <w:rPr>
          <w:rFonts w:ascii="Arial" w:cs="Arial" w:eastAsia="Arial" w:hAnsi="Arial"/>
          <w:sz w:val="19"/>
          <w:szCs w:val="19"/>
          <w:color w:val="auto"/>
        </w:rPr>
        <w:t>. This Agreement shall bind, and the rights hereunder shall inure to, the respective successors and assigns of the parties hereto, subject to the provisions of the Credit Agreement and the other Financing Documents.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APPEAR ON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9" w:name="page70"/>
    <w:bookmarkEnd w:id="69"/>
    <w:p>
      <w:pPr>
        <w:ind w:firstLine="749"/>
        <w:spacing w:after="0" w:line="260" w:lineRule="auto"/>
        <w:rPr>
          <w:sz w:val="20"/>
          <w:szCs w:val="20"/>
          <w:color w:val="auto"/>
        </w:rPr>
      </w:pPr>
      <w:r>
        <w:rPr>
          <w:rFonts w:ascii="Arial" w:cs="Arial" w:eastAsia="Arial" w:hAnsi="Arial"/>
          <w:sz w:val="20"/>
          <w:szCs w:val="20"/>
          <w:color w:val="auto"/>
        </w:rPr>
        <w:t>IN WITNESS WHEREOF, intending to be legally bound, the undersigned have executed this Agreement as of the day and year first hereinabove set forth.</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4700" w:val="left"/>
        </w:tabs>
        <w:rPr>
          <w:sz w:val="20"/>
          <w:szCs w:val="20"/>
          <w:color w:val="auto"/>
        </w:rPr>
      </w:pPr>
      <w:r>
        <w:rPr>
          <w:rFonts w:ascii="Arial" w:cs="Arial" w:eastAsia="Arial" w:hAnsi="Arial"/>
          <w:sz w:val="20"/>
          <w:szCs w:val="20"/>
          <w:b w:val="1"/>
          <w:bCs w:val="1"/>
          <w:color w:val="auto"/>
        </w:rPr>
        <w:t>AGENT:</w:t>
      </w:r>
      <w:r>
        <w:rPr>
          <w:sz w:val="20"/>
          <w:szCs w:val="20"/>
          <w:color w:val="auto"/>
        </w:rPr>
        <w:tab/>
      </w:r>
      <w:r>
        <w:rPr>
          <w:rFonts w:ascii="Arial" w:cs="Arial" w:eastAsia="Arial" w:hAnsi="Arial"/>
          <w:sz w:val="20"/>
          <w:szCs w:val="20"/>
          <w:b w:val="1"/>
          <w:bCs w:val="1"/>
          <w:color w:val="auto"/>
        </w:rPr>
        <w:t>MIDCAP FINANCIAL TRUST</w:t>
      </w:r>
    </w:p>
    <w:p>
      <w:pPr>
        <w:spacing w:after="0" w:line="235"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L.P.,</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its investment manager</w:t>
      </w:r>
    </w:p>
    <w:p>
      <w:pPr>
        <w:spacing w:after="0" w:line="213"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GP, LLC,</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_ /s/ Maurice Amsellem___________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-14605</wp:posOffset>
            </wp:positionV>
            <wp:extent cx="18389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1838960" cy="8255"/>
                    </a:xfrm>
                    <a:prstGeom prst="rect">
                      <a:avLst/>
                    </a:prstGeom>
                    <a:noFill/>
                  </pic:spPr>
                </pic:pic>
              </a:graphicData>
            </a:graphic>
          </wp:anchor>
        </w:drawing>
      </w:r>
    </w:p>
    <w:p>
      <w:pPr>
        <w:ind w:left="4760"/>
        <w:spacing w:after="0"/>
        <w:rPr>
          <w:sz w:val="20"/>
          <w:szCs w:val="20"/>
          <w:color w:val="auto"/>
        </w:rPr>
      </w:pPr>
      <w:r>
        <w:rPr>
          <w:rFonts w:ascii="Arial" w:cs="Arial" w:eastAsia="Arial" w:hAnsi="Arial"/>
          <w:sz w:val="20"/>
          <w:szCs w:val="20"/>
          <w:color w:val="auto"/>
        </w:rPr>
        <w:t>Name: Maurice Amsellem</w:t>
      </w:r>
    </w:p>
    <w:p>
      <w:pPr>
        <w:ind w:left="476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470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MIDCAP FUNDING XIII TRUST</w:t>
      </w:r>
    </w:p>
    <w:p>
      <w:pPr>
        <w:spacing w:after="0" w:line="235"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L.P.,</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its investment manager</w:t>
      </w:r>
    </w:p>
    <w:p>
      <w:pPr>
        <w:spacing w:after="0" w:line="213"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Apollo Capital Management GP, LLC,</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43"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_ /s/ Maurice Amsellem___________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11480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1148080" cy="8255"/>
                    </a:xfrm>
                    <a:prstGeom prst="rect">
                      <a:avLst/>
                    </a:prstGeom>
                    <a:noFill/>
                  </pic:spPr>
                </pic:pic>
              </a:graphicData>
            </a:graphic>
          </wp:anchor>
        </w:drawing>
      </w:r>
    </w:p>
    <w:p>
      <w:pPr>
        <w:ind w:left="4760"/>
        <w:spacing w:after="0"/>
        <w:rPr>
          <w:sz w:val="20"/>
          <w:szCs w:val="20"/>
          <w:color w:val="auto"/>
        </w:rPr>
      </w:pPr>
      <w:r>
        <w:rPr>
          <w:rFonts w:ascii="Arial" w:cs="Arial" w:eastAsia="Arial" w:hAnsi="Arial"/>
          <w:sz w:val="20"/>
          <w:szCs w:val="20"/>
          <w:color w:val="auto"/>
        </w:rPr>
        <w:t>Name: Maurice Amsellem</w:t>
      </w:r>
    </w:p>
    <w:p>
      <w:pPr>
        <w:ind w:left="4760"/>
        <w:spacing w:after="0"/>
        <w:rPr>
          <w:sz w:val="20"/>
          <w:szCs w:val="20"/>
          <w:color w:val="auto"/>
        </w:rPr>
      </w:pPr>
      <w:r>
        <w:rPr>
          <w:rFonts w:ascii="Arial" w:cs="Arial" w:eastAsia="Arial" w:hAnsi="Arial"/>
          <w:sz w:val="20"/>
          <w:szCs w:val="20"/>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70" w:name="page71"/>
    <w:bookmarkEnd w:id="70"/>
    <w:p>
      <w:pPr>
        <w:spacing w:after="0"/>
        <w:tabs>
          <w:tab w:leader="none" w:pos="448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ELM 2020-3 TRUST</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By: MidCap Financial Services Capital Management, LLC, as Servicer</w:t>
      </w:r>
    </w:p>
    <w:p>
      <w:pPr>
        <w:spacing w:after="0" w:line="200" w:lineRule="exact"/>
        <w:rPr>
          <w:sz w:val="20"/>
          <w:szCs w:val="20"/>
          <w:color w:val="auto"/>
        </w:rPr>
      </w:pPr>
    </w:p>
    <w:p>
      <w:pPr>
        <w:spacing w:after="0" w:line="232"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John O’Dea________</w:t>
      </w:r>
      <w:r>
        <w:rPr>
          <w:rFonts w:ascii="Arial" w:cs="Arial" w:eastAsia="Arial" w:hAnsi="Arial"/>
          <w:sz w:val="20"/>
          <w:szCs w:val="20"/>
          <w:color w:val="auto"/>
        </w:rPr>
        <w:t>___________________</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John O’Dea</w:t>
      </w:r>
    </w:p>
    <w:p>
      <w:pPr>
        <w:ind w:left="454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64" w:lineRule="exact"/>
        <w:rPr>
          <w:sz w:val="20"/>
          <w:szCs w:val="20"/>
          <w:color w:val="auto"/>
        </w:rPr>
      </w:pPr>
    </w:p>
    <w:p>
      <w:pPr>
        <w:ind w:left="80"/>
        <w:spacing w:after="0"/>
        <w:tabs>
          <w:tab w:leader="none" w:pos="432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ELM 2020-4 TRUST</w:t>
      </w:r>
    </w:p>
    <w:p>
      <w:pPr>
        <w:spacing w:after="0" w:line="22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 MidCap Financial Services Capital Management, LLC, as Servicer</w:t>
      </w:r>
    </w:p>
    <w:p>
      <w:pPr>
        <w:spacing w:after="0" w:line="200" w:lineRule="exact"/>
        <w:rPr>
          <w:sz w:val="20"/>
          <w:szCs w:val="20"/>
          <w:color w:val="auto"/>
        </w:rPr>
      </w:pPr>
    </w:p>
    <w:p>
      <w:pPr>
        <w:spacing w:after="0" w:line="255"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John O’Dea</w:t>
      </w:r>
      <w:r>
        <w:rPr>
          <w:rFonts w:ascii="Arial" w:cs="Arial" w:eastAsia="Arial" w:hAnsi="Arial"/>
          <w:sz w:val="20"/>
          <w:szCs w:val="20"/>
          <w:color w:val="auto"/>
        </w:rPr>
        <w:t>_____________________________</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Name: John O’Dea</w:t>
      </w:r>
    </w:p>
    <w:p>
      <w:pPr>
        <w:ind w:left="4380"/>
        <w:spacing w:after="0"/>
        <w:rPr>
          <w:sz w:val="20"/>
          <w:szCs w:val="20"/>
          <w:color w:val="auto"/>
        </w:rPr>
      </w:pPr>
      <w:r>
        <w:rPr>
          <w:rFonts w:ascii="Arial" w:cs="Arial" w:eastAsia="Arial" w:hAnsi="Arial"/>
          <w:sz w:val="20"/>
          <w:szCs w:val="20"/>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630555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40" w:top="373" w:right="1419" w:bottom="1440" w:gutter="0" w:footer="0" w:header="0"/>
        </w:sectPr>
      </w:pPr>
    </w:p>
    <w:bookmarkStart w:id="71" w:name="page72"/>
    <w:bookmarkEnd w:id="71"/>
    <w:p>
      <w:pPr>
        <w:spacing w:after="0"/>
        <w:tabs>
          <w:tab w:leader="none" w:pos="3160" w:val="left"/>
        </w:tabs>
        <w:rPr>
          <w:sz w:val="20"/>
          <w:szCs w:val="20"/>
          <w:color w:val="auto"/>
        </w:rPr>
      </w:pPr>
      <w:r>
        <w:rPr>
          <w:rFonts w:ascii="Arial" w:cs="Arial" w:eastAsia="Arial" w:hAnsi="Arial"/>
          <w:sz w:val="20"/>
          <w:szCs w:val="20"/>
          <w:b w:val="1"/>
          <w:bCs w:val="1"/>
          <w:color w:val="auto"/>
        </w:rPr>
        <w:t>BORROWER:</w:t>
      </w:r>
      <w:r>
        <w:rPr>
          <w:sz w:val="20"/>
          <w:szCs w:val="20"/>
          <w:color w:val="auto"/>
        </w:rPr>
        <w:tab/>
      </w:r>
      <w:r>
        <w:rPr>
          <w:rFonts w:ascii="Arial" w:cs="Arial" w:eastAsia="Arial" w:hAnsi="Arial"/>
          <w:sz w:val="20"/>
          <w:szCs w:val="20"/>
          <w:b w:val="1"/>
          <w:bCs w:val="1"/>
          <w:color w:val="auto"/>
        </w:rPr>
        <w:t>SIGHT SCIENCES, INC.</w:t>
      </w:r>
    </w:p>
    <w:p>
      <w:pPr>
        <w:spacing w:after="0" w:line="200" w:lineRule="exact"/>
        <w:rPr>
          <w:sz w:val="20"/>
          <w:szCs w:val="20"/>
          <w:color w:val="auto"/>
        </w:rPr>
      </w:pPr>
    </w:p>
    <w:p>
      <w:pPr>
        <w:spacing w:after="0" w:line="278" w:lineRule="exact"/>
        <w:rPr>
          <w:sz w:val="20"/>
          <w:szCs w:val="20"/>
          <w:color w:val="auto"/>
        </w:rPr>
      </w:pPr>
    </w:p>
    <w:p>
      <w:pPr>
        <w:ind w:left="4500"/>
        <w:spacing w:after="0"/>
        <w:tabs>
          <w:tab w:leader="none" w:pos="6840" w:val="left"/>
        </w:tabs>
        <w:rPr>
          <w:sz w:val="20"/>
          <w:szCs w:val="20"/>
          <w:color w:val="auto"/>
        </w:rPr>
      </w:pPr>
      <w:r>
        <w:rPr>
          <w:rFonts w:ascii="Arial" w:cs="Arial" w:eastAsia="Arial" w:hAnsi="Arial"/>
          <w:sz w:val="20"/>
          <w:szCs w:val="20"/>
          <w:color w:val="auto"/>
        </w:rPr>
        <w:t>By: __ /s/ Alison Bauerlein</w:t>
      </w:r>
      <w:r>
        <w:rPr>
          <w:sz w:val="20"/>
          <w:szCs w:val="20"/>
          <w:color w:val="auto"/>
        </w:rPr>
        <w:tab/>
      </w: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-14605</wp:posOffset>
            </wp:positionV>
            <wp:extent cx="116205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1162050"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8"/>
          <w:szCs w:val="18"/>
          <w:color w:val="auto"/>
        </w:rPr>
        <w:t>Name: __</w:t>
      </w:r>
      <w:r>
        <w:rPr>
          <w:rFonts w:ascii="Arial" w:cs="Arial" w:eastAsia="Arial" w:hAnsi="Arial"/>
          <w:sz w:val="18"/>
          <w:szCs w:val="18"/>
          <w:u w:val="single" w:color="auto"/>
          <w:color w:val="auto"/>
        </w:rPr>
        <w:t>Alison Bauerlein</w:t>
      </w:r>
      <w:r>
        <w:rPr>
          <w:rFonts w:ascii="Arial" w:cs="Arial" w:eastAsia="Arial" w:hAnsi="Arial"/>
          <w:sz w:val="18"/>
          <w:szCs w:val="18"/>
          <w:color w:val="auto"/>
        </w:rPr>
        <w:t xml:space="preserve"> ______________</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__</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u w:val="single" w:color="auto"/>
          <w:color w:val="auto"/>
        </w:rPr>
        <w:t>ANNEX A</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2.1 - Amortization</w:t>
      </w:r>
    </w:p>
    <w:p>
      <w:pPr>
        <w:spacing w:after="0" w:line="22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0"/>
          <w:szCs w:val="20"/>
          <w:color w:val="auto"/>
        </w:rPr>
        <w:t>Commencing on the earliest to occur of the following dates: (a) December 1, 2024, (b) the first day of the calendar month immediately succeeding the date on which a Reimbursement Trigger Event occurs and the Final LCDs are effective (the “</w:t>
      </w:r>
      <w:r>
        <w:rPr>
          <w:rFonts w:ascii="Arial" w:cs="Arial" w:eastAsia="Arial" w:hAnsi="Arial"/>
          <w:sz w:val="20"/>
          <w:szCs w:val="20"/>
          <w:b w:val="1"/>
          <w:bCs w:val="1"/>
          <w:color w:val="auto"/>
        </w:rPr>
        <w:t>Reimbursement</w:t>
      </w:r>
      <w:r>
        <w:rPr>
          <w:rFonts w:ascii="Arial" w:cs="Arial" w:eastAsia="Arial" w:hAnsi="Arial"/>
          <w:sz w:val="20"/>
          <w:szCs w:val="20"/>
          <w:color w:val="auto"/>
        </w:rPr>
        <w:t xml:space="preserve"> </w:t>
      </w:r>
      <w:r>
        <w:rPr>
          <w:rFonts w:ascii="Arial" w:cs="Arial" w:eastAsia="Arial" w:hAnsi="Arial"/>
          <w:sz w:val="20"/>
          <w:szCs w:val="20"/>
          <w:b w:val="1"/>
          <w:bCs w:val="1"/>
          <w:color w:val="auto"/>
        </w:rPr>
        <w:t>Trigger Event Effective Date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that the Reimbursement Trigger Event Effective Date shall be deemed to have occurred no later</w:t>
      </w:r>
      <w:r>
        <w:rPr>
          <w:rFonts w:ascii="Arial" w:cs="Arial" w:eastAsia="Arial" w:hAnsi="Arial"/>
          <w:sz w:val="20"/>
          <w:szCs w:val="20"/>
          <w:b w:val="1"/>
          <w:bCs w:val="1"/>
          <w:color w:val="auto"/>
        </w:rPr>
        <w:t xml:space="preserve"> </w:t>
      </w:r>
      <w:r>
        <w:rPr>
          <w:rFonts w:ascii="Arial" w:cs="Arial" w:eastAsia="Arial" w:hAnsi="Arial"/>
          <w:sz w:val="20"/>
          <w:szCs w:val="20"/>
          <w:color w:val="auto"/>
        </w:rPr>
        <w:t>than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the occurrence of the Reimbursement Trigger Event, and (c) the first day of the calendar month immediately succeeding any date on which Agent provides notice to Borrowers that an Event of Default has occurred and is continuing, and continuing on the first day of each calendar month thereafter, Borrower shall pay to Agent as a principal payment on the Term Loan an amount equal to the total principal amount of the Term Loan(s) made to Borrower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the total number of months remaining at such time prior to the Maturity Date for a straight-line amortization of equal monthly principal payments. Notwithstanding anything to the contrary contained in the foregoing, the entire remaining outstanding principal balance under the Term Loans shall mature and be due and payable upon the Termination Date.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Schedule 2.1, the following terms shall have the following meanings:</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Reimbursement Trigger Event</w:t>
      </w:r>
      <w:r>
        <w:rPr>
          <w:rFonts w:ascii="Arial" w:cs="Arial" w:eastAsia="Arial" w:hAnsi="Arial"/>
          <w:sz w:val="20"/>
          <w:szCs w:val="20"/>
          <w:color w:val="auto"/>
        </w:rPr>
        <w:t>” means the first day on which three (3) or more Medicare Administrative Contractors have issued final local coverage determinations (“</w:t>
      </w:r>
      <w:r>
        <w:rPr>
          <w:rFonts w:ascii="Arial" w:cs="Arial" w:eastAsia="Arial" w:hAnsi="Arial"/>
          <w:sz w:val="20"/>
          <w:szCs w:val="20"/>
          <w:b w:val="1"/>
          <w:bCs w:val="1"/>
          <w:color w:val="auto"/>
        </w:rPr>
        <w:t>Final LCDs</w:t>
      </w:r>
      <w:r>
        <w:rPr>
          <w:rFonts w:ascii="Arial" w:cs="Arial" w:eastAsia="Arial" w:hAnsi="Arial"/>
          <w:sz w:val="20"/>
          <w:szCs w:val="20"/>
          <w:color w:val="auto"/>
        </w:rPr>
        <w:t>”) that would have the effect of removing, eliminating, or materially reducing reimbursement coverage in respect to procedures in which the OMNI® Surgical System is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Badawi,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2023 of Sight Sciences, Inc.;</w:t>
      </w:r>
    </w:p>
    <w:p>
      <w:pPr>
        <w:spacing w:after="0" w:line="225" w:lineRule="exact"/>
        <w:rPr>
          <w:rFonts w:ascii="Arial" w:cs="Arial" w:eastAsia="Arial" w:hAnsi="Arial"/>
          <w:sz w:val="18"/>
          <w:szCs w:val="18"/>
          <w:color w:val="auto"/>
        </w:rPr>
      </w:pPr>
    </w:p>
    <w:p>
      <w:pPr>
        <w:jc w:val="both"/>
        <w:ind w:left="520" w:right="240" w:hanging="512"/>
        <w:spacing w:after="0" w:line="263"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263"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40" w:hanging="369"/>
        <w:spacing w:after="0" w:line="286" w:lineRule="auto"/>
        <w:tabs>
          <w:tab w:leader="none" w:pos="15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00" w:hanging="369"/>
        <w:spacing w:after="0" w:line="263" w:lineRule="auto"/>
        <w:tabs>
          <w:tab w:leader="none" w:pos="1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1500" w:hanging="369"/>
        <w:spacing w:after="0" w:line="342" w:lineRule="auto"/>
        <w:tabs>
          <w:tab w:leader="none" w:pos="15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40" w:hanging="369"/>
        <w:spacing w:after="0" w:line="263" w:lineRule="auto"/>
        <w:tabs>
          <w:tab w:leader="none" w:pos="1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500" w:right="300" w:hanging="369"/>
        <w:spacing w:after="0" w:line="342" w:lineRule="auto"/>
        <w:tabs>
          <w:tab w:leader="none" w:pos="15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500" w:right="580" w:hanging="369"/>
        <w:spacing w:after="0" w:line="277" w:lineRule="auto"/>
        <w:tabs>
          <w:tab w:leader="none" w:pos="1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620" w:val="left"/>
          <w:tab w:leader="none" w:pos="7240" w:val="left"/>
        </w:tabs>
        <w:rPr>
          <w:sz w:val="20"/>
          <w:szCs w:val="20"/>
          <w:color w:val="auto"/>
        </w:rPr>
      </w:pPr>
      <w:r>
        <w:rPr>
          <w:rFonts w:ascii="Arial" w:cs="Arial" w:eastAsia="Arial" w:hAnsi="Arial"/>
          <w:sz w:val="18"/>
          <w:szCs w:val="18"/>
          <w:color w:val="auto"/>
        </w:rPr>
        <w:t>Date:</w:t>
        <w:tab/>
        <w:t>November 7, 2023</w:t>
      </w:r>
      <w:r>
        <w:rPr>
          <w:sz w:val="20"/>
          <w:szCs w:val="20"/>
          <w:color w:val="auto"/>
        </w:rPr>
        <w:tab/>
      </w:r>
      <w:r>
        <w:rPr>
          <w:rFonts w:ascii="Arial" w:cs="Arial" w:eastAsia="Arial" w:hAnsi="Arial"/>
          <w:sz w:val="16"/>
          <w:szCs w:val="16"/>
          <w:u w:val="single" w:color="auto"/>
          <w:color w:val="auto"/>
        </w:rPr>
        <w:t>/s/ Paul Badawi</w:t>
      </w:r>
    </w:p>
    <w:p>
      <w:pPr>
        <w:spacing w:after="0" w:line="32" w:lineRule="exact"/>
        <w:rPr>
          <w:sz w:val="20"/>
          <w:szCs w:val="20"/>
          <w:color w:val="auto"/>
        </w:rPr>
      </w:pPr>
    </w:p>
    <w:p>
      <w:pPr>
        <w:jc w:val="right"/>
        <w:ind w:right="2840"/>
        <w:spacing w:after="0"/>
        <w:rPr>
          <w:sz w:val="20"/>
          <w:szCs w:val="20"/>
          <w:color w:val="auto"/>
        </w:rPr>
      </w:pPr>
      <w:r>
        <w:rPr>
          <w:rFonts w:ascii="Arial" w:cs="Arial" w:eastAsia="Arial" w:hAnsi="Arial"/>
          <w:sz w:val="18"/>
          <w:szCs w:val="18"/>
          <w:b w:val="1"/>
          <w:bCs w:val="1"/>
          <w:color w:val="auto"/>
        </w:rPr>
        <w:t>Paul Badawi</w:t>
      </w:r>
    </w:p>
    <w:p>
      <w:pPr>
        <w:spacing w:after="0" w:line="27" w:lineRule="exact"/>
        <w:rPr>
          <w:sz w:val="20"/>
          <w:szCs w:val="20"/>
          <w:color w:val="auto"/>
        </w:rPr>
      </w:pPr>
    </w:p>
    <w:p>
      <w:pPr>
        <w:jc w:val="right"/>
        <w:ind w:right="28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right"/>
        <w:ind w:right="28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Alison Bauerlein, certify that:</w:t>
      </w:r>
    </w:p>
    <w:p>
      <w:pPr>
        <w:spacing w:after="0" w:line="211"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2023 of Sight Sciences, Inc.;</w:t>
      </w:r>
    </w:p>
    <w:p>
      <w:pPr>
        <w:spacing w:after="0" w:line="225" w:lineRule="exact"/>
        <w:rPr>
          <w:rFonts w:ascii="Arial" w:cs="Arial" w:eastAsia="Arial" w:hAnsi="Arial"/>
          <w:sz w:val="18"/>
          <w:szCs w:val="18"/>
          <w:color w:val="auto"/>
        </w:rPr>
      </w:pPr>
    </w:p>
    <w:p>
      <w:pPr>
        <w:jc w:val="both"/>
        <w:ind w:left="520" w:right="240" w:hanging="512"/>
        <w:spacing w:after="0" w:line="263"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263"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40" w:hanging="369"/>
        <w:spacing w:after="0" w:line="286" w:lineRule="auto"/>
        <w:tabs>
          <w:tab w:leader="none" w:pos="15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00" w:hanging="369"/>
        <w:spacing w:after="0" w:line="263" w:lineRule="auto"/>
        <w:tabs>
          <w:tab w:leader="none" w:pos="1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1500" w:hanging="369"/>
        <w:spacing w:after="0" w:line="342" w:lineRule="auto"/>
        <w:tabs>
          <w:tab w:leader="none" w:pos="15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40" w:hanging="369"/>
        <w:spacing w:after="0" w:line="263" w:lineRule="auto"/>
        <w:tabs>
          <w:tab w:leader="none" w:pos="1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500" w:right="300" w:hanging="369"/>
        <w:spacing w:after="0" w:line="342" w:lineRule="auto"/>
        <w:tabs>
          <w:tab w:leader="none" w:pos="15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580" w:hanging="369"/>
        <w:spacing w:after="0" w:line="277" w:lineRule="auto"/>
        <w:tabs>
          <w:tab w:leader="none" w:pos="1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7, 2023</w:t>
      </w:r>
    </w:p>
    <w:p>
      <w:pPr>
        <w:spacing w:after="0" w:line="36" w:lineRule="exact"/>
        <w:rPr>
          <w:sz w:val="20"/>
          <w:szCs w:val="20"/>
          <w:color w:val="auto"/>
        </w:rPr>
      </w:pPr>
    </w:p>
    <w:p>
      <w:pPr>
        <w:ind w:left="7540"/>
        <w:spacing w:after="0"/>
        <w:rPr>
          <w:sz w:val="20"/>
          <w:szCs w:val="20"/>
          <w:color w:val="auto"/>
        </w:rPr>
      </w:pPr>
      <w:r>
        <w:rPr>
          <w:rFonts w:ascii="Arial" w:cs="Arial" w:eastAsia="Arial" w:hAnsi="Arial"/>
          <w:sz w:val="18"/>
          <w:szCs w:val="18"/>
          <w:u w:val="single" w:color="auto"/>
          <w:color w:val="auto"/>
        </w:rPr>
        <w:t>/s/ Alison Bauerlein</w:t>
      </w:r>
    </w:p>
    <w:p>
      <w:pPr>
        <w:spacing w:after="0" w:line="3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Alison Bauerlein</w:t>
      </w:r>
    </w:p>
    <w:p>
      <w:pPr>
        <w:spacing w:after="0" w:line="27"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1"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Sight Sciences,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that, to his knowledge:</w:t>
      </w:r>
    </w:p>
    <w:p>
      <w:pPr>
        <w:spacing w:after="0" w:line="170" w:lineRule="exact"/>
        <w:rPr>
          <w:sz w:val="20"/>
          <w:szCs w:val="20"/>
          <w:color w:val="auto"/>
        </w:rPr>
      </w:pPr>
    </w:p>
    <w:p>
      <w:pPr>
        <w:ind w:left="1280" w:right="360" w:hanging="757"/>
        <w:spacing w:after="0" w:line="342" w:lineRule="auto"/>
        <w:tabs>
          <w:tab w:leader="none" w:pos="12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quarterly period ended September 30, 2023 (the “</w:t>
      </w:r>
      <w:r>
        <w:rPr>
          <w:rFonts w:ascii="Arial" w:cs="Arial" w:eastAsia="Arial" w:hAnsi="Arial"/>
          <w:sz w:val="16"/>
          <w:szCs w:val="16"/>
          <w:u w:val="single" w:color="auto"/>
          <w:color w:val="auto"/>
        </w:rPr>
        <w:t>Report</w:t>
      </w:r>
      <w:r>
        <w:rPr>
          <w:rFonts w:ascii="Arial" w:cs="Arial" w:eastAsia="Arial" w:hAnsi="Arial"/>
          <w:sz w:val="16"/>
          <w:szCs w:val="16"/>
          <w:color w:val="auto"/>
        </w:rPr>
        <w:t>”) fully complies with the requirements of Section 13(a) or Section 15(d), as applicable, of the Securities Exchange Act of 1934, as amended; and</w:t>
      </w:r>
    </w:p>
    <w:p>
      <w:pPr>
        <w:spacing w:after="0" w:line="123" w:lineRule="exact"/>
        <w:rPr>
          <w:rFonts w:ascii="Arial" w:cs="Arial" w:eastAsia="Arial" w:hAnsi="Arial"/>
          <w:sz w:val="16"/>
          <w:szCs w:val="16"/>
          <w:color w:val="auto"/>
        </w:rPr>
      </w:pPr>
    </w:p>
    <w:p>
      <w:pPr>
        <w:ind w:left="1280" w:right="360" w:hanging="757"/>
        <w:spacing w:after="0" w:line="277" w:lineRule="auto"/>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360"/>
        <w:spacing w:after="0"/>
        <w:tabs>
          <w:tab w:leader="none" w:pos="1460" w:val="left"/>
        </w:tabs>
        <w:rPr>
          <w:sz w:val="20"/>
          <w:szCs w:val="20"/>
          <w:color w:val="auto"/>
        </w:rPr>
      </w:pPr>
      <w:r>
        <w:rPr>
          <w:rFonts w:ascii="Arial" w:cs="Arial" w:eastAsia="Arial" w:hAnsi="Arial"/>
          <w:sz w:val="18"/>
          <w:szCs w:val="18"/>
          <w:color w:val="auto"/>
        </w:rPr>
        <w:t>Dated:  November 7, 2023</w:t>
      </w:r>
      <w:r>
        <w:rPr>
          <w:sz w:val="20"/>
          <w:szCs w:val="20"/>
          <w:color w:val="auto"/>
        </w:rPr>
        <w:tab/>
      </w:r>
      <w:r>
        <w:rPr>
          <w:rFonts w:ascii="Arial" w:cs="Arial" w:eastAsia="Arial" w:hAnsi="Arial"/>
          <w:sz w:val="16"/>
          <w:szCs w:val="16"/>
          <w:u w:val="single" w:color="auto"/>
          <w:color w:val="auto"/>
        </w:rPr>
        <w:t>/s/ Paul Badawi</w:t>
      </w:r>
    </w:p>
    <w:p>
      <w:pPr>
        <w:spacing w:after="0" w:line="36"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Paul Badawi</w:t>
      </w:r>
    </w:p>
    <w:p>
      <w:pPr>
        <w:spacing w:after="0" w:line="36"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Chief Executive Officer</w:t>
      </w:r>
    </w:p>
    <w:p>
      <w:pPr>
        <w:spacing w:after="0" w:line="23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1"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Sight Sciences,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that, to her knowledge:</w:t>
      </w:r>
    </w:p>
    <w:p>
      <w:pPr>
        <w:spacing w:after="0" w:line="170" w:lineRule="exact"/>
        <w:rPr>
          <w:sz w:val="20"/>
          <w:szCs w:val="20"/>
          <w:color w:val="auto"/>
        </w:rPr>
      </w:pPr>
    </w:p>
    <w:p>
      <w:pPr>
        <w:ind w:left="1280" w:right="360" w:hanging="757"/>
        <w:spacing w:after="0" w:line="342" w:lineRule="auto"/>
        <w:tabs>
          <w:tab w:leader="none" w:pos="1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quarterly period ended September 30, 2023 (the “</w:t>
      </w:r>
      <w:r>
        <w:rPr>
          <w:rFonts w:ascii="Arial" w:cs="Arial" w:eastAsia="Arial" w:hAnsi="Arial"/>
          <w:sz w:val="16"/>
          <w:szCs w:val="16"/>
          <w:u w:val="single" w:color="auto"/>
          <w:color w:val="auto"/>
        </w:rPr>
        <w:t>Report</w:t>
      </w:r>
      <w:r>
        <w:rPr>
          <w:rFonts w:ascii="Arial" w:cs="Arial" w:eastAsia="Arial" w:hAnsi="Arial"/>
          <w:sz w:val="16"/>
          <w:szCs w:val="16"/>
          <w:color w:val="auto"/>
        </w:rPr>
        <w:t>”) fully complies with the requirements of Section 13(a) or Section 15(d), as applicable, of the Securities Exchange Act of 1934, as amended; and</w:t>
      </w:r>
    </w:p>
    <w:p>
      <w:pPr>
        <w:spacing w:after="0" w:line="123" w:lineRule="exact"/>
        <w:rPr>
          <w:rFonts w:ascii="Arial" w:cs="Arial" w:eastAsia="Arial" w:hAnsi="Arial"/>
          <w:sz w:val="16"/>
          <w:szCs w:val="16"/>
          <w:color w:val="auto"/>
        </w:rPr>
      </w:pPr>
    </w:p>
    <w:p>
      <w:pPr>
        <w:ind w:left="1280" w:right="360" w:hanging="757"/>
        <w:spacing w:after="0" w:line="277" w:lineRule="auto"/>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360"/>
        <w:spacing w:after="0"/>
        <w:tabs>
          <w:tab w:leader="none" w:pos="1780" w:val="left"/>
        </w:tabs>
        <w:rPr>
          <w:sz w:val="20"/>
          <w:szCs w:val="20"/>
          <w:color w:val="auto"/>
        </w:rPr>
      </w:pPr>
      <w:r>
        <w:rPr>
          <w:rFonts w:ascii="Arial" w:cs="Arial" w:eastAsia="Arial" w:hAnsi="Arial"/>
          <w:sz w:val="18"/>
          <w:szCs w:val="18"/>
          <w:color w:val="auto"/>
        </w:rPr>
        <w:t>Dated:  November 7, 2023</w:t>
      </w:r>
      <w:r>
        <w:rPr>
          <w:sz w:val="20"/>
          <w:szCs w:val="20"/>
          <w:color w:val="auto"/>
        </w:rPr>
        <w:tab/>
      </w:r>
      <w:r>
        <w:rPr>
          <w:rFonts w:ascii="Arial" w:cs="Arial" w:eastAsia="Arial" w:hAnsi="Arial"/>
          <w:sz w:val="16"/>
          <w:szCs w:val="16"/>
          <w:u w:val="single" w:color="auto"/>
          <w:color w:val="auto"/>
        </w:rPr>
        <w:t>/s/ Alison Bauerlein</w:t>
      </w:r>
    </w:p>
    <w:p>
      <w:pPr>
        <w:spacing w:after="0" w:line="36"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Alison Bauerlein</w:t>
      </w:r>
    </w:p>
    <w:p>
      <w:pPr>
        <w:spacing w:after="0" w:line="36"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5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upperLetter"/>
      <w:start w:val="1"/>
    </w:lvl>
  </w:abstractNum>
  <w:abstractNum w:abstractNumId="15">
    <w:nsid w:val="419AC241"/>
    <w:multiLevelType w:val="hybridMultilevel"/>
    <w:lvl w:ilvl="0">
      <w:lvlJc w:val="left"/>
      <w:lvlText w:val="%1."/>
      <w:numFmt w:val="decimal"/>
      <w:start w:val="1"/>
    </w:lvl>
    <w:lvl w:ilvl="1">
      <w:lvlJc w:val="left"/>
      <w:lvlText w:val="(%2)"/>
      <w:numFmt w:val="lowerLetter"/>
      <w:start w:val="1"/>
    </w:lvl>
  </w:abstractNum>
  <w:abstractNum w:abstractNumId="16">
    <w:nsid w:val="5577F8E1"/>
    <w:multiLevelType w:val="hybridMultilevel"/>
    <w:lvl w:ilvl="0">
      <w:lvlJc w:val="left"/>
      <w:lvlText w:val="%1."/>
      <w:numFmt w:val="decimal"/>
      <w:start w:val="2"/>
    </w:lvl>
    <w:lvl w:ilvl="1">
      <w:lvlJc w:val="left"/>
      <w:lvlText w:val="(%2)"/>
      <w:numFmt w:val="lowerLetter"/>
      <w:start w:val="1"/>
    </w:lvl>
  </w:abstractNum>
  <w:abstractNum w:abstractNumId="17">
    <w:nsid w:val="440BADFC"/>
    <w:multiLevelType w:val="hybridMultilevel"/>
    <w:lvl w:ilvl="0">
      <w:lvlJc w:val="left"/>
      <w:lvlText w:val="%1."/>
      <w:numFmt w:val="decimal"/>
      <w:start w:val="3"/>
    </w:lvl>
  </w:abstractNum>
  <w:abstractNum w:abstractNumId="18">
    <w:nsid w:val="5072367"/>
    <w:multiLevelType w:val="hybridMultilevel"/>
    <w:lvl w:ilvl="0">
      <w:lvlJc w:val="left"/>
      <w:lvlText w:val="(%1)"/>
      <w:numFmt w:val="lowerLetter"/>
      <w:start w:val="1"/>
    </w:lvl>
    <w:lvl w:ilvl="1">
      <w:lvlJc w:val="left"/>
      <w:lvlText w:val="(%2)"/>
      <w:numFmt w:val="lowerRoman"/>
      <w:start w:val="1"/>
    </w:lvl>
  </w:abstractNum>
  <w:abstractNum w:abstractNumId="19">
    <w:nsid w:val="3804823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0">
    <w:nsid w:val="77465F0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1">
    <w:nsid w:val="7724C67E"/>
    <w:multiLevelType w:val="hybridMultilevel"/>
    <w:lvl w:ilvl="0">
      <w:lvlJc w:val="left"/>
      <w:lvlText w:val="(%1)"/>
      <w:numFmt w:val="lowerLetter"/>
      <w:start w:val="3"/>
    </w:lvl>
    <w:lvl w:ilvl="1">
      <w:lvlJc w:val="left"/>
      <w:lvlText w:val="(%2)"/>
      <w:numFmt w:val="lowerRoman"/>
      <w:start w:val="1"/>
    </w:lvl>
  </w:abstractNum>
  <w:abstractNum w:abstractNumId="22">
    <w:nsid w:val="5C482A97"/>
    <w:multiLevelType w:val="hybridMultilevel"/>
    <w:lvl w:ilvl="0">
      <w:lvlJc w:val="left"/>
      <w:lvlText w:val="%1."/>
      <w:numFmt w:val="decimal"/>
      <w:start w:val="5"/>
    </w:lvl>
  </w:abstractNum>
  <w:abstractNum w:abstractNumId="23">
    <w:nsid w:val="2463B9E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4">
    <w:nsid w:val="5E884ADC"/>
    <w:multiLevelType w:val="hybridMultilevel"/>
    <w:lvl w:ilvl="0">
      <w:lvlJc w:val="left"/>
      <w:lvlText w:val="(%1)"/>
      <w:numFmt w:val="lowerLetter"/>
      <w:start w:val="2"/>
    </w:lvl>
  </w:abstractNum>
  <w:abstractNum w:abstractNumId="25">
    <w:nsid w:val="51EAD36B"/>
    <w:multiLevelType w:val="hybridMultilevel"/>
    <w:lvl w:ilvl="0">
      <w:lvlJc w:val="left"/>
      <w:lvlText w:val="%1."/>
      <w:numFmt w:val="decimal"/>
      <w:start w:val="8"/>
    </w:lvl>
    <w:lvl w:ilvl="1">
      <w:lvlJc w:val="left"/>
      <w:lvlText w:val="(%2)"/>
      <w:numFmt w:val="lowerLetter"/>
      <w:start w:val="1"/>
    </w:lvl>
  </w:abstractNum>
  <w:abstractNum w:abstractNumId="26">
    <w:nsid w:val="2D51779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7">
    <w:nsid w:val="580BD78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8">
    <w:nsid w:val="153EA438"/>
    <w:multiLevelType w:val="hybridMultilevel"/>
    <w:lvl w:ilvl="0">
      <w:lvlJc w:val="left"/>
      <w:lvlText w:val="(%1)"/>
      <w:numFmt w:val="lowerLetter"/>
      <w:start w:val="7"/>
    </w:lvl>
  </w:abstractNum>
  <w:abstractNum w:abstractNumId="29">
    <w:nsid w:val="3855585C"/>
    <w:multiLevelType w:val="hybridMultilevel"/>
    <w:lvl w:ilvl="0">
      <w:lvlJc w:val="left"/>
      <w:lvlText w:val="(%1)"/>
      <w:numFmt w:val="lowerLetter"/>
      <w:start w:val="10"/>
    </w:lvl>
    <w:lvl w:ilvl="1">
      <w:lvlJc w:val="left"/>
      <w:lvlText w:val="(%2)"/>
      <w:numFmt w:val="lowerRoman"/>
      <w:start w:val="1"/>
    </w:lvl>
  </w:abstractNum>
  <w:abstractNum w:abstractNumId="30">
    <w:nsid w:val="70A64E2A"/>
    <w:multiLevelType w:val="hybridMultilevel"/>
    <w:lvl w:ilvl="0">
      <w:lvlJc w:val="left"/>
      <w:lvlText w:val="%1."/>
      <w:numFmt w:val="decimal"/>
      <w:start w:val="10"/>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Letter"/>
      <w:start w:val="1"/>
    </w:lvl>
    <w:lvl w:ilvl="1">
      <w:lvlJc w:val="left"/>
      <w:lvlText w:val="%2."/>
      <w:numFmt w:val="decimal"/>
      <w:start w:val="3"/>
    </w:lvl>
  </w:abstractNum>
  <w:abstractNum w:abstractNumId="34">
    <w:nsid w:val="725A06FB"/>
    <w:multiLevelType w:val="hybridMultilevel"/>
    <w:lvl w:ilvl="0">
      <w:lvlJc w:val="left"/>
      <w:lvlText w:val="(%1)"/>
      <w:numFmt w:val="lowerLetter"/>
      <w:start w:val="4"/>
    </w:lvl>
    <w:lvl w:ilvl="1">
      <w:lvlJc w:val="left"/>
      <w:lvlText w:val="%2"/>
      <w:numFmt w:val="decimal"/>
      <w:start w:val="1"/>
    </w:lvl>
  </w:abstractNum>
  <w:abstractNum w:abstractNumId="35">
    <w:nsid w:val="2CD89A32"/>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6">
    <w:nsid w:val="57E4CCAF"/>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37">
    <w:nsid w:val="7A6D8D3C"/>
    <w:multiLevelType w:val="hybridMultilevel"/>
    <w:lvl w:ilvl="0">
      <w:lvlJc w:val="left"/>
      <w:lvlText w:val="%1."/>
      <w:numFmt w:val="upperLetter"/>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2"/>
    </w:lvl>
  </w:abstractNum>
  <w:abstractNum w:abstractNumId="41">
    <w:nsid w:val="38437FDB"/>
    <w:multiLevelType w:val="hybridMultilevel"/>
    <w:lvl w:ilvl="0">
      <w:lvlJc w:val="left"/>
      <w:lvlText w:val="(%1)"/>
      <w:numFmt w:val="lowerLetter"/>
      <w:start w:val="3"/>
    </w:lvl>
  </w:abstractNum>
  <w:abstractNum w:abstractNumId="42">
    <w:nsid w:val="7644A45C"/>
    <w:multiLevelType w:val="hybridMultilevel"/>
    <w:lvl w:ilvl="0">
      <w:lvlJc w:val="left"/>
      <w:lvlText w:val="%1"/>
      <w:numFmt w:val="decimal"/>
      <w:start w:val="1"/>
    </w:lvl>
    <w:lvl w:ilvl="1">
      <w:lvlJc w:val="left"/>
      <w:lvlText w:val="(%2)"/>
      <w:numFmt w:val="lowerLetter"/>
      <w:start w:val="4"/>
    </w:lvl>
  </w:abstractNum>
  <w:abstractNum w:abstractNumId="43">
    <w:nsid w:val="32FFF902"/>
    <w:multiLevelType w:val="hybridMultilevel"/>
    <w:lvl w:ilvl="0">
      <w:lvlJc w:val="left"/>
      <w:lvlText w:val="%1."/>
      <w:numFmt w:val="decimal"/>
      <w:start w:val="3"/>
    </w:lvl>
    <w:lvl w:ilvl="1">
      <w:lvlJc w:val="left"/>
      <w:lvlText w:val="(%2)"/>
      <w:numFmt w:val="lowerLetter"/>
      <w:start w:val="1"/>
    </w:lvl>
  </w:abstractNum>
  <w:abstractNum w:abstractNumId="44">
    <w:nsid w:val="684A48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5">
    <w:nsid w:val="579478FE"/>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46">
    <w:nsid w:val="749ABB43"/>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1"/>
    </w:lvl>
  </w:abstractNum>
  <w:abstractNum w:abstractNumId="47">
    <w:nsid w:val="3DC240FB"/>
    <w:multiLevelType w:val="hybridMultilevel"/>
    <w:lvl w:ilvl="0">
      <w:lvlJc w:val="left"/>
      <w:lvlText w:val="%1."/>
      <w:numFmt w:val="decimal"/>
      <w:start w:val="8"/>
    </w:lvl>
    <w:lvl w:ilvl="1">
      <w:lvlJc w:val="left"/>
      <w:lvlText w:val="(%2)"/>
      <w:numFmt w:val="lowerLetter"/>
      <w:start w:val="1"/>
    </w:lvl>
  </w:abstractNum>
  <w:abstractNum w:abstractNumId="48">
    <w:nsid w:val="1BA026FA"/>
    <w:multiLevelType w:val="hybridMultilevel"/>
    <w:lvl w:ilvl="0">
      <w:lvlJc w:val="left"/>
      <w:lvlText w:val="(%1)"/>
      <w:numFmt w:val="lowerLetter"/>
      <w:start w:val="7"/>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20" Type="http://schemas.openxmlformats.org/officeDocument/2006/relationships/hyperlink" Target="https://www.sec.gov/Archives/edgar/data/1531177/000119312521218705/d116785dex31.htm" TargetMode="External"/><Relationship Id="rId221" Type="http://schemas.openxmlformats.org/officeDocument/2006/relationships/hyperlink" Target="https://www.sec.gov/Archives/edgar/data/1531177/000119312521218705/d116785dex32.htm" TargetMode="External"/><Relationship Id="rId222" Type="http://schemas.openxmlformats.org/officeDocument/2006/relationships/hyperlink" Target="https://www.sec.gov/Archives/edgar/data/1531177/000095017023018865/sgh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2023-11-07T15:52:35Z</dcterms:created>
  <dcterms:modified xsi:type="dcterms:W3CDTF">2023-11-07T15:52:35Z</dcterms:modified>
</cp:coreProperties>
</file>