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Taylor Brenton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SIGHT SCIENCES,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4040 CAMPBELL AVE.,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Sight Sciences, Inc.</w:t>
              </w:r>
            </w:hyperlink>
            <w:r>
              <w:rPr/>
              <w:t xml:space="preserve"> [ </w:t>
            </w:r>
            <w:r>
              <w:rPr>
                <w:rFonts w:ascii="Times;serif" w:hAnsi="Times;serif"/>
                <w:color w:val="0000FF"/>
                <w:sz w:val="24"/>
                <w:shd w:fill="FFFFFF" w:val="clear"/>
              </w:rPr>
              <w:t>SGHT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Operations &amp; R&amp;D</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2"/>
        <w:gridCol w:w="902"/>
        <w:gridCol w:w="771"/>
        <w:gridCol w:w="599"/>
        <w:gridCol w:w="347"/>
        <w:gridCol w:w="885"/>
        <w:gridCol w:w="452"/>
        <w:gridCol w:w="795"/>
        <w:gridCol w:w="1190"/>
        <w:gridCol w:w="993"/>
        <w:gridCol w:w="91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8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10/02/2026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2,988</w:t>
            </w:r>
            <w:r>
              <w:rPr>
                <w:rFonts w:ascii="Times;serif" w:hAnsi="Times;serif"/>
                <w:color w:val="008000"/>
                <w:position w:val="7"/>
                <w:sz w:val="16"/>
                <w:sz w:val="20"/>
                <w:shd w:fill="FFFFFF" w:val="clear"/>
              </w:rPr>
              <w:t>(1)</w:t>
            </w:r>
          </w:p>
        </w:tc>
        <w:tc>
          <w:tcPr>
            <w:tcW w:w="4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8.853</w:t>
            </w:r>
            <w:r>
              <w:rPr>
                <w:rFonts w:ascii="Times;serif" w:hAnsi="Times;serif"/>
                <w:color w:val="008000"/>
                <w:position w:val="7"/>
                <w:sz w:val="16"/>
                <w:sz w:val="20"/>
                <w:shd w:fill="FFFFFF" w:val="clear"/>
              </w:rPr>
              <w:t>(2)</w:t>
            </w:r>
          </w:p>
        </w:tc>
        <w:tc>
          <w:tcPr>
            <w:tcW w:w="11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261,990</w:t>
            </w:r>
            <w:r>
              <w:rPr>
                <w:rFonts w:ascii="Times;serif" w:hAnsi="Times;serif"/>
                <w:color w:val="008000"/>
                <w:position w:val="7"/>
                <w:sz w:val="16"/>
                <w:sz w:val="20"/>
                <w:shd w:fill="FFFFFF" w:val="clear"/>
              </w:rPr>
              <w:t>(3)</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shares of the Issuer's common stock, par value $0.001 per share ("Common Stock"), sold to cover the Reporting Person's tax liability in connection with the vesting of restricted stock units ("RSUs").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Reflects the weighted average price at which the shares of Common Stock were sold. The shares were sold in multiple transactions at prices ranging from $8.68 to $9.07,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(i) 41,602 shares of Common Stock, and (ii) 220,388 shares of Common Stock which shall be acquired upon the vesting and settlement of RSUs that have not yet vested.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/s/Kashif Rashid, Attorney-in-Fact for Brenton Taylor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596103" TargetMode="External"/><Relationship Id="rId5" Type="http://schemas.openxmlformats.org/officeDocument/2006/relationships/hyperlink" Target="http://www.sec.gov/cgi-bin/browse-edgar?action=getcompany&amp;CIK=000153117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711</Words>
  <Characters>3836</Characters>
  <CharactersWithSpaces>4477</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