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312" w:before="0" w:after="0"/>
        <w:jc w:val="left"/>
        <w:rPr/>
      </w:pPr>
      <w:bookmarkStart w:id="0" w:name="sght-20210630.htm"/>
      <w:bookmarkStart w:id="1" w:name="kssght20210630"/>
      <w:bookmarkEnd w:id="0"/>
      <w:bookmarkEnd w:id="1"/>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pBdr>
          <w:top w:val="double" w:sz="6" w:space="1" w:color="000000"/>
        </w:pBdr>
        <w:spacing w:lineRule="auto" w:line="312" w:before="0" w:after="0"/>
        <w:jc w:val="left"/>
        <w:rPr/>
      </w:pPr>
      <w:r>
        <w:rPr/>
        <w:t> </w:t>
      </w:r>
    </w:p>
    <w:p>
      <w:pPr>
        <w:pStyle w:val="TextBody"/>
        <w:spacing w:lineRule="auto" w:line="312" w:before="0" w:after="0"/>
        <w:jc w:val="center"/>
        <w:rPr>
          <w:rFonts w:ascii="Times New Roman" w:hAnsi="Times New Roman"/>
          <w:b/>
          <w:sz w:val="36"/>
        </w:rPr>
      </w:pPr>
      <w:r>
        <w:rPr>
          <w:rFonts w:ascii="Times New Roman" w:hAnsi="Times New Roman"/>
          <w:b/>
          <w:sz w:val="36"/>
        </w:rPr>
        <w:t>UNITED STATES</w:t>
      </w:r>
    </w:p>
    <w:p>
      <w:pPr>
        <w:pStyle w:val="TextBody"/>
        <w:spacing w:lineRule="auto" w:line="312" w:before="0" w:after="0"/>
        <w:jc w:val="center"/>
        <w:rPr>
          <w:rFonts w:ascii="Times New Roman" w:hAnsi="Times New Roman"/>
          <w:b/>
          <w:sz w:val="36"/>
        </w:rPr>
      </w:pPr>
      <w:r>
        <w:rPr>
          <w:rFonts w:ascii="Times New Roman" w:hAnsi="Times New Roman"/>
          <w:b/>
          <w:sz w:val="36"/>
        </w:rPr>
        <w:t>SECURITIES AND EXCHANGE COMMISSION</w:t>
      </w:r>
    </w:p>
    <w:p>
      <w:pPr>
        <w:pStyle w:val="TextBody"/>
        <w:spacing w:lineRule="auto" w:line="312" w:before="0" w:after="0"/>
        <w:jc w:val="center"/>
        <w:rPr>
          <w:rFonts w:ascii="Times New Roman" w:hAnsi="Times New Roman"/>
          <w:b/>
          <w:sz w:val="24"/>
        </w:rPr>
      </w:pPr>
      <w:r>
        <w:rPr>
          <w:rFonts w:ascii="Times New Roman" w:hAnsi="Times New Roman"/>
          <w:b/>
          <w:sz w:val="24"/>
        </w:rPr>
        <w:t>WASHINGTON, DC 20549</w:t>
      </w:r>
    </w:p>
    <w:p>
      <w:pPr>
        <w:pStyle w:val="TextBody"/>
        <w:pBdr>
          <w:bottom w:val="single" w:sz="4" w:space="1" w:color="000000"/>
        </w:pBdr>
        <w:spacing w:lineRule="auto" w:line="312" w:before="40" w:after="100"/>
        <w:jc w:val="center"/>
        <w:rPr/>
      </w:pPr>
      <w:r>
        <w:rPr/>
        <w:t> </w:t>
      </w:r>
    </w:p>
    <w:p>
      <w:pPr>
        <w:pStyle w:val="TextBody"/>
        <w:spacing w:lineRule="auto" w:line="312" w:before="120" w:after="0"/>
        <w:jc w:val="center"/>
        <w:rPr>
          <w:rFonts w:ascii="Times New Roman" w:hAnsi="Times New Roman"/>
          <w:b/>
          <w:sz w:val="36"/>
        </w:rPr>
      </w:pPr>
      <w:r>
        <w:rPr>
          <w:rFonts w:ascii="Times New Roman" w:hAnsi="Times New Roman"/>
          <w:b/>
          <w:sz w:val="36"/>
        </w:rPr>
        <w:t>FORM 10-Q</w:t>
      </w:r>
    </w:p>
    <w:p>
      <w:pPr>
        <w:pStyle w:val="TextBody"/>
        <w:pBdr>
          <w:bottom w:val="single" w:sz="4" w:space="1" w:color="000000"/>
        </w:pBdr>
        <w:spacing w:lineRule="auto" w:line="312" w:before="40" w:after="100"/>
        <w:jc w:val="center"/>
        <w:rPr/>
      </w:pPr>
      <w:r>
        <w:rPr/>
        <w:t> </w:t>
      </w:r>
    </w:p>
    <w:p>
      <w:pPr>
        <w:pStyle w:val="TextBody"/>
        <w:spacing w:lineRule="auto" w:line="312" w:before="90" w:after="0"/>
        <w:jc w:val="left"/>
        <w:rPr>
          <w:rFonts w:ascii="Times New Roman" w:hAnsi="Times New Roman"/>
          <w:b/>
          <w:sz w:val="16"/>
        </w:rPr>
      </w:pPr>
      <w:r>
        <w:rPr>
          <w:rFonts w:ascii="Times New Roman" w:hAnsi="Times New Roman"/>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lineRule="auto" w:line="312" w:before="120" w:after="0"/>
        <w:jc w:val="center"/>
        <w:rPr>
          <w:rFonts w:ascii="Times New Roman" w:hAnsi="Times New Roman"/>
          <w:b/>
          <w:sz w:val="20"/>
        </w:rPr>
      </w:pPr>
      <w:r>
        <w:rPr>
          <w:rFonts w:ascii="Times New Roman" w:hAnsi="Times New Roman"/>
          <w:b/>
          <w:sz w:val="20"/>
        </w:rPr>
        <w:t>For the quarterly period ended June 30, 2021</w:t>
      </w:r>
    </w:p>
    <w:p>
      <w:pPr>
        <w:pStyle w:val="TextBody"/>
        <w:spacing w:lineRule="auto" w:line="312" w:before="120" w:after="0"/>
        <w:jc w:val="center"/>
        <w:rPr>
          <w:rFonts w:ascii="Times New Roman" w:hAnsi="Times New Roman"/>
          <w:b/>
          <w:sz w:val="20"/>
        </w:rPr>
      </w:pPr>
      <w:r>
        <w:rPr>
          <w:rFonts w:ascii="Times New Roman" w:hAnsi="Times New Roman"/>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312" w:before="12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312" w:before="120" w:after="0"/>
              <w:ind w:left="0" w:right="0"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lineRule="auto" w:line="312" w:before="120" w:after="0"/>
        <w:jc w:val="center"/>
        <w:rPr>
          <w:rFonts w:ascii="Times New Roman" w:hAnsi="Times New Roman"/>
          <w:b/>
          <w:sz w:val="20"/>
        </w:rPr>
      </w:pPr>
      <w:r>
        <w:rPr>
          <w:rFonts w:ascii="Times New Roman" w:hAnsi="Times New Roman"/>
          <w:b/>
          <w:sz w:val="20"/>
        </w:rPr>
        <w:t>For the transition period from __________ to ____________</w:t>
      </w:r>
    </w:p>
    <w:p>
      <w:pPr>
        <w:pStyle w:val="TextBody"/>
        <w:spacing w:lineRule="auto" w:line="312" w:before="120" w:after="0"/>
        <w:jc w:val="center"/>
        <w:rPr>
          <w:rFonts w:ascii="Times New Roman" w:hAnsi="Times New Roman"/>
          <w:b/>
          <w:sz w:val="20"/>
        </w:rPr>
      </w:pPr>
      <w:r>
        <w:rPr>
          <w:rFonts w:ascii="Times New Roman" w:hAnsi="Times New Roman"/>
          <w:b/>
          <w:sz w:val="20"/>
        </w:rPr>
        <w:t>Commission File Number: 001-40587</w:t>
      </w:r>
    </w:p>
    <w:p>
      <w:pPr>
        <w:pStyle w:val="TextBody"/>
        <w:pBdr>
          <w:bottom w:val="single" w:sz="4" w:space="1" w:color="000000"/>
        </w:pBdr>
        <w:spacing w:lineRule="auto" w:line="312" w:before="40" w:after="100"/>
        <w:jc w:val="center"/>
        <w:rPr/>
      </w:pPr>
      <w:r>
        <w:rPr/>
        <w:t> </w:t>
      </w:r>
    </w:p>
    <w:p>
      <w:pPr>
        <w:pStyle w:val="TextBody"/>
        <w:spacing w:lineRule="auto" w:line="312" w:before="0" w:after="0"/>
        <w:jc w:val="center"/>
        <w:rPr>
          <w:rFonts w:ascii="Times New Roman" w:hAnsi="Times New Roman"/>
          <w:b/>
          <w:sz w:val="48"/>
        </w:rPr>
      </w:pPr>
      <w:r>
        <w:rPr>
          <w:rFonts w:ascii="Times New Roman" w:hAnsi="Times New Roman"/>
          <w:b/>
          <w:sz w:val="48"/>
        </w:rPr>
        <w:t>SIGHT SCIENCES, INC.</w:t>
      </w:r>
    </w:p>
    <w:p>
      <w:pPr>
        <w:pStyle w:val="TextBody"/>
        <w:spacing w:lineRule="auto" w:line="312"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pBdr>
          <w:bottom w:val="single" w:sz="4" w:space="1" w:color="000000"/>
        </w:pBdr>
        <w:spacing w:lineRule="auto" w:line="312" w:before="40" w:after="0"/>
        <w:jc w:val="center"/>
        <w:rPr/>
      </w:pPr>
      <w:r>
        <w:rPr/>
        <w:t> </w:t>
      </w:r>
    </w:p>
    <w:p>
      <w:pPr>
        <w:pStyle w:val="TextBody"/>
        <w:spacing w:lineRule="auto" w:line="312" w:before="0" w:after="0"/>
        <w:jc w:val="left"/>
        <w:rPr/>
      </w:pPr>
      <w:r>
        <w:rPr/>
        <w:t> </w:t>
      </w:r>
    </w:p>
    <w:tbl>
      <w:tblPr>
        <w:tblW w:w="3902" w:type="dxa"/>
        <w:jc w:val="left"/>
        <w:tblInd w:w="0" w:type="dxa"/>
        <w:tblCellMar>
          <w:top w:w="28" w:type="dxa"/>
          <w:left w:w="28" w:type="dxa"/>
          <w:bottom w:w="28" w:type="dxa"/>
          <w:right w:w="28" w:type="dxa"/>
        </w:tblCellMar>
      </w:tblPr>
      <w:tblGrid>
        <w:gridCol w:w="2656"/>
        <w:gridCol w:w="1246"/>
      </w:tblGrid>
      <w:tr>
        <w:trPr/>
        <w:tc>
          <w:tcPr>
            <w:tcW w:w="265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6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Delaware</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80-0625749</w:t>
            </w:r>
          </w:p>
        </w:tc>
      </w:tr>
      <w:tr>
        <w:trPr/>
        <w:tc>
          <w:tcPr>
            <w:tcW w:w="26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(State or other jurisdiction of</w:t>
            </w:r>
          </w:p>
          <w:p>
            <w:pPr>
              <w:pStyle w:val="TableContents"/>
              <w:spacing w:lineRule="auto" w:line="312" w:before="0" w:after="15"/>
              <w:ind w:left="0" w:right="0" w:hanging="0"/>
              <w:jc w:val="center"/>
              <w:rPr>
                <w:rFonts w:ascii="Times New Roman" w:hAnsi="Times New Roman"/>
                <w:b/>
                <w:sz w:val="14"/>
              </w:rPr>
            </w:pPr>
            <w:r>
              <w:rPr>
                <w:rFonts w:ascii="Times New Roman" w:hAnsi="Times New Roman"/>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(I.R.S. Employer</w:t>
              <w:br/>
              <w:t>Identification No.)</w:t>
            </w:r>
          </w:p>
        </w:tc>
      </w:tr>
      <w:tr>
        <w:trPr/>
        <w:tc>
          <w:tcPr>
            <w:tcW w:w="2656" w:type="dxa"/>
            <w:tcBorders/>
            <w:shd w:fill="auto" w:val="clear"/>
            <w:tcMar>
              <w:top w:w="0" w:type="dxa"/>
              <w:left w:w="0" w:type="dxa"/>
              <w:bottom w:w="0" w:type="dxa"/>
              <w:right w:w="0" w:type="dxa"/>
            </w:tcMar>
            <w:vAlign w:val="center"/>
          </w:tcPr>
          <w:p>
            <w:pPr>
              <w:pStyle w:val="TableContents"/>
              <w:spacing w:lineRule="auto" w:line="312" w:before="0" w:after="15"/>
              <w:ind w:left="0" w:right="0" w:hanging="0"/>
              <w:jc w:val="center"/>
              <w:rPr>
                <w:rFonts w:ascii="Times New Roman" w:hAnsi="Times New Roman"/>
                <w:b/>
                <w:sz w:val="20"/>
              </w:rPr>
            </w:pPr>
            <w:r>
              <w:rPr>
                <w:rFonts w:ascii="Times New Roman" w:hAnsi="Times New Roman"/>
                <w:b/>
                <w:sz w:val="20"/>
              </w:rPr>
              <w:t>4040 Campbell Ave, Suite 100</w:t>
            </w:r>
          </w:p>
          <w:p>
            <w:pPr>
              <w:pStyle w:val="TableContents"/>
              <w:spacing w:lineRule="auto" w:line="312" w:before="0" w:after="15"/>
              <w:ind w:left="0" w:right="0" w:hanging="0"/>
              <w:jc w:val="center"/>
              <w:rPr>
                <w:rFonts w:ascii="Times New Roman" w:hAnsi="Times New Roman"/>
                <w:b/>
                <w:sz w:val="20"/>
              </w:rPr>
            </w:pPr>
            <w:r>
              <w:rPr>
                <w:rFonts w:ascii="Times New Roman" w:hAnsi="Times New Roman"/>
                <w:b/>
                <w:sz w:val="20"/>
              </w:rPr>
              <w:t>Menlo Park, CA</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20"/>
              </w:rPr>
            </w:pPr>
            <w:r>
              <w:rPr>
                <w:rFonts w:ascii="Times New Roman" w:hAnsi="Times New Roman"/>
                <w:b/>
                <w:sz w:val="20"/>
              </w:rPr>
              <w:t>94025</w:t>
            </w:r>
          </w:p>
        </w:tc>
      </w:tr>
      <w:tr>
        <w:trPr/>
        <w:tc>
          <w:tcPr>
            <w:tcW w:w="26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4"/>
              </w:rPr>
            </w:pPr>
            <w:r>
              <w:rPr>
                <w:rFonts w:ascii="Times New Roman" w:hAnsi="Times New Roman"/>
                <w:b/>
                <w:sz w:val="14"/>
              </w:rPr>
              <w:t>(Zip Code)</w:t>
            </w:r>
          </w:p>
        </w:tc>
      </w:tr>
    </w:tbl>
    <w:p>
      <w:pPr>
        <w:pStyle w:val="TextBody"/>
        <w:spacing w:lineRule="auto" w:line="312" w:before="80" w:after="0"/>
        <w:jc w:val="center"/>
        <w:rPr>
          <w:rFonts w:ascii="Times New Roman" w:hAnsi="Times New Roman"/>
          <w:b/>
          <w:sz w:val="20"/>
        </w:rPr>
      </w:pPr>
      <w:r>
        <w:rPr>
          <w:rFonts w:ascii="Times New Roman" w:hAnsi="Times New Roman"/>
          <w:b/>
          <w:sz w:val="20"/>
        </w:rPr>
        <w:t>Registrant’s telephone number, including area code: (877) 266-1144</w:t>
      </w:r>
    </w:p>
    <w:p>
      <w:pPr>
        <w:pStyle w:val="TextBody"/>
        <w:pBdr>
          <w:bottom w:val="single" w:sz="4" w:space="1" w:color="000000"/>
        </w:pBdr>
        <w:spacing w:lineRule="auto" w:line="312" w:before="40" w:after="0"/>
        <w:jc w:val="center"/>
        <w:rPr/>
      </w:pPr>
      <w:r>
        <w:rPr/>
        <w:t> </w:t>
      </w:r>
    </w:p>
    <w:p>
      <w:pPr>
        <w:pStyle w:val="TextBody"/>
        <w:spacing w:lineRule="auto" w:line="312" w:before="80" w:after="0"/>
        <w:jc w:val="left"/>
        <w:rPr>
          <w:rFonts w:ascii="Times New Roman" w:hAnsi="Times New Roman"/>
          <w:sz w:val="20"/>
        </w:rPr>
      </w:pPr>
      <w:r>
        <w:rPr>
          <w:rFonts w:ascii="Times New Roman" w:hAnsi="Times New Roman"/>
          <w:b w:val="false"/>
          <w:sz w:val="18"/>
        </w:rPr>
        <w:t>Securities registered pursuant to Section 12(b) of the Act:</w:t>
      </w:r>
      <w:r>
        <w:rPr>
          <w:rFonts w:ascii="Times New Roman" w:hAnsi="Times New Roman"/>
          <w:sz w:val="20"/>
        </w:rPr>
        <w:t xml:space="preserve"> </w:t>
      </w:r>
    </w:p>
    <w:p>
      <w:pPr>
        <w:pStyle w:val="TextBody"/>
        <w:spacing w:lineRule="auto" w:line="312" w:before="0" w:after="0"/>
        <w:jc w:val="left"/>
        <w:rPr/>
      </w:pPr>
      <w:r>
        <w:rPr/>
        <w:t> </w:t>
      </w:r>
    </w:p>
    <w:tbl>
      <w:tblPr>
        <w:tblW w:w="6940" w:type="dxa"/>
        <w:jc w:val="left"/>
        <w:tblInd w:w="0" w:type="dxa"/>
        <w:tblCellMar>
          <w:top w:w="28" w:type="dxa"/>
          <w:left w:w="28" w:type="dxa"/>
          <w:bottom w:w="28" w:type="dxa"/>
          <w:right w:w="28" w:type="dxa"/>
        </w:tblCellMar>
      </w:tblPr>
      <w:tblGrid>
        <w:gridCol w:w="2506"/>
        <w:gridCol w:w="146"/>
        <w:gridCol w:w="826"/>
        <w:gridCol w:w="146"/>
        <w:gridCol w:w="3316"/>
      </w:tblGrid>
      <w:tr>
        <w:trPr/>
        <w:tc>
          <w:tcPr>
            <w:tcW w:w="25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25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Trading</w:t>
            </w:r>
          </w:p>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Name of each exchange on which registered</w:t>
            </w:r>
          </w:p>
        </w:tc>
      </w:tr>
      <w:tr>
        <w:trPr/>
        <w:tc>
          <w:tcPr>
            <w:tcW w:w="2506" w:type="dxa"/>
            <w:tcBorders/>
            <w:shd w:fill="auto" w:val="cle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Common Stock, par value $0.001</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826" w:type="dxa"/>
            <w:tcBorders/>
            <w:shd w:fill="auto" w:val="cle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SGHT</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3316" w:type="dxa"/>
            <w:tcBorders/>
            <w:shd w:fill="auto" w:val="cle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The Nasdaq Global Select Market</w:t>
            </w:r>
          </w:p>
        </w:tc>
      </w:tr>
    </w:tbl>
    <w:p>
      <w:pPr>
        <w:pStyle w:val="TextBody"/>
        <w:spacing w:lineRule="auto" w:line="312" w:before="120" w:after="0"/>
        <w:jc w:val="left"/>
        <w:rPr>
          <w:rFonts w:ascii="Times New Roman" w:hAnsi="Times New Roman"/>
          <w:sz w:val="20"/>
        </w:rPr>
      </w:pPr>
      <w:r>
        <w:rPr>
          <w:rFonts w:ascii="Times New Roman" w:hAnsi="Times New Roman"/>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    </w:t>
      </w:r>
      <w:r>
        <w:rPr>
          <w:rFonts w:ascii="Times New Roman" w:hAnsi="Times New Roman"/>
          <w:b w:val="false"/>
          <w:sz w:val="18"/>
        </w:rPr>
        <w:t>No  ☒</w:t>
      </w:r>
    </w:p>
    <w:p>
      <w:pPr>
        <w:pStyle w:val="TextBody"/>
        <w:spacing w:lineRule="auto" w:line="312" w:before="80" w:after="0"/>
        <w:jc w:val="left"/>
        <w:rPr>
          <w:rFonts w:ascii="Times New Roman" w:hAnsi="Times New Roman"/>
          <w:sz w:val="20"/>
        </w:rPr>
      </w:pPr>
      <w:r>
        <w:rPr>
          <w:rFonts w:ascii="Times New Roman" w:hAnsi="Times New Roman"/>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    </w:t>
      </w:r>
      <w:r>
        <w:rPr>
          <w:rFonts w:ascii="Times New Roman" w:hAnsi="Times New Roman"/>
          <w:b w:val="false"/>
          <w:sz w:val="18"/>
        </w:rPr>
        <w:t>No  ☐</w:t>
      </w:r>
    </w:p>
    <w:p>
      <w:pPr>
        <w:pStyle w:val="TextBody"/>
        <w:spacing w:lineRule="auto" w:line="312" w:before="80" w:after="0"/>
        <w:jc w:val="left"/>
        <w:rPr>
          <w:rFonts w:ascii="Times New Roman" w:hAnsi="Times New Roman"/>
          <w:b w:val="false"/>
          <w:sz w:val="18"/>
        </w:rPr>
      </w:pPr>
      <w:r>
        <w:rPr>
          <w:rFonts w:ascii="Times New Roman" w:hAnsi="Times New Roman"/>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lineRule="auto" w:line="312" w:before="0" w:after="0"/>
        <w:jc w:val="left"/>
        <w:rPr/>
      </w:pPr>
      <w:r>
        <w:rPr/>
        <w:t> </w:t>
      </w:r>
    </w:p>
    <w:tbl>
      <w:tblPr>
        <w:tblW w:w="5197" w:type="dxa"/>
        <w:jc w:val="left"/>
        <w:tblInd w:w="0" w:type="dxa"/>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w:t>
      </w:r>
    </w:p>
    <w:p>
      <w:pPr>
        <w:pStyle w:val="TextBody"/>
        <w:spacing w:lineRule="auto" w:line="312" w:before="80" w:after="0"/>
        <w:jc w:val="left"/>
        <w:rPr>
          <w:rFonts w:ascii="Times New Roman" w:hAnsi="Times New Roman"/>
          <w:sz w:val="20"/>
        </w:rPr>
      </w:pPr>
      <w:r>
        <w:rPr>
          <w:rFonts w:ascii="Times New Roman" w:hAnsi="Times New Roman"/>
          <w:b w:val="false"/>
          <w:sz w:val="18"/>
        </w:rPr>
        <w:t>Indicate by check mark whether the registrant is a shell company (as defined in Rule 12b-2 of the Exchange Act).     Yes </w:t>
      </w:r>
      <w:r>
        <w:rPr>
          <w:rFonts w:ascii="Times New Roman" w:hAnsi="Times New Roman"/>
          <w:sz w:val="20"/>
        </w:rPr>
        <w:t>☐    </w:t>
      </w:r>
      <w:r>
        <w:rPr>
          <w:rFonts w:ascii="Times New Roman" w:hAnsi="Times New Roman"/>
          <w:b w:val="false"/>
          <w:sz w:val="18"/>
        </w:rPr>
        <w:t>No  ☒</w:t>
      </w:r>
    </w:p>
    <w:p>
      <w:pPr>
        <w:pStyle w:val="TextBody"/>
        <w:spacing w:lineRule="auto" w:line="357" w:before="0" w:after="0"/>
        <w:jc w:val="left"/>
        <w:rPr/>
      </w:pPr>
      <w:r>
        <w:rPr/>
        <w:t> </w:t>
      </w:r>
    </w:p>
    <w:p>
      <w:pPr>
        <w:pStyle w:val="TextBody"/>
        <w:spacing w:lineRule="auto" w:line="357" w:before="0" w:after="0"/>
        <w:jc w:val="left"/>
        <w:rPr>
          <w:rFonts w:ascii="Times New Roman" w:hAnsi="Times New Roman"/>
          <w:sz w:val="20"/>
        </w:rPr>
      </w:pPr>
      <w:r>
        <w:rPr>
          <w:rFonts w:ascii="Times New Roman" w:hAnsi="Times New Roman"/>
          <w:b w:val="false"/>
          <w:sz w:val="18"/>
        </w:rPr>
        <w:t>As of August 10, 2021, the registrant had 47,265,164</w:t>
      </w:r>
      <w:r>
        <w:rPr>
          <w:rFonts w:ascii="Times New Roman" w:hAnsi="Times New Roman"/>
          <w:sz w:val="20"/>
        </w:rPr>
        <w:t xml:space="preserve"> </w:t>
      </w:r>
      <w:r>
        <w:rPr>
          <w:rFonts w:ascii="Times New Roman" w:hAnsi="Times New Roman"/>
          <w:b w:val="false"/>
          <w:sz w:val="18"/>
        </w:rPr>
        <w:t>shares of Common Stock, par value $0.001 outstanding.</w:t>
      </w:r>
    </w:p>
    <w:p>
      <w:pPr>
        <w:pStyle w:val="TextBody"/>
        <w:pBdr>
          <w:bottom w:val="double" w:sz="6" w:space="1" w:color="000000"/>
        </w:pBdr>
        <w:spacing w:lineRule="auto" w:line="312" w:before="0" w:after="0"/>
        <w:jc w:val="left"/>
        <w:rPr/>
      </w:pPr>
      <w:r>
        <w:rPr/>
        <w:t> </w:t>
      </w:r>
    </w:p>
    <w:p>
      <w:pPr>
        <w:pStyle w:val="TextBody"/>
        <w:spacing w:lineRule="auto" w:line="312" w:before="0" w:after="0"/>
        <w:jc w:val="left"/>
        <w:rPr/>
      </w:pPr>
      <w:r>
        <w:rPr/>
        <w:t> </w:t>
      </w:r>
    </w:p>
    <w:p>
      <w:pPr>
        <w:pStyle w:val="TextBody"/>
        <w:spacing w:lineRule="atLeast" w:line="141" w:before="0" w:after="0"/>
        <w:jc w:val="center"/>
        <w:rPr/>
      </w:pPr>
      <w:r>
        <w:rPr/>
        <w:t> </w:t>
      </w:r>
    </w:p>
    <w:p>
      <w:pPr>
        <w:pStyle w:val="TextBody"/>
        <w:spacing w:lineRule="auto" w:line="312" w:before="0" w:after="0"/>
        <w:jc w:val="left"/>
        <w:rPr/>
      </w:pPr>
      <w:r>
        <w:rPr/>
        <w:t> </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sz w:val="20"/>
        </w:rPr>
      </w:pPr>
      <w:r>
        <w:rPr>
          <w:rFonts w:ascii="Times New Roman" w:hAnsi="Times New Roman"/>
          <w:b/>
          <w:sz w:val="20"/>
        </w:rPr>
        <w:t>Table of Contents</w:t>
      </w:r>
    </w:p>
    <w:p>
      <w:pPr>
        <w:pStyle w:val="TextBody"/>
        <w:spacing w:lineRule="auto" w:line="312" w:before="0" w:after="0"/>
        <w:jc w:val="left"/>
        <w:rPr/>
      </w:pPr>
      <w:r>
        <w:rPr/>
        <w:t> </w:t>
      </w:r>
    </w:p>
    <w:tbl>
      <w:tblPr>
        <w:tblW w:w="10175" w:type="dxa"/>
        <w:jc w:val="left"/>
        <w:tblInd w:w="0" w:type="dxa"/>
        <w:tblCellMar>
          <w:top w:w="28" w:type="dxa"/>
          <w:left w:w="28" w:type="dxa"/>
          <w:bottom w:w="28" w:type="dxa"/>
          <w:right w:w="28" w:type="dxa"/>
        </w:tblCellMar>
      </w:tblPr>
      <w:tblGrid>
        <w:gridCol w:w="886"/>
        <w:gridCol w:w="8641"/>
        <w:gridCol w:w="648"/>
      </w:tblGrid>
      <w:tr>
        <w:trPr/>
        <w:tc>
          <w:tcPr>
            <w:tcW w:w="886" w:type="dxa"/>
            <w:tcBorders/>
            <w:shd w:fill="auto" w:val="clear"/>
            <w:vAlign w:val="center"/>
          </w:tcPr>
          <w:p>
            <w:pPr>
              <w:pStyle w:val="TableContents"/>
              <w:spacing w:before="0" w:after="283"/>
              <w:rPr>
                <w:sz w:val="4"/>
                <w:szCs w:val="4"/>
              </w:rPr>
            </w:pPr>
            <w:r>
              <w:rPr>
                <w:sz w:val="4"/>
                <w:szCs w:val="4"/>
              </w:rPr>
            </w:r>
          </w:p>
        </w:tc>
        <w:tc>
          <w:tcPr>
            <w:tcW w:w="8641"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137"/>
              <w:jc w:val="center"/>
              <w:rPr>
                <w:rFonts w:ascii="Times New Roman" w:hAnsi="Times New Roman"/>
                <w:b/>
                <w:sz w:val="16"/>
              </w:rPr>
            </w:pPr>
            <w:r>
              <w:rPr>
                <w:rFonts w:ascii="Times New Roman" w:hAnsi="Times New Roman"/>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forward_looking_statements">
              <w:r>
                <w:rPr>
                  <w:rStyle w:val="InternetLink"/>
                  <w:rFonts w:ascii="Times New Roman" w:hAnsi="Times New Roman"/>
                  <w:b w:val="false"/>
                  <w:sz w:val="20"/>
                  <w:u w:val="single"/>
                </w:rPr>
                <w:t>Special Note Regarding Forward-Looking Statements</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3</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PART I.</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financial_information">
              <w:r>
                <w:rPr>
                  <w:rStyle w:val="InternetLink"/>
                  <w:rFonts w:ascii="Times New Roman" w:hAnsi="Times New Roman"/>
                  <w:b w:val="false"/>
                  <w:sz w:val="20"/>
                  <w:u w:val="single"/>
                </w:rPr>
                <w:t>FINANCIAL INFORMATION</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6</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condensed_financial_statements">
              <w:r>
                <w:rPr>
                  <w:rStyle w:val="InternetLink"/>
                  <w:rFonts w:ascii="Times New Roman" w:hAnsi="Times New Roman"/>
                  <w:b w:val="false"/>
                  <w:sz w:val="20"/>
                  <w:u w:val="single"/>
                </w:rPr>
                <w:t>Condensed Financial Statements (Unaudited)</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firstLine="137"/>
              <w:jc w:val="center"/>
              <w:rPr>
                <w:rFonts w:ascii="Times New Roman" w:hAnsi="Times New Roman"/>
                <w:b w:val="false"/>
                <w:sz w:val="18"/>
              </w:rPr>
            </w:pPr>
            <w:r>
              <w:rPr>
                <w:rFonts w:ascii="Times New Roman" w:hAnsi="Times New Roman"/>
                <w:b w:val="false"/>
                <w:sz w:val="18"/>
              </w:rPr>
              <w:t>6</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balance_sheet">
              <w:r>
                <w:rPr>
                  <w:rStyle w:val="InternetLink"/>
                  <w:rFonts w:ascii="Times New Roman" w:hAnsi="Times New Roman"/>
                  <w:b w:val="false"/>
                  <w:sz w:val="20"/>
                  <w:u w:val="single"/>
                </w:rPr>
                <w:t>Condensed Consolidated Balance Sheets (Unaudited)</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firstLine="137"/>
              <w:jc w:val="center"/>
              <w:rPr>
                <w:rFonts w:ascii="Times New Roman" w:hAnsi="Times New Roman"/>
                <w:b w:val="false"/>
                <w:sz w:val="18"/>
              </w:rPr>
            </w:pPr>
            <w:r>
              <w:rPr>
                <w:rFonts w:ascii="Times New Roman" w:hAnsi="Times New Roman"/>
                <w:b w:val="false"/>
                <w:sz w:val="18"/>
              </w:rPr>
              <w:t>6</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tatements_of_operations_and_comp_loss">
              <w:r>
                <w:rPr>
                  <w:rStyle w:val="InternetLink"/>
                  <w:rFonts w:ascii="Times New Roman" w:hAnsi="Times New Roman"/>
                  <w:b w:val="false"/>
                  <w:sz w:val="20"/>
                  <w:u w:val="single"/>
                </w:rPr>
                <w:t>Condensed Consolidated Statements of Operations and Comprehensive Loss (Unaudited)</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firstLine="137"/>
              <w:jc w:val="center"/>
              <w:rPr>
                <w:rFonts w:ascii="Times New Roman" w:hAnsi="Times New Roman"/>
                <w:b w:val="false"/>
                <w:sz w:val="18"/>
              </w:rPr>
            </w:pPr>
            <w:r>
              <w:rPr>
                <w:rFonts w:ascii="Times New Roman" w:hAnsi="Times New Roman"/>
                <w:b w:val="false"/>
                <w:sz w:val="18"/>
              </w:rPr>
              <w:t>7</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tockholders_deficit">
              <w:r>
                <w:rPr>
                  <w:rStyle w:val="InternetLink"/>
                  <w:rFonts w:ascii="Times New Roman" w:hAnsi="Times New Roman"/>
                  <w:b w:val="false"/>
                  <w:sz w:val="20"/>
                  <w:u w:val="single"/>
                </w:rPr>
                <w:t>Condensed Statements of Redeemable Convertible Preferred Stock and Stockholders’ Deficit (Unaudited)</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firstLine="137"/>
              <w:jc w:val="center"/>
              <w:rPr>
                <w:rFonts w:ascii="Times New Roman" w:hAnsi="Times New Roman"/>
                <w:b w:val="false"/>
                <w:sz w:val="18"/>
              </w:rPr>
            </w:pPr>
            <w:r>
              <w:rPr>
                <w:rFonts w:ascii="Times New Roman" w:hAnsi="Times New Roman"/>
                <w:b w:val="false"/>
                <w:sz w:val="18"/>
              </w:rPr>
              <w:t>8</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cash_flows">
              <w:r>
                <w:rPr>
                  <w:rStyle w:val="InternetLink"/>
                  <w:rFonts w:ascii="Times New Roman" w:hAnsi="Times New Roman"/>
                  <w:b w:val="false"/>
                  <w:sz w:val="20"/>
                  <w:u w:val="single"/>
                </w:rPr>
                <w:t>Condensed Consolidated Statements of Cash Flows (Unaudited)</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firstLine="137"/>
              <w:jc w:val="center"/>
              <w:rPr>
                <w:rFonts w:ascii="Times New Roman" w:hAnsi="Times New Roman"/>
                <w:b w:val="false"/>
                <w:sz w:val="18"/>
              </w:rPr>
            </w:pPr>
            <w:r>
              <w:rPr>
                <w:rFonts w:ascii="Times New Roman" w:hAnsi="Times New Roman"/>
                <w:b w:val="false"/>
                <w:sz w:val="18"/>
              </w:rPr>
              <w:t>9</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137" w:right="0" w:hanging="0"/>
              <w:jc w:val="left"/>
              <w:rPr/>
            </w:pPr>
            <w:r>
              <w:rPr/>
              <w:t> </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notes_to_financial_statements">
              <w:r>
                <w:rPr>
                  <w:rStyle w:val="InternetLink"/>
                  <w:rFonts w:ascii="Times New Roman" w:hAnsi="Times New Roman"/>
                  <w:b w:val="false"/>
                  <w:sz w:val="20"/>
                  <w:u w:val="single"/>
                </w:rPr>
                <w:t>Notes to Condensed Consolidated Financial Statements (Unaudited)</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10</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2_managements_discussion">
              <w:r>
                <w:rPr>
                  <w:rStyle w:val="InternetLink"/>
                  <w:rFonts w:ascii="Times New Roman" w:hAnsi="Times New Roman"/>
                  <w:b w:val="false"/>
                  <w:sz w:val="20"/>
                  <w:u w:val="single"/>
                </w:rPr>
                <w:t>Management’s Discussion and Analysis of Financial Condition and Results of Operations</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29</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3_quantitative_and_qualitative">
              <w:r>
                <w:rPr>
                  <w:rStyle w:val="InternetLink"/>
                  <w:rFonts w:ascii="Times New Roman" w:hAnsi="Times New Roman"/>
                  <w:b w:val="false"/>
                  <w:sz w:val="20"/>
                  <w:u w:val="single"/>
                </w:rPr>
                <w:t>Quantitative and Qualitative Disclosures About Market Risk</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43</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4_controls_and_procedures">
              <w:r>
                <w:rPr>
                  <w:rStyle w:val="InternetLink"/>
                  <w:rFonts w:ascii="Times New Roman" w:hAnsi="Times New Roman"/>
                  <w:b w:val="false"/>
                  <w:sz w:val="20"/>
                  <w:u w:val="single"/>
                </w:rPr>
                <w:t>Controls and Procedures</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43</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PART II.</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part_ii_other_information">
              <w:r>
                <w:rPr>
                  <w:rStyle w:val="InternetLink"/>
                  <w:rFonts w:ascii="Times New Roman" w:hAnsi="Times New Roman"/>
                  <w:b w:val="false"/>
                  <w:sz w:val="20"/>
                  <w:u w:val="single"/>
                </w:rPr>
                <w:t>OTHER INFORMATION</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44</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1.</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1_legal_proceedings">
              <w:r>
                <w:rPr>
                  <w:rStyle w:val="InternetLink"/>
                  <w:rFonts w:ascii="Times New Roman" w:hAnsi="Times New Roman"/>
                  <w:b w:val="false"/>
                  <w:sz w:val="20"/>
                  <w:u w:val="single"/>
                </w:rPr>
                <w:t>Legal Proceedings</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44</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1A.</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1a_risk_factors">
              <w:r>
                <w:rPr>
                  <w:rStyle w:val="InternetLink"/>
                  <w:rFonts w:ascii="Times New Roman" w:hAnsi="Times New Roman"/>
                  <w:b w:val="false"/>
                  <w:sz w:val="20"/>
                  <w:u w:val="single"/>
                </w:rPr>
                <w:t>Risk Factors</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44</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2.</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2_unregistered_sales_of_equity">
              <w:r>
                <w:rPr>
                  <w:rStyle w:val="InternetLink"/>
                  <w:rFonts w:ascii="Times New Roman" w:hAnsi="Times New Roman"/>
                  <w:b w:val="false"/>
                  <w:sz w:val="20"/>
                  <w:u w:val="single"/>
                </w:rPr>
                <w:t>Unregistered Sales of Equity Securities and Use of Proceeds</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108</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3.</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3_defaults_upon_senior_securities">
              <w:r>
                <w:rPr>
                  <w:rStyle w:val="InternetLink"/>
                  <w:rFonts w:ascii="Times New Roman" w:hAnsi="Times New Roman"/>
                  <w:b w:val="false"/>
                  <w:sz w:val="20"/>
                  <w:u w:val="single"/>
                </w:rPr>
                <w:t>Defaults Upon Senior Securities</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108</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4.</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4_mine_safety_disclosures">
              <w:r>
                <w:rPr>
                  <w:rStyle w:val="InternetLink"/>
                  <w:rFonts w:ascii="Times New Roman" w:hAnsi="Times New Roman"/>
                  <w:b w:val="false"/>
                  <w:sz w:val="20"/>
                  <w:u w:val="single"/>
                </w:rPr>
                <w:t>Mine Safety Disclosures</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108</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5.</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5_other_information">
              <w:r>
                <w:rPr>
                  <w:rStyle w:val="InternetLink"/>
                  <w:rFonts w:ascii="Times New Roman" w:hAnsi="Times New Roman"/>
                  <w:b w:val="false"/>
                  <w:sz w:val="20"/>
                  <w:u w:val="single"/>
                </w:rPr>
                <w:t>Other Information</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108</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Item 6.</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item_6_exhibits">
              <w:r>
                <w:rPr>
                  <w:rStyle w:val="InternetLink"/>
                  <w:rFonts w:ascii="Times New Roman" w:hAnsi="Times New Roman"/>
                  <w:b w:val="false"/>
                  <w:sz w:val="20"/>
                  <w:u w:val="single"/>
                </w:rPr>
                <w:t>Exhibits</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109</w:t>
            </w:r>
          </w:p>
        </w:tc>
      </w:tr>
      <w:tr>
        <w:trPr/>
        <w:tc>
          <w:tcPr>
            <w:tcW w:w="88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86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ignatures">
              <w:r>
                <w:rPr>
                  <w:rStyle w:val="InternetLink"/>
                  <w:rFonts w:ascii="Times New Roman" w:hAnsi="Times New Roman"/>
                  <w:b w:val="false"/>
                  <w:sz w:val="20"/>
                  <w:u w:val="single"/>
                </w:rPr>
                <w:t>Signatures</w:t>
              </w:r>
            </w:hyperlink>
          </w:p>
        </w:tc>
        <w:tc>
          <w:tcPr>
            <w:tcW w:w="64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val="false"/>
                <w:sz w:val="18"/>
              </w:rPr>
            </w:pPr>
            <w:r>
              <w:rPr>
                <w:rFonts w:ascii="Times New Roman" w:hAnsi="Times New Roman"/>
                <w:b w:val="false"/>
                <w:sz w:val="18"/>
              </w:rPr>
              <w:t>111</w:t>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sz w:val="20"/>
        </w:rPr>
      </w:pPr>
      <w:bookmarkStart w:id="2" w:name="forward_looking_statements"/>
      <w:bookmarkEnd w:id="2"/>
      <w:r>
        <w:rPr>
          <w:rFonts w:ascii="Times New Roman" w:hAnsi="Times New Roman"/>
          <w:b/>
          <w:sz w:val="20"/>
        </w:rPr>
        <w:t>SPECIAL NOTE REGARDING FORWARD-LOOKING STATEMENTS</w:t>
      </w:r>
    </w:p>
    <w:p>
      <w:pPr>
        <w:pStyle w:val="TextBody"/>
        <w:spacing w:lineRule="auto" w:line="312" w:before="120" w:after="0"/>
        <w:jc w:val="left"/>
        <w:rPr>
          <w:rFonts w:ascii="Times New Roman" w:hAnsi="Times New Roman"/>
          <w:b w:val="false"/>
          <w:i/>
          <w:sz w:val="20"/>
        </w:rPr>
      </w:pPr>
      <w:r>
        <w:rPr>
          <w:rFonts w:ascii="Times New Roman" w:hAnsi="Times New Roman"/>
          <w:b w:val="false"/>
          <w:i/>
          <w:sz w:val="20"/>
        </w:rPr>
        <w:t>Unless the context otherwise requires, references in this Quarterly Report on Form 10-Q to the “Company,” “Sight Sciences,” “we,” “us” and “our” refer to Sight Sciences, Inc.</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estimates of our total addressable market, future revenue, expenses, capital requirements, and our needs for additional financing;</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ability to enter into and compete in new markets;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impact of the COVID-19 pandemic on our business, our customers’ and suppliers’ businesses and the general economy;</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ability to compete effectively with existing competitors and new market entrants;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ability to scale our infrastructure;</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ability to manage and grow our business by expanding our sales to existing customers or introducing our products to new customers;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ability to establish and maintain intellectual property protection for our products or avoid claims of infringement;</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potential effects of extensive government regulation;</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ability to obtain and maintain sufficient reimbursement for our products;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 xml:space="preserve">our abilities to protect and scale our intellectual property portfolio;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ability to hire and retain key personnel;</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ability to obtain financing in future offerings;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volatility of the trading price of our common stock;</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our expectation regarding the time during which we will be an emerging growth company under the Jumpstart Our Business Startups Act (the “JOBS Act”); and</w:t>
      </w:r>
    </w:p>
    <w:p>
      <w:pPr>
        <w:pStyle w:val="TextBody"/>
        <w:spacing w:lineRule="auto" w:line="312" w:before="120" w:after="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our ability to maintain proper and effective internal controls.</w:t>
      </w:r>
    </w:p>
    <w:p>
      <w:pPr>
        <w:pStyle w:val="TextBody"/>
        <w:spacing w:lineRule="auto" w:line="312" w:before="240" w:after="0"/>
        <w:jc w:val="left"/>
        <w:rPr>
          <w:rFonts w:ascii="Times New Roman" w:hAnsi="Times New Roman"/>
          <w:sz w:val="20"/>
        </w:rPr>
      </w:pPr>
      <w:r>
        <w:rPr>
          <w:rFonts w:ascii="Times New Roman" w:hAnsi="Times New Roman"/>
          <w:b w:val="false"/>
          <w:sz w:val="20"/>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or occur, and actual results, events or circumstances could differ materially from those described in the forward-looking statements.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forward-looking statements in this Quarterly Report on Form 10-Q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spacing w:lineRule="auto" w:line="312" w:before="360" w:after="0"/>
        <w:jc w:val="center"/>
        <w:rPr>
          <w:rFonts w:ascii="Times New Roman" w:hAnsi="Times New Roman"/>
          <w:b/>
          <w:sz w:val="20"/>
        </w:rPr>
      </w:pPr>
      <w:r>
        <w:rPr>
          <w:rFonts w:ascii="Times New Roman" w:hAnsi="Times New Roman"/>
          <w:b/>
          <w:sz w:val="20"/>
        </w:rPr>
        <w:t>RISK FACTORS SUMMARY</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 xml:space="preserve">We have incurred significant losses since inception and expect to incur significant additional losses for the foreseeable future which may make it difficult to evaluate the success of our business to date and to assess the prospects for our future viability;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 xml:space="preserve">Our business is highly dependent on the success of two current commercial products, and in particular OMNI. The development of TearCare for expanded indications depends upon positive clinical data, and the safety and efficacy of our products are not yet supported by long-term clinical data, which could delay or prevent clearance by regulatory authorities or limit sales if cleared, certified or approved;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 xml:space="preserve">We may need additional funding in order to finance our planned operations. The inability to raise funds on acceptable terms, if at all, when needed, may force us to delay, reduce or eliminate our product development programs and commercialization efforts;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 xml:space="preserve">The COVID-19 pandemic has impacted, and likely will continue to impact, our operations and financial results and may materially and adversely affect our business and financial results in the future;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 xml:space="preserve">We are subject to extensive and costly government regulation on federal, state and foreign levels and we may not receive, or may be delayed in receiving, the necessary regulatory clearances, certifications or approvals for our future products or modifications to our current products;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 xml:space="preserve">We may incur significant liability if it is determined that we are not complying with federal, state or foreign regulatory requirements, such as if it is determined that we are promoting off-label uses of our products;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 xml:space="preserve">Changes in public health insurance coverage and reimbursement rates may affect the adoption of our products and our future revenue;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 xml:space="preserve">Developments by competitors may render our products or technologies obsolete or noncompetitive and the development of new products, technologies, procedures, medications or other therapies could replace or reduce the importance of our products; </w:t>
      </w:r>
    </w:p>
    <w:p>
      <w:pPr>
        <w:pStyle w:val="TextBody"/>
        <w:spacing w:lineRule="auto" w:line="312" w:before="120" w:after="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 xml:space="preserve">We rely on third parties for the manufacture and supply of OMNI and TearCare;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312" w:before="0" w:after="0"/>
        <w:jc w:val="left"/>
        <w:rPr/>
      </w:pPr>
      <w:r>
        <w:rPr/>
        <w:t>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 xml:space="preserve">We depend on a limited number of single source suppliers for some of the components, accessories and materials used in OMNI and TearCare and any shortfall in the supply chain may cause our business to materially suffer; </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 xml:space="preserve">If we are unable to obtain, protect, maintain, enforce and adequately protect our intellectual property rights with respect to our technology and current and future products, or if the scope of the patent protection obtained is not sufficiently broad, our competitors could develop and commercialize technology and products similar or identical to ours, and our ability to successfully develop and commercialize our technology and current and future products may be adversely affected; and </w:t>
      </w:r>
    </w:p>
    <w:p>
      <w:pPr>
        <w:pStyle w:val="TextBody"/>
        <w:spacing w:lineRule="auto" w:line="312" w:before="120" w:after="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 xml:space="preserve">If we lose key management or scientific personnel, cannot recruit qualified employees, directors, officers or other significant personnel or experience increases in our compensation costs, our business may materially suffer.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sz w:val="20"/>
        </w:rPr>
      </w:pPr>
      <w:bookmarkStart w:id="3" w:name="financial_information"/>
      <w:bookmarkEnd w:id="3"/>
      <w:r>
        <w:rPr>
          <w:rFonts w:ascii="Times New Roman" w:hAnsi="Times New Roman"/>
          <w:b/>
          <w:sz w:val="20"/>
        </w:rPr>
        <w:t>PART 1. FINANCIAL INFORMATION</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sz w:val="20"/>
        </w:rPr>
      </w:pPr>
      <w:bookmarkStart w:id="4" w:name="condensed_financial_statements"/>
      <w:bookmarkEnd w:id="4"/>
      <w:r>
        <w:rPr>
          <w:rFonts w:ascii="Times New Roman" w:hAnsi="Times New Roman"/>
          <w:b/>
          <w:sz w:val="20"/>
        </w:rPr>
        <w:t>Item 1. Condensed Financial Statements (Unaudited)</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sz w:val="20"/>
        </w:rPr>
      </w:pPr>
      <w:r>
        <w:rPr>
          <w:rFonts w:ascii="Times New Roman" w:hAnsi="Times New Roman"/>
          <w:b/>
          <w:sz w:val="20"/>
        </w:rPr>
        <w:t>SIGHT SCIENCES INC.</w:t>
      </w:r>
    </w:p>
    <w:p>
      <w:pPr>
        <w:pStyle w:val="TextBody"/>
        <w:spacing w:lineRule="auto" w:line="312" w:before="0" w:after="0"/>
        <w:jc w:val="center"/>
        <w:rPr>
          <w:rFonts w:ascii="Times New Roman" w:hAnsi="Times New Roman"/>
          <w:b/>
          <w:sz w:val="20"/>
        </w:rPr>
      </w:pPr>
      <w:bookmarkStart w:id="5" w:name="balance_sheet"/>
      <w:bookmarkEnd w:id="5"/>
      <w:r>
        <w:rPr>
          <w:rFonts w:ascii="Times New Roman" w:hAnsi="Times New Roman"/>
          <w:b/>
          <w:sz w:val="20"/>
        </w:rPr>
        <w:t>Condensed Consolidated Balance Sheets (Unaudited)</w:t>
      </w:r>
    </w:p>
    <w:p>
      <w:pPr>
        <w:pStyle w:val="TextBody"/>
        <w:spacing w:lineRule="auto" w:line="312" w:before="0" w:after="0"/>
        <w:jc w:val="center"/>
        <w:rPr>
          <w:rFonts w:ascii="Times New Roman" w:hAnsi="Times New Roman"/>
          <w:b/>
          <w:i/>
          <w:sz w:val="20"/>
        </w:rPr>
      </w:pPr>
      <w:r>
        <w:rPr>
          <w:rFonts w:ascii="Times New Roman" w:hAnsi="Times New Roman"/>
          <w:b/>
          <w:i/>
          <w:sz w:val="20"/>
        </w:rPr>
        <w:t>(in thousands, except share and per share amounts)</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6907"/>
        <w:gridCol w:w="146"/>
        <w:gridCol w:w="211"/>
        <w:gridCol w:w="841"/>
        <w:gridCol w:w="166"/>
        <w:gridCol w:w="146"/>
        <w:gridCol w:w="216"/>
        <w:gridCol w:w="799"/>
        <w:gridCol w:w="773"/>
      </w:tblGrid>
      <w:tr>
        <w:trPr/>
        <w:tc>
          <w:tcPr>
            <w:tcW w:w="69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r>
      <w:tr>
        <w:trPr/>
        <w:tc>
          <w:tcPr>
            <w:tcW w:w="6907"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2"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June 30,</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15"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December 31,</w:t>
            </w:r>
          </w:p>
        </w:tc>
        <w:tc>
          <w:tcPr>
            <w:tcW w:w="773" w:type="dxa"/>
            <w:tcBorders/>
            <w:shd w:fill="auto" w:val="clear"/>
            <w:vAlign w:val="center"/>
          </w:tcPr>
          <w:p>
            <w:pPr>
              <w:pStyle w:val="TableContents"/>
              <w:spacing w:lineRule="auto" w:line="312" w:before="0" w:after="0"/>
              <w:ind w:left="0" w:right="0" w:hanging="0"/>
              <w:jc w:val="center"/>
              <w:rPr/>
            </w:pPr>
            <w:r>
              <w:rPr/>
              <w:t> </w:t>
            </w:r>
          </w:p>
        </w:tc>
      </w:tr>
      <w:tr>
        <w:trPr/>
        <w:tc>
          <w:tcPr>
            <w:tcW w:w="6907"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1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7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907" w:type="dxa"/>
            <w:tcBorders/>
            <w:shd w:fill="auto" w:val="cle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sz w:val="20"/>
              </w:rPr>
              <w:t>Assets</w:t>
            </w:r>
            <w:r>
              <w:rPr>
                <w:rFonts w:ascii="Times New Roman" w:hAnsi="Times New Roman"/>
                <w:sz w:val="20"/>
              </w:rPr>
              <w:t xml:space="preserve">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15" w:type="dxa"/>
            <w:gridSpan w:val="2"/>
            <w:tcBorders/>
            <w:shd w:fill="auto" w:val="clear"/>
            <w:vAlign w:val="center"/>
          </w:tcPr>
          <w:p>
            <w:pPr>
              <w:pStyle w:val="TableContents"/>
              <w:spacing w:lineRule="auto" w:line="312" w:before="0" w:after="0"/>
              <w:ind w:left="0" w:right="0" w:hanging="0"/>
              <w:jc w:val="right"/>
              <w:rPr/>
            </w:pPr>
            <w:r>
              <w:rPr/>
              <w:t> </w:t>
            </w:r>
          </w:p>
        </w:tc>
        <w:tc>
          <w:tcPr>
            <w:tcW w:w="773" w:type="dxa"/>
            <w:tcBorders/>
            <w:shd w:fill="auto" w:val="clear"/>
            <w:vAlign w:val="center"/>
          </w:tcPr>
          <w:p>
            <w:pPr>
              <w:pStyle w:val="TableContents"/>
              <w:spacing w:lineRule="auto" w:line="312" w:before="0" w:after="0"/>
              <w:ind w:left="0" w:right="0" w:hanging="0"/>
              <w:jc w:val="right"/>
              <w:rPr/>
            </w:pPr>
            <w:r>
              <w:rPr/>
              <w:t> </w:t>
            </w:r>
          </w:p>
        </w:tc>
      </w:tr>
      <w:tr>
        <w:trPr/>
        <w:tc>
          <w:tcPr>
            <w:tcW w:w="69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15" w:type="dxa"/>
            <w:gridSpan w:val="2"/>
            <w:tcBorders/>
            <w:shd w:fill="auto" w:val="clear"/>
            <w:vAlign w:val="center"/>
          </w:tcPr>
          <w:p>
            <w:pPr>
              <w:pStyle w:val="TableContents"/>
              <w:spacing w:lineRule="auto" w:line="312" w:before="0" w:after="0"/>
              <w:ind w:left="0" w:right="0" w:hanging="0"/>
              <w:jc w:val="right"/>
              <w:rPr/>
            </w:pPr>
            <w:r>
              <w:rPr/>
              <w:t> </w:t>
            </w:r>
          </w:p>
        </w:tc>
        <w:tc>
          <w:tcPr>
            <w:tcW w:w="773" w:type="dxa"/>
            <w:tcBorders/>
            <w:shd w:fill="auto" w:val="clear"/>
            <w:vAlign w:val="center"/>
          </w:tcPr>
          <w:p>
            <w:pPr>
              <w:pStyle w:val="TableContents"/>
              <w:spacing w:lineRule="auto" w:line="312" w:before="0" w:after="0"/>
              <w:ind w:left="0" w:right="0" w:firstLine="280"/>
              <w:jc w:val="right"/>
              <w:rPr/>
            </w:pPr>
            <w:r>
              <w:rPr/>
              <w:t> </w:t>
            </w:r>
          </w:p>
        </w:tc>
      </w:tr>
      <w:tr>
        <w:trPr/>
        <w:tc>
          <w:tcPr>
            <w:tcW w:w="6907"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Cash and cash equivalents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35,572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61,511</w:t>
            </w:r>
          </w:p>
        </w:tc>
        <w:tc>
          <w:tcPr>
            <w:tcW w:w="773" w:type="dxa"/>
            <w:tcBorders/>
            <w:shd w:fill="auto" w:val="clear"/>
            <w:vAlign w:val="center"/>
          </w:tcPr>
          <w:p>
            <w:pPr>
              <w:pStyle w:val="TableContents"/>
              <w:spacing w:lineRule="auto" w:line="312" w:before="0" w:after="0"/>
              <w:ind w:left="0" w:right="0" w:firstLine="280"/>
              <w:jc w:val="left"/>
              <w:rPr/>
            </w:pPr>
            <w:r>
              <w:rPr/>
              <w:t> </w:t>
            </w:r>
          </w:p>
        </w:tc>
      </w:tr>
      <w:tr>
        <w:trPr/>
        <w:tc>
          <w:tcPr>
            <w:tcW w:w="6907"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Accounts receivable,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6,887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5,363</w:t>
            </w:r>
          </w:p>
        </w:tc>
        <w:tc>
          <w:tcPr>
            <w:tcW w:w="773" w:type="dxa"/>
            <w:tcBorders/>
            <w:shd w:fill="auto" w:val="clear"/>
            <w:vAlign w:val="center"/>
          </w:tcPr>
          <w:p>
            <w:pPr>
              <w:pStyle w:val="TableContents"/>
              <w:spacing w:lineRule="auto" w:line="312" w:before="0" w:after="0"/>
              <w:ind w:left="0" w:right="0" w:firstLine="280"/>
              <w:jc w:val="left"/>
              <w:rPr/>
            </w:pPr>
            <w:r>
              <w:rPr/>
              <w:t> </w:t>
            </w:r>
          </w:p>
        </w:tc>
      </w:tr>
      <w:tr>
        <w:trPr/>
        <w:tc>
          <w:tcPr>
            <w:tcW w:w="6907"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Inventory,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2,576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2,598</w:t>
            </w:r>
          </w:p>
        </w:tc>
        <w:tc>
          <w:tcPr>
            <w:tcW w:w="773" w:type="dxa"/>
            <w:tcBorders/>
            <w:shd w:fill="auto" w:val="clear"/>
            <w:vAlign w:val="center"/>
          </w:tcPr>
          <w:p>
            <w:pPr>
              <w:pStyle w:val="TableContents"/>
              <w:spacing w:lineRule="auto" w:line="312" w:before="0" w:after="0"/>
              <w:ind w:left="0" w:right="0" w:firstLine="280"/>
              <w:jc w:val="left"/>
              <w:rPr/>
            </w:pPr>
            <w:r>
              <w:rPr/>
              <w:t> </w:t>
            </w:r>
          </w:p>
        </w:tc>
      </w:tr>
      <w:tr>
        <w:trPr/>
        <w:tc>
          <w:tcPr>
            <w:tcW w:w="6907"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Prepaid expenses and other 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2,359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1,161</w:t>
            </w:r>
          </w:p>
        </w:tc>
        <w:tc>
          <w:tcPr>
            <w:tcW w:w="7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pPr>
            <w:r>
              <w:rPr/>
              <w:t> </w:t>
            </w:r>
          </w:p>
        </w:tc>
      </w:tr>
      <w:tr>
        <w:trPr/>
        <w:tc>
          <w:tcPr>
            <w:tcW w:w="6907"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 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47,394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70,633</w:t>
            </w:r>
          </w:p>
        </w:tc>
        <w:tc>
          <w:tcPr>
            <w:tcW w:w="773" w:type="dxa"/>
            <w:tcBorders/>
            <w:shd w:fill="auto" w:val="clear"/>
            <w:vAlign w:val="center"/>
          </w:tcPr>
          <w:p>
            <w:pPr>
              <w:pStyle w:val="TableContents"/>
              <w:spacing w:lineRule="auto" w:line="312" w:before="0" w:after="0"/>
              <w:ind w:left="0" w:right="0" w:hanging="0"/>
              <w:jc w:val="left"/>
              <w:rPr/>
            </w:pPr>
            <w:r>
              <w:rPr/>
              <w:t> </w:t>
            </w:r>
          </w:p>
        </w:tc>
      </w:tr>
      <w:tr>
        <w:trPr/>
        <w:tc>
          <w:tcPr>
            <w:tcW w:w="69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1,418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1,269</w:t>
            </w:r>
          </w:p>
        </w:tc>
        <w:tc>
          <w:tcPr>
            <w:tcW w:w="773" w:type="dxa"/>
            <w:tcBorders/>
            <w:shd w:fill="auto" w:val="clear"/>
            <w:vAlign w:val="center"/>
          </w:tcPr>
          <w:p>
            <w:pPr>
              <w:pStyle w:val="TableContents"/>
              <w:spacing w:lineRule="auto" w:line="312" w:before="0" w:after="0"/>
              <w:ind w:left="0" w:right="0" w:hanging="0"/>
              <w:jc w:val="left"/>
              <w:rPr/>
            </w:pPr>
            <w:r>
              <w:rPr/>
              <w:t> </w:t>
            </w:r>
          </w:p>
        </w:tc>
      </w:tr>
      <w:tr>
        <w:trPr/>
        <w:tc>
          <w:tcPr>
            <w:tcW w:w="69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Operating lease ROU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518</w:t>
            </w:r>
          </w:p>
        </w:tc>
        <w:tc>
          <w:tcPr>
            <w:tcW w:w="773" w:type="dxa"/>
            <w:tcBorders/>
            <w:shd w:fill="auto" w:val="clear"/>
            <w:vAlign w:val="center"/>
          </w:tcPr>
          <w:p>
            <w:pPr>
              <w:pStyle w:val="TableContents"/>
              <w:spacing w:lineRule="auto" w:line="312" w:before="0" w:after="0"/>
              <w:ind w:left="0" w:right="0" w:hanging="0"/>
              <w:jc w:val="left"/>
              <w:rPr/>
            </w:pPr>
            <w:r>
              <w:rPr/>
              <w:t> </w:t>
            </w:r>
          </w:p>
        </w:tc>
      </w:tr>
      <w:tr>
        <w:trPr/>
        <w:tc>
          <w:tcPr>
            <w:tcW w:w="69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 noncurrent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3,467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386</w:t>
            </w:r>
          </w:p>
        </w:tc>
        <w:tc>
          <w:tcPr>
            <w:tcW w:w="7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pPr>
            <w:r>
              <w:rPr/>
              <w:t> </w:t>
            </w:r>
          </w:p>
        </w:tc>
      </w:tr>
      <w:tr>
        <w:trPr/>
        <w:tc>
          <w:tcPr>
            <w:tcW w:w="6907"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52,510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72,806</w:t>
            </w:r>
          </w:p>
        </w:tc>
        <w:tc>
          <w:tcPr>
            <w:tcW w:w="77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907"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Liabilities, redeemable convertible preferred stock, and Stockholders’ deficit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15" w:type="dxa"/>
            <w:gridSpan w:val="2"/>
            <w:tcBorders/>
            <w:shd w:fill="auto" w:val="clear"/>
            <w:vAlign w:val="center"/>
          </w:tcPr>
          <w:p>
            <w:pPr>
              <w:pStyle w:val="TableContents"/>
              <w:spacing w:lineRule="auto" w:line="312" w:before="0" w:after="0"/>
              <w:ind w:left="0" w:right="0" w:hanging="0"/>
              <w:jc w:val="right"/>
              <w:rPr/>
            </w:pPr>
            <w:r>
              <w:rPr/>
              <w:t> </w:t>
            </w:r>
          </w:p>
        </w:tc>
        <w:tc>
          <w:tcPr>
            <w:tcW w:w="773" w:type="dxa"/>
            <w:tcBorders/>
            <w:shd w:fill="auto" w:val="clear"/>
            <w:vAlign w:val="center"/>
          </w:tcPr>
          <w:p>
            <w:pPr>
              <w:pStyle w:val="TableContents"/>
              <w:spacing w:lineRule="auto" w:line="312" w:before="0" w:after="0"/>
              <w:ind w:left="0" w:right="0" w:hanging="0"/>
              <w:jc w:val="right"/>
              <w:rPr/>
            </w:pPr>
            <w:r>
              <w:rPr/>
              <w:t> </w:t>
            </w:r>
          </w:p>
        </w:tc>
      </w:tr>
      <w:tr>
        <w:trPr/>
        <w:tc>
          <w:tcPr>
            <w:tcW w:w="69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15" w:type="dxa"/>
            <w:gridSpan w:val="2"/>
            <w:tcBorders/>
            <w:shd w:fill="auto" w:val="clear"/>
            <w:vAlign w:val="center"/>
          </w:tcPr>
          <w:p>
            <w:pPr>
              <w:pStyle w:val="TableContents"/>
              <w:spacing w:lineRule="auto" w:line="312" w:before="0" w:after="0"/>
              <w:ind w:left="0" w:right="0" w:hanging="0"/>
              <w:jc w:val="right"/>
              <w:rPr/>
            </w:pPr>
            <w:r>
              <w:rPr/>
              <w:t> </w:t>
            </w:r>
          </w:p>
        </w:tc>
        <w:tc>
          <w:tcPr>
            <w:tcW w:w="773" w:type="dxa"/>
            <w:tcBorders/>
            <w:shd w:fill="auto" w:val="clear"/>
            <w:vAlign w:val="center"/>
          </w:tcPr>
          <w:p>
            <w:pPr>
              <w:pStyle w:val="TableContents"/>
              <w:spacing w:lineRule="auto" w:line="312" w:before="0" w:after="0"/>
              <w:ind w:left="0" w:right="0" w:firstLine="280"/>
              <w:jc w:val="right"/>
              <w:rPr/>
            </w:pPr>
            <w:r>
              <w:rPr/>
              <w:t> </w:t>
            </w:r>
          </w:p>
        </w:tc>
      </w:tr>
      <w:tr>
        <w:trPr/>
        <w:tc>
          <w:tcPr>
            <w:tcW w:w="6907"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Accounts payable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3,224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2,158</w:t>
            </w:r>
          </w:p>
        </w:tc>
        <w:tc>
          <w:tcPr>
            <w:tcW w:w="773" w:type="dxa"/>
            <w:tcBorders/>
            <w:shd w:fill="auto" w:val="clear"/>
            <w:vAlign w:val="center"/>
          </w:tcPr>
          <w:p>
            <w:pPr>
              <w:pStyle w:val="TableContents"/>
              <w:spacing w:lineRule="auto" w:line="312" w:before="0" w:after="0"/>
              <w:ind w:left="0" w:right="0" w:firstLine="280"/>
              <w:jc w:val="left"/>
              <w:rPr/>
            </w:pPr>
            <w:r>
              <w:rPr/>
              <w:t> </w:t>
            </w:r>
          </w:p>
        </w:tc>
      </w:tr>
      <w:tr>
        <w:trPr/>
        <w:tc>
          <w:tcPr>
            <w:tcW w:w="6907"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Accrued compensation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4,083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4,070</w:t>
            </w:r>
          </w:p>
        </w:tc>
        <w:tc>
          <w:tcPr>
            <w:tcW w:w="773" w:type="dxa"/>
            <w:tcBorders/>
            <w:shd w:fill="auto" w:val="clear"/>
            <w:vAlign w:val="center"/>
          </w:tcPr>
          <w:p>
            <w:pPr>
              <w:pStyle w:val="TableContents"/>
              <w:spacing w:lineRule="auto" w:line="312" w:before="0" w:after="0"/>
              <w:ind w:left="0" w:right="0" w:firstLine="280"/>
              <w:jc w:val="left"/>
              <w:rPr/>
            </w:pPr>
            <w:r>
              <w:rPr/>
              <w:t> </w:t>
            </w:r>
          </w:p>
        </w:tc>
      </w:tr>
      <w:tr>
        <w:trPr/>
        <w:tc>
          <w:tcPr>
            <w:tcW w:w="6907"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Accrued and other 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4,754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3,086</w:t>
            </w:r>
          </w:p>
        </w:tc>
        <w:tc>
          <w:tcPr>
            <w:tcW w:w="7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pPr>
            <w:r>
              <w:rPr/>
              <w:t> </w:t>
            </w:r>
          </w:p>
        </w:tc>
      </w:tr>
      <w:tr>
        <w:trPr/>
        <w:tc>
          <w:tcPr>
            <w:tcW w:w="6907"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 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12,061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9,314</w:t>
            </w:r>
          </w:p>
        </w:tc>
        <w:tc>
          <w:tcPr>
            <w:tcW w:w="773" w:type="dxa"/>
            <w:tcBorders/>
            <w:shd w:fill="auto" w:val="clear"/>
            <w:vAlign w:val="center"/>
          </w:tcPr>
          <w:p>
            <w:pPr>
              <w:pStyle w:val="TableContents"/>
              <w:spacing w:lineRule="auto" w:line="312" w:before="0" w:after="0"/>
              <w:ind w:left="0" w:right="0" w:hanging="0"/>
              <w:jc w:val="left"/>
              <w:rPr/>
            </w:pPr>
            <w:r>
              <w:rPr/>
              <w:t> </w:t>
            </w:r>
          </w:p>
        </w:tc>
      </w:tr>
      <w:tr>
        <w:trPr/>
        <w:tc>
          <w:tcPr>
            <w:tcW w:w="69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Long-term debt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32,302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31,955</w:t>
            </w:r>
          </w:p>
        </w:tc>
        <w:tc>
          <w:tcPr>
            <w:tcW w:w="773" w:type="dxa"/>
            <w:tcBorders/>
            <w:shd w:fill="auto" w:val="clear"/>
            <w:vAlign w:val="center"/>
          </w:tcPr>
          <w:p>
            <w:pPr>
              <w:pStyle w:val="TableContents"/>
              <w:spacing w:lineRule="auto" w:line="312" w:before="0" w:after="0"/>
              <w:ind w:left="0" w:right="0" w:hanging="0"/>
              <w:jc w:val="left"/>
              <w:rPr/>
            </w:pPr>
            <w:r>
              <w:rPr/>
              <w:t> </w:t>
            </w:r>
          </w:p>
        </w:tc>
      </w:tr>
      <w:tr>
        <w:trPr/>
        <w:tc>
          <w:tcPr>
            <w:tcW w:w="69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 noncurrent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8,105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3,055</w:t>
            </w:r>
          </w:p>
        </w:tc>
        <w:tc>
          <w:tcPr>
            <w:tcW w:w="7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6907"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52,468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44,324</w:t>
            </w:r>
          </w:p>
        </w:tc>
        <w:tc>
          <w:tcPr>
            <w:tcW w:w="7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9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Commitments and contingencies (Note 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15" w:type="dxa"/>
            <w:gridSpan w:val="2"/>
            <w:tcBorders/>
            <w:shd w:fill="auto" w:val="clear"/>
            <w:vAlign w:val="center"/>
          </w:tcPr>
          <w:p>
            <w:pPr>
              <w:pStyle w:val="TableContents"/>
              <w:spacing w:lineRule="auto" w:line="312" w:before="0" w:after="0"/>
              <w:ind w:left="0" w:right="0" w:hanging="0"/>
              <w:jc w:val="right"/>
              <w:rPr/>
            </w:pPr>
            <w:r>
              <w:rPr/>
              <w:t> </w:t>
            </w:r>
          </w:p>
        </w:tc>
        <w:tc>
          <w:tcPr>
            <w:tcW w:w="773" w:type="dxa"/>
            <w:tcBorders/>
            <w:shd w:fill="auto" w:val="clear"/>
            <w:vAlign w:val="center"/>
          </w:tcPr>
          <w:p>
            <w:pPr>
              <w:pStyle w:val="TableContents"/>
              <w:spacing w:lineRule="auto" w:line="312" w:before="0" w:after="0"/>
              <w:ind w:left="0" w:right="0" w:hanging="0"/>
              <w:jc w:val="right"/>
              <w:rPr/>
            </w:pPr>
            <w:r>
              <w:rPr/>
              <w:t> </w:t>
            </w:r>
          </w:p>
        </w:tc>
      </w:tr>
      <w:tr>
        <w:trPr/>
        <w:tc>
          <w:tcPr>
            <w:tcW w:w="69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Redeemable 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15" w:type="dxa"/>
            <w:gridSpan w:val="2"/>
            <w:tcBorders/>
            <w:shd w:fill="auto" w:val="clear"/>
            <w:vAlign w:val="center"/>
          </w:tcPr>
          <w:p>
            <w:pPr>
              <w:pStyle w:val="TableContents"/>
              <w:spacing w:lineRule="auto" w:line="312" w:before="0" w:after="0"/>
              <w:ind w:left="0" w:right="0" w:hanging="0"/>
              <w:jc w:val="right"/>
              <w:rPr/>
            </w:pPr>
            <w:r>
              <w:rPr/>
              <w:t> </w:t>
            </w:r>
          </w:p>
        </w:tc>
        <w:tc>
          <w:tcPr>
            <w:tcW w:w="773" w:type="dxa"/>
            <w:tcBorders/>
            <w:shd w:fill="auto" w:val="clear"/>
            <w:vAlign w:val="center"/>
          </w:tcPr>
          <w:p>
            <w:pPr>
              <w:pStyle w:val="TableContents"/>
              <w:spacing w:lineRule="auto" w:line="312" w:before="0" w:after="0"/>
              <w:ind w:left="0" w:right="0" w:firstLine="280"/>
              <w:jc w:val="right"/>
              <w:rPr/>
            </w:pPr>
            <w:r>
              <w:rPr/>
              <w:t> </w:t>
            </w:r>
          </w:p>
        </w:tc>
      </w:tr>
      <w:tr>
        <w:trPr/>
        <w:tc>
          <w:tcPr>
            <w:tcW w:w="6907" w:type="dxa"/>
            <w:tcBorders/>
            <w:shd w:fill="auto" w:val="clear"/>
            <w:vAlign w:val="center"/>
          </w:tcPr>
          <w:p>
            <w:pPr>
              <w:pStyle w:val="TableContents"/>
              <w:spacing w:lineRule="auto" w:line="312" w:before="0" w:after="0"/>
              <w:ind w:left="280" w:right="0" w:hanging="0"/>
              <w:jc w:val="left"/>
              <w:rPr>
                <w:rFonts w:ascii="Times New Roman" w:hAnsi="Times New Roman"/>
                <w:sz w:val="20"/>
              </w:rPr>
            </w:pPr>
            <w:r>
              <w:rPr>
                <w:rFonts w:ascii="Times New Roman" w:hAnsi="Times New Roman"/>
                <w:b w:val="false"/>
                <w:sz w:val="20"/>
              </w:rPr>
              <w:t>Convertible preferred stock, $0.001</w:t>
            </w:r>
            <w:r>
              <w:rPr>
                <w:rFonts w:ascii="Times New Roman" w:hAnsi="Times New Roman"/>
                <w:sz w:val="20"/>
              </w:rPr>
              <w:t> </w:t>
            </w:r>
            <w:r>
              <w:rPr>
                <w:rFonts w:ascii="Times New Roman" w:hAnsi="Times New Roman"/>
                <w:b w:val="false"/>
                <w:sz w:val="20"/>
              </w:rPr>
              <w:t>par value; 14,241,390</w:t>
            </w:r>
            <w:r>
              <w:rPr>
                <w:rFonts w:ascii="Times New Roman" w:hAnsi="Times New Roman"/>
                <w:sz w:val="20"/>
              </w:rPr>
              <w:t> </w:t>
            </w:r>
            <w:r>
              <w:rPr>
                <w:rFonts w:ascii="Times New Roman" w:hAnsi="Times New Roman"/>
                <w:b w:val="false"/>
                <w:sz w:val="20"/>
              </w:rPr>
              <w:t>shares authorized as of June 30, 2021 and December 31, 2020; 12,767,202</w:t>
            </w:r>
            <w:r>
              <w:rPr>
                <w:rFonts w:ascii="Times New Roman" w:hAnsi="Times New Roman"/>
                <w:sz w:val="20"/>
              </w:rPr>
              <w:t> </w:t>
            </w:r>
            <w:r>
              <w:rPr>
                <w:rFonts w:ascii="Times New Roman" w:hAnsi="Times New Roman"/>
                <w:b w:val="false"/>
                <w:sz w:val="20"/>
              </w:rPr>
              <w:t>shares issued and outstanding as of June 30, 2021 and December 31, 2020; aggregate liquidation preference of $118.6</w:t>
            </w:r>
            <w:r>
              <w:rPr>
                <w:rFonts w:ascii="Times New Roman" w:hAnsi="Times New Roman"/>
                <w:sz w:val="20"/>
              </w:rPr>
              <w:t> </w:t>
            </w:r>
            <w:r>
              <w:rPr>
                <w:rFonts w:ascii="Times New Roman" w:hAnsi="Times New Roman"/>
                <w:b w:val="false"/>
                <w:sz w:val="20"/>
              </w:rPr>
              <w:t>million as of June 30, 2021 and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117,331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117,331</w:t>
            </w:r>
          </w:p>
        </w:tc>
        <w:tc>
          <w:tcPr>
            <w:tcW w:w="773" w:type="dxa"/>
            <w:tcBorders/>
            <w:shd w:fill="auto" w:val="clear"/>
            <w:vAlign w:val="center"/>
          </w:tcPr>
          <w:p>
            <w:pPr>
              <w:pStyle w:val="TableContents"/>
              <w:spacing w:lineRule="auto" w:line="312" w:before="0" w:after="0"/>
              <w:ind w:left="0" w:right="0" w:hanging="0"/>
              <w:jc w:val="left"/>
              <w:rPr/>
            </w:pPr>
            <w:r>
              <w:rPr/>
              <w:t> </w:t>
            </w:r>
          </w:p>
        </w:tc>
      </w:tr>
      <w:tr>
        <w:trPr/>
        <w:tc>
          <w:tcPr>
            <w:tcW w:w="69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Stockholders’ deficit: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15" w:type="dxa"/>
            <w:gridSpan w:val="2"/>
            <w:tcBorders/>
            <w:shd w:fill="auto" w:val="clear"/>
            <w:vAlign w:val="center"/>
          </w:tcPr>
          <w:p>
            <w:pPr>
              <w:pStyle w:val="TableContents"/>
              <w:spacing w:lineRule="auto" w:line="312" w:before="0" w:after="0"/>
              <w:ind w:left="0" w:right="0" w:hanging="0"/>
              <w:jc w:val="right"/>
              <w:rPr/>
            </w:pPr>
            <w:r>
              <w:rPr/>
              <w:t> </w:t>
            </w:r>
          </w:p>
        </w:tc>
        <w:tc>
          <w:tcPr>
            <w:tcW w:w="773" w:type="dxa"/>
            <w:tcBorders/>
            <w:shd w:fill="auto" w:val="clear"/>
            <w:vAlign w:val="center"/>
          </w:tcPr>
          <w:p>
            <w:pPr>
              <w:pStyle w:val="TableContents"/>
              <w:spacing w:lineRule="auto" w:line="312" w:before="0" w:after="0"/>
              <w:ind w:left="0" w:right="0" w:firstLine="280"/>
              <w:jc w:val="right"/>
              <w:rPr/>
            </w:pPr>
            <w:r>
              <w:rPr/>
              <w:t> </w:t>
            </w:r>
          </w:p>
        </w:tc>
      </w:tr>
      <w:tr>
        <w:trPr/>
        <w:tc>
          <w:tcPr>
            <w:tcW w:w="6907" w:type="dxa"/>
            <w:tcBorders/>
            <w:shd w:fill="auto" w:val="clear"/>
            <w:vAlign w:val="center"/>
          </w:tcPr>
          <w:p>
            <w:pPr>
              <w:pStyle w:val="TableContents"/>
              <w:spacing w:lineRule="auto" w:line="312" w:before="0" w:after="0"/>
              <w:ind w:left="280" w:right="0" w:hanging="0"/>
              <w:jc w:val="left"/>
              <w:rPr>
                <w:rFonts w:ascii="Times New Roman" w:hAnsi="Times New Roman"/>
                <w:sz w:val="20"/>
              </w:rPr>
            </w:pPr>
            <w:r>
              <w:rPr>
                <w:rFonts w:ascii="Times New Roman" w:hAnsi="Times New Roman"/>
                <w:b w:val="false"/>
                <w:sz w:val="20"/>
              </w:rPr>
              <w:t>Common stock par value of $0.001</w:t>
            </w:r>
            <w:r>
              <w:rPr>
                <w:rFonts w:ascii="Times New Roman" w:hAnsi="Times New Roman"/>
                <w:sz w:val="20"/>
              </w:rPr>
              <w:t> </w:t>
            </w:r>
            <w:r>
              <w:rPr>
                <w:rFonts w:ascii="Times New Roman" w:hAnsi="Times New Roman"/>
                <w:b w:val="false"/>
                <w:sz w:val="20"/>
              </w:rPr>
              <w:t>per share; 21,831,000</w:t>
            </w:r>
            <w:r>
              <w:rPr>
                <w:rFonts w:ascii="Times New Roman" w:hAnsi="Times New Roman"/>
                <w:sz w:val="20"/>
              </w:rPr>
              <w:t> </w:t>
            </w:r>
            <w:r>
              <w:rPr>
                <w:rFonts w:ascii="Times New Roman" w:hAnsi="Times New Roman"/>
                <w:b w:val="false"/>
                <w:sz w:val="20"/>
              </w:rPr>
              <w:t>shares authorized as of June 30, 2021 and December 31, 2020, respectively; 9,732,032</w:t>
            </w:r>
            <w:r>
              <w:rPr>
                <w:rFonts w:ascii="Times New Roman" w:hAnsi="Times New Roman"/>
                <w:sz w:val="20"/>
              </w:rPr>
              <w:t> </w:t>
            </w:r>
            <w:r>
              <w:rPr>
                <w:rFonts w:ascii="Times New Roman" w:hAnsi="Times New Roman"/>
                <w:b w:val="false"/>
                <w:sz w:val="20"/>
              </w:rPr>
              <w:t>and 9,509,182</w:t>
            </w:r>
            <w:r>
              <w:rPr>
                <w:rFonts w:ascii="Times New Roman" w:hAnsi="Times New Roman"/>
                <w:sz w:val="20"/>
              </w:rPr>
              <w:t> </w:t>
            </w:r>
            <w:r>
              <w:rPr>
                <w:rFonts w:ascii="Times New Roman" w:hAnsi="Times New Roman"/>
                <w:b w:val="false"/>
                <w:sz w:val="20"/>
              </w:rPr>
              <w:t>shares issued and outstanding as of June 30, 2021 and December 31, 2020, respectively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w:t>
            </w:r>
          </w:p>
        </w:tc>
        <w:tc>
          <w:tcPr>
            <w:tcW w:w="773" w:type="dxa"/>
            <w:tcBorders/>
            <w:shd w:fill="auto" w:val="clear"/>
            <w:vAlign w:val="center"/>
          </w:tcPr>
          <w:p>
            <w:pPr>
              <w:pStyle w:val="TableContents"/>
              <w:spacing w:lineRule="auto" w:line="312" w:before="0" w:after="0"/>
              <w:ind w:left="0" w:right="0" w:firstLine="280"/>
              <w:jc w:val="left"/>
              <w:rPr/>
            </w:pPr>
            <w:r>
              <w:rPr/>
              <w:t> </w:t>
            </w:r>
          </w:p>
        </w:tc>
      </w:tr>
      <w:tr>
        <w:trPr/>
        <w:tc>
          <w:tcPr>
            <w:tcW w:w="6907"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Additional paid-in-capital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2,598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9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1,183</w:t>
            </w:r>
          </w:p>
        </w:tc>
        <w:tc>
          <w:tcPr>
            <w:tcW w:w="773" w:type="dxa"/>
            <w:tcBorders/>
            <w:shd w:fill="auto" w:val="clear"/>
            <w:vAlign w:val="center"/>
          </w:tcPr>
          <w:p>
            <w:pPr>
              <w:pStyle w:val="TableContents"/>
              <w:spacing w:lineRule="auto" w:line="312" w:before="0" w:after="0"/>
              <w:ind w:left="0" w:right="0" w:firstLine="280"/>
              <w:jc w:val="left"/>
              <w:rPr/>
            </w:pPr>
            <w:r>
              <w:rPr/>
              <w:t> </w:t>
            </w:r>
          </w:p>
        </w:tc>
      </w:tr>
      <w:tr>
        <w:trPr/>
        <w:tc>
          <w:tcPr>
            <w:tcW w:w="6907"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Accumulated deficit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(119,896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(90,041</w:t>
            </w:r>
          </w:p>
        </w:tc>
        <w:tc>
          <w:tcPr>
            <w:tcW w:w="7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rFonts w:ascii="Times New Roman" w:hAnsi="Times New Roman"/>
                <w:b w:val="false"/>
                <w:sz w:val="20"/>
              </w:rPr>
            </w:pPr>
            <w:r>
              <w:rPr>
                <w:rFonts w:ascii="Times New Roman" w:hAnsi="Times New Roman"/>
                <w:b w:val="false"/>
                <w:sz w:val="20"/>
              </w:rPr>
              <w:t>)</w:t>
            </w:r>
          </w:p>
        </w:tc>
      </w:tr>
      <w:tr>
        <w:trPr/>
        <w:tc>
          <w:tcPr>
            <w:tcW w:w="6907"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 stockholders’ deficit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(117,289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(88,849</w:t>
            </w:r>
          </w:p>
        </w:tc>
        <w:tc>
          <w:tcPr>
            <w:tcW w:w="7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rFonts w:ascii="Times New Roman" w:hAnsi="Times New Roman"/>
                <w:b w:val="false"/>
                <w:sz w:val="20"/>
              </w:rPr>
            </w:pPr>
            <w:r>
              <w:rPr>
                <w:rFonts w:ascii="Times New Roman" w:hAnsi="Times New Roman"/>
                <w:b w:val="false"/>
                <w:sz w:val="20"/>
              </w:rPr>
              <w:t>)</w:t>
            </w:r>
          </w:p>
        </w:tc>
      </w:tr>
      <w:tr>
        <w:trPr/>
        <w:tc>
          <w:tcPr>
            <w:tcW w:w="6907"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 liabilities, redeemable convertible preferred stock and stockholders’ equity deficit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52,510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72,806</w:t>
            </w:r>
          </w:p>
        </w:tc>
        <w:tc>
          <w:tcPr>
            <w:tcW w:w="77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center"/>
        <w:rPr/>
      </w:pPr>
      <w:r>
        <w:rPr/>
        <w:t> </w:t>
      </w:r>
    </w:p>
    <w:p>
      <w:pPr>
        <w:pStyle w:val="TextBody"/>
        <w:spacing w:lineRule="auto" w:line="312" w:before="40" w:after="0"/>
        <w:jc w:val="center"/>
        <w:rPr>
          <w:rFonts w:ascii="Times New Roman" w:hAnsi="Times New Roman"/>
          <w:b w:val="false"/>
          <w:sz w:val="20"/>
        </w:rPr>
      </w:pPr>
      <w:r>
        <w:rPr>
          <w:rFonts w:ascii="Times New Roman" w:hAnsi="Times New Roman"/>
          <w:b w:val="false"/>
          <w:sz w:val="20"/>
        </w:rPr>
        <w:t>The accompanying notes are an integral part of these condensed consolidated financial statements.</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sz w:val="20"/>
        </w:rPr>
      </w:pPr>
      <w:r>
        <w:rPr>
          <w:rFonts w:ascii="Times New Roman" w:hAnsi="Times New Roman"/>
          <w:b/>
          <w:sz w:val="20"/>
        </w:rPr>
        <w:t>SIGHT SCIENCES INC.</w:t>
      </w:r>
    </w:p>
    <w:p>
      <w:pPr>
        <w:pStyle w:val="TextBody"/>
        <w:spacing w:lineRule="auto" w:line="312" w:before="0" w:after="0"/>
        <w:jc w:val="center"/>
        <w:rPr>
          <w:rFonts w:ascii="Times New Roman" w:hAnsi="Times New Roman"/>
          <w:b/>
          <w:sz w:val="20"/>
        </w:rPr>
      </w:pPr>
      <w:bookmarkStart w:id="6" w:name="statements_of_operations_and_comp_loss"/>
      <w:bookmarkEnd w:id="6"/>
      <w:r>
        <w:rPr>
          <w:rFonts w:ascii="Times New Roman" w:hAnsi="Times New Roman"/>
          <w:b/>
          <w:sz w:val="20"/>
        </w:rPr>
        <w:t>Condensed Consolidated Statements of Operations and Comprehensive Loss (Unaudited)</w:t>
      </w:r>
    </w:p>
    <w:p>
      <w:pPr>
        <w:pStyle w:val="TextBody"/>
        <w:spacing w:lineRule="auto" w:line="312" w:before="0" w:after="0"/>
        <w:jc w:val="center"/>
        <w:rPr>
          <w:rFonts w:ascii="Times New Roman" w:hAnsi="Times New Roman"/>
          <w:b/>
          <w:i/>
          <w:sz w:val="20"/>
        </w:rPr>
      </w:pPr>
      <w:r>
        <w:rPr>
          <w:rFonts w:ascii="Times New Roman" w:hAnsi="Times New Roman"/>
          <w:b/>
          <w:i/>
          <w:sz w:val="20"/>
        </w:rPr>
        <w:t>(in thousands, except share and per share amounts)</w:t>
      </w:r>
    </w:p>
    <w:p>
      <w:pPr>
        <w:pStyle w:val="TextBody"/>
        <w:spacing w:lineRule="auto" w:line="312" w:before="0" w:after="0"/>
        <w:jc w:val="center"/>
        <w:rPr/>
      </w:pPr>
      <w:r>
        <w:rPr/>
        <w:t> </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3804"/>
        <w:gridCol w:w="146"/>
        <w:gridCol w:w="211"/>
        <w:gridCol w:w="931"/>
        <w:gridCol w:w="166"/>
        <w:gridCol w:w="146"/>
        <w:gridCol w:w="211"/>
        <w:gridCol w:w="931"/>
        <w:gridCol w:w="166"/>
        <w:gridCol w:w="146"/>
        <w:gridCol w:w="211"/>
        <w:gridCol w:w="931"/>
        <w:gridCol w:w="166"/>
        <w:gridCol w:w="146"/>
        <w:gridCol w:w="211"/>
        <w:gridCol w:w="931"/>
        <w:gridCol w:w="751"/>
      </w:tblGrid>
      <w:tr>
        <w:trPr/>
        <w:tc>
          <w:tcPr>
            <w:tcW w:w="38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3804"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9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Three Months Ended </w:t>
              <w:br/>
              <w:t>June 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59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Six Months Ended </w:t>
              <w:br/>
              <w:t>June 30,</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804"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8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12,535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3,502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21,170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9,998</w:t>
            </w:r>
          </w:p>
        </w:tc>
        <w:tc>
          <w:tcPr>
            <w:tcW w:w="751" w:type="dxa"/>
            <w:tcBorders/>
            <w:shd w:fill="auto" w:val="clear"/>
            <w:vAlign w:val="center"/>
          </w:tcPr>
          <w:p>
            <w:pPr>
              <w:pStyle w:val="TableContents"/>
              <w:spacing w:lineRule="auto" w:line="312" w:before="0" w:after="0"/>
              <w:ind w:left="0" w:right="0" w:hanging="0"/>
              <w:jc w:val="left"/>
              <w:rPr/>
            </w:pPr>
            <w:r>
              <w:rPr/>
              <w:t> </w:t>
            </w:r>
          </w:p>
        </w:tc>
      </w:tr>
      <w:tr>
        <w:trPr/>
        <w:tc>
          <w:tcPr>
            <w:tcW w:w="38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Cost of goods sold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2,305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2,085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4,606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4,213</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3804"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Gross profit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10,230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1,417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16,564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5,785</w:t>
            </w:r>
          </w:p>
        </w:tc>
        <w:tc>
          <w:tcPr>
            <w:tcW w:w="751" w:type="dxa"/>
            <w:tcBorders/>
            <w:shd w:fill="auto" w:val="clear"/>
            <w:vAlign w:val="center"/>
          </w:tcPr>
          <w:p>
            <w:pPr>
              <w:pStyle w:val="TableContents"/>
              <w:spacing w:lineRule="auto" w:line="312" w:before="0" w:after="0"/>
              <w:ind w:left="0" w:right="0" w:hanging="0"/>
              <w:jc w:val="left"/>
              <w:rPr/>
            </w:pPr>
            <w:r>
              <w:rPr/>
              <w:t> </w:t>
            </w:r>
          </w:p>
        </w:tc>
      </w:tr>
      <w:tr>
        <w:trPr/>
        <w:tc>
          <w:tcPr>
            <w:tcW w:w="38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751" w:type="dxa"/>
            <w:tcBorders/>
            <w:shd w:fill="auto" w:val="clear"/>
            <w:vAlign w:val="center"/>
          </w:tcPr>
          <w:p>
            <w:pPr>
              <w:pStyle w:val="TableContents"/>
              <w:spacing w:lineRule="auto" w:line="312" w:before="0" w:after="0"/>
              <w:ind w:left="0" w:right="0" w:firstLine="280"/>
              <w:jc w:val="right"/>
              <w:rPr/>
            </w:pPr>
            <w:r>
              <w:rPr/>
              <w:t> </w:t>
            </w:r>
          </w:p>
        </w:tc>
      </w:tr>
      <w:tr>
        <w:trPr/>
        <w:tc>
          <w:tcPr>
            <w:tcW w:w="3804"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3,546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1,443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6,986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3,843</w:t>
            </w:r>
          </w:p>
        </w:tc>
        <w:tc>
          <w:tcPr>
            <w:tcW w:w="751" w:type="dxa"/>
            <w:tcBorders/>
            <w:shd w:fill="auto" w:val="clear"/>
            <w:vAlign w:val="center"/>
          </w:tcPr>
          <w:p>
            <w:pPr>
              <w:pStyle w:val="TableContents"/>
              <w:spacing w:lineRule="auto" w:line="312" w:before="0" w:after="0"/>
              <w:ind w:left="0" w:right="0" w:firstLine="280"/>
              <w:jc w:val="left"/>
              <w:rPr/>
            </w:pPr>
            <w:r>
              <w:rPr/>
              <w:t> </w:t>
            </w:r>
          </w:p>
        </w:tc>
      </w:tr>
      <w:tr>
        <w:trPr/>
        <w:tc>
          <w:tcPr>
            <w:tcW w:w="3804"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Selling, general and administrative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17,760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7,664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32,310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18,342</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pPr>
            <w:r>
              <w:rPr/>
              <w:t> </w:t>
            </w:r>
          </w:p>
        </w:tc>
      </w:tr>
      <w:tr>
        <w:trPr/>
        <w:tc>
          <w:tcPr>
            <w:tcW w:w="3804"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21,306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9,107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39,296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22,185</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38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(11,076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(7,690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(22,732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(16,400</w:t>
            </w:r>
          </w:p>
        </w:tc>
        <w:tc>
          <w:tcPr>
            <w:tcW w:w="7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8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Interest income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w:t>
            </w:r>
          </w:p>
        </w:tc>
        <w:tc>
          <w:tcPr>
            <w:tcW w:w="751" w:type="dxa"/>
            <w:tcBorders/>
            <w:shd w:fill="auto" w:val="clear"/>
            <w:vAlign w:val="center"/>
          </w:tcPr>
          <w:p>
            <w:pPr>
              <w:pStyle w:val="TableContents"/>
              <w:spacing w:lineRule="auto" w:line="312" w:before="0" w:after="0"/>
              <w:ind w:left="0" w:right="0" w:hanging="0"/>
              <w:jc w:val="left"/>
              <w:rPr/>
            </w:pPr>
            <w:r>
              <w:rPr/>
              <w:t> </w:t>
            </w:r>
          </w:p>
        </w:tc>
      </w:tr>
      <w:tr>
        <w:trPr/>
        <w:tc>
          <w:tcPr>
            <w:tcW w:w="38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Interest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(1,082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(2,166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(1,101</w:t>
            </w:r>
          </w:p>
        </w:tc>
        <w:tc>
          <w:tcPr>
            <w:tcW w:w="7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8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 (expense) income,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(5,435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(4,883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38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Loss before income taxes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(17,593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(8,310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(29,781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(17,454</w:t>
            </w:r>
          </w:p>
        </w:tc>
        <w:tc>
          <w:tcPr>
            <w:tcW w:w="7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8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Provision for income taxes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38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 and comprehensive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(17,615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(8,316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(29,855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(17,491</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8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 per share attributable to common stockholders, basic and diluted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(0.88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(1.85</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804"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Weighted-average shares used in computing net loss per share attributable to common stockholders, basic and diluted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9,610,408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9,457,893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9,564,096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9,453,640</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40" w:after="0"/>
        <w:jc w:val="center"/>
        <w:rPr>
          <w:rFonts w:ascii="Times New Roman" w:hAnsi="Times New Roman"/>
          <w:b w:val="false"/>
          <w:sz w:val="20"/>
        </w:rPr>
      </w:pPr>
      <w:r>
        <w:rPr>
          <w:rFonts w:ascii="Times New Roman" w:hAnsi="Times New Roman"/>
          <w:b w:val="false"/>
          <w:sz w:val="20"/>
        </w:rPr>
        <w:t>The accompanying notes are an integral part of these condensed consolidated financial statements.</w:t>
      </w:r>
    </w:p>
    <w:p>
      <w:pPr>
        <w:pStyle w:val="TextBody"/>
        <w:spacing w:lineRule="auto" w:line="312" w:before="360" w:after="0"/>
        <w:jc w:val="center"/>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sz w:val="20"/>
        </w:rPr>
      </w:pPr>
      <w:r>
        <w:rPr>
          <w:rFonts w:ascii="Times New Roman" w:hAnsi="Times New Roman"/>
          <w:b/>
          <w:sz w:val="20"/>
        </w:rPr>
        <w:t>SIGHT SCIENCES INC.</w:t>
      </w:r>
    </w:p>
    <w:p>
      <w:pPr>
        <w:pStyle w:val="TextBody"/>
        <w:spacing w:lineRule="auto" w:line="312" w:before="0" w:after="0"/>
        <w:jc w:val="center"/>
        <w:rPr>
          <w:rFonts w:ascii="Times New Roman" w:hAnsi="Times New Roman"/>
          <w:sz w:val="20"/>
        </w:rPr>
      </w:pPr>
      <w:bookmarkStart w:id="7" w:name="stockholders_deficit"/>
      <w:bookmarkEnd w:id="7"/>
      <w:r>
        <w:rPr>
          <w:rFonts w:ascii="Times New Roman" w:hAnsi="Times New Roman"/>
          <w:b/>
          <w:sz w:val="20"/>
        </w:rPr>
        <w:t>Condensed Statements of Redeemable Convertible Preferred Stock and Stockholders’ Deficit</w:t>
      </w:r>
      <w:r>
        <w:rPr>
          <w:rFonts w:ascii="Times New Roman" w:hAnsi="Times New Roman"/>
          <w:sz w:val="20"/>
        </w:rPr>
        <w:t xml:space="preserve"> </w:t>
      </w:r>
      <w:r>
        <w:rPr>
          <w:rFonts w:ascii="Times New Roman" w:hAnsi="Times New Roman"/>
          <w:b/>
          <w:sz w:val="20"/>
        </w:rPr>
        <w:t>(Unaudited)</w:t>
      </w:r>
    </w:p>
    <w:p>
      <w:pPr>
        <w:pStyle w:val="TextBody"/>
        <w:spacing w:lineRule="auto" w:line="312" w:before="0" w:after="0"/>
        <w:jc w:val="center"/>
        <w:rPr>
          <w:rFonts w:ascii="Times New Roman" w:hAnsi="Times New Roman"/>
          <w:b/>
          <w:i/>
          <w:sz w:val="20"/>
        </w:rPr>
      </w:pPr>
      <w:r>
        <w:rPr>
          <w:rFonts w:ascii="Times New Roman" w:hAnsi="Times New Roman"/>
          <w:b/>
          <w:i/>
          <w:sz w:val="20"/>
        </w:rPr>
        <w:t>(in thousands, except share amounts)</w:t>
      </w:r>
    </w:p>
    <w:p>
      <w:pPr>
        <w:pStyle w:val="TextBody"/>
        <w:spacing w:lineRule="auto" w:line="312" w:before="0" w:after="0"/>
        <w:jc w:val="center"/>
        <w:rPr/>
      </w:pPr>
      <w:r>
        <w:rPr/>
        <w:t> </w:t>
      </w:r>
    </w:p>
    <w:tbl>
      <w:tblPr>
        <w:tblW w:w="10307" w:type="dxa"/>
        <w:jc w:val="left"/>
        <w:tblInd w:w="0" w:type="dxa"/>
        <w:tblCellMar>
          <w:top w:w="28" w:type="dxa"/>
          <w:left w:w="28" w:type="dxa"/>
          <w:bottom w:w="28" w:type="dxa"/>
          <w:right w:w="28" w:type="dxa"/>
        </w:tblCellMar>
      </w:tblPr>
      <w:tblGrid>
        <w:gridCol w:w="1261"/>
        <w:gridCol w:w="146"/>
        <w:gridCol w:w="146"/>
        <w:gridCol w:w="1036"/>
        <w:gridCol w:w="146"/>
        <w:gridCol w:w="146"/>
        <w:gridCol w:w="211"/>
        <w:gridCol w:w="781"/>
        <w:gridCol w:w="146"/>
        <w:gridCol w:w="146"/>
        <w:gridCol w:w="146"/>
        <w:gridCol w:w="931"/>
        <w:gridCol w:w="146"/>
        <w:gridCol w:w="146"/>
        <w:gridCol w:w="261"/>
        <w:gridCol w:w="430"/>
        <w:gridCol w:w="146"/>
        <w:gridCol w:w="146"/>
        <w:gridCol w:w="235"/>
        <w:gridCol w:w="636"/>
        <w:gridCol w:w="146"/>
        <w:gridCol w:w="146"/>
        <w:gridCol w:w="211"/>
        <w:gridCol w:w="841"/>
        <w:gridCol w:w="166"/>
        <w:gridCol w:w="146"/>
        <w:gridCol w:w="211"/>
        <w:gridCol w:w="841"/>
        <w:gridCol w:w="211"/>
      </w:tblGrid>
      <w:tr>
        <w:trPr/>
        <w:tc>
          <w:tcPr>
            <w:tcW w:w="1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26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6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Redeemable Convertible</w:t>
              <w:br/>
              <w:t>Preferred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060"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71"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Additional</w:t>
              <w:br/>
              <w:t>Paid-In</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2"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Accumulated</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2"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Total</w:t>
              <w:br/>
              <w:t>Stockholders’</w:t>
            </w:r>
          </w:p>
        </w:tc>
        <w:tc>
          <w:tcPr>
            <w:tcW w:w="211" w:type="dxa"/>
            <w:tcBorders/>
            <w:shd w:fill="auto" w:val="clear"/>
            <w:vAlign w:val="center"/>
          </w:tcPr>
          <w:p>
            <w:pPr>
              <w:pStyle w:val="TableContents"/>
              <w:spacing w:lineRule="auto" w:line="312" w:before="0" w:after="0"/>
              <w:ind w:left="0" w:right="0" w:hanging="0"/>
              <w:jc w:val="center"/>
              <w:rPr/>
            </w:pPr>
            <w:r>
              <w:rPr/>
              <w:t> </w:t>
            </w:r>
          </w:p>
        </w:tc>
      </w:tr>
      <w:tr>
        <w:trPr/>
        <w:tc>
          <w:tcPr>
            <w:tcW w:w="126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Deficit</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Balance at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12,767,202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117,331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9,509,182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3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5"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1,183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(90,041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(88,849</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Issuance of common stock upon exercise of stock options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16,862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1" w:type="dxa"/>
            <w:tcBorders/>
            <w:shd w:fill="auto" w:val="clear"/>
            <w:vAlign w:val="center"/>
          </w:tcPr>
          <w:p>
            <w:pPr>
              <w:pStyle w:val="TableContents"/>
              <w:spacing w:lineRule="auto" w:line="312" w:before="0" w:after="0"/>
              <w:ind w:left="0" w:right="0" w:hanging="0"/>
              <w:jc w:val="left"/>
              <w:rPr/>
            </w:pPr>
            <w:r>
              <w:rPr/>
              <w:t> </w:t>
            </w:r>
          </w:p>
        </w:tc>
        <w:tc>
          <w:tcPr>
            <w:tcW w:w="430"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5" w:type="dxa"/>
            <w:tcBorders/>
            <w:shd w:fill="auto" w:val="clear"/>
            <w:vAlign w:val="center"/>
          </w:tcPr>
          <w:p>
            <w:pPr>
              <w:pStyle w:val="TableContents"/>
              <w:spacing w:lineRule="auto" w:line="312" w:before="0" w:after="0"/>
              <w:ind w:left="0" w:right="0" w:hanging="0"/>
              <w:jc w:val="left"/>
              <w:rPr/>
            </w:pPr>
            <w:r>
              <w:rPr/>
              <w:t> </w:t>
            </w:r>
          </w:p>
        </w:tc>
        <w:tc>
          <w:tcPr>
            <w:tcW w:w="6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Stock-based compensation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1" w:type="dxa"/>
            <w:tcBorders/>
            <w:shd w:fill="auto" w:val="clear"/>
            <w:vAlign w:val="center"/>
          </w:tcPr>
          <w:p>
            <w:pPr>
              <w:pStyle w:val="TableContents"/>
              <w:spacing w:lineRule="auto" w:line="312" w:before="0" w:after="0"/>
              <w:ind w:left="0" w:right="0" w:hanging="0"/>
              <w:jc w:val="left"/>
              <w:rPr/>
            </w:pPr>
            <w:r>
              <w:rPr/>
              <w:t> </w:t>
            </w:r>
          </w:p>
        </w:tc>
        <w:tc>
          <w:tcPr>
            <w:tcW w:w="430"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5" w:type="dxa"/>
            <w:tcBorders/>
            <w:shd w:fill="auto" w:val="clear"/>
            <w:vAlign w:val="center"/>
          </w:tcPr>
          <w:p>
            <w:pPr>
              <w:pStyle w:val="TableContents"/>
              <w:spacing w:lineRule="auto" w:line="312" w:before="0" w:after="0"/>
              <w:ind w:left="0" w:right="0" w:hanging="0"/>
              <w:jc w:val="left"/>
              <w:rPr/>
            </w:pPr>
            <w:r>
              <w:rPr/>
              <w:t> </w:t>
            </w:r>
          </w:p>
        </w:tc>
        <w:tc>
          <w:tcPr>
            <w:tcW w:w="6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277</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(12,240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(12,240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Balance at March 31, 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12,767,202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117,331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9,526,044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3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1,471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(102,281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(100,801</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Issuance of common stock upon exercise of stock options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205,988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1" w:type="dxa"/>
            <w:tcBorders/>
            <w:shd w:fill="auto" w:val="clear"/>
            <w:vAlign w:val="center"/>
          </w:tcPr>
          <w:p>
            <w:pPr>
              <w:pStyle w:val="TableContents"/>
              <w:spacing w:lineRule="auto" w:line="312" w:before="0" w:after="0"/>
              <w:ind w:left="0" w:right="0" w:hanging="0"/>
              <w:jc w:val="left"/>
              <w:rPr/>
            </w:pPr>
            <w:r>
              <w:rPr/>
              <w:t> </w:t>
            </w:r>
          </w:p>
        </w:tc>
        <w:tc>
          <w:tcPr>
            <w:tcW w:w="430"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5" w:type="dxa"/>
            <w:tcBorders/>
            <w:shd w:fill="auto" w:val="clear"/>
            <w:vAlign w:val="center"/>
          </w:tcPr>
          <w:p>
            <w:pPr>
              <w:pStyle w:val="TableContents"/>
              <w:spacing w:lineRule="auto" w:line="312" w:before="0" w:after="0"/>
              <w:ind w:left="0" w:right="0" w:hanging="0"/>
              <w:jc w:val="left"/>
              <w:rPr/>
            </w:pPr>
            <w:r>
              <w:rPr/>
              <w:t> </w:t>
            </w:r>
          </w:p>
        </w:tc>
        <w:tc>
          <w:tcPr>
            <w:tcW w:w="6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196</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Stock-based compensation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8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1" w:type="dxa"/>
            <w:tcBorders/>
            <w:shd w:fill="auto" w:val="clear"/>
            <w:vAlign w:val="center"/>
          </w:tcPr>
          <w:p>
            <w:pPr>
              <w:pStyle w:val="TableContents"/>
              <w:spacing w:lineRule="auto" w:line="312" w:before="0" w:after="0"/>
              <w:ind w:left="0" w:right="0" w:hanging="0"/>
              <w:jc w:val="left"/>
              <w:rPr/>
            </w:pPr>
            <w:r>
              <w:rPr/>
              <w:t> </w:t>
            </w:r>
          </w:p>
        </w:tc>
        <w:tc>
          <w:tcPr>
            <w:tcW w:w="430"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5" w:type="dxa"/>
            <w:tcBorders/>
            <w:shd w:fill="auto" w:val="clear"/>
            <w:vAlign w:val="center"/>
          </w:tcPr>
          <w:p>
            <w:pPr>
              <w:pStyle w:val="TableContents"/>
              <w:spacing w:lineRule="auto" w:line="312" w:before="0" w:after="0"/>
              <w:ind w:left="0" w:right="0" w:hanging="0"/>
              <w:jc w:val="left"/>
              <w:rPr/>
            </w:pPr>
            <w:r>
              <w:rPr/>
              <w:t> </w:t>
            </w:r>
          </w:p>
        </w:tc>
        <w:tc>
          <w:tcPr>
            <w:tcW w:w="6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931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84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931</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(17,615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(17,615</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Balance at June 30, 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12,767,202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117,331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9,732,032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3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2,598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(119,896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(117,289</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312" w:before="0" w:after="0"/>
        <w:jc w:val="center"/>
        <w:rPr/>
      </w:pPr>
      <w:r>
        <w:rPr/>
        <w:t> </w:t>
      </w:r>
    </w:p>
    <w:tbl>
      <w:tblPr>
        <w:tblW w:w="10205" w:type="dxa"/>
        <w:jc w:val="left"/>
        <w:tblInd w:w="0" w:type="dxa"/>
        <w:tblCellMar>
          <w:top w:w="28" w:type="dxa"/>
          <w:left w:w="28" w:type="dxa"/>
          <w:bottom w:w="28" w:type="dxa"/>
          <w:right w:w="28" w:type="dxa"/>
        </w:tblCellMar>
      </w:tblPr>
      <w:tblGrid>
        <w:gridCol w:w="1261"/>
        <w:gridCol w:w="146"/>
        <w:gridCol w:w="146"/>
        <w:gridCol w:w="1036"/>
        <w:gridCol w:w="146"/>
        <w:gridCol w:w="146"/>
        <w:gridCol w:w="211"/>
        <w:gridCol w:w="676"/>
        <w:gridCol w:w="166"/>
        <w:gridCol w:w="146"/>
        <w:gridCol w:w="146"/>
        <w:gridCol w:w="931"/>
        <w:gridCol w:w="146"/>
        <w:gridCol w:w="146"/>
        <w:gridCol w:w="261"/>
        <w:gridCol w:w="430"/>
        <w:gridCol w:w="146"/>
        <w:gridCol w:w="146"/>
        <w:gridCol w:w="290"/>
        <w:gridCol w:w="581"/>
        <w:gridCol w:w="146"/>
        <w:gridCol w:w="146"/>
        <w:gridCol w:w="234"/>
        <w:gridCol w:w="817"/>
        <w:gridCol w:w="166"/>
        <w:gridCol w:w="146"/>
        <w:gridCol w:w="230"/>
        <w:gridCol w:w="806"/>
        <w:gridCol w:w="211"/>
      </w:tblGrid>
      <w:tr>
        <w:trPr/>
        <w:tc>
          <w:tcPr>
            <w:tcW w:w="1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26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61"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Redeemable Convertible</w:t>
              <w:br/>
              <w:t>Preferred Stock</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060"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71"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Additional</w:t>
              <w:br/>
              <w:t>Paid-In</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51"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Accumulated</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Total</w:t>
              <w:br/>
              <w:t>Stockholders’</w:t>
            </w:r>
          </w:p>
        </w:tc>
        <w:tc>
          <w:tcPr>
            <w:tcW w:w="211" w:type="dxa"/>
            <w:tcBorders/>
            <w:shd w:fill="auto" w:val="clear"/>
            <w:vAlign w:val="center"/>
          </w:tcPr>
          <w:p>
            <w:pPr>
              <w:pStyle w:val="TableContents"/>
              <w:spacing w:lineRule="auto" w:line="312" w:before="0" w:after="0"/>
              <w:ind w:left="0" w:right="0" w:hanging="0"/>
              <w:jc w:val="center"/>
              <w:rPr/>
            </w:pPr>
            <w:r>
              <w:rPr/>
              <w:t> </w:t>
            </w:r>
          </w:p>
        </w:tc>
      </w:tr>
      <w:tr>
        <w:trPr/>
        <w:tc>
          <w:tcPr>
            <w:tcW w:w="126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Amount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Deficit</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Balance at December 31, 2019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9,804,640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64,256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9,319,466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656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(55,348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(54,683</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Issuance of Series E convertible preferred stock, net of issuance costs of $94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1,899,847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30,055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1" w:type="dxa"/>
            <w:tcBorders/>
            <w:shd w:fill="auto" w:val="clear"/>
            <w:vAlign w:val="center"/>
          </w:tcPr>
          <w:p>
            <w:pPr>
              <w:pStyle w:val="TableContents"/>
              <w:spacing w:lineRule="auto" w:line="312" w:before="0" w:after="0"/>
              <w:ind w:left="0" w:right="0" w:hanging="0"/>
              <w:jc w:val="left"/>
              <w:rPr/>
            </w:pPr>
            <w:r>
              <w:rPr/>
              <w:t> </w:t>
            </w:r>
          </w:p>
        </w:tc>
        <w:tc>
          <w:tcPr>
            <w:tcW w:w="430"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left"/>
              <w:rPr/>
            </w:pPr>
            <w:r>
              <w:rPr/>
              <w:t> </w:t>
            </w:r>
          </w:p>
        </w:tc>
        <w:tc>
          <w:tcPr>
            <w:tcW w:w="58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06" w:type="dxa"/>
            <w:tcBorders/>
            <w:shd w:fill="auto" w:val="clear"/>
            <w:vAlign w:val="center"/>
          </w:tcPr>
          <w:p>
            <w:pPr>
              <w:pStyle w:val="TableContents"/>
              <w:spacing w:lineRule="auto" w:line="312" w:before="0" w:after="0"/>
              <w:ind w:left="0" w:right="0" w:hanging="0"/>
              <w:jc w:val="right"/>
              <w:rPr/>
            </w:pPr>
            <w:r>
              <w:rPr/>
              <w:t>—</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Issuance of common stock upon exercise of stock options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1,500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1" w:type="dxa"/>
            <w:tcBorders/>
            <w:shd w:fill="auto" w:val="clear"/>
            <w:vAlign w:val="center"/>
          </w:tcPr>
          <w:p>
            <w:pPr>
              <w:pStyle w:val="TableContents"/>
              <w:spacing w:lineRule="auto" w:line="312" w:before="0" w:after="0"/>
              <w:ind w:left="0" w:right="0" w:hanging="0"/>
              <w:jc w:val="left"/>
              <w:rPr/>
            </w:pPr>
            <w:r>
              <w:rPr/>
              <w:t> </w:t>
            </w:r>
          </w:p>
        </w:tc>
        <w:tc>
          <w:tcPr>
            <w:tcW w:w="430"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left"/>
              <w:rPr/>
            </w:pPr>
            <w:r>
              <w:rPr/>
              <w:t> </w:t>
            </w:r>
          </w:p>
        </w:tc>
        <w:tc>
          <w:tcPr>
            <w:tcW w:w="5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0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Stock-based compensation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1" w:type="dxa"/>
            <w:tcBorders/>
            <w:shd w:fill="auto" w:val="clear"/>
            <w:vAlign w:val="center"/>
          </w:tcPr>
          <w:p>
            <w:pPr>
              <w:pStyle w:val="TableContents"/>
              <w:spacing w:lineRule="auto" w:line="312" w:before="0" w:after="0"/>
              <w:ind w:left="0" w:right="0" w:hanging="0"/>
              <w:jc w:val="left"/>
              <w:rPr/>
            </w:pPr>
            <w:r>
              <w:rPr/>
              <w:t> </w:t>
            </w:r>
          </w:p>
        </w:tc>
        <w:tc>
          <w:tcPr>
            <w:tcW w:w="430"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left"/>
              <w:rPr/>
            </w:pPr>
            <w:r>
              <w:rPr/>
              <w:t> </w:t>
            </w:r>
          </w:p>
        </w:tc>
        <w:tc>
          <w:tcPr>
            <w:tcW w:w="5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0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(9,175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(9,175</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Balance at March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11,704,487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94,311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9,320,966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3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8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718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4"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(64,523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0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(63,796</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Issuance of Series E 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1" w:type="dxa"/>
            <w:tcBorders/>
            <w:shd w:fill="auto" w:val="clear"/>
            <w:vAlign w:val="center"/>
          </w:tcPr>
          <w:p>
            <w:pPr>
              <w:pStyle w:val="TableContents"/>
              <w:spacing w:lineRule="auto" w:line="312" w:before="0" w:after="0"/>
              <w:ind w:left="0" w:right="0" w:hanging="0"/>
              <w:jc w:val="left"/>
              <w:rPr/>
            </w:pPr>
            <w:r>
              <w:rPr/>
              <w:t> </w:t>
            </w:r>
          </w:p>
        </w:tc>
        <w:tc>
          <w:tcPr>
            <w:tcW w:w="430"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left"/>
              <w:rPr/>
            </w:pPr>
            <w:r>
              <w:rPr/>
              <w:t> </w:t>
            </w:r>
          </w:p>
        </w:tc>
        <w:tc>
          <w:tcPr>
            <w:tcW w:w="581"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06" w:type="dxa"/>
            <w:tcBorders/>
            <w:shd w:fill="auto" w:val="clear"/>
            <w:vAlign w:val="center"/>
          </w:tcPr>
          <w:p>
            <w:pPr>
              <w:pStyle w:val="TableContents"/>
              <w:spacing w:lineRule="auto" w:line="312" w:before="0" w:after="0"/>
              <w:ind w:left="0" w:right="0" w:hanging="0"/>
              <w:jc w:val="right"/>
              <w:rPr/>
            </w:pPr>
            <w:r>
              <w:rPr/>
              <w:t>—</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Issuance of common stock upon exercise of stock options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20,520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1" w:type="dxa"/>
            <w:tcBorders/>
            <w:shd w:fill="auto" w:val="clear"/>
            <w:vAlign w:val="center"/>
          </w:tcPr>
          <w:p>
            <w:pPr>
              <w:pStyle w:val="TableContents"/>
              <w:spacing w:lineRule="auto" w:line="312" w:before="0" w:after="0"/>
              <w:ind w:left="0" w:right="0" w:hanging="0"/>
              <w:jc w:val="left"/>
              <w:rPr/>
            </w:pPr>
            <w:r>
              <w:rPr/>
              <w:t> </w:t>
            </w:r>
          </w:p>
        </w:tc>
        <w:tc>
          <w:tcPr>
            <w:tcW w:w="430"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left"/>
              <w:rPr/>
            </w:pPr>
            <w:r>
              <w:rPr/>
              <w:t> </w:t>
            </w:r>
          </w:p>
        </w:tc>
        <w:tc>
          <w:tcPr>
            <w:tcW w:w="5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0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Stock-based compensation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77"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91"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90" w:type="dxa"/>
            <w:tcBorders/>
            <w:shd w:fill="auto" w:val="clear"/>
            <w:vAlign w:val="center"/>
          </w:tcPr>
          <w:p>
            <w:pPr>
              <w:pStyle w:val="TableContents"/>
              <w:spacing w:lineRule="auto" w:line="312" w:before="0" w:after="0"/>
              <w:ind w:left="0" w:right="0" w:hanging="0"/>
              <w:jc w:val="left"/>
              <w:rPr/>
            </w:pPr>
            <w:r>
              <w:rPr/>
              <w:t> </w:t>
            </w:r>
          </w:p>
        </w:tc>
        <w:tc>
          <w:tcPr>
            <w:tcW w:w="58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4" w:type="dxa"/>
            <w:tcBorders/>
            <w:shd w:fill="auto" w:val="clear"/>
            <w:vAlign w:val="center"/>
          </w:tcPr>
          <w:p>
            <w:pPr>
              <w:pStyle w:val="TableContents"/>
              <w:spacing w:lineRule="auto" w:line="312" w:before="0" w:after="0"/>
              <w:ind w:left="0" w:right="0" w:hanging="0"/>
              <w:jc w:val="left"/>
              <w:rPr/>
            </w:pPr>
            <w:r>
              <w:rPr/>
              <w:t> </w:t>
            </w:r>
          </w:p>
        </w:tc>
        <w:tc>
          <w:tcPr>
            <w:tcW w:w="817"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0" w:type="dxa"/>
            <w:tcBorders/>
            <w:shd w:fill="auto" w:val="clear"/>
            <w:vAlign w:val="center"/>
          </w:tcPr>
          <w:p>
            <w:pPr>
              <w:pStyle w:val="TableContents"/>
              <w:spacing w:lineRule="auto" w:line="312" w:before="0" w:after="0"/>
              <w:ind w:left="0" w:right="0" w:hanging="0"/>
              <w:jc w:val="left"/>
              <w:rPr/>
            </w:pPr>
            <w:r>
              <w:rPr/>
              <w:t> </w:t>
            </w:r>
          </w:p>
        </w:tc>
        <w:tc>
          <w:tcPr>
            <w:tcW w:w="80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65</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(8,316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(8,316</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261"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Balance at June 30,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11,704,487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94,299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9,341,486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8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790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1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(72,839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(72,040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312" w:before="0" w:after="0"/>
        <w:jc w:val="center"/>
        <w:rPr/>
      </w:pPr>
      <w:r>
        <w:rPr/>
        <w:t> </w:t>
      </w:r>
    </w:p>
    <w:p>
      <w:pPr>
        <w:pStyle w:val="TextBody"/>
        <w:spacing w:lineRule="auto" w:line="312" w:before="40" w:after="0"/>
        <w:jc w:val="center"/>
        <w:rPr>
          <w:rFonts w:ascii="Times New Roman" w:hAnsi="Times New Roman"/>
          <w:b w:val="false"/>
          <w:sz w:val="20"/>
        </w:rPr>
      </w:pPr>
      <w:r>
        <w:rPr>
          <w:rFonts w:ascii="Times New Roman" w:hAnsi="Times New Roman"/>
          <w:b w:val="false"/>
          <w:sz w:val="20"/>
        </w:rPr>
        <w:t>The accompanying notes are an integral part of these condensed consolidated financial statements.</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sz w:val="20"/>
        </w:rPr>
      </w:pPr>
      <w:r>
        <w:rPr>
          <w:rFonts w:ascii="Times New Roman" w:hAnsi="Times New Roman"/>
          <w:b/>
          <w:sz w:val="20"/>
        </w:rPr>
        <w:t>SIGHT SCIENCES INC.</w:t>
      </w:r>
    </w:p>
    <w:p>
      <w:pPr>
        <w:pStyle w:val="TextBody"/>
        <w:spacing w:lineRule="auto" w:line="312" w:before="0" w:after="0"/>
        <w:jc w:val="center"/>
        <w:rPr>
          <w:rFonts w:ascii="Times New Roman" w:hAnsi="Times New Roman"/>
          <w:sz w:val="20"/>
        </w:rPr>
      </w:pPr>
      <w:bookmarkStart w:id="8" w:name="cash_flows"/>
      <w:bookmarkEnd w:id="8"/>
      <w:r>
        <w:rPr>
          <w:rFonts w:ascii="Times New Roman" w:hAnsi="Times New Roman"/>
          <w:b/>
          <w:sz w:val="20"/>
        </w:rPr>
        <w:t>Condensed Consolidated Statements of Cash Flows</w:t>
      </w:r>
      <w:r>
        <w:rPr>
          <w:rFonts w:ascii="Times New Roman" w:hAnsi="Times New Roman"/>
          <w:sz w:val="20"/>
        </w:rPr>
        <w:t xml:space="preserve"> </w:t>
      </w:r>
      <w:r>
        <w:rPr>
          <w:rFonts w:ascii="Times New Roman" w:hAnsi="Times New Roman"/>
          <w:b/>
          <w:sz w:val="20"/>
        </w:rPr>
        <w:t>(Unaudited)</w:t>
      </w:r>
    </w:p>
    <w:p>
      <w:pPr>
        <w:pStyle w:val="TextBody"/>
        <w:spacing w:lineRule="auto" w:line="312" w:before="0" w:after="0"/>
        <w:jc w:val="center"/>
        <w:rPr>
          <w:rFonts w:ascii="Times New Roman" w:hAnsi="Times New Roman"/>
          <w:b/>
          <w:i/>
          <w:sz w:val="20"/>
        </w:rPr>
      </w:pPr>
      <w:r>
        <w:rPr>
          <w:rFonts w:ascii="Times New Roman" w:hAnsi="Times New Roman"/>
          <w:b/>
          <w:i/>
          <w:sz w:val="20"/>
        </w:rPr>
        <w:t>(in thousands)</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7362"/>
        <w:gridCol w:w="146"/>
        <w:gridCol w:w="211"/>
        <w:gridCol w:w="736"/>
        <w:gridCol w:w="166"/>
        <w:gridCol w:w="146"/>
        <w:gridCol w:w="211"/>
        <w:gridCol w:w="736"/>
        <w:gridCol w:w="491"/>
      </w:tblGrid>
      <w:tr>
        <w:trPr/>
        <w:tc>
          <w:tcPr>
            <w:tcW w:w="73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736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06" w:type="dxa"/>
            <w:gridSpan w:val="6"/>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 Ended</w:t>
            </w:r>
          </w:p>
        </w:tc>
        <w:tc>
          <w:tcPr>
            <w:tcW w:w="491" w:type="dxa"/>
            <w:tcBorders/>
            <w:shd w:fill="auto" w:val="clear"/>
            <w:vAlign w:val="center"/>
          </w:tcPr>
          <w:p>
            <w:pPr>
              <w:pStyle w:val="TableContents"/>
              <w:spacing w:lineRule="auto" w:line="312" w:before="0" w:after="0"/>
              <w:ind w:left="0" w:right="0" w:hanging="0"/>
              <w:jc w:val="center"/>
              <w:rPr/>
            </w:pPr>
            <w:r>
              <w:rPr/>
              <w:t> </w:t>
            </w:r>
          </w:p>
        </w:tc>
      </w:tr>
      <w:tr>
        <w:trPr/>
        <w:tc>
          <w:tcPr>
            <w:tcW w:w="736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June 30,</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7362"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491" w:type="dxa"/>
            <w:tcBorders/>
            <w:shd w:fill="auto" w:val="clear"/>
            <w:vAlign w:val="center"/>
          </w:tcPr>
          <w:p>
            <w:pPr>
              <w:pStyle w:val="TableContents"/>
              <w:spacing w:lineRule="auto" w:line="312" w:before="0" w:after="0"/>
              <w:ind w:left="0" w:right="0" w:hanging="0"/>
              <w:jc w:val="right"/>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(29,855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(17,491</w:t>
            </w:r>
          </w:p>
        </w:tc>
        <w:tc>
          <w:tcPr>
            <w:tcW w:w="491" w:type="dxa"/>
            <w:tcBorders/>
            <w:shd w:fill="auto" w:val="cle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Adjustments to reconcile net loss to net cash used in operating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491" w:type="dxa"/>
            <w:tcBorders/>
            <w:shd w:fill="auto" w:val="clear"/>
            <w:vAlign w:val="center"/>
          </w:tcPr>
          <w:p>
            <w:pPr>
              <w:pStyle w:val="TableContents"/>
              <w:spacing w:lineRule="auto" w:line="312" w:before="0" w:after="0"/>
              <w:ind w:left="0" w:right="0" w:firstLine="280"/>
              <w:jc w:val="righ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Depreciation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288</w:t>
            </w:r>
          </w:p>
        </w:tc>
        <w:tc>
          <w:tcPr>
            <w:tcW w:w="491" w:type="dxa"/>
            <w:tcBorders/>
            <w:shd w:fill="auto" w:val="clear"/>
            <w:vAlign w:val="center"/>
          </w:tcPr>
          <w:p>
            <w:pPr>
              <w:pStyle w:val="TableContents"/>
              <w:spacing w:lineRule="auto" w:line="312" w:before="0" w:after="0"/>
              <w:ind w:left="0" w:right="0" w:firstLine="280"/>
              <w:jc w:val="lef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Accretion of debt discount and amortization of debt issuance costs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280</w:t>
            </w:r>
          </w:p>
        </w:tc>
        <w:tc>
          <w:tcPr>
            <w:tcW w:w="491" w:type="dxa"/>
            <w:tcBorders/>
            <w:shd w:fill="auto" w:val="clear"/>
            <w:vAlign w:val="center"/>
          </w:tcPr>
          <w:p>
            <w:pPr>
              <w:pStyle w:val="TableContents"/>
              <w:spacing w:lineRule="auto" w:line="312" w:before="0" w:after="0"/>
              <w:ind w:left="0" w:right="0" w:firstLine="280"/>
              <w:jc w:val="lef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Stock-based compensation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1,208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126</w:t>
            </w:r>
          </w:p>
        </w:tc>
        <w:tc>
          <w:tcPr>
            <w:tcW w:w="491" w:type="dxa"/>
            <w:tcBorders/>
            <w:shd w:fill="auto" w:val="clear"/>
            <w:vAlign w:val="center"/>
          </w:tcPr>
          <w:p>
            <w:pPr>
              <w:pStyle w:val="TableContents"/>
              <w:spacing w:lineRule="auto" w:line="312" w:before="0" w:after="0"/>
              <w:ind w:left="0" w:right="0" w:firstLine="280"/>
              <w:jc w:val="lef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Provision for doubtful accounts receivable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229</w:t>
            </w:r>
          </w:p>
        </w:tc>
        <w:tc>
          <w:tcPr>
            <w:tcW w:w="491" w:type="dxa"/>
            <w:tcBorders/>
            <w:shd w:fill="auto" w:val="clear"/>
            <w:vAlign w:val="center"/>
          </w:tcPr>
          <w:p>
            <w:pPr>
              <w:pStyle w:val="TableContents"/>
              <w:spacing w:lineRule="auto" w:line="312" w:before="0" w:after="0"/>
              <w:ind w:left="0" w:right="0" w:firstLine="280"/>
              <w:jc w:val="lef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Provision for excess and obsolete inventories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841</w:t>
            </w:r>
          </w:p>
        </w:tc>
        <w:tc>
          <w:tcPr>
            <w:tcW w:w="491" w:type="dxa"/>
            <w:tcBorders/>
            <w:shd w:fill="auto" w:val="clear"/>
            <w:vAlign w:val="center"/>
          </w:tcPr>
          <w:p>
            <w:pPr>
              <w:pStyle w:val="TableContents"/>
              <w:spacing w:lineRule="auto" w:line="312" w:before="0" w:after="0"/>
              <w:ind w:left="0" w:right="0" w:firstLine="280"/>
              <w:jc w:val="lef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Noncash operating lease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270</w:t>
            </w:r>
          </w:p>
        </w:tc>
        <w:tc>
          <w:tcPr>
            <w:tcW w:w="491" w:type="dxa"/>
            <w:tcBorders/>
            <w:shd w:fill="auto" w:val="clear"/>
            <w:vAlign w:val="center"/>
          </w:tcPr>
          <w:p>
            <w:pPr>
              <w:pStyle w:val="TableContents"/>
              <w:spacing w:lineRule="auto" w:line="312" w:before="0" w:after="0"/>
              <w:ind w:left="0" w:right="0" w:firstLine="280"/>
              <w:jc w:val="lef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Change in fair value of redeemable convertible preferred stock warrant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4,872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w:t>
            </w:r>
          </w:p>
        </w:tc>
        <w:tc>
          <w:tcPr>
            <w:tcW w:w="491" w:type="dxa"/>
            <w:tcBorders/>
            <w:shd w:fill="auto" w:val="cle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Loss on disposal of property and equipment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w:t>
            </w:r>
          </w:p>
        </w:tc>
        <w:tc>
          <w:tcPr>
            <w:tcW w:w="491" w:type="dxa"/>
            <w:tcBorders/>
            <w:shd w:fill="auto" w:val="clear"/>
            <w:vAlign w:val="center"/>
          </w:tcPr>
          <w:p>
            <w:pPr>
              <w:pStyle w:val="TableContents"/>
              <w:spacing w:lineRule="auto" w:line="312" w:before="0" w:after="0"/>
              <w:ind w:left="0" w:right="0" w:firstLine="280"/>
              <w:jc w:val="lef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Proceeds from Paycheck Protection Program loan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(2,246</w:t>
            </w:r>
          </w:p>
        </w:tc>
        <w:tc>
          <w:tcPr>
            <w:tcW w:w="4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Changes in operating assets and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491" w:type="dxa"/>
            <w:tcBorders/>
            <w:shd w:fill="auto" w:val="clear"/>
            <w:vAlign w:val="center"/>
          </w:tcPr>
          <w:p>
            <w:pPr>
              <w:pStyle w:val="TableContents"/>
              <w:spacing w:lineRule="auto" w:line="312" w:before="0" w:after="0"/>
              <w:ind w:left="0" w:right="0" w:firstLine="280"/>
              <w:jc w:val="righ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Accounts receivable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(1,628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880</w:t>
            </w:r>
          </w:p>
        </w:tc>
        <w:tc>
          <w:tcPr>
            <w:tcW w:w="491" w:type="dxa"/>
            <w:tcBorders/>
            <w:shd w:fill="auto" w:val="clear"/>
            <w:vAlign w:val="center"/>
          </w:tcPr>
          <w:p>
            <w:pPr>
              <w:pStyle w:val="TableContents"/>
              <w:spacing w:lineRule="auto" w:line="312" w:before="0" w:after="0"/>
              <w:ind w:left="0" w:right="0" w:firstLine="280"/>
              <w:jc w:val="lef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Inventory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(1,138</w:t>
            </w:r>
          </w:p>
        </w:tc>
        <w:tc>
          <w:tcPr>
            <w:tcW w:w="491" w:type="dxa"/>
            <w:tcBorders/>
            <w:shd w:fill="auto" w:val="cle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Prepaid expenses and other 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(1,197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(288</w:t>
            </w:r>
          </w:p>
        </w:tc>
        <w:tc>
          <w:tcPr>
            <w:tcW w:w="491" w:type="dxa"/>
            <w:tcBorders/>
            <w:shd w:fill="auto" w:val="cle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Other noncurrent assets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(3,081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pPr>
            <w:r>
              <w:rPr/>
              <w:t>—</w:t>
            </w:r>
          </w:p>
        </w:tc>
        <w:tc>
          <w:tcPr>
            <w:tcW w:w="491" w:type="dxa"/>
            <w:tcBorders/>
            <w:shd w:fill="auto" w:val="clear"/>
            <w:vAlign w:val="center"/>
          </w:tcPr>
          <w:p>
            <w:pPr>
              <w:pStyle w:val="TableContents"/>
              <w:spacing w:lineRule="auto" w:line="312" w:before="0" w:after="0"/>
              <w:ind w:left="0" w:right="0" w:firstLine="280"/>
              <w:jc w:val="lef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Accounts payable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1,438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752</w:t>
            </w:r>
          </w:p>
        </w:tc>
        <w:tc>
          <w:tcPr>
            <w:tcW w:w="491" w:type="dxa"/>
            <w:tcBorders/>
            <w:shd w:fill="auto" w:val="clear"/>
            <w:vAlign w:val="center"/>
          </w:tcPr>
          <w:p>
            <w:pPr>
              <w:pStyle w:val="TableContents"/>
              <w:spacing w:lineRule="auto" w:line="312" w:before="0" w:after="0"/>
              <w:ind w:left="0" w:right="0" w:firstLine="280"/>
              <w:jc w:val="lef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Accrued compensation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(311</w:t>
            </w:r>
          </w:p>
        </w:tc>
        <w:tc>
          <w:tcPr>
            <w:tcW w:w="491" w:type="dxa"/>
            <w:tcBorders/>
            <w:shd w:fill="auto" w:val="cle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Accrued and other 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1,594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2,288</w:t>
            </w:r>
          </w:p>
        </w:tc>
        <w:tc>
          <w:tcPr>
            <w:tcW w:w="491" w:type="dxa"/>
            <w:tcBorders/>
            <w:shd w:fill="auto" w:val="clear"/>
            <w:vAlign w:val="center"/>
          </w:tcPr>
          <w:p>
            <w:pPr>
              <w:pStyle w:val="TableContents"/>
              <w:spacing w:lineRule="auto" w:line="312" w:before="0" w:after="0"/>
              <w:ind w:left="0" w:right="0" w:firstLine="280"/>
              <w:jc w:val="lef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Other noncurrent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456</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sz w:val="20"/>
              </w:rPr>
            </w:pPr>
            <w:r>
              <w:rPr>
                <w:rFonts w:ascii="Times New Roman" w:hAnsi="Times New Roman"/>
                <w:b/>
                <w:sz w:val="20"/>
              </w:rPr>
              <w:t>Net cash used in operating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(25,306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(15,009</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491" w:type="dxa"/>
            <w:tcBorders/>
            <w:shd w:fill="auto" w:val="clear"/>
            <w:vAlign w:val="center"/>
          </w:tcPr>
          <w:p>
            <w:pPr>
              <w:pStyle w:val="TableContents"/>
              <w:spacing w:lineRule="auto" w:line="312" w:before="0" w:after="0"/>
              <w:ind w:left="0" w:right="0" w:hanging="0"/>
              <w:jc w:val="right"/>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Purchases of property and equipment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(532</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sz w:val="20"/>
              </w:rPr>
            </w:pPr>
            <w:r>
              <w:rPr>
                <w:rFonts w:ascii="Times New Roman" w:hAnsi="Times New Roman"/>
                <w:b/>
                <w:sz w:val="20"/>
              </w:rPr>
              <w:t>Net cash used in investing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(532</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491" w:type="dxa"/>
            <w:tcBorders/>
            <w:shd w:fill="auto" w:val="clear"/>
            <w:vAlign w:val="center"/>
          </w:tcPr>
          <w:p>
            <w:pPr>
              <w:pStyle w:val="TableContents"/>
              <w:spacing w:lineRule="auto" w:line="312" w:before="0" w:after="0"/>
              <w:ind w:left="0" w:right="0" w:hanging="0"/>
              <w:jc w:val="right"/>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Payments of costs related to initial public offering</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(471</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pPr>
            <w:r>
              <w:rPr/>
              <w:t>—</w:t>
            </w:r>
          </w:p>
        </w:tc>
        <w:tc>
          <w:tcPr>
            <w:tcW w:w="491" w:type="dxa"/>
            <w:tcBorders/>
            <w:shd w:fill="auto" w:val="clear"/>
            <w:vAlign w:val="center"/>
          </w:tcPr>
          <w:p>
            <w:pPr>
              <w:pStyle w:val="TableContents"/>
              <w:spacing w:lineRule="auto" w:line="312" w:before="0" w:after="0"/>
              <w:ind w:left="0" w:right="0" w:hanging="0"/>
              <w:jc w:val="left"/>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Proceeds from the issuance of Series E redeemable 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30,150</w:t>
            </w:r>
          </w:p>
        </w:tc>
        <w:tc>
          <w:tcPr>
            <w:tcW w:w="491" w:type="dxa"/>
            <w:tcBorders/>
            <w:shd w:fill="auto" w:val="clear"/>
            <w:vAlign w:val="center"/>
          </w:tcPr>
          <w:p>
            <w:pPr>
              <w:pStyle w:val="TableContents"/>
              <w:spacing w:lineRule="auto" w:line="312" w:before="0" w:after="0"/>
              <w:ind w:left="0" w:right="0" w:hanging="0"/>
              <w:jc w:val="left"/>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Series E issuance costs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(106</w:t>
            </w:r>
          </w:p>
        </w:tc>
        <w:tc>
          <w:tcPr>
            <w:tcW w:w="4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Proceeds from exercise of common stock warrants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7362" w:type="dxa"/>
            <w:tcBorders/>
            <w:shd w:fill="auto" w:val="clear"/>
            <w:vAlign w:val="center"/>
          </w:tcPr>
          <w:p>
            <w:pPr>
              <w:pStyle w:val="TableContents"/>
              <w:spacing w:lineRule="auto" w:line="312" w:before="0" w:after="0"/>
              <w:ind w:left="280" w:right="0" w:hanging="0"/>
              <w:jc w:val="left"/>
              <w:rPr>
                <w:rFonts w:ascii="Times New Roman" w:hAnsi="Times New Roman"/>
                <w:b/>
                <w:sz w:val="20"/>
              </w:rPr>
            </w:pPr>
            <w:r>
              <w:rPr>
                <w:rFonts w:ascii="Times New Roman" w:hAnsi="Times New Roman"/>
                <w:b/>
                <w:sz w:val="20"/>
              </w:rPr>
              <w:t>Net cash (used in) provided by financing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30,052</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Net change in cash and cash equivalents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(25,939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14,511</w:t>
            </w:r>
          </w:p>
        </w:tc>
        <w:tc>
          <w:tcPr>
            <w:tcW w:w="491" w:type="dxa"/>
            <w:tcBorders/>
            <w:shd w:fill="auto" w:val="clear"/>
            <w:vAlign w:val="center"/>
          </w:tcPr>
          <w:p>
            <w:pPr>
              <w:pStyle w:val="TableContents"/>
              <w:spacing w:lineRule="auto" w:line="312" w:before="0" w:after="0"/>
              <w:ind w:left="0" w:right="0" w:hanging="0"/>
              <w:jc w:val="left"/>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Cash and cash equivalents at beginning of period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61,511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21,237</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Cash and cash equivalents at end of period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35,572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35,748</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7362"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491" w:type="dxa"/>
            <w:tcBorders/>
            <w:shd w:fill="auto" w:val="clear"/>
            <w:vAlign w:val="center"/>
          </w:tcPr>
          <w:p>
            <w:pPr>
              <w:pStyle w:val="TableContents"/>
              <w:spacing w:lineRule="auto" w:line="312" w:before="0" w:after="0"/>
              <w:ind w:left="0" w:right="0" w:hanging="0"/>
              <w:jc w:val="right"/>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Supplemental disclosure of cash flow information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491" w:type="dxa"/>
            <w:tcBorders/>
            <w:shd w:fill="auto" w:val="clear"/>
            <w:vAlign w:val="center"/>
          </w:tcPr>
          <w:p>
            <w:pPr>
              <w:pStyle w:val="TableContents"/>
              <w:spacing w:lineRule="auto" w:line="312" w:before="0" w:after="0"/>
              <w:ind w:left="0" w:right="0" w:hanging="0"/>
              <w:jc w:val="right"/>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Cash paid for interest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1,548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623</w:t>
            </w:r>
          </w:p>
        </w:tc>
        <w:tc>
          <w:tcPr>
            <w:tcW w:w="491" w:type="dxa"/>
            <w:tcBorders/>
            <w:shd w:fill="auto" w:val="clear"/>
            <w:vAlign w:val="center"/>
          </w:tcPr>
          <w:p>
            <w:pPr>
              <w:pStyle w:val="TableContents"/>
              <w:spacing w:lineRule="auto" w:line="312" w:before="0" w:after="0"/>
              <w:ind w:left="0" w:right="0" w:hanging="0"/>
              <w:jc w:val="left"/>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Supplemental noncash disclosure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491" w:type="dxa"/>
            <w:tcBorders/>
            <w:shd w:fill="auto" w:val="clear"/>
            <w:vAlign w:val="center"/>
          </w:tcPr>
          <w:p>
            <w:pPr>
              <w:pStyle w:val="TableContents"/>
              <w:spacing w:lineRule="auto" w:line="312" w:before="0" w:after="0"/>
              <w:ind w:left="0" w:right="0" w:hanging="0"/>
              <w:jc w:val="right"/>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Acquisition of property and equipment included in accounts payable and accrued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66</w:t>
            </w:r>
          </w:p>
        </w:tc>
        <w:tc>
          <w:tcPr>
            <w:tcW w:w="491" w:type="dxa"/>
            <w:tcBorders/>
            <w:shd w:fill="auto" w:val="clear"/>
            <w:vAlign w:val="center"/>
          </w:tcPr>
          <w:p>
            <w:pPr>
              <w:pStyle w:val="TableContents"/>
              <w:spacing w:lineRule="auto" w:line="312" w:before="0" w:after="0"/>
              <w:ind w:left="0" w:right="0" w:hanging="0"/>
              <w:jc w:val="left"/>
              <w:rPr/>
            </w:pPr>
            <w:r>
              <w:rPr/>
              <w:t> </w:t>
            </w:r>
          </w:p>
        </w:tc>
      </w:tr>
      <w:tr>
        <w:trPr/>
        <w:tc>
          <w:tcPr>
            <w:tcW w:w="736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Unpaid initial public offering costs in accounts payable and accrued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2,764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pPr>
            <w:r>
              <w:rPr/>
              <w:t>—</w:t>
            </w:r>
          </w:p>
        </w:tc>
        <w:tc>
          <w:tcPr>
            <w:tcW w:w="49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center"/>
        <w:rPr/>
      </w:pPr>
      <w:r>
        <w:rPr/>
        <w:t> </w:t>
      </w:r>
    </w:p>
    <w:p>
      <w:pPr>
        <w:pStyle w:val="TextBody"/>
        <w:spacing w:lineRule="auto" w:line="312" w:before="40" w:after="0"/>
        <w:jc w:val="center"/>
        <w:rPr>
          <w:rFonts w:ascii="Times New Roman" w:hAnsi="Times New Roman"/>
          <w:b w:val="false"/>
          <w:sz w:val="20"/>
        </w:rPr>
      </w:pPr>
      <w:r>
        <w:rPr>
          <w:rFonts w:ascii="Times New Roman" w:hAnsi="Times New Roman"/>
          <w:b w:val="false"/>
          <w:sz w:val="20"/>
        </w:rPr>
        <w:t>The accompanying notes are an integral part of these condensed consolidated financial statements.</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sz w:val="20"/>
        </w:rPr>
      </w:pPr>
      <w:r>
        <w:rPr>
          <w:rFonts w:ascii="Times New Roman" w:hAnsi="Times New Roman"/>
          <w:b/>
          <w:sz w:val="20"/>
        </w:rPr>
        <w:t>SIGHT SCIENCES INC.</w:t>
      </w:r>
    </w:p>
    <w:p>
      <w:pPr>
        <w:pStyle w:val="TextBody"/>
        <w:spacing w:lineRule="auto" w:line="312" w:before="0" w:after="0"/>
        <w:jc w:val="center"/>
        <w:rPr>
          <w:rFonts w:ascii="Times New Roman" w:hAnsi="Times New Roman"/>
          <w:b/>
          <w:sz w:val="20"/>
        </w:rPr>
      </w:pPr>
      <w:bookmarkStart w:id="9" w:name="notes_to_financial_statements"/>
      <w:bookmarkEnd w:id="9"/>
      <w:r>
        <w:rPr>
          <w:rFonts w:ascii="Times New Roman" w:hAnsi="Times New Roman"/>
          <w:b/>
          <w:sz w:val="20"/>
        </w:rPr>
        <w:t>Notes to Condensed Consolidated Financial Statements (Unaudited)</w:t>
      </w:r>
    </w:p>
    <w:p>
      <w:pPr>
        <w:pStyle w:val="TextBody"/>
        <w:spacing w:lineRule="auto" w:line="312" w:before="0" w:after="0"/>
        <w:jc w:val="center"/>
        <w:rPr/>
      </w:pPr>
      <w:r>
        <w:rPr/>
        <w:t> </w:t>
      </w:r>
    </w:p>
    <w:p>
      <w:pPr>
        <w:pStyle w:val="TextBody"/>
        <w:spacing w:lineRule="auto" w:line="312" w:before="0" w:after="0"/>
        <w:ind w:left="0" w:right="0" w:hanging="0"/>
        <w:jc w:val="left"/>
        <w:rPr>
          <w:rFonts w:ascii="Times New Roman" w:hAnsi="Times New Roman"/>
          <w:b/>
          <w:sz w:val="20"/>
        </w:rPr>
      </w:pPr>
      <w:r>
        <w:rPr>
          <w:rFonts w:ascii="Times New Roman" w:hAnsi="Times New Roman"/>
          <w:b/>
          <w:sz w:val="20"/>
        </w:rPr>
        <w:t>Note 1. Company and Nature of Business</w:t>
      </w:r>
    </w:p>
    <w:p>
      <w:pPr>
        <w:pStyle w:val="TextBody"/>
        <w:spacing w:lineRule="atLeast" w:line="141" w:before="0" w:after="0"/>
        <w:ind w:left="0" w:right="0" w:hanging="0"/>
        <w:jc w:val="left"/>
        <w:rPr/>
      </w:pPr>
      <w:r>
        <w:rPr/>
        <w:t> </w:t>
      </w:r>
    </w:p>
    <w:p>
      <w:pPr>
        <w:pStyle w:val="TextBody"/>
        <w:spacing w:lineRule="auto" w:line="312" w:before="0" w:after="0"/>
        <w:ind w:left="0" w:right="0" w:hanging="0"/>
        <w:jc w:val="left"/>
        <w:rPr>
          <w:rFonts w:ascii="Times New Roman" w:hAnsi="Times New Roman"/>
          <w:b/>
          <w:i/>
          <w:sz w:val="20"/>
        </w:rPr>
      </w:pPr>
      <w:r>
        <w:rPr>
          <w:rFonts w:ascii="Times New Roman" w:hAnsi="Times New Roman"/>
          <w:b/>
          <w:i/>
          <w:sz w:val="20"/>
        </w:rPr>
        <w:t>Description of Business</w:t>
      </w:r>
    </w:p>
    <w:p>
      <w:pPr>
        <w:pStyle w:val="TextBody"/>
        <w:spacing w:lineRule="auto" w:line="312" w:before="0" w:after="0"/>
        <w:ind w:left="1120" w:right="0" w:hanging="0"/>
        <w:jc w:val="left"/>
        <w:rPr/>
      </w:pPr>
      <w:r>
        <w:rPr/>
        <w:t> </w:t>
      </w:r>
    </w:p>
    <w:p>
      <w:pPr>
        <w:pStyle w:val="TextBody"/>
        <w:spacing w:lineRule="auto" w:line="312" w:before="0" w:after="0"/>
        <w:ind w:left="0" w:right="0" w:firstLine="490"/>
        <w:jc w:val="left"/>
        <w:rPr>
          <w:rFonts w:ascii="Times New Roman" w:hAnsi="Times New Roman"/>
          <w:b w:val="false"/>
          <w:sz w:val="20"/>
        </w:rPr>
      </w:pPr>
      <w:r>
        <w:rPr>
          <w:rFonts w:ascii="Times New Roman" w:hAnsi="Times New Roman"/>
          <w:b w:val="false"/>
          <w:sz w:val="20"/>
        </w:rPr>
        <w:t>Sight Sciences, Inc. (the “Company”) was incorporated in the state of Delaware in 2010. The Company is an ophthalmic medical device company focused on the development and commercialization of surgical and nonsurgical technologies for the treatment of prevalent eye diseases. The Company’s surgical glaucoma product portfolio features the OMNI Surgical System, a device that facilitates the performance of both trabeculotomy and canaloplasty with a single device and single corneal incision. The Company’s nonsurgical dry eye product portfolio consists of the TearCare System ("TearCare") for ophthalmologists and optometrists. TearCare is a wearable eyelid technology that delivers highly targeted and adjustable heat to the meibomian glands of the eyelids.</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The Company is located and headquartered in Menlo Park, California. The Company also operates an office in Southlake, Texas.</w:t>
      </w:r>
      <w:r>
        <w:rPr>
          <w:rFonts w:ascii="Times New Roman" w:hAnsi="Times New Roman"/>
          <w:sz w:val="20"/>
        </w:rPr>
        <w:t xml:space="preserve"> </w:t>
      </w:r>
    </w:p>
    <w:p>
      <w:pPr>
        <w:pStyle w:val="TextBody"/>
        <w:spacing w:lineRule="auto" w:line="312" w:before="360" w:after="0"/>
        <w:ind w:left="0" w:right="0" w:hanging="0"/>
        <w:jc w:val="left"/>
        <w:rPr>
          <w:rFonts w:ascii="Times New Roman" w:hAnsi="Times New Roman"/>
          <w:b/>
          <w:i/>
          <w:sz w:val="20"/>
        </w:rPr>
      </w:pPr>
      <w:r>
        <w:rPr>
          <w:rFonts w:ascii="Times New Roman" w:hAnsi="Times New Roman"/>
          <w:b/>
          <w:i/>
          <w:sz w:val="20"/>
        </w:rPr>
        <w:t>Stock Split</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On July 7, 2021 the Company effected a 2-for-1 stock split of its issued and outstanding shares of common stock and a proportional adjustment to the existing conversion ratios for each series of the Company’s redeemable convertible preferred stock.</w:t>
      </w:r>
      <w:r>
        <w:rPr>
          <w:rFonts w:ascii="Times New Roman" w:hAnsi="Times New Roman"/>
          <w:sz w:val="20"/>
        </w:rPr>
        <w:t xml:space="preserve"> </w:t>
      </w:r>
      <w:r>
        <w:rPr>
          <w:rFonts w:ascii="Times New Roman" w:hAnsi="Times New Roman"/>
          <w:b w:val="false"/>
          <w:sz w:val="20"/>
        </w:rPr>
        <w:t>Accordingly, all share and per share amounts for all periods presented in the accompanying condensed consolidated financial statements and notes thereto have been adjusted retroactively, where applicable, to reflect this stock split and adjustment of the redeemable convertible preferred stock conversion ratios.</w:t>
      </w:r>
    </w:p>
    <w:p>
      <w:pPr>
        <w:pStyle w:val="TextBody"/>
        <w:spacing w:lineRule="auto" w:line="312" w:before="360" w:after="0"/>
        <w:ind w:left="0" w:right="0" w:hanging="0"/>
        <w:jc w:val="left"/>
        <w:rPr>
          <w:rFonts w:ascii="Times New Roman" w:hAnsi="Times New Roman"/>
          <w:b/>
          <w:i/>
          <w:sz w:val="20"/>
        </w:rPr>
      </w:pPr>
      <w:r>
        <w:rPr>
          <w:rFonts w:ascii="Times New Roman" w:hAnsi="Times New Roman"/>
          <w:b/>
          <w:i/>
          <w:sz w:val="20"/>
        </w:rPr>
        <w:t>Initial Public Offering</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On July 19, 2021, the Company closed its initial public offering (“IPO”) of its common stock in which the Company issued and sold 10,000,000</w:t>
      </w:r>
      <w:r>
        <w:rPr>
          <w:rFonts w:ascii="Times New Roman" w:hAnsi="Times New Roman"/>
          <w:sz w:val="20"/>
        </w:rPr>
        <w:t xml:space="preserve"> </w:t>
      </w:r>
      <w:r>
        <w:rPr>
          <w:rFonts w:ascii="Times New Roman" w:hAnsi="Times New Roman"/>
          <w:b w:val="false"/>
          <w:sz w:val="20"/>
        </w:rPr>
        <w:t>shares of its common stock, and sold an additional 1,500,000</w:t>
      </w:r>
      <w:r>
        <w:rPr>
          <w:rFonts w:ascii="Times New Roman" w:hAnsi="Times New Roman"/>
          <w:sz w:val="20"/>
        </w:rPr>
        <w:t xml:space="preserve"> </w:t>
      </w:r>
      <w:r>
        <w:rPr>
          <w:rFonts w:ascii="Times New Roman" w:hAnsi="Times New Roman"/>
          <w:b w:val="false"/>
          <w:sz w:val="20"/>
        </w:rPr>
        <w:t>shares of common stock upon the full exercise of the underwriters’ option to purchase additional shares at $24.00</w:t>
      </w:r>
      <w:r>
        <w:rPr>
          <w:rFonts w:ascii="Times New Roman" w:hAnsi="Times New Roman"/>
          <w:sz w:val="20"/>
        </w:rPr>
        <w:t xml:space="preserve"> </w:t>
      </w:r>
      <w:r>
        <w:rPr>
          <w:rFonts w:ascii="Times New Roman" w:hAnsi="Times New Roman"/>
          <w:b w:val="false"/>
          <w:sz w:val="20"/>
        </w:rPr>
        <w:t>per share, raising approximately $253.0</w:t>
      </w:r>
      <w:r>
        <w:rPr>
          <w:rFonts w:ascii="Times New Roman" w:hAnsi="Times New Roman"/>
          <w:sz w:val="20"/>
        </w:rPr>
        <w:t xml:space="preserve"> </w:t>
      </w:r>
      <w:r>
        <w:rPr>
          <w:rFonts w:ascii="Times New Roman" w:hAnsi="Times New Roman"/>
          <w:b w:val="false"/>
          <w:sz w:val="20"/>
        </w:rPr>
        <w:t>million in proceeds, net of underwriting discounts and commissions of $19.3</w:t>
      </w:r>
      <w:r>
        <w:rPr>
          <w:rFonts w:ascii="Times New Roman" w:hAnsi="Times New Roman"/>
          <w:sz w:val="20"/>
        </w:rPr>
        <w:t xml:space="preserve"> </w:t>
      </w:r>
      <w:r>
        <w:rPr>
          <w:rFonts w:ascii="Times New Roman" w:hAnsi="Times New Roman"/>
          <w:b w:val="false"/>
          <w:sz w:val="20"/>
        </w:rPr>
        <w:t>million and estimated offering costs of $3.7</w:t>
      </w:r>
      <w:r>
        <w:rPr>
          <w:rFonts w:ascii="Times New Roman" w:hAnsi="Times New Roman"/>
          <w:sz w:val="20"/>
        </w:rPr>
        <w:t xml:space="preserve"> </w:t>
      </w:r>
      <w:r>
        <w:rPr>
          <w:rFonts w:ascii="Times New Roman" w:hAnsi="Times New Roman"/>
          <w:b w:val="false"/>
          <w:sz w:val="20"/>
        </w:rPr>
        <w:t>million, of which $3.3</w:t>
      </w:r>
      <w:r>
        <w:rPr>
          <w:rFonts w:ascii="Times New Roman" w:hAnsi="Times New Roman"/>
          <w:sz w:val="20"/>
        </w:rPr>
        <w:t xml:space="preserve"> </w:t>
      </w:r>
      <w:r>
        <w:rPr>
          <w:rFonts w:ascii="Times New Roman" w:hAnsi="Times New Roman"/>
          <w:b w:val="false"/>
          <w:sz w:val="20"/>
        </w:rPr>
        <w:t>million were incurred as of June 30, 2021.</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Immediately prior to the closing of the IPO, all then-outstanding shares of redeemable convertible preferred stock were converted into 25,534,404</w:t>
      </w:r>
      <w:r>
        <w:rPr>
          <w:rFonts w:ascii="Times New Roman" w:hAnsi="Times New Roman"/>
          <w:sz w:val="20"/>
        </w:rPr>
        <w:t xml:space="preserve"> </w:t>
      </w:r>
      <w:r>
        <w:rPr>
          <w:rFonts w:ascii="Times New Roman" w:hAnsi="Times New Roman"/>
          <w:b w:val="false"/>
          <w:sz w:val="20"/>
        </w:rPr>
        <w:t>shares of common stock. Further, all outstanding redeemable convertible preferred stock warrants were converted into warrants to purchase 659,028</w:t>
      </w:r>
      <w:r>
        <w:rPr>
          <w:rFonts w:ascii="Times New Roman" w:hAnsi="Times New Roman"/>
          <w:sz w:val="20"/>
        </w:rPr>
        <w:t xml:space="preserve"> </w:t>
      </w:r>
      <w:r>
        <w:rPr>
          <w:rFonts w:ascii="Times New Roman" w:hAnsi="Times New Roman"/>
          <w:b w:val="false"/>
          <w:sz w:val="20"/>
        </w:rPr>
        <w:t>shares of common stock (see Note 9). The condensed consolidated financial statements as of June 30, 2021, including share and per share amounts, do not give effect to the IPO or the conversion of the convertible preferred stock into common stock, as the IPO and such conversions were completed subsequent to June 30, 2021.</w:t>
      </w:r>
    </w:p>
    <w:p>
      <w:pPr>
        <w:pStyle w:val="TextBody"/>
        <w:spacing w:lineRule="auto" w:line="312" w:before="360" w:after="0"/>
        <w:ind w:left="0" w:right="0" w:hanging="0"/>
        <w:jc w:val="left"/>
        <w:rPr>
          <w:rFonts w:ascii="Times New Roman" w:hAnsi="Times New Roman"/>
          <w:b/>
          <w:i/>
          <w:sz w:val="20"/>
        </w:rPr>
      </w:pPr>
      <w:r>
        <w:rPr>
          <w:rFonts w:ascii="Times New Roman" w:hAnsi="Times New Roman"/>
          <w:b/>
          <w:i/>
          <w:sz w:val="20"/>
        </w:rPr>
        <w:t>Significant Risks and Uncertainties</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Since inception, the Company has incurred losses and negative cash flows from operations. As of June 30, 2021, the Company had an accumulated deficit of $119.9</w:t>
      </w:r>
      <w:r>
        <w:rPr>
          <w:rFonts w:ascii="Times New Roman" w:hAnsi="Times New Roman"/>
          <w:sz w:val="20"/>
        </w:rPr>
        <w:t xml:space="preserve"> </w:t>
      </w:r>
      <w:r>
        <w:rPr>
          <w:rFonts w:ascii="Times New Roman" w:hAnsi="Times New Roman"/>
          <w:b w:val="false"/>
          <w:sz w:val="20"/>
        </w:rPr>
        <w:t>million and recorded a net loss of $29.9</w:t>
      </w:r>
      <w:r>
        <w:rPr>
          <w:rFonts w:ascii="Times New Roman" w:hAnsi="Times New Roman"/>
          <w:sz w:val="20"/>
        </w:rPr>
        <w:t xml:space="preserve"> </w:t>
      </w:r>
      <w:r>
        <w:rPr>
          <w:rFonts w:ascii="Times New Roman" w:hAnsi="Times New Roman"/>
          <w:b w:val="false"/>
          <w:sz w:val="20"/>
        </w:rPr>
        <w:t>million for the six months then ended and expects to incur future additional losses. If the Company’s revenue levels from its products are not sufficient or if the Company is unable to secure additional funding when desired, the Company may need to delay the development of its products and scale back its business and operations.</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Company believes that its existing sources of liquidity will satisfy its working capital and capital requirements for at least 12 months from the issuance of its financial statements. Failure to generate sufficient revenues, achieve planned gross margins, or control operating costs will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On March 11, 2020, the World Health Organization declared the coronavirus disease 2019 (“COVID-19”) outbreak a global pandemic recommending containment measures worldwide. On March 16, 2020 the Company implemented alternative work arrangements for its employees and limited its employees’ travel activities to protect its employees and to comply with the provisions described within the local shelter in place order. Certain U.S. federal, state and local governmental authorities issued other orders and directives, including restrictions on elective procedures and therapies, aimed at minimizing the spread of COVID-19. As such, the COVID-19 pandemic impacted and is expected to continue to impact demand for the Company’s products, which are used in procedures and therapies that are considered elective. Although some of the governmental restrictions have since been lifted or scaled back, recent and future surges of COVID-19, including recent surges in the delta variant of COVID-19, may result in restrictions being re-implemented in response to efforts to reduce the spread of COVID-19.</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ultimate impact of the COVID-19 pandemic on the Company’s operations is unknown and will depend on future developments which are highly uncertain and cannot be predicted with confidence, including the duration and severity of the COVID-19 outbreak (including prevalence and effect of the delta variant and other potential COVID-19 variants), the status of health and safety actions taken to contain its spread and any additional preventative and protective actions that governments, or the Company, may direct, any resurgence of COVID-19 that may occur and how quickly and to what extent economic and operating conditions normalize within the markets in which the Company operates. The COVID-19 pandemic could disrupt the operations of the Company’s third-party manufacturers and other suppliers. Although the Company has not experienced disruptions in its supply chain to date, it cannot predict how long the pandemic and measures intended to contain the spread of COVID-19 will continue and what effect COVID-19 and the associated containment measures will have on our suppliers and vendors, in particular for any of the Company’s suppliers and vendors that may not qualify as essential businesses and suffer more significant disruptions to their business operations. The Company is working closely with its manufacturing partners and suppliers to help ensure the Company is able to source key components and maintain appropriate inventory levels to meet customer demand.</w:t>
      </w:r>
    </w:p>
    <w:p>
      <w:pPr>
        <w:pStyle w:val="TextBody"/>
        <w:spacing w:lineRule="auto" w:line="312" w:before="360" w:after="0"/>
        <w:ind w:left="0" w:right="0" w:hanging="0"/>
        <w:jc w:val="left"/>
        <w:rPr>
          <w:rFonts w:ascii="Times New Roman" w:hAnsi="Times New Roman"/>
          <w:b/>
          <w:sz w:val="20"/>
        </w:rPr>
      </w:pPr>
      <w:r>
        <w:rPr>
          <w:rFonts w:ascii="Times New Roman" w:hAnsi="Times New Roman"/>
          <w:b/>
          <w:sz w:val="20"/>
        </w:rPr>
        <w:t>Note 2. Summary of Significant Accounting Policies</w:t>
      </w:r>
    </w:p>
    <w:p>
      <w:pPr>
        <w:pStyle w:val="TextBody"/>
        <w:spacing w:lineRule="auto" w:line="312" w:before="120" w:after="0"/>
        <w:ind w:left="0" w:right="0" w:hanging="0"/>
        <w:jc w:val="left"/>
        <w:rPr>
          <w:rFonts w:ascii="Times New Roman" w:hAnsi="Times New Roman"/>
          <w:b/>
          <w:i/>
          <w:sz w:val="20"/>
        </w:rPr>
      </w:pPr>
      <w:r>
        <w:rPr>
          <w:rFonts w:ascii="Times New Roman" w:hAnsi="Times New Roman"/>
          <w:b/>
          <w:i/>
          <w:sz w:val="20"/>
        </w:rPr>
        <w:t>Basis of Presentation</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accompanying condensed consolidated financial statements are unaudited and have been prepared in accordance with generally accepted accounting principles in the United States of America (“GAAP”) applicable to interim periods. The condensed consolidated financial statements, in the opinion of management, include all normal and recurring adjustments necessary to present fairly the Company’s financial position and results of operations for the reported periods. These condensed consolidated financial statements have been prepared on a basis substantially consistent with, and should be read in conjunction with the audited financial statements for the year ended December 31, 2020 and notes thereto included in the prospectus, dated July 14, 2021, filed with the Securities and Exchange Commission ("SEC") in accordance with Rule 424(b) of the Securities Act on July 15, 2021 (the "Prospectus") in connection with our IPO that forms a part of the Company's Registration Statements on Form S-1 (File No. 333-257320), as filed with the SEC pursuant to Rule 424(b)(4) promulgated under the Securities Act, as amended. Certain information and note disclosures normally included in the audited financial statements prepared in accordance with GAAP have been condensed or omitted from this report. The results of operations for any interim period are not necessarily indicative of the results for the year ending December 31, 2021, or for any future period.</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accompanying condensed consolidated financial statements reflect the operations of the Company and its wholly-owned subsidiaries. All intercompany accounts and transactions have been eliminated.</w:t>
      </w:r>
    </w:p>
    <w:p>
      <w:pPr>
        <w:pStyle w:val="TextBody"/>
        <w:spacing w:lineRule="auto" w:line="312" w:before="360" w:after="0"/>
        <w:ind w:left="0" w:right="0" w:hanging="0"/>
        <w:jc w:val="left"/>
        <w:rPr>
          <w:rFonts w:ascii="Times New Roman" w:hAnsi="Times New Roman"/>
          <w:b/>
          <w:i/>
          <w:sz w:val="20"/>
        </w:rPr>
      </w:pPr>
      <w:r>
        <w:rPr>
          <w:rFonts w:ascii="Times New Roman" w:hAnsi="Times New Roman"/>
          <w:b/>
          <w:i/>
          <w:sz w:val="20"/>
        </w:rPr>
        <w:t>Use of Estimates</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 during the reporting period. The most significant estimates related to inventory excess and obsolescence, the selection of useful lives of property and equipment, determination of the fair value of stock option grants, the fair value of the redeemable convertible preferred stock warrants, and provisions for income taxes and contingencies. Management evaluates its estimates and assumptions on an ongoing basis using historical experience and other factors, including the current economic</w:t>
      </w:r>
      <w:r>
        <w:rPr>
          <w:rFonts w:ascii="Times New Roman" w:hAnsi="Times New Roman"/>
          <w:sz w:val="20"/>
        </w:rPr>
        <w:t xml:space="preserve"> </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120" w:after="0"/>
        <w:ind w:left="0" w:right="0" w:hanging="0"/>
        <w:jc w:val="left"/>
        <w:rPr>
          <w:rFonts w:ascii="Times New Roman" w:hAnsi="Times New Roman"/>
          <w:b w:val="false"/>
          <w:sz w:val="20"/>
        </w:rPr>
      </w:pPr>
      <w:r>
        <w:rPr>
          <w:rFonts w:ascii="Times New Roman" w:hAnsi="Times New Roman"/>
          <w:b w:val="false"/>
          <w:sz w:val="20"/>
        </w:rPr>
        <w:t>environment, and makes adjustments when facts and circumstances dictate. These estimates are based on information available as of the date of the financial statements. Actual results could differ from these estimates and such differences could be material to the Company’s financial position and results of operations.</w:t>
      </w:r>
    </w:p>
    <w:p>
      <w:pPr>
        <w:pStyle w:val="TextBody"/>
        <w:spacing w:lineRule="auto" w:line="312" w:before="360" w:after="0"/>
        <w:ind w:left="0" w:right="0" w:hanging="0"/>
        <w:jc w:val="left"/>
        <w:rPr>
          <w:rFonts w:ascii="Times New Roman" w:hAnsi="Times New Roman"/>
          <w:b/>
          <w:i/>
          <w:sz w:val="20"/>
        </w:rPr>
      </w:pPr>
      <w:r>
        <w:rPr>
          <w:rFonts w:ascii="Times New Roman" w:hAnsi="Times New Roman"/>
          <w:b/>
          <w:i/>
          <w:sz w:val="20"/>
        </w:rPr>
        <w:t>Fair Value of Financial Instruments</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Company’s financial instruments consist of cash and cash equivalents, accounts receivable, accounts payable, accrued liabilities, redeemable convertible preferred stock, short-term and long-term debt and redeemable convertible preferred stock warrant liability. The Company states accounts receivable, accounts payable, and accrued and other current liabilities at their carrying value, which approximates fair value due to the short time to the expected receipt or payment. The carrying amount of the Company’s short-term debt approximates its fair value as the effective interest rate approximates market rates currently available to the Company. The redeemable convertible preferred stock warrant liability associated with the Company’s redeemable convertible preferred stock is carried at fair value based on unobservable market inputs.</w:t>
      </w:r>
    </w:p>
    <w:p>
      <w:pPr>
        <w:pStyle w:val="TextBody"/>
        <w:spacing w:lineRule="auto" w:line="312" w:before="360" w:after="0"/>
        <w:ind w:left="0" w:right="0" w:hanging="0"/>
        <w:jc w:val="left"/>
        <w:rPr>
          <w:rFonts w:ascii="Times New Roman" w:hAnsi="Times New Roman"/>
          <w:b/>
          <w:i/>
          <w:sz w:val="20"/>
        </w:rPr>
      </w:pPr>
      <w:r>
        <w:rPr>
          <w:rFonts w:ascii="Times New Roman" w:hAnsi="Times New Roman"/>
          <w:b/>
          <w:i/>
          <w:sz w:val="20"/>
        </w:rPr>
        <w:t>Deferred Offering Costs</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Deferred offering costs, consisting of legal, accounting and other fees and costs relating to the Company’s IPO, were deferred until completion of the IPO. As of June 30, 2021 and December 31, 2020 deferred offering costs of $3.3</w:t>
      </w:r>
      <w:r>
        <w:rPr>
          <w:rFonts w:ascii="Times New Roman" w:hAnsi="Times New Roman"/>
          <w:sz w:val="20"/>
        </w:rPr>
        <w:t xml:space="preserve"> </w:t>
      </w:r>
      <w:r>
        <w:rPr>
          <w:rFonts w:ascii="Times New Roman" w:hAnsi="Times New Roman"/>
          <w:b w:val="false"/>
          <w:sz w:val="20"/>
        </w:rPr>
        <w:t>million and $0.4</w:t>
      </w:r>
      <w:r>
        <w:rPr>
          <w:rFonts w:ascii="Times New Roman" w:hAnsi="Times New Roman"/>
          <w:sz w:val="20"/>
        </w:rPr>
        <w:t xml:space="preserve"> </w:t>
      </w:r>
      <w:r>
        <w:rPr>
          <w:rFonts w:ascii="Times New Roman" w:hAnsi="Times New Roman"/>
          <w:b w:val="false"/>
          <w:sz w:val="20"/>
        </w:rPr>
        <w:t>million, respectively, were capitalized and are included in “Other noncurrent assets”. In July 2021, upon closing of the IPO, all deferred costs were offset against the Company's IPO proceeds.</w:t>
      </w:r>
      <w:r>
        <w:rPr>
          <w:rFonts w:ascii="Times New Roman" w:hAnsi="Times New Roman"/>
          <w:sz w:val="20"/>
        </w:rPr>
        <w:t xml:space="preserve"> </w:t>
      </w:r>
    </w:p>
    <w:p>
      <w:pPr>
        <w:pStyle w:val="TextBody"/>
        <w:spacing w:lineRule="auto" w:line="312" w:before="360" w:after="0"/>
        <w:ind w:left="0" w:right="0" w:hanging="0"/>
        <w:jc w:val="left"/>
        <w:rPr>
          <w:rFonts w:ascii="Times New Roman" w:hAnsi="Times New Roman"/>
          <w:b/>
          <w:i/>
          <w:sz w:val="20"/>
        </w:rPr>
      </w:pPr>
      <w:r>
        <w:rPr>
          <w:rFonts w:ascii="Times New Roman" w:hAnsi="Times New Roman"/>
          <w:b/>
          <w:i/>
          <w:sz w:val="20"/>
        </w:rPr>
        <w:t>Accounting for Payroll Protection Program</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In March 2020, Congress established the Paycheck Protection Program (“PPP”) to provide relief to small businesses during COVID-19 as part of the Coronavirus Aid, Relief, and Economic Security (“CARES”) Act. The legislation authorized the U.S. Treasury to use the Small Business Association’s (“SBA’s”) small business lending program to fund forgivable loans that qualifying businesses could spend to cover payroll, mortgage interest, rent, and utilities during the “Covered Period” defined as the 8-week period starting on the date the PPP loan proceeds are received. Upon meeting certain criteria as specified in the PPP program, the loans are eligible for partial or total forgiveness. In May 2020, the Company applied for and received a PPP loan for the amount $2.2</w:t>
      </w:r>
      <w:r>
        <w:rPr>
          <w:rFonts w:ascii="Times New Roman" w:hAnsi="Times New Roman"/>
          <w:sz w:val="20"/>
        </w:rPr>
        <w:t xml:space="preserve"> </w:t>
      </w:r>
      <w:r>
        <w:rPr>
          <w:rFonts w:ascii="Times New Roman" w:hAnsi="Times New Roman"/>
          <w:b w:val="false"/>
          <w:sz w:val="20"/>
        </w:rPr>
        <w:t>million from SBA. We believe we have satisfied all of the terms and conditions of the PPP loan and applied for loan forgiveness in September 2020. The PPP loan was forgiven in June 2021.</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 xml:space="preserve">GAAP does not contain authoritative accounting standards for forgivable loans provided by governmental entities to a for-profit entity. Absent authoritative accounting standards, interpretative guidance issued and commonly applied by financial statement preparers allows for the selection of accounting policies amongst acceptable alternatives. The Company determined it most appropriate to account for the PPP loan proceeds as an in-substance government grant by analogy to International Accounting Standards 20 (“IAS 20”) </w:t>
      </w:r>
      <w:r>
        <w:rPr>
          <w:rFonts w:ascii="Times New Roman" w:hAnsi="Times New Roman"/>
          <w:b w:val="false"/>
          <w:i/>
          <w:sz w:val="20"/>
        </w:rPr>
        <w:t>Accounting for Government Grants and Disclosure of Government Assistance</w:t>
      </w:r>
      <w:r>
        <w:rPr>
          <w:rFonts w:ascii="Times New Roman" w:hAnsi="Times New Roman"/>
          <w:b w:val="false"/>
          <w:sz w:val="20"/>
        </w:rPr>
        <w:t>. Under this guidance, a forgivable loan from government is treated as a government grant when there is reasonable assurance that the entity will meet the terms for forgiveness of the loan. While IAS 20 does not define “reasonable assurance”, this concept in practice is analogous to “probable” as defined in Financial Accounting Standards Board (“FASB”) ASC 450-20-20 under GAAP, which is the definition the Company has applied to its expectations of PPP loan forgiveness. Under IAS 20, government grants are recognized in earnings on a systematic basis over the periods in which the Company recognizes costs for which the grant is intended to compensate (i.e. qualified expenses). Further, IAS 20 permits for the recognition in earnings either separately under a general heading such as other income, or as a reduction of the related expenses.</w:t>
      </w:r>
    </w:p>
    <w:p>
      <w:pPr>
        <w:pStyle w:val="TextBody"/>
        <w:spacing w:lineRule="auto" w:line="312" w:before="360" w:after="0"/>
        <w:ind w:left="0" w:right="0" w:hanging="0"/>
        <w:jc w:val="left"/>
        <w:rPr>
          <w:rFonts w:ascii="Times New Roman" w:hAnsi="Times New Roman"/>
          <w:b/>
          <w:i/>
          <w:sz w:val="20"/>
        </w:rPr>
      </w:pPr>
      <w:r>
        <w:rPr>
          <w:rFonts w:ascii="Times New Roman" w:hAnsi="Times New Roman"/>
          <w:b/>
          <w:i/>
          <w:sz w:val="20"/>
        </w:rPr>
        <w:t>New Accounting Pronouncements Not Yet Adopted</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 xml:space="preserve">In June 2016, the FASB issued ASU No. 2016-13, </w:t>
      </w:r>
      <w:r>
        <w:rPr>
          <w:rFonts w:ascii="Times New Roman" w:hAnsi="Times New Roman"/>
          <w:b w:val="false"/>
          <w:i/>
          <w:sz w:val="20"/>
        </w:rPr>
        <w:t>Financial Instruments—Credit Losses (Topic 326): Measurement of Credit Losses on Financial Instruments</w:t>
      </w:r>
      <w:r>
        <w:rPr>
          <w:rFonts w:ascii="Times New Roman" w:hAnsi="Times New Roman"/>
          <w:b w:val="false"/>
          <w:sz w:val="20"/>
        </w:rPr>
        <w:t>, which amends the impairment model by requiring entities to use a forward-looking approach based on expected losses to estimate credit losses on certain types of financial instruments, including trade receivables and available-for-sale debt securities. The guidance is effective for the</w:t>
      </w:r>
      <w:r>
        <w:rPr>
          <w:rFonts w:ascii="Times New Roman" w:hAnsi="Times New Roman"/>
          <w:sz w:val="20"/>
        </w:rPr>
        <w:t xml:space="preserve"> </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120" w:after="0"/>
        <w:ind w:left="0" w:right="0" w:hanging="0"/>
        <w:jc w:val="left"/>
        <w:rPr>
          <w:rFonts w:ascii="Times New Roman" w:hAnsi="Times New Roman"/>
          <w:b w:val="false"/>
          <w:sz w:val="20"/>
        </w:rPr>
      </w:pPr>
      <w:r>
        <w:rPr>
          <w:rFonts w:ascii="Times New Roman" w:hAnsi="Times New Roman"/>
          <w:b w:val="false"/>
          <w:sz w:val="20"/>
        </w:rPr>
        <w:t>Company beginning in the first quarter of 2023. The Company is evaluating the impact of adopting this guidance and does not expect to have a material impact on the Company’s financial statements and related disclosures.</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 xml:space="preserve">In December 2019, the FASB issued ASU No. 2019-12, </w:t>
      </w:r>
      <w:r>
        <w:rPr>
          <w:rFonts w:ascii="Times New Roman" w:hAnsi="Times New Roman"/>
          <w:b w:val="false"/>
          <w:i/>
          <w:sz w:val="20"/>
        </w:rPr>
        <w:t>Income Taxes (Topic 740): Simplifying the Accounting for Income Taxes</w:t>
      </w:r>
      <w:r>
        <w:rPr>
          <w:rFonts w:ascii="Times New Roman" w:hAnsi="Times New Roman"/>
          <w:b w:val="false"/>
          <w:sz w:val="20"/>
        </w:rPr>
        <w:t>, that simplifies the accounting for income taxes by eliminating certain exceptions related to the approach for intra-period tax allocation and modified the methodology for calculating income taxes in an interim period. It also clarifies and simplifies other aspects of the accounting for income taxes. The guidance is effective for the Company for fiscal years beginning after December 15, 2021, and interim periods within fiscal years beginning after December 15, 2022 with early adoption permitted. The Company is evaluating the effect of this new guidance and does not expect it to have material impact on the Company’s financial statements.</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 xml:space="preserve">In March 2020, the FASB issued ASU No. 2020-04, </w:t>
      </w:r>
      <w:r>
        <w:rPr>
          <w:rFonts w:ascii="Times New Roman" w:hAnsi="Times New Roman"/>
          <w:b w:val="false"/>
          <w:i/>
          <w:sz w:val="20"/>
        </w:rPr>
        <w:t>Reference Rate Reform (Topic 848): Facilitation of the Effects of Reference Rate Reform on Financial Reporting</w:t>
      </w:r>
      <w:r>
        <w:rPr>
          <w:rFonts w:ascii="Times New Roman" w:hAnsi="Times New Roman"/>
          <w:b w:val="false"/>
          <w:sz w:val="20"/>
        </w:rPr>
        <w:t>. The new guidance provides optional expedients and exceptions for applying generally accepted accounting principles to contract modifications and hedging relationships, subject to meeting certain criteria, that reference LIBOR or another reference rate expected to be discontinued. The guidance also establishes (1) a general contract modification principle that entities can apply in other areas that may be affected by reference rate reform and (2) certain elective hedge accounting expedients. The amendment is effective for all entities through December 31, 2022. LIBOR is used to calculate the interest on borrowings under the Company’s term loan and revolving line of credit with MidCap Financial Services. The Company is evaluating the effect of this new guidance and does not expect it to have material impact on the Company’s financial statements.</w:t>
      </w:r>
      <w:r>
        <w:rPr>
          <w:rFonts w:ascii="Times New Roman" w:hAnsi="Times New Roman"/>
          <w:sz w:val="20"/>
        </w:rPr>
        <w:t> </w:t>
      </w:r>
    </w:p>
    <w:p>
      <w:pPr>
        <w:pStyle w:val="TextBody"/>
        <w:spacing w:lineRule="auto" w:line="312" w:before="360" w:after="0"/>
        <w:ind w:left="0" w:right="0" w:hanging="0"/>
        <w:jc w:val="left"/>
        <w:rPr>
          <w:rFonts w:ascii="Times New Roman" w:hAnsi="Times New Roman"/>
          <w:b/>
          <w:sz w:val="20"/>
        </w:rPr>
      </w:pPr>
      <w:r>
        <w:rPr>
          <w:rFonts w:ascii="Times New Roman" w:hAnsi="Times New Roman"/>
          <w:b/>
          <w:sz w:val="20"/>
        </w:rPr>
        <w:t>Note 3. Fair Value Measurements</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Level 1—Inputs are quoted prices (unadjusted) in active markets for identical assets or liabilities that the Company has the ability to access at the measurement date.</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financial statements as of June 30, 2021 and December 31, 2020, do not include any nonrecurring fair value measurements relating to assets or liabilities.</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fair value measurements of liabilities that are measured at fair value on a recurring basis at June 30, 2021 and December 31, 2020, are as follows (in thousands):</w:t>
      </w:r>
    </w:p>
    <w:p>
      <w:pPr>
        <w:pStyle w:val="TextBody"/>
        <w:spacing w:lineRule="auto" w:line="312" w:before="120" w:after="0"/>
        <w:ind w:left="0" w:right="0" w:hanging="0"/>
        <w:jc w:val="left"/>
        <w:rPr/>
      </w:pPr>
      <w:r>
        <w:rPr/>
        <w:t> </w:t>
      </w:r>
    </w:p>
    <w:tbl>
      <w:tblPr>
        <w:tblW w:w="9208" w:type="dxa"/>
        <w:jc w:val="left"/>
        <w:tblInd w:w="0" w:type="dxa"/>
        <w:tblCellMar>
          <w:top w:w="28" w:type="dxa"/>
          <w:left w:w="28" w:type="dxa"/>
          <w:bottom w:w="28" w:type="dxa"/>
          <w:right w:w="28" w:type="dxa"/>
        </w:tblCellMar>
      </w:tblPr>
      <w:tblGrid>
        <w:gridCol w:w="4891"/>
        <w:gridCol w:w="146"/>
        <w:gridCol w:w="239"/>
        <w:gridCol w:w="391"/>
        <w:gridCol w:w="146"/>
        <w:gridCol w:w="146"/>
        <w:gridCol w:w="239"/>
        <w:gridCol w:w="391"/>
        <w:gridCol w:w="146"/>
        <w:gridCol w:w="146"/>
        <w:gridCol w:w="211"/>
        <w:gridCol w:w="571"/>
        <w:gridCol w:w="146"/>
        <w:gridCol w:w="146"/>
        <w:gridCol w:w="211"/>
        <w:gridCol w:w="571"/>
        <w:gridCol w:w="471"/>
      </w:tblGrid>
      <w:tr>
        <w:trPr/>
        <w:tc>
          <w:tcPr>
            <w:tcW w:w="4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489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700"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As of June 30, 2021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89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Total</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8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0"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0"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82"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82"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hanging="0"/>
              <w:jc w:val="right"/>
              <w:rPr/>
            </w:pPr>
            <w:r>
              <w:rPr/>
              <w:t> </w:t>
            </w:r>
          </w:p>
        </w:tc>
      </w:tr>
      <w:tr>
        <w:trPr/>
        <w:tc>
          <w:tcPr>
            <w:tcW w:w="48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Redeemable convertible preferred stock warrants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6,984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6,984</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4891"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liabilities measured at fair value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6,984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6,984</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ind w:left="0" w:right="0" w:hanging="0"/>
        <w:jc w:val="left"/>
        <w:rPr/>
      </w:pPr>
      <w:r>
        <w:rPr/>
        <w:t> </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120" w:after="0"/>
        <w:ind w:left="0" w:right="0" w:firstLine="490"/>
        <w:jc w:val="left"/>
        <w:rPr/>
      </w:pPr>
      <w:r>
        <w:rPr/>
        <w:t> </w:t>
      </w:r>
    </w:p>
    <w:tbl>
      <w:tblPr>
        <w:tblW w:w="9208" w:type="dxa"/>
        <w:jc w:val="left"/>
        <w:tblInd w:w="0" w:type="dxa"/>
        <w:tblCellMar>
          <w:top w:w="28" w:type="dxa"/>
          <w:left w:w="28" w:type="dxa"/>
          <w:bottom w:w="28" w:type="dxa"/>
          <w:right w:w="28" w:type="dxa"/>
        </w:tblCellMar>
      </w:tblPr>
      <w:tblGrid>
        <w:gridCol w:w="4891"/>
        <w:gridCol w:w="146"/>
        <w:gridCol w:w="239"/>
        <w:gridCol w:w="391"/>
        <w:gridCol w:w="146"/>
        <w:gridCol w:w="146"/>
        <w:gridCol w:w="239"/>
        <w:gridCol w:w="391"/>
        <w:gridCol w:w="146"/>
        <w:gridCol w:w="146"/>
        <w:gridCol w:w="211"/>
        <w:gridCol w:w="571"/>
        <w:gridCol w:w="146"/>
        <w:gridCol w:w="146"/>
        <w:gridCol w:w="211"/>
        <w:gridCol w:w="571"/>
        <w:gridCol w:w="471"/>
      </w:tblGrid>
      <w:tr>
        <w:trPr/>
        <w:tc>
          <w:tcPr>
            <w:tcW w:w="48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489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700"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As of December 31, 2020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89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Total</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8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0"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0"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82"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82"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hanging="0"/>
              <w:jc w:val="right"/>
              <w:rPr/>
            </w:pPr>
            <w:r>
              <w:rPr/>
              <w:t> </w:t>
            </w:r>
          </w:p>
        </w:tc>
      </w:tr>
      <w:tr>
        <w:trPr/>
        <w:tc>
          <w:tcPr>
            <w:tcW w:w="48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Redeemable convertible preferred stock warrants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2,112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2,112</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4891"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liabilities measured at fair value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2,112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2,112</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20" w:after="0"/>
        <w:ind w:left="0" w:right="0" w:firstLine="490"/>
        <w:jc w:val="left"/>
        <w:rPr/>
      </w:pPr>
      <w:r>
        <w:rPr/>
        <w:t> </w:t>
      </w:r>
    </w:p>
    <w:p>
      <w:pPr>
        <w:pStyle w:val="TextBody"/>
        <w:spacing w:lineRule="auto" w:line="312" w:before="0" w:after="0"/>
        <w:ind w:left="0" w:right="0" w:firstLine="490"/>
        <w:jc w:val="left"/>
        <w:rPr>
          <w:rFonts w:ascii="Times New Roman" w:hAnsi="Times New Roman"/>
          <w:b w:val="false"/>
          <w:sz w:val="20"/>
        </w:rPr>
      </w:pPr>
      <w:r>
        <w:rPr>
          <w:rFonts w:ascii="Times New Roman" w:hAnsi="Times New Roman"/>
          <w:b w:val="false"/>
          <w:sz w:val="20"/>
        </w:rPr>
        <w:t>The Company measures the redeemable convertible preferred stock warrants using Level 3 unobservable inputs within the Black-Scholes option-pricing model. The key assumptions include the fair value of redeemable convertible preferred stock, volatility, the risk-free interest rate, expected term (remaining contractual term of the warrants) and dividend yield. The Company has limited historical volatility information available, and the expected volatility was based on actual volatility for comparable public companies projected over the expected terms of the warrants. The Company did not apply a forfeiture rate to the warrants as there is not enough historical information available to estimate such a rate. The risk-free interest rate was based on the U.S. Treasury yield curve at the time of the grant over the expected term of the warrants. Refer to Note 9 for the assumptions used.</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The Company measures the fair value of outstanding debt for disclosure purposes on a recurring basis. As of June 30, 2021 and December 31, 2020, total debt of $32.3</w:t>
      </w:r>
      <w:r>
        <w:rPr>
          <w:rFonts w:ascii="Times New Roman" w:hAnsi="Times New Roman"/>
          <w:sz w:val="20"/>
        </w:rPr>
        <w:t xml:space="preserve"> </w:t>
      </w:r>
      <w:r>
        <w:rPr>
          <w:rFonts w:ascii="Times New Roman" w:hAnsi="Times New Roman"/>
          <w:b w:val="false"/>
          <w:sz w:val="20"/>
        </w:rPr>
        <w:t>million and $31.9</w:t>
      </w:r>
      <w:r>
        <w:rPr>
          <w:rFonts w:ascii="Times New Roman" w:hAnsi="Times New Roman"/>
          <w:sz w:val="20"/>
        </w:rPr>
        <w:t xml:space="preserve"> </w:t>
      </w:r>
      <w:r>
        <w:rPr>
          <w:rFonts w:ascii="Times New Roman" w:hAnsi="Times New Roman"/>
          <w:b w:val="false"/>
          <w:sz w:val="20"/>
        </w:rPr>
        <w:t>million is reported at amortized cost, respectively. This outstanding debt is classified as Level 2 as it is not actively traded. The amortized cost of the outstanding debt approximates the fair value.</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Company determines the fair value of the redeemable convertible preferred stock warrants quarterly, with subsequent gains and losses from remeasurement of Level 3 financial liabilities recorded through other income (expense), net in condensed statements of operations and comprehensive loss.</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A summary of the changes in the fair value of the Company’s Level 3 financial instruments for the three and six months ended June 30, 2021 and 2020, is as follows (in thousands):</w:t>
      </w:r>
    </w:p>
    <w:p>
      <w:pPr>
        <w:pStyle w:val="TextBody"/>
        <w:spacing w:lineRule="auto" w:line="312" w:before="120" w:after="0"/>
        <w:ind w:left="0" w:right="0" w:firstLine="490"/>
        <w:jc w:val="left"/>
        <w:rPr/>
      </w:pPr>
      <w:r>
        <w:rPr/>
        <w:t> </w:t>
      </w:r>
    </w:p>
    <w:tbl>
      <w:tblPr>
        <w:tblW w:w="7288" w:type="dxa"/>
        <w:jc w:val="left"/>
        <w:tblInd w:w="0" w:type="dxa"/>
        <w:tblCellMar>
          <w:top w:w="28" w:type="dxa"/>
          <w:left w:w="28" w:type="dxa"/>
          <w:bottom w:w="28" w:type="dxa"/>
          <w:right w:w="28" w:type="dxa"/>
        </w:tblCellMar>
      </w:tblPr>
      <w:tblGrid>
        <w:gridCol w:w="2551"/>
        <w:gridCol w:w="146"/>
        <w:gridCol w:w="1180"/>
        <w:gridCol w:w="3200"/>
        <w:gridCol w:w="211"/>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320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38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Redeemable convertible preferred stock warrants liabilities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8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20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2,112</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Change in fair value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8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20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(555</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March 31, 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80" w:type="dxa"/>
            <w:tcBorders/>
            <w:shd w:fill="auto" w:val="clear"/>
            <w:vAlign w:val="center"/>
          </w:tcPr>
          <w:p>
            <w:pPr>
              <w:pStyle w:val="TableContents"/>
              <w:spacing w:lineRule="auto" w:line="312" w:before="0" w:after="0"/>
              <w:ind w:left="0" w:right="0" w:hanging="0"/>
              <w:jc w:val="left"/>
              <w:rPr/>
            </w:pPr>
            <w:r>
              <w:rPr/>
              <w:t> </w:t>
            </w:r>
          </w:p>
        </w:tc>
        <w:tc>
          <w:tcPr>
            <w:tcW w:w="320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1,557</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Change in fair value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8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20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5,427</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June 30, 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8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20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6,984</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20" w:after="0"/>
        <w:ind w:left="0" w:right="0" w:firstLine="490"/>
        <w:jc w:val="left"/>
        <w:rPr/>
      </w:pPr>
      <w:r>
        <w:rPr/>
        <w:t> </w:t>
      </w:r>
    </w:p>
    <w:tbl>
      <w:tblPr>
        <w:tblW w:w="7288" w:type="dxa"/>
        <w:jc w:val="left"/>
        <w:tblInd w:w="0" w:type="dxa"/>
        <w:tblCellMar>
          <w:top w:w="28" w:type="dxa"/>
          <w:left w:w="28" w:type="dxa"/>
          <w:bottom w:w="28" w:type="dxa"/>
          <w:right w:w="28" w:type="dxa"/>
        </w:tblCellMar>
      </w:tblPr>
      <w:tblGrid>
        <w:gridCol w:w="2551"/>
        <w:gridCol w:w="146"/>
        <w:gridCol w:w="1458"/>
        <w:gridCol w:w="2922"/>
        <w:gridCol w:w="211"/>
      </w:tblGrid>
      <w:tr>
        <w:trPr/>
        <w:tc>
          <w:tcPr>
            <w:tcW w:w="2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58" w:type="dxa"/>
            <w:tcBorders/>
            <w:shd w:fill="auto" w:val="clear"/>
            <w:vAlign w:val="center"/>
          </w:tcPr>
          <w:p>
            <w:pPr>
              <w:pStyle w:val="TableContents"/>
              <w:spacing w:before="0" w:after="283"/>
              <w:rPr>
                <w:sz w:val="4"/>
                <w:szCs w:val="4"/>
              </w:rPr>
            </w:pPr>
            <w:r>
              <w:rPr>
                <w:sz w:val="4"/>
                <w:szCs w:val="4"/>
              </w:rPr>
            </w:r>
          </w:p>
        </w:tc>
        <w:tc>
          <w:tcPr>
            <w:tcW w:w="292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55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38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Redeemable convertible preferred stock warrants liabilities</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December 31, 2019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5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292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236</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Change in fair value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5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2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(92</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March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58" w:type="dxa"/>
            <w:tcBorders/>
            <w:shd w:fill="auto" w:val="clear"/>
            <w:vAlign w:val="center"/>
          </w:tcPr>
          <w:p>
            <w:pPr>
              <w:pStyle w:val="TableContents"/>
              <w:spacing w:lineRule="auto" w:line="312" w:before="0" w:after="0"/>
              <w:ind w:left="0" w:right="0" w:hanging="0"/>
              <w:jc w:val="left"/>
              <w:rPr/>
            </w:pPr>
            <w:r>
              <w:rPr/>
              <w:t> </w:t>
            </w:r>
          </w:p>
        </w:tc>
        <w:tc>
          <w:tcPr>
            <w:tcW w:w="292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144</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Change in fair value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5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92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73</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Balance – June 30,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5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292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217</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2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312" w:before="0" w:after="0"/>
        <w:jc w:val="left"/>
        <w:rPr/>
      </w:pPr>
      <w:r>
        <w:rPr/>
        <w:t> </w:t>
      </w:r>
    </w:p>
    <w:p>
      <w:pPr>
        <w:pStyle w:val="TextBody"/>
        <w:spacing w:lineRule="auto" w:line="312" w:before="40" w:after="0"/>
        <w:ind w:left="0" w:right="0" w:hanging="0"/>
        <w:jc w:val="left"/>
        <w:rPr>
          <w:rFonts w:ascii="Times New Roman" w:hAnsi="Times New Roman"/>
          <w:b/>
          <w:sz w:val="20"/>
        </w:rPr>
      </w:pPr>
      <w:r>
        <w:rPr>
          <w:rFonts w:ascii="Times New Roman" w:hAnsi="Times New Roman"/>
          <w:b/>
          <w:sz w:val="20"/>
        </w:rPr>
        <w:t>Note 4. Balance Sheet Components</w:t>
      </w:r>
    </w:p>
    <w:p>
      <w:pPr>
        <w:pStyle w:val="TextBody"/>
        <w:spacing w:lineRule="auto" w:line="312" w:before="120" w:after="0"/>
        <w:ind w:left="0" w:right="0" w:hanging="0"/>
        <w:jc w:val="left"/>
        <w:rPr>
          <w:rFonts w:ascii="Times New Roman" w:hAnsi="Times New Roman"/>
          <w:b/>
          <w:i/>
          <w:sz w:val="20"/>
        </w:rPr>
      </w:pPr>
      <w:r>
        <w:rPr>
          <w:rFonts w:ascii="Times New Roman" w:hAnsi="Times New Roman"/>
          <w:b/>
          <w:i/>
          <w:sz w:val="20"/>
        </w:rPr>
        <w:t>Property and Equipment, Net</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Property and equipment, net consist of the following (in thousands):</w:t>
      </w:r>
    </w:p>
    <w:p>
      <w:pPr>
        <w:pStyle w:val="TextBody"/>
        <w:spacing w:lineRule="auto" w:line="312" w:before="120" w:after="0"/>
        <w:ind w:left="0" w:right="0" w:firstLine="490"/>
        <w:jc w:val="left"/>
        <w:rPr/>
      </w:pPr>
      <w:r>
        <w:rPr/>
        <w:t> </w:t>
      </w:r>
    </w:p>
    <w:tbl>
      <w:tblPr>
        <w:tblW w:w="6515" w:type="dxa"/>
        <w:jc w:val="left"/>
        <w:tblInd w:w="0" w:type="dxa"/>
        <w:tblCellMar>
          <w:top w:w="28" w:type="dxa"/>
          <w:left w:w="28" w:type="dxa"/>
          <w:bottom w:w="28" w:type="dxa"/>
          <w:right w:w="28" w:type="dxa"/>
        </w:tblCellMar>
      </w:tblPr>
      <w:tblGrid>
        <w:gridCol w:w="2911"/>
        <w:gridCol w:w="146"/>
        <w:gridCol w:w="307"/>
        <w:gridCol w:w="833"/>
        <w:gridCol w:w="166"/>
        <w:gridCol w:w="146"/>
        <w:gridCol w:w="407"/>
        <w:gridCol w:w="1108"/>
        <w:gridCol w:w="491"/>
      </w:tblGrid>
      <w:tr>
        <w:trPr/>
        <w:tc>
          <w:tcPr>
            <w:tcW w:w="2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291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0"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As of June 30,</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515"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As of December 31,</w:t>
            </w:r>
          </w:p>
        </w:tc>
        <w:tc>
          <w:tcPr>
            <w:tcW w:w="491" w:type="dxa"/>
            <w:tcBorders/>
            <w:shd w:fill="auto" w:val="clear"/>
            <w:vAlign w:val="center"/>
          </w:tcPr>
          <w:p>
            <w:pPr>
              <w:pStyle w:val="TableContents"/>
              <w:spacing w:lineRule="auto" w:line="312" w:before="0" w:after="0"/>
              <w:ind w:left="0" w:right="0" w:hanging="0"/>
              <w:jc w:val="center"/>
              <w:rPr/>
            </w:pPr>
            <w:r>
              <w:rPr/>
              <w:t> </w:t>
            </w:r>
          </w:p>
        </w:tc>
      </w:tr>
      <w:tr>
        <w:trPr/>
        <w:tc>
          <w:tcPr>
            <w:tcW w:w="291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9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Tools and equipment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1,552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1,523</w:t>
            </w:r>
          </w:p>
        </w:tc>
        <w:tc>
          <w:tcPr>
            <w:tcW w:w="491" w:type="dxa"/>
            <w:tcBorders/>
            <w:shd w:fill="auto" w:val="clear"/>
            <w:vAlign w:val="center"/>
          </w:tcPr>
          <w:p>
            <w:pPr>
              <w:pStyle w:val="TableContents"/>
              <w:spacing w:lineRule="auto" w:line="312" w:before="0" w:after="0"/>
              <w:ind w:left="0" w:right="0" w:hanging="0"/>
              <w:jc w:val="left"/>
              <w:rPr/>
            </w:pPr>
            <w:r>
              <w:rPr/>
              <w:t> </w:t>
            </w:r>
          </w:p>
        </w:tc>
      </w:tr>
      <w:tr>
        <w:trPr/>
        <w:tc>
          <w:tcPr>
            <w:tcW w:w="29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Computer equipment and software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pPr>
            <w:r>
              <w:rPr/>
              <w:t> </w:t>
            </w:r>
          </w:p>
        </w:tc>
        <w:tc>
          <w:tcPr>
            <w:tcW w:w="8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07" w:type="dxa"/>
            <w:tcBorders/>
            <w:shd w:fill="auto" w:val="clear"/>
            <w:vAlign w:val="center"/>
          </w:tcPr>
          <w:p>
            <w:pPr>
              <w:pStyle w:val="TableContents"/>
              <w:spacing w:lineRule="auto" w:line="312" w:before="0" w:after="0"/>
              <w:ind w:left="0" w:right="0" w:hanging="0"/>
              <w:jc w:val="left"/>
              <w:rPr/>
            </w:pPr>
            <w:r>
              <w:rPr/>
              <w:t> </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118</w:t>
            </w:r>
          </w:p>
        </w:tc>
        <w:tc>
          <w:tcPr>
            <w:tcW w:w="491" w:type="dxa"/>
            <w:tcBorders/>
            <w:shd w:fill="auto" w:val="clear"/>
            <w:vAlign w:val="center"/>
          </w:tcPr>
          <w:p>
            <w:pPr>
              <w:pStyle w:val="TableContents"/>
              <w:spacing w:lineRule="auto" w:line="312" w:before="0" w:after="0"/>
              <w:ind w:left="0" w:right="0" w:hanging="0"/>
              <w:jc w:val="left"/>
              <w:rPr/>
            </w:pPr>
            <w:r>
              <w:rPr/>
              <w:t> </w:t>
            </w:r>
          </w:p>
        </w:tc>
      </w:tr>
      <w:tr>
        <w:trPr/>
        <w:tc>
          <w:tcPr>
            <w:tcW w:w="29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Furniture and fixtures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pPr>
            <w:r>
              <w:rPr/>
              <w:t> </w:t>
            </w:r>
          </w:p>
        </w:tc>
        <w:tc>
          <w:tcPr>
            <w:tcW w:w="8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07" w:type="dxa"/>
            <w:tcBorders/>
            <w:shd w:fill="auto" w:val="clear"/>
            <w:vAlign w:val="center"/>
          </w:tcPr>
          <w:p>
            <w:pPr>
              <w:pStyle w:val="TableContents"/>
              <w:spacing w:lineRule="auto" w:line="312" w:before="0" w:after="0"/>
              <w:ind w:left="0" w:right="0" w:hanging="0"/>
              <w:jc w:val="left"/>
              <w:rPr/>
            </w:pPr>
            <w:r>
              <w:rPr/>
              <w:t> </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43</w:t>
            </w:r>
          </w:p>
        </w:tc>
        <w:tc>
          <w:tcPr>
            <w:tcW w:w="491" w:type="dxa"/>
            <w:tcBorders/>
            <w:shd w:fill="auto" w:val="clear"/>
            <w:vAlign w:val="center"/>
          </w:tcPr>
          <w:p>
            <w:pPr>
              <w:pStyle w:val="TableContents"/>
              <w:spacing w:lineRule="auto" w:line="312" w:before="0" w:after="0"/>
              <w:ind w:left="0" w:right="0" w:hanging="0"/>
              <w:jc w:val="left"/>
              <w:rPr/>
            </w:pPr>
            <w:r>
              <w:rPr/>
              <w:t> </w:t>
            </w:r>
          </w:p>
        </w:tc>
      </w:tr>
      <w:tr>
        <w:trPr/>
        <w:tc>
          <w:tcPr>
            <w:tcW w:w="29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Leasehold improvements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pPr>
            <w:r>
              <w:rPr/>
              <w:t> </w:t>
            </w:r>
          </w:p>
        </w:tc>
        <w:tc>
          <w:tcPr>
            <w:tcW w:w="8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07" w:type="dxa"/>
            <w:tcBorders/>
            <w:shd w:fill="auto" w:val="clear"/>
            <w:vAlign w:val="center"/>
          </w:tcPr>
          <w:p>
            <w:pPr>
              <w:pStyle w:val="TableContents"/>
              <w:spacing w:lineRule="auto" w:line="312" w:before="0" w:after="0"/>
              <w:ind w:left="0" w:right="0" w:hanging="0"/>
              <w:jc w:val="left"/>
              <w:rPr/>
            </w:pPr>
            <w:r>
              <w:rPr/>
              <w:t> </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w:t>
            </w:r>
          </w:p>
        </w:tc>
        <w:tc>
          <w:tcPr>
            <w:tcW w:w="491" w:type="dxa"/>
            <w:tcBorders/>
            <w:shd w:fill="auto" w:val="clear"/>
            <w:vAlign w:val="center"/>
          </w:tcPr>
          <w:p>
            <w:pPr>
              <w:pStyle w:val="TableContents"/>
              <w:spacing w:lineRule="auto" w:line="312" w:before="0" w:after="0"/>
              <w:ind w:left="0" w:right="0" w:hanging="0"/>
              <w:jc w:val="left"/>
              <w:rPr/>
            </w:pPr>
            <w:r>
              <w:rPr/>
              <w:t> </w:t>
            </w:r>
          </w:p>
        </w:tc>
      </w:tr>
      <w:tr>
        <w:trPr/>
        <w:tc>
          <w:tcPr>
            <w:tcW w:w="29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Construction in process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604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0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298</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9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pPr>
            <w:r>
              <w:rPr/>
              <w:t> </w:t>
            </w:r>
          </w:p>
        </w:tc>
        <w:tc>
          <w:tcPr>
            <w:tcW w:w="8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2,337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07" w:type="dxa"/>
            <w:tcBorders/>
            <w:shd w:fill="auto" w:val="clear"/>
            <w:vAlign w:val="center"/>
          </w:tcPr>
          <w:p>
            <w:pPr>
              <w:pStyle w:val="TableContents"/>
              <w:spacing w:lineRule="auto" w:line="312" w:before="0" w:after="0"/>
              <w:ind w:left="0" w:right="0" w:hanging="0"/>
              <w:jc w:val="left"/>
              <w:rPr/>
            </w:pPr>
            <w:r>
              <w:rPr/>
              <w:t> </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2,012</w:t>
            </w:r>
          </w:p>
        </w:tc>
        <w:tc>
          <w:tcPr>
            <w:tcW w:w="491" w:type="dxa"/>
            <w:tcBorders/>
            <w:shd w:fill="auto" w:val="clear"/>
            <w:vAlign w:val="center"/>
          </w:tcPr>
          <w:p>
            <w:pPr>
              <w:pStyle w:val="TableContents"/>
              <w:spacing w:lineRule="auto" w:line="312" w:before="0" w:after="0"/>
              <w:ind w:left="0" w:right="0" w:hanging="0"/>
              <w:jc w:val="left"/>
              <w:rPr/>
            </w:pPr>
            <w:r>
              <w:rPr/>
              <w:t> </w:t>
            </w:r>
          </w:p>
        </w:tc>
      </w:tr>
      <w:tr>
        <w:trPr/>
        <w:tc>
          <w:tcPr>
            <w:tcW w:w="29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Accumulated depreciation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(919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0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(743</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2911"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Property and equipment,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1,418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0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1,269</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20" w:after="0"/>
        <w:ind w:left="0" w:right="0" w:firstLine="490"/>
        <w:jc w:val="left"/>
        <w:rPr/>
      </w:pPr>
      <w:r>
        <w:rPr/>
        <w:t> </w:t>
      </w:r>
    </w:p>
    <w:p>
      <w:pPr>
        <w:pStyle w:val="TextBody"/>
        <w:spacing w:lineRule="auto" w:line="312" w:before="0" w:after="0"/>
        <w:ind w:left="0" w:right="0" w:firstLine="490"/>
        <w:jc w:val="left"/>
        <w:rPr>
          <w:rFonts w:ascii="Times New Roman" w:hAnsi="Times New Roman"/>
          <w:sz w:val="20"/>
        </w:rPr>
      </w:pPr>
      <w:r>
        <w:rPr>
          <w:rFonts w:ascii="Times New Roman" w:hAnsi="Times New Roman"/>
          <w:b w:val="false"/>
          <w:sz w:val="20"/>
        </w:rPr>
        <w:t>Depreciation expense was $0.2</w:t>
      </w:r>
      <w:r>
        <w:rPr>
          <w:rFonts w:ascii="Times New Roman" w:hAnsi="Times New Roman"/>
          <w:sz w:val="20"/>
        </w:rPr>
        <w:t xml:space="preserve"> </w:t>
      </w:r>
      <w:r>
        <w:rPr>
          <w:rFonts w:ascii="Times New Roman" w:hAnsi="Times New Roman"/>
          <w:b w:val="false"/>
          <w:sz w:val="20"/>
        </w:rPr>
        <w:t>million and $0.3</w:t>
      </w:r>
      <w:r>
        <w:rPr>
          <w:rFonts w:ascii="Times New Roman" w:hAnsi="Times New Roman"/>
          <w:sz w:val="20"/>
        </w:rPr>
        <w:t xml:space="preserve"> </w:t>
      </w:r>
      <w:r>
        <w:rPr>
          <w:rFonts w:ascii="Times New Roman" w:hAnsi="Times New Roman"/>
          <w:b w:val="false"/>
          <w:sz w:val="20"/>
        </w:rPr>
        <w:t>million for the three and six months ended June 30, 2021, respectively. Depreciation expense was $0.2</w:t>
      </w:r>
      <w:r>
        <w:rPr>
          <w:rFonts w:ascii="Times New Roman" w:hAnsi="Times New Roman"/>
          <w:sz w:val="20"/>
        </w:rPr>
        <w:t xml:space="preserve"> </w:t>
      </w:r>
      <w:r>
        <w:rPr>
          <w:rFonts w:ascii="Times New Roman" w:hAnsi="Times New Roman"/>
          <w:b w:val="false"/>
          <w:sz w:val="20"/>
        </w:rPr>
        <w:t>million and $0.3</w:t>
      </w:r>
      <w:r>
        <w:rPr>
          <w:rFonts w:ascii="Times New Roman" w:hAnsi="Times New Roman"/>
          <w:sz w:val="20"/>
        </w:rPr>
        <w:t xml:space="preserve"> </w:t>
      </w:r>
      <w:r>
        <w:rPr>
          <w:rFonts w:ascii="Times New Roman" w:hAnsi="Times New Roman"/>
          <w:b w:val="false"/>
          <w:sz w:val="20"/>
        </w:rPr>
        <w:t>million for the three and six months ended June 30, 2020, respectively.</w:t>
      </w:r>
    </w:p>
    <w:p>
      <w:pPr>
        <w:pStyle w:val="TextBody"/>
        <w:spacing w:lineRule="auto" w:line="312" w:before="360" w:after="0"/>
        <w:ind w:left="0" w:right="0" w:hanging="0"/>
        <w:jc w:val="left"/>
        <w:rPr>
          <w:rFonts w:ascii="Times New Roman" w:hAnsi="Times New Roman"/>
          <w:b/>
          <w:i/>
          <w:sz w:val="20"/>
        </w:rPr>
      </w:pPr>
      <w:r>
        <w:rPr>
          <w:rFonts w:ascii="Times New Roman" w:hAnsi="Times New Roman"/>
          <w:b/>
          <w:i/>
          <w:sz w:val="20"/>
        </w:rPr>
        <w:t>Accrued and Other Current Liabilities</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Accrued and other current liabilities consist of the following (in thousands):</w:t>
      </w:r>
    </w:p>
    <w:p>
      <w:pPr>
        <w:pStyle w:val="TextBody"/>
        <w:spacing w:lineRule="auto" w:line="312" w:before="120" w:after="0"/>
        <w:ind w:left="0" w:right="0" w:firstLine="490"/>
        <w:jc w:val="left"/>
        <w:rPr/>
      </w:pPr>
      <w:r>
        <w:rPr/>
        <w:t> </w:t>
      </w:r>
    </w:p>
    <w:tbl>
      <w:tblPr>
        <w:tblW w:w="7045" w:type="dxa"/>
        <w:jc w:val="left"/>
        <w:tblInd w:w="0" w:type="dxa"/>
        <w:tblCellMar>
          <w:top w:w="28" w:type="dxa"/>
          <w:left w:w="28" w:type="dxa"/>
          <w:bottom w:w="28" w:type="dxa"/>
          <w:right w:w="28" w:type="dxa"/>
        </w:tblCellMar>
      </w:tblPr>
      <w:tblGrid>
        <w:gridCol w:w="3481"/>
        <w:gridCol w:w="146"/>
        <w:gridCol w:w="307"/>
        <w:gridCol w:w="833"/>
        <w:gridCol w:w="146"/>
        <w:gridCol w:w="146"/>
        <w:gridCol w:w="407"/>
        <w:gridCol w:w="1108"/>
        <w:gridCol w:w="471"/>
      </w:tblGrid>
      <w:tr>
        <w:trPr/>
        <w:tc>
          <w:tcPr>
            <w:tcW w:w="3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0"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As of June 30,</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515"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As of December 31,</w:t>
            </w:r>
          </w:p>
        </w:tc>
        <w:tc>
          <w:tcPr>
            <w:tcW w:w="471" w:type="dxa"/>
            <w:tcBorders/>
            <w:shd w:fill="auto" w:val="clear"/>
            <w:vAlign w:val="center"/>
          </w:tcPr>
          <w:p>
            <w:pPr>
              <w:pStyle w:val="TableContents"/>
              <w:spacing w:lineRule="auto" w:line="312" w:before="0" w:after="0"/>
              <w:ind w:left="0" w:right="0" w:hanging="0"/>
              <w:jc w:val="center"/>
              <w:rPr/>
            </w:pPr>
            <w:r>
              <w:rPr/>
              <w:t> </w:t>
            </w:r>
          </w:p>
        </w:tc>
      </w:tr>
      <w:tr>
        <w:trPr/>
        <w:tc>
          <w:tcPr>
            <w:tcW w:w="348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4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Accrued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3,919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1,971</w:t>
            </w:r>
          </w:p>
        </w:tc>
        <w:tc>
          <w:tcPr>
            <w:tcW w:w="471" w:type="dxa"/>
            <w:tcBorders/>
            <w:shd w:fill="auto" w:val="clear"/>
            <w:vAlign w:val="center"/>
          </w:tcPr>
          <w:p>
            <w:pPr>
              <w:pStyle w:val="TableContents"/>
              <w:spacing w:lineRule="auto" w:line="312" w:before="0" w:after="0"/>
              <w:ind w:left="0" w:right="0" w:hanging="0"/>
              <w:jc w:val="left"/>
              <w:rPr/>
            </w:pPr>
            <w:r>
              <w:rPr/>
              <w:t> </w:t>
            </w:r>
          </w:p>
        </w:tc>
      </w:tr>
      <w:tr>
        <w:trPr/>
        <w:tc>
          <w:tcPr>
            <w:tcW w:w="34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Current portion of lease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pPr>
            <w:r>
              <w:rPr/>
              <w:t> </w:t>
            </w:r>
          </w:p>
        </w:tc>
        <w:tc>
          <w:tcPr>
            <w:tcW w:w="8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07" w:type="dxa"/>
            <w:tcBorders/>
            <w:shd w:fill="auto" w:val="clear"/>
            <w:vAlign w:val="center"/>
          </w:tcPr>
          <w:p>
            <w:pPr>
              <w:pStyle w:val="TableContents"/>
              <w:spacing w:lineRule="auto" w:line="312" w:before="0" w:after="0"/>
              <w:ind w:left="0" w:right="0" w:hanging="0"/>
              <w:jc w:val="left"/>
              <w:rPr/>
            </w:pPr>
            <w:r>
              <w:rPr/>
              <w:t> </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395</w:t>
            </w:r>
          </w:p>
        </w:tc>
        <w:tc>
          <w:tcPr>
            <w:tcW w:w="471" w:type="dxa"/>
            <w:tcBorders/>
            <w:shd w:fill="auto" w:val="clear"/>
            <w:vAlign w:val="center"/>
          </w:tcPr>
          <w:p>
            <w:pPr>
              <w:pStyle w:val="TableContents"/>
              <w:spacing w:lineRule="auto" w:line="312" w:before="0" w:after="0"/>
              <w:ind w:left="0" w:right="0" w:hanging="0"/>
              <w:jc w:val="left"/>
              <w:rPr/>
            </w:pPr>
            <w:r>
              <w:rPr/>
              <w:t> </w:t>
            </w:r>
          </w:p>
        </w:tc>
      </w:tr>
      <w:tr>
        <w:trPr/>
        <w:tc>
          <w:tcPr>
            <w:tcW w:w="34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Short term interest payable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pPr>
            <w:r>
              <w:rPr/>
              <w:t> </w:t>
            </w:r>
          </w:p>
        </w:tc>
        <w:tc>
          <w:tcPr>
            <w:tcW w:w="8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07" w:type="dxa"/>
            <w:tcBorders/>
            <w:shd w:fill="auto" w:val="clear"/>
            <w:vAlign w:val="center"/>
          </w:tcPr>
          <w:p>
            <w:pPr>
              <w:pStyle w:val="TableContents"/>
              <w:spacing w:lineRule="auto" w:line="312" w:before="0" w:after="0"/>
              <w:ind w:left="0" w:right="0" w:hanging="0"/>
              <w:jc w:val="left"/>
              <w:rPr/>
            </w:pPr>
            <w:r>
              <w:rPr/>
              <w:t> </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274</w:t>
            </w:r>
          </w:p>
        </w:tc>
        <w:tc>
          <w:tcPr>
            <w:tcW w:w="471" w:type="dxa"/>
            <w:tcBorders/>
            <w:shd w:fill="auto" w:val="clear"/>
            <w:vAlign w:val="center"/>
          </w:tcPr>
          <w:p>
            <w:pPr>
              <w:pStyle w:val="TableContents"/>
              <w:spacing w:lineRule="auto" w:line="312" w:before="0" w:after="0"/>
              <w:ind w:left="0" w:right="0" w:hanging="0"/>
              <w:jc w:val="left"/>
              <w:rPr/>
            </w:pPr>
            <w:r>
              <w:rPr/>
              <w:t> </w:t>
            </w:r>
          </w:p>
        </w:tc>
      </w:tr>
      <w:tr>
        <w:trPr/>
        <w:tc>
          <w:tcPr>
            <w:tcW w:w="34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 accrued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456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0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446</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3481"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accrued and other 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4,754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0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3,086</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60" w:after="0"/>
        <w:ind w:left="0" w:right="0" w:hanging="0"/>
        <w:jc w:val="left"/>
        <w:rPr/>
      </w:pPr>
      <w:r>
        <w:rPr/>
        <w:t> </w:t>
      </w:r>
    </w:p>
    <w:p>
      <w:pPr>
        <w:pStyle w:val="TextBody"/>
        <w:spacing w:lineRule="auto" w:line="312" w:before="0" w:after="0"/>
        <w:ind w:left="0" w:right="0" w:hanging="0"/>
        <w:jc w:val="left"/>
        <w:rPr>
          <w:rFonts w:ascii="Times New Roman" w:hAnsi="Times New Roman"/>
          <w:b/>
          <w:i/>
          <w:sz w:val="20"/>
        </w:rPr>
      </w:pPr>
      <w:r>
        <w:rPr>
          <w:rFonts w:ascii="Times New Roman" w:hAnsi="Times New Roman"/>
          <w:b/>
          <w:i/>
          <w:sz w:val="20"/>
        </w:rPr>
        <w:t>Other Noncurrent Liabilities</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Other noncurrent liabilities consist of the following (in thousands):</w:t>
      </w:r>
    </w:p>
    <w:p>
      <w:pPr>
        <w:pStyle w:val="TextBody"/>
        <w:spacing w:lineRule="auto" w:line="312" w:before="120" w:after="0"/>
        <w:ind w:left="0" w:right="0" w:firstLine="490"/>
        <w:jc w:val="left"/>
        <w:rPr/>
      </w:pPr>
      <w:r>
        <w:rPr/>
        <w:t> </w:t>
      </w:r>
    </w:p>
    <w:tbl>
      <w:tblPr>
        <w:tblW w:w="7480" w:type="dxa"/>
        <w:jc w:val="left"/>
        <w:tblInd w:w="0" w:type="dxa"/>
        <w:tblCellMar>
          <w:top w:w="28" w:type="dxa"/>
          <w:left w:w="28" w:type="dxa"/>
          <w:bottom w:w="28" w:type="dxa"/>
          <w:right w:w="28" w:type="dxa"/>
        </w:tblCellMar>
      </w:tblPr>
      <w:tblGrid>
        <w:gridCol w:w="3916"/>
        <w:gridCol w:w="146"/>
        <w:gridCol w:w="307"/>
        <w:gridCol w:w="833"/>
        <w:gridCol w:w="146"/>
        <w:gridCol w:w="146"/>
        <w:gridCol w:w="407"/>
        <w:gridCol w:w="1108"/>
        <w:gridCol w:w="471"/>
      </w:tblGrid>
      <w:tr>
        <w:trPr/>
        <w:tc>
          <w:tcPr>
            <w:tcW w:w="3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91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0"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As of June 30,</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515"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As of December 31,</w:t>
            </w:r>
          </w:p>
        </w:tc>
        <w:tc>
          <w:tcPr>
            <w:tcW w:w="471" w:type="dxa"/>
            <w:tcBorders/>
            <w:shd w:fill="auto" w:val="clear"/>
            <w:vAlign w:val="center"/>
          </w:tcPr>
          <w:p>
            <w:pPr>
              <w:pStyle w:val="TableContents"/>
              <w:spacing w:lineRule="auto" w:line="312" w:before="0" w:after="0"/>
              <w:ind w:left="0" w:right="0" w:hanging="0"/>
              <w:jc w:val="center"/>
              <w:rPr/>
            </w:pPr>
            <w:r>
              <w:rPr/>
              <w:t> </w:t>
            </w:r>
          </w:p>
        </w:tc>
      </w:tr>
      <w:tr>
        <w:trPr/>
        <w:tc>
          <w:tcPr>
            <w:tcW w:w="391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9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Redeemable preferred stock warrants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6,984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0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2,112</w:t>
            </w:r>
          </w:p>
        </w:tc>
        <w:tc>
          <w:tcPr>
            <w:tcW w:w="471" w:type="dxa"/>
            <w:tcBorders/>
            <w:shd w:fill="auto" w:val="clear"/>
            <w:vAlign w:val="center"/>
          </w:tcPr>
          <w:p>
            <w:pPr>
              <w:pStyle w:val="TableContents"/>
              <w:spacing w:lineRule="auto" w:line="312" w:before="0" w:after="0"/>
              <w:ind w:left="0" w:right="0" w:hanging="0"/>
              <w:jc w:val="left"/>
              <w:rPr/>
            </w:pPr>
            <w:r>
              <w:rPr/>
              <w:t> </w:t>
            </w:r>
          </w:p>
        </w:tc>
      </w:tr>
      <w:tr>
        <w:trPr/>
        <w:tc>
          <w:tcPr>
            <w:tcW w:w="39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Long term interest payable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pPr>
            <w:r>
              <w:rPr/>
              <w:t> </w:t>
            </w:r>
          </w:p>
        </w:tc>
        <w:tc>
          <w:tcPr>
            <w:tcW w:w="8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651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07" w:type="dxa"/>
            <w:tcBorders/>
            <w:shd w:fill="auto" w:val="clear"/>
            <w:vAlign w:val="center"/>
          </w:tcPr>
          <w:p>
            <w:pPr>
              <w:pStyle w:val="TableContents"/>
              <w:spacing w:lineRule="auto" w:line="312" w:before="0" w:after="0"/>
              <w:ind w:left="0" w:right="0" w:hanging="0"/>
              <w:jc w:val="left"/>
              <w:rPr/>
            </w:pPr>
            <w:r>
              <w:rPr/>
              <w:t> </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465</w:t>
            </w:r>
          </w:p>
        </w:tc>
        <w:tc>
          <w:tcPr>
            <w:tcW w:w="471" w:type="dxa"/>
            <w:tcBorders/>
            <w:shd w:fill="auto" w:val="clear"/>
            <w:vAlign w:val="center"/>
          </w:tcPr>
          <w:p>
            <w:pPr>
              <w:pStyle w:val="TableContents"/>
              <w:spacing w:lineRule="auto" w:line="312" w:before="0" w:after="0"/>
              <w:ind w:left="0" w:right="0" w:hanging="0"/>
              <w:jc w:val="left"/>
              <w:rPr/>
            </w:pPr>
            <w:r>
              <w:rPr/>
              <w:t> </w:t>
            </w:r>
          </w:p>
        </w:tc>
      </w:tr>
      <w:tr>
        <w:trPr/>
        <w:tc>
          <w:tcPr>
            <w:tcW w:w="39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Noncurrent portion of lease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shd w:fill="auto" w:val="clear"/>
            <w:vAlign w:val="center"/>
          </w:tcPr>
          <w:p>
            <w:pPr>
              <w:pStyle w:val="TableContents"/>
              <w:spacing w:lineRule="auto" w:line="312" w:before="0" w:after="0"/>
              <w:ind w:left="0" w:right="0" w:hanging="0"/>
              <w:jc w:val="left"/>
              <w:rPr/>
            </w:pPr>
            <w:r>
              <w:rPr/>
              <w:t> </w:t>
            </w:r>
          </w:p>
        </w:tc>
        <w:tc>
          <w:tcPr>
            <w:tcW w:w="83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07" w:type="dxa"/>
            <w:tcBorders/>
            <w:shd w:fill="auto" w:val="clear"/>
            <w:vAlign w:val="center"/>
          </w:tcPr>
          <w:p>
            <w:pPr>
              <w:pStyle w:val="TableContents"/>
              <w:spacing w:lineRule="auto" w:line="312" w:before="0" w:after="0"/>
              <w:ind w:left="0" w:right="0" w:hanging="0"/>
              <w:jc w:val="left"/>
              <w:rPr/>
            </w:pPr>
            <w:r>
              <w:rPr/>
              <w:t> </w:t>
            </w:r>
          </w:p>
        </w:tc>
        <w:tc>
          <w:tcPr>
            <w:tcW w:w="110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134</w:t>
            </w:r>
          </w:p>
        </w:tc>
        <w:tc>
          <w:tcPr>
            <w:tcW w:w="471" w:type="dxa"/>
            <w:tcBorders/>
            <w:shd w:fill="auto" w:val="clear"/>
            <w:vAlign w:val="center"/>
          </w:tcPr>
          <w:p>
            <w:pPr>
              <w:pStyle w:val="TableContents"/>
              <w:spacing w:lineRule="auto" w:line="312" w:before="0" w:after="0"/>
              <w:ind w:left="0" w:right="0" w:hanging="0"/>
              <w:jc w:val="left"/>
              <w:rPr/>
            </w:pPr>
            <w:r>
              <w:rPr/>
              <w:t> </w:t>
            </w:r>
          </w:p>
        </w:tc>
      </w:tr>
      <w:tr>
        <w:trPr/>
        <w:tc>
          <w:tcPr>
            <w:tcW w:w="39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 noncurrent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0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0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344</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391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other noncurrent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8,105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0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0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3,055</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160" w:after="0"/>
        <w:ind w:left="0" w:right="0" w:hanging="0"/>
        <w:jc w:val="left"/>
        <w:rPr>
          <w:rFonts w:ascii="Times New Roman" w:hAnsi="Times New Roman"/>
          <w:b/>
          <w:sz w:val="20"/>
        </w:rPr>
      </w:pPr>
      <w:r>
        <w:rPr>
          <w:rFonts w:ascii="Times New Roman" w:hAnsi="Times New Roman"/>
          <w:b/>
          <w:sz w:val="20"/>
        </w:rPr>
        <w:t>Note 5. Debt</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In January 2019, the Company entered into a loan and security agreement with MidCap Financial Services, which provided a maximum of $25.0</w:t>
      </w:r>
      <w:r>
        <w:rPr>
          <w:rFonts w:ascii="Times New Roman" w:hAnsi="Times New Roman"/>
          <w:sz w:val="20"/>
        </w:rPr>
        <w:t xml:space="preserve"> </w:t>
      </w:r>
      <w:r>
        <w:rPr>
          <w:rFonts w:ascii="Times New Roman" w:hAnsi="Times New Roman"/>
          <w:b w:val="false"/>
          <w:sz w:val="20"/>
        </w:rPr>
        <w:t>million credit facility consisting of a $20.0</w:t>
      </w:r>
      <w:r>
        <w:rPr>
          <w:rFonts w:ascii="Times New Roman" w:hAnsi="Times New Roman"/>
          <w:sz w:val="20"/>
        </w:rPr>
        <w:t xml:space="preserve"> </w:t>
      </w:r>
      <w:r>
        <w:rPr>
          <w:rFonts w:ascii="Times New Roman" w:hAnsi="Times New Roman"/>
          <w:b w:val="false"/>
          <w:sz w:val="20"/>
        </w:rPr>
        <w:t>million senior secured 2019 Term Loan and a $5.0</w:t>
      </w:r>
      <w:r>
        <w:rPr>
          <w:rFonts w:ascii="Times New Roman" w:hAnsi="Times New Roman"/>
          <w:sz w:val="20"/>
        </w:rPr>
        <w:t xml:space="preserve"> </w:t>
      </w:r>
      <w:r>
        <w:rPr>
          <w:rFonts w:ascii="Times New Roman" w:hAnsi="Times New Roman"/>
          <w:b w:val="false"/>
          <w:sz w:val="20"/>
        </w:rPr>
        <w:t>million 2019 Revolver (collectively, the “2019 MidCap Credit Facility”). In November 2020, the Company entered into a loan and security agreement with the same institution, which replaced the 2019 MidCap Credit Facility, and provided for a maximum of $40.0</w:t>
      </w:r>
      <w:r>
        <w:rPr>
          <w:rFonts w:ascii="Times New Roman" w:hAnsi="Times New Roman"/>
          <w:sz w:val="20"/>
        </w:rPr>
        <w:t xml:space="preserve"> </w:t>
      </w:r>
      <w:r>
        <w:rPr>
          <w:rFonts w:ascii="Times New Roman" w:hAnsi="Times New Roman"/>
          <w:b w:val="false"/>
          <w:sz w:val="20"/>
        </w:rPr>
        <w:t>million credit facility consisting of a $35.0</w:t>
      </w:r>
      <w:r>
        <w:rPr>
          <w:rFonts w:ascii="Times New Roman" w:hAnsi="Times New Roman"/>
          <w:sz w:val="20"/>
        </w:rPr>
        <w:t xml:space="preserve"> </w:t>
      </w:r>
      <w:r>
        <w:rPr>
          <w:rFonts w:ascii="Times New Roman" w:hAnsi="Times New Roman"/>
          <w:b w:val="false"/>
          <w:sz w:val="20"/>
        </w:rPr>
        <w:t>million senior secured 2020 Term Loan and a $5.0</w:t>
      </w:r>
      <w:r>
        <w:rPr>
          <w:rFonts w:ascii="Times New Roman" w:hAnsi="Times New Roman"/>
          <w:sz w:val="20"/>
        </w:rPr>
        <w:t xml:space="preserve"> </w:t>
      </w:r>
      <w:r>
        <w:rPr>
          <w:rFonts w:ascii="Times New Roman" w:hAnsi="Times New Roman"/>
          <w:b w:val="false"/>
          <w:sz w:val="20"/>
        </w:rPr>
        <w:t>million 2020 Revolver (collectively, the “2020 MidCap Credit Facility”).</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360" w:after="0"/>
        <w:ind w:left="0" w:right="0" w:hanging="0"/>
        <w:jc w:val="left"/>
        <w:rPr>
          <w:rFonts w:ascii="Times New Roman" w:hAnsi="Times New Roman"/>
          <w:b w:val="false"/>
          <w:i/>
          <w:sz w:val="20"/>
        </w:rPr>
      </w:pPr>
      <w:r>
        <w:rPr>
          <w:rFonts w:ascii="Times New Roman" w:hAnsi="Times New Roman"/>
          <w:b w:val="false"/>
          <w:i/>
          <w:sz w:val="20"/>
        </w:rPr>
        <w:t>2019 Term Loan</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The 2019 Term Loan had a four-year</w:t>
      </w:r>
      <w:r>
        <w:rPr>
          <w:rFonts w:ascii="Times New Roman" w:hAnsi="Times New Roman"/>
          <w:sz w:val="20"/>
        </w:rPr>
        <w:t xml:space="preserve"> </w:t>
      </w:r>
      <w:r>
        <w:rPr>
          <w:rFonts w:ascii="Times New Roman" w:hAnsi="Times New Roman"/>
          <w:b w:val="false"/>
          <w:sz w:val="20"/>
        </w:rPr>
        <w:t>term and had a stated floating interest rate which equates to reserve- adjusted LIBOR + 6.75%. The 2019 Term Loan was split into three tranches as follows: (i) the Tranche One Loans provided for $12.0</w:t>
      </w:r>
      <w:r>
        <w:rPr>
          <w:rFonts w:ascii="Times New Roman" w:hAnsi="Times New Roman"/>
          <w:sz w:val="20"/>
        </w:rPr>
        <w:t xml:space="preserve"> </w:t>
      </w:r>
      <w:r>
        <w:rPr>
          <w:rFonts w:ascii="Times New Roman" w:hAnsi="Times New Roman"/>
          <w:b w:val="false"/>
          <w:sz w:val="20"/>
        </w:rPr>
        <w:t>million in term loans, (ii) the Tranche Two Loans provided for up to $2.0</w:t>
      </w:r>
      <w:r>
        <w:rPr>
          <w:rFonts w:ascii="Times New Roman" w:hAnsi="Times New Roman"/>
          <w:sz w:val="20"/>
        </w:rPr>
        <w:t xml:space="preserve"> </w:t>
      </w:r>
      <w:r>
        <w:rPr>
          <w:rFonts w:ascii="Times New Roman" w:hAnsi="Times New Roman"/>
          <w:b w:val="false"/>
          <w:sz w:val="20"/>
        </w:rPr>
        <w:t>million in term loans, and (iii) the Tranche Three Loans provided for up to $6.0</w:t>
      </w:r>
      <w:r>
        <w:rPr>
          <w:rFonts w:ascii="Times New Roman" w:hAnsi="Times New Roman"/>
          <w:sz w:val="20"/>
        </w:rPr>
        <w:t xml:space="preserve"> </w:t>
      </w:r>
      <w:r>
        <w:rPr>
          <w:rFonts w:ascii="Times New Roman" w:hAnsi="Times New Roman"/>
          <w:b w:val="false"/>
          <w:sz w:val="20"/>
        </w:rPr>
        <w:t>million in term loans. The Company borrowed $14.0</w:t>
      </w:r>
      <w:r>
        <w:rPr>
          <w:rFonts w:ascii="Times New Roman" w:hAnsi="Times New Roman"/>
          <w:sz w:val="20"/>
        </w:rPr>
        <w:t xml:space="preserve"> </w:t>
      </w:r>
      <w:r>
        <w:rPr>
          <w:rFonts w:ascii="Times New Roman" w:hAnsi="Times New Roman"/>
          <w:b w:val="false"/>
          <w:sz w:val="20"/>
        </w:rPr>
        <w:t>million under the Tranche One Loans and Tranche Two Loans. While the conditions necessary to draw the Tranche Three Loans had been met as of December 31, 2019, the Company did not elect to draw the Tranche Three Term Loans. The 2019 Term Loan required 18</w:t>
      </w:r>
      <w:r>
        <w:rPr>
          <w:rFonts w:ascii="Times New Roman" w:hAnsi="Times New Roman"/>
          <w:sz w:val="20"/>
        </w:rPr>
        <w:t xml:space="preserve"> </w:t>
      </w:r>
      <w:r>
        <w:rPr>
          <w:rFonts w:ascii="Times New Roman" w:hAnsi="Times New Roman"/>
          <w:b w:val="false"/>
          <w:sz w:val="20"/>
        </w:rPr>
        <w:t>monthly interest-only payments, which began on January 31, 2019, followed by 30</w:t>
      </w:r>
      <w:r>
        <w:rPr>
          <w:rFonts w:ascii="Times New Roman" w:hAnsi="Times New Roman"/>
          <w:sz w:val="20"/>
        </w:rPr>
        <w:t xml:space="preserve"> </w:t>
      </w:r>
      <w:r>
        <w:rPr>
          <w:rFonts w:ascii="Times New Roman" w:hAnsi="Times New Roman"/>
          <w:b w:val="false"/>
          <w:sz w:val="20"/>
        </w:rPr>
        <w:t>equal monthly installments of principal, plus interest. The interest-only period was extended by an additional six months</w:t>
      </w:r>
      <w:r>
        <w:rPr>
          <w:rFonts w:ascii="Times New Roman" w:hAnsi="Times New Roman"/>
          <w:sz w:val="20"/>
        </w:rPr>
        <w:t xml:space="preserve"> </w:t>
      </w:r>
      <w:r>
        <w:rPr>
          <w:rFonts w:ascii="Times New Roman" w:hAnsi="Times New Roman"/>
          <w:b w:val="false"/>
          <w:sz w:val="20"/>
        </w:rPr>
        <w:t>upon achievement of the Tranche Three Milestone.</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The 2019 Term Loan had an effective interest rate of 14.52% per year. The 2019 Term Loan interest expense for the three months ended June 30, 2021 and 2020 was $0.0</w:t>
      </w:r>
      <w:r>
        <w:rPr>
          <w:rFonts w:ascii="Times New Roman" w:hAnsi="Times New Roman"/>
          <w:sz w:val="20"/>
        </w:rPr>
        <w:t xml:space="preserve"> </w:t>
      </w:r>
      <w:r>
        <w:rPr>
          <w:rFonts w:ascii="Times New Roman" w:hAnsi="Times New Roman"/>
          <w:b w:val="false"/>
          <w:sz w:val="20"/>
        </w:rPr>
        <w:t>and $0.5</w:t>
      </w:r>
      <w:r>
        <w:rPr>
          <w:rFonts w:ascii="Times New Roman" w:hAnsi="Times New Roman"/>
          <w:sz w:val="20"/>
        </w:rPr>
        <w:t xml:space="preserve"> </w:t>
      </w:r>
      <w:r>
        <w:rPr>
          <w:rFonts w:ascii="Times New Roman" w:hAnsi="Times New Roman"/>
          <w:b w:val="false"/>
          <w:sz w:val="20"/>
        </w:rPr>
        <w:t>million, respectively. The 2019 Term Loan interest expense for the six months ended June 30, 2021 and 2020 was $0.0</w:t>
      </w:r>
      <w:r>
        <w:rPr>
          <w:rFonts w:ascii="Times New Roman" w:hAnsi="Times New Roman"/>
          <w:sz w:val="20"/>
        </w:rPr>
        <w:t xml:space="preserve"> </w:t>
      </w:r>
      <w:r>
        <w:rPr>
          <w:rFonts w:ascii="Times New Roman" w:hAnsi="Times New Roman"/>
          <w:b w:val="false"/>
          <w:sz w:val="20"/>
        </w:rPr>
        <w:t>and $1.1</w:t>
      </w:r>
      <w:r>
        <w:rPr>
          <w:rFonts w:ascii="Times New Roman" w:hAnsi="Times New Roman"/>
          <w:sz w:val="20"/>
        </w:rPr>
        <w:t xml:space="preserve"> </w:t>
      </w:r>
      <w:r>
        <w:rPr>
          <w:rFonts w:ascii="Times New Roman" w:hAnsi="Times New Roman"/>
          <w:b w:val="false"/>
          <w:sz w:val="20"/>
        </w:rPr>
        <w:t>million, respectively.</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In conjunction with the funding of Tranche 1 and Tranche 2 under the 2019 Term Loan, the Company issued a 10-year</w:t>
      </w:r>
      <w:r>
        <w:rPr>
          <w:rFonts w:ascii="Times New Roman" w:hAnsi="Times New Roman"/>
          <w:sz w:val="20"/>
        </w:rPr>
        <w:t xml:space="preserve"> </w:t>
      </w:r>
      <w:r>
        <w:rPr>
          <w:rFonts w:ascii="Times New Roman" w:hAnsi="Times New Roman"/>
          <w:b w:val="false"/>
          <w:sz w:val="20"/>
        </w:rPr>
        <w:t>warrant to the Lender to purchase 29,514</w:t>
      </w:r>
      <w:r>
        <w:rPr>
          <w:rFonts w:ascii="Times New Roman" w:hAnsi="Times New Roman"/>
          <w:sz w:val="20"/>
        </w:rPr>
        <w:t xml:space="preserve"> </w:t>
      </w:r>
      <w:r>
        <w:rPr>
          <w:rFonts w:ascii="Times New Roman" w:hAnsi="Times New Roman"/>
          <w:b w:val="false"/>
          <w:sz w:val="20"/>
        </w:rPr>
        <w:t>shares of the Company’s Series C redeemable convertible preferred stock (the “2019 Initial Warrant”) at an exercise price of $9.49</w:t>
      </w:r>
      <w:r>
        <w:rPr>
          <w:rFonts w:ascii="Times New Roman" w:hAnsi="Times New Roman"/>
          <w:sz w:val="20"/>
        </w:rPr>
        <w:t xml:space="preserve"> </w:t>
      </w:r>
      <w:r>
        <w:rPr>
          <w:rFonts w:ascii="Times New Roman" w:hAnsi="Times New Roman"/>
          <w:b w:val="false"/>
          <w:sz w:val="20"/>
        </w:rPr>
        <w:t>per share (the “Exercise Price”). Further, depending on the funding of the Term Loan Tranche 3, the Company was obligated to issue an additional Warrant to the Lender to purchase up to 12,649</w:t>
      </w:r>
      <w:r>
        <w:rPr>
          <w:rFonts w:ascii="Times New Roman" w:hAnsi="Times New Roman"/>
          <w:sz w:val="20"/>
        </w:rPr>
        <w:t xml:space="preserve"> </w:t>
      </w:r>
      <w:r>
        <w:rPr>
          <w:rFonts w:ascii="Times New Roman" w:hAnsi="Times New Roman"/>
          <w:b w:val="false"/>
          <w:sz w:val="20"/>
        </w:rPr>
        <w:t>shares of Series C redeemable convertible preferred stock at the Exercise Price (the “2019 Additional Warrant” and together with “2019 Initial Warrant” the “2019 Warrants”) (see Note 9).</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The estimated fair value of the 2019 Warrants of $0.2</w:t>
      </w:r>
      <w:r>
        <w:rPr>
          <w:rFonts w:ascii="Times New Roman" w:hAnsi="Times New Roman"/>
          <w:sz w:val="20"/>
        </w:rPr>
        <w:t xml:space="preserve"> </w:t>
      </w:r>
      <w:r>
        <w:rPr>
          <w:rFonts w:ascii="Times New Roman" w:hAnsi="Times New Roman"/>
          <w:b w:val="false"/>
          <w:sz w:val="20"/>
        </w:rPr>
        <w:t>million upon draw down was based on the Black- Scholes option-pricing model and probability of future draw downs. The 2019 Warrants were recorded at the fair value as a debt discount and as a warrant liability. The debt discount was being accreted using the effective interest method as interest expense over the contractual period of four years</w:t>
      </w:r>
      <w:r>
        <w:rPr>
          <w:rFonts w:ascii="Times New Roman" w:hAnsi="Times New Roman"/>
          <w:sz w:val="20"/>
        </w:rPr>
        <w:t xml:space="preserve"> </w:t>
      </w:r>
      <w:r>
        <w:rPr>
          <w:rFonts w:ascii="Times New Roman" w:hAnsi="Times New Roman"/>
          <w:b w:val="false"/>
          <w:sz w:val="20"/>
        </w:rPr>
        <w:t>for the 2019 Term Loan.</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The Company incurred $1.5</w:t>
      </w:r>
      <w:r>
        <w:rPr>
          <w:rFonts w:ascii="Times New Roman" w:hAnsi="Times New Roman"/>
          <w:sz w:val="20"/>
        </w:rPr>
        <w:t xml:space="preserve"> </w:t>
      </w:r>
      <w:r>
        <w:rPr>
          <w:rFonts w:ascii="Times New Roman" w:hAnsi="Times New Roman"/>
          <w:b w:val="false"/>
          <w:sz w:val="20"/>
        </w:rPr>
        <w:t>million of issuance costs in conjunction with the 2019 Term Loan. The issuance costs were netted against the borrowed funds in the condensed consolidated balance sheet and were accreted using the effective interest method as interest expense over the contractual period of four years for the 2019 Term Loan.</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Company could voluntarily prepay the 2019 Term Loan borrowings in full, with a prepayment premium beginning at 3% in the first year from tranche funding, to 2% in the second year from tranche funding, to 1% in the third year from tranche funding thereafter. In addition, a final payment fee of 5% of the amounts borrowed was payable at the end of the term or when the borrowings were repaid in full. A long-term liability was being accreted using the effective interest method for the final payment fee over the term of the loan agreement. The borrowings were collateralized by a security interest in substantially all of the Company’s assets.</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The Company was subject to financial covenants related to minimum trailing revenue targets that began on January 1, 2019, and are tested on a monthly basis. If only Tranche One Loans were funded, the Company had to achieve minimum net revenue of $7</w:t>
      </w:r>
      <w:r>
        <w:rPr>
          <w:rFonts w:ascii="Times New Roman" w:hAnsi="Times New Roman"/>
          <w:sz w:val="20"/>
        </w:rPr>
        <w:t xml:space="preserve"> </w:t>
      </w:r>
      <w:r>
        <w:rPr>
          <w:rFonts w:ascii="Times New Roman" w:hAnsi="Times New Roman"/>
          <w:b w:val="false"/>
          <w:sz w:val="20"/>
        </w:rPr>
        <w:t>million over a trailing 12-month period increasing to a maximum net revenue covenant of $35</w:t>
      </w:r>
      <w:r>
        <w:rPr>
          <w:rFonts w:ascii="Times New Roman" w:hAnsi="Times New Roman"/>
          <w:sz w:val="20"/>
        </w:rPr>
        <w:t xml:space="preserve"> </w:t>
      </w:r>
      <w:r>
        <w:rPr>
          <w:rFonts w:ascii="Times New Roman" w:hAnsi="Times New Roman"/>
          <w:b w:val="false"/>
          <w:sz w:val="20"/>
        </w:rPr>
        <w:t>million for the trailing 12-month period ending December 31, 2022, and thereafter. If only Tranche One Loans and Tranche Two Loans had been funded, the Company had to achieve minimum net revenue of $7</w:t>
      </w:r>
      <w:r>
        <w:rPr>
          <w:rFonts w:ascii="Times New Roman" w:hAnsi="Times New Roman"/>
          <w:sz w:val="20"/>
        </w:rPr>
        <w:t xml:space="preserve"> </w:t>
      </w:r>
      <w:r>
        <w:rPr>
          <w:rFonts w:ascii="Times New Roman" w:hAnsi="Times New Roman"/>
          <w:b w:val="false"/>
          <w:sz w:val="20"/>
        </w:rPr>
        <w:t>million over a trailing 12-month period increasing to a maximum net revenue covenant of $37.3</w:t>
      </w:r>
      <w:r>
        <w:rPr>
          <w:rFonts w:ascii="Times New Roman" w:hAnsi="Times New Roman"/>
          <w:sz w:val="20"/>
        </w:rPr>
        <w:t xml:space="preserve"> </w:t>
      </w:r>
      <w:r>
        <w:rPr>
          <w:rFonts w:ascii="Times New Roman" w:hAnsi="Times New Roman"/>
          <w:b w:val="false"/>
          <w:sz w:val="20"/>
        </w:rPr>
        <w:t>million for the 12-month period ending December 31, 2022, and thereafter. If Tranche Three Loans had been funded regardless of whether Tranche Two Loans have been funded, the Company had to achieve minimum net revenue of $15</w:t>
      </w:r>
      <w:r>
        <w:rPr>
          <w:rFonts w:ascii="Times New Roman" w:hAnsi="Times New Roman"/>
          <w:sz w:val="20"/>
        </w:rPr>
        <w:t xml:space="preserve"> </w:t>
      </w:r>
      <w:r>
        <w:rPr>
          <w:rFonts w:ascii="Times New Roman" w:hAnsi="Times New Roman"/>
          <w:b w:val="false"/>
          <w:sz w:val="20"/>
        </w:rPr>
        <w:t>million over a trailing 12-month period increasing to a maximum net revenue covenant of $46.7</w:t>
      </w:r>
      <w:r>
        <w:rPr>
          <w:rFonts w:ascii="Times New Roman" w:hAnsi="Times New Roman"/>
          <w:sz w:val="20"/>
        </w:rPr>
        <w:t xml:space="preserve"> </w:t>
      </w:r>
      <w:r>
        <w:rPr>
          <w:rFonts w:ascii="Times New Roman" w:hAnsi="Times New Roman"/>
          <w:b w:val="false"/>
          <w:sz w:val="20"/>
        </w:rPr>
        <w:t>million for the 12-month period ending December 31, 2022, and thereafter.</w:t>
      </w:r>
      <w:r>
        <w:rPr>
          <w:rFonts w:ascii="Times New Roman" w:hAnsi="Times New Roman"/>
          <w:sz w:val="20"/>
        </w:rPr>
        <w:t xml:space="preserve"> </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On November 23, 2020, the 2019 Term Loan was replaced with 2020 Term Loan (see below).</w:t>
      </w:r>
    </w:p>
    <w:p>
      <w:pPr>
        <w:pStyle w:val="TextBody"/>
        <w:spacing w:lineRule="auto" w:line="312" w:before="360" w:after="0"/>
        <w:ind w:left="0" w:right="0" w:hanging="0"/>
        <w:jc w:val="left"/>
        <w:rPr>
          <w:rFonts w:ascii="Times New Roman" w:hAnsi="Times New Roman"/>
          <w:b w:val="false"/>
          <w:i/>
          <w:sz w:val="20"/>
        </w:rPr>
      </w:pPr>
      <w:r>
        <w:rPr>
          <w:rFonts w:ascii="Times New Roman" w:hAnsi="Times New Roman"/>
          <w:b w:val="false"/>
          <w:i/>
          <w:sz w:val="20"/>
        </w:rPr>
        <w:t>2019 Revolver</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The 2019 Revolver had a four-year term and has a stated floating interest rate which equates to reserve- adjusted LIBOR plus 4.25%. An unused line fee of 0.5% was payable monthly based on the average unused balance</w:t>
      </w:r>
      <w:r>
        <w:rPr>
          <w:rFonts w:ascii="Times New Roman" w:hAnsi="Times New Roman"/>
          <w:sz w:val="20"/>
        </w:rPr>
        <w:t xml:space="preserve"> </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120" w:after="0"/>
        <w:ind w:left="0" w:right="0" w:hanging="0"/>
        <w:jc w:val="left"/>
        <w:rPr>
          <w:rFonts w:ascii="Times New Roman" w:hAnsi="Times New Roman"/>
          <w:b w:val="false"/>
          <w:sz w:val="20"/>
        </w:rPr>
      </w:pPr>
      <w:r>
        <w:rPr>
          <w:rFonts w:ascii="Times New Roman" w:hAnsi="Times New Roman"/>
          <w:b w:val="false"/>
          <w:sz w:val="20"/>
        </w:rPr>
        <w:t>and a collateral management fee of 0.5% was payable monthly based on the outstanding balance of the Revolver. The Company could request to increase the 2019 Revolver commitment amount to $10.0 million under the term of the agreement. On November 23, 2020, the 2019 Revolver was replaced with the 2020 Revolver (see below).</w:t>
      </w:r>
    </w:p>
    <w:p>
      <w:pPr>
        <w:pStyle w:val="TextBody"/>
        <w:spacing w:lineRule="auto" w:line="312" w:before="360" w:after="0"/>
        <w:ind w:left="0" w:right="0" w:hanging="0"/>
        <w:jc w:val="left"/>
        <w:rPr>
          <w:rFonts w:ascii="Times New Roman" w:hAnsi="Times New Roman"/>
          <w:b w:val="false"/>
          <w:i/>
          <w:sz w:val="20"/>
        </w:rPr>
      </w:pPr>
      <w:r>
        <w:rPr>
          <w:rFonts w:ascii="Times New Roman" w:hAnsi="Times New Roman"/>
          <w:b w:val="false"/>
          <w:i/>
          <w:sz w:val="20"/>
        </w:rPr>
        <w:t>2020 Term Loan</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The 2020 Term Loan has a five-year</w:t>
      </w:r>
      <w:r>
        <w:rPr>
          <w:rFonts w:ascii="Times New Roman" w:hAnsi="Times New Roman"/>
          <w:sz w:val="20"/>
        </w:rPr>
        <w:t xml:space="preserve"> </w:t>
      </w:r>
      <w:r>
        <w:rPr>
          <w:rFonts w:ascii="Times New Roman" w:hAnsi="Times New Roman"/>
          <w:b w:val="false"/>
          <w:sz w:val="20"/>
        </w:rPr>
        <w:t>term and has a stated floating interest rate which equates to reserve- adjusted LIBOR + 7.00%. The 2020 Term Loan is split into three tranches as follows: (i) the Tranche One Loans provide for $12.0</w:t>
      </w:r>
      <w:r>
        <w:rPr>
          <w:rFonts w:ascii="Times New Roman" w:hAnsi="Times New Roman"/>
          <w:sz w:val="20"/>
        </w:rPr>
        <w:t xml:space="preserve"> </w:t>
      </w:r>
      <w:r>
        <w:rPr>
          <w:rFonts w:ascii="Times New Roman" w:hAnsi="Times New Roman"/>
          <w:b w:val="false"/>
          <w:sz w:val="20"/>
        </w:rPr>
        <w:t>million in term loans which are deemed to have been converted from Tranche One Loans that were drawn and outstanding under the 2019 Term Loan immediately prior to entering into 2020 MidCap Credit Facility, (ii) the Tranche Two Loans provided for up to $2.0</w:t>
      </w:r>
      <w:r>
        <w:rPr>
          <w:rFonts w:ascii="Times New Roman" w:hAnsi="Times New Roman"/>
          <w:sz w:val="20"/>
        </w:rPr>
        <w:t xml:space="preserve"> </w:t>
      </w:r>
      <w:r>
        <w:rPr>
          <w:rFonts w:ascii="Times New Roman" w:hAnsi="Times New Roman"/>
          <w:b w:val="false"/>
          <w:sz w:val="20"/>
        </w:rPr>
        <w:t>million in term loans which are deemed to have been converted from Tranche Two Loans that were drawn and outstanding under the 2019 Term Loan immediately prior to entering into 2020 MidCap Credit Facility, and (iii) the Tranche Three Loans provided for up to $21.0</w:t>
      </w:r>
      <w:r>
        <w:rPr>
          <w:rFonts w:ascii="Times New Roman" w:hAnsi="Times New Roman"/>
          <w:sz w:val="20"/>
        </w:rPr>
        <w:t xml:space="preserve"> </w:t>
      </w:r>
      <w:r>
        <w:rPr>
          <w:rFonts w:ascii="Times New Roman" w:hAnsi="Times New Roman"/>
          <w:b w:val="false"/>
          <w:sz w:val="20"/>
        </w:rPr>
        <w:t>million in new term loans. The Company borrowed $21.0</w:t>
      </w:r>
      <w:r>
        <w:rPr>
          <w:rFonts w:ascii="Times New Roman" w:hAnsi="Times New Roman"/>
          <w:sz w:val="20"/>
        </w:rPr>
        <w:t xml:space="preserve"> </w:t>
      </w:r>
      <w:r>
        <w:rPr>
          <w:rFonts w:ascii="Times New Roman" w:hAnsi="Times New Roman"/>
          <w:b w:val="false"/>
          <w:sz w:val="20"/>
        </w:rPr>
        <w:t>million under the Tranche Three Loans in November 2020.</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The 2020 Term Loan requires 24</w:t>
      </w:r>
      <w:r>
        <w:rPr>
          <w:rFonts w:ascii="Times New Roman" w:hAnsi="Times New Roman"/>
          <w:sz w:val="20"/>
        </w:rPr>
        <w:t xml:space="preserve"> </w:t>
      </w:r>
      <w:r>
        <w:rPr>
          <w:rFonts w:ascii="Times New Roman" w:hAnsi="Times New Roman"/>
          <w:b w:val="false"/>
          <w:sz w:val="20"/>
        </w:rPr>
        <w:t>monthly interest-only payments, which began on December 1, 2020, followed by 36</w:t>
      </w:r>
      <w:r>
        <w:rPr>
          <w:rFonts w:ascii="Times New Roman" w:hAnsi="Times New Roman"/>
          <w:sz w:val="20"/>
        </w:rPr>
        <w:t xml:space="preserve"> </w:t>
      </w:r>
      <w:r>
        <w:rPr>
          <w:rFonts w:ascii="Times New Roman" w:hAnsi="Times New Roman"/>
          <w:b w:val="false"/>
          <w:sz w:val="20"/>
        </w:rPr>
        <w:t>equal monthly installments of principal, plus interest.</w:t>
      </w:r>
      <w:r>
        <w:rPr>
          <w:rFonts w:ascii="Times New Roman" w:hAnsi="Times New Roman"/>
          <w:sz w:val="20"/>
        </w:rPr>
        <w:t xml:space="preserve"> </w:t>
      </w:r>
      <w:r>
        <w:rPr>
          <w:rFonts w:ascii="Times New Roman" w:hAnsi="Times New Roman"/>
          <w:b w:val="false"/>
          <w:sz w:val="20"/>
        </w:rPr>
        <w:t>The interest-only period can be extended by an additional 12 months</w:t>
      </w:r>
      <w:r>
        <w:rPr>
          <w:rFonts w:ascii="Times New Roman" w:hAnsi="Times New Roman"/>
          <w:sz w:val="20"/>
        </w:rPr>
        <w:t xml:space="preserve"> </w:t>
      </w:r>
      <w:r>
        <w:rPr>
          <w:rFonts w:ascii="Times New Roman" w:hAnsi="Times New Roman"/>
          <w:b w:val="false"/>
          <w:sz w:val="20"/>
        </w:rPr>
        <w:t>provided that the Company is in compliance with the minimum trailing revenue targets (as described below), and has unrestricted cash and cash equivalents of at least 12 times of the amortization monthly cash burn amount, measured as defined in the 2020 Term Loan agreement (“First IO Extension”). If the First IO Extension conditions are satisfied, the interest-only period can be further extended by an additional 12 months, provided that the Company is in compliance with the minimum trailing revenue targets (as described below), has unrestricted cash and cash equivalents of at least 12 times of the amortization monthly cash burn amount, and has consummated an IPO in which the Company has received cash proceeds of at least $60.0</w:t>
      </w:r>
      <w:r>
        <w:rPr>
          <w:rFonts w:ascii="Times New Roman" w:hAnsi="Times New Roman"/>
          <w:sz w:val="20"/>
        </w:rPr>
        <w:t xml:space="preserve"> </w:t>
      </w:r>
      <w:r>
        <w:rPr>
          <w:rFonts w:ascii="Times New Roman" w:hAnsi="Times New Roman"/>
          <w:b w:val="false"/>
          <w:sz w:val="20"/>
        </w:rPr>
        <w:t>million.</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The 2020 Term Loan has an effective interest rate of 13.59% per year. The 2020 Term Loan interest expense for the three months ended June 30, 2021 and 2020 was $1.1</w:t>
      </w:r>
      <w:r>
        <w:rPr>
          <w:rFonts w:ascii="Times New Roman" w:hAnsi="Times New Roman"/>
          <w:sz w:val="20"/>
        </w:rPr>
        <w:t xml:space="preserve"> </w:t>
      </w:r>
      <w:r>
        <w:rPr>
          <w:rFonts w:ascii="Times New Roman" w:hAnsi="Times New Roman"/>
          <w:b w:val="false"/>
          <w:sz w:val="20"/>
        </w:rPr>
        <w:t>million and $0.0, respectively. The 2020 Term Loan interest expense for the six months ended June 30, 2021 and 2020 was $2.2</w:t>
      </w:r>
      <w:r>
        <w:rPr>
          <w:rFonts w:ascii="Times New Roman" w:hAnsi="Times New Roman"/>
          <w:sz w:val="20"/>
        </w:rPr>
        <w:t xml:space="preserve"> </w:t>
      </w:r>
      <w:r>
        <w:rPr>
          <w:rFonts w:ascii="Times New Roman" w:hAnsi="Times New Roman"/>
          <w:b w:val="false"/>
          <w:sz w:val="20"/>
        </w:rPr>
        <w:t>million and $0.0, respectively.</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In conjunction with the entering the 2020 MidCap Credit Facility, the Company issued a 10-year</w:t>
      </w:r>
      <w:r>
        <w:rPr>
          <w:rFonts w:ascii="Times New Roman" w:hAnsi="Times New Roman"/>
          <w:sz w:val="20"/>
        </w:rPr>
        <w:t xml:space="preserve"> </w:t>
      </w:r>
      <w:r>
        <w:rPr>
          <w:rFonts w:ascii="Times New Roman" w:hAnsi="Times New Roman"/>
          <w:b w:val="false"/>
          <w:sz w:val="20"/>
        </w:rPr>
        <w:t>warrant to the Lender to purchase 300,000</w:t>
      </w:r>
      <w:r>
        <w:rPr>
          <w:rFonts w:ascii="Times New Roman" w:hAnsi="Times New Roman"/>
          <w:sz w:val="20"/>
        </w:rPr>
        <w:t xml:space="preserve"> </w:t>
      </w:r>
      <w:r>
        <w:rPr>
          <w:rFonts w:ascii="Times New Roman" w:hAnsi="Times New Roman"/>
          <w:b w:val="false"/>
          <w:sz w:val="20"/>
        </w:rPr>
        <w:t>shares of the Company’s Series F redeemable convertible preferred stock (the “2020 Warrant”) at an exercise price of $21.88</w:t>
      </w:r>
      <w:r>
        <w:rPr>
          <w:rFonts w:ascii="Times New Roman" w:hAnsi="Times New Roman"/>
          <w:sz w:val="20"/>
        </w:rPr>
        <w:t xml:space="preserve"> </w:t>
      </w:r>
      <w:r>
        <w:rPr>
          <w:rFonts w:ascii="Times New Roman" w:hAnsi="Times New Roman"/>
          <w:b w:val="false"/>
          <w:sz w:val="20"/>
        </w:rPr>
        <w:t>per share (see Note 9). The estimated fair value at issuance of the 2020 Warrant of $1.8</w:t>
      </w:r>
      <w:r>
        <w:rPr>
          <w:rFonts w:ascii="Times New Roman" w:hAnsi="Times New Roman"/>
          <w:sz w:val="20"/>
        </w:rPr>
        <w:t xml:space="preserve"> </w:t>
      </w:r>
      <w:r>
        <w:rPr>
          <w:rFonts w:ascii="Times New Roman" w:hAnsi="Times New Roman"/>
          <w:b w:val="false"/>
          <w:sz w:val="20"/>
        </w:rPr>
        <w:t>million was based on the Option-Pricing Method with Discounts for Lack of Marketability for each class of security. In addition, the Company incurred $0.5</w:t>
      </w:r>
      <w:r>
        <w:rPr>
          <w:rFonts w:ascii="Times New Roman" w:hAnsi="Times New Roman"/>
          <w:sz w:val="20"/>
        </w:rPr>
        <w:t xml:space="preserve"> </w:t>
      </w:r>
      <w:r>
        <w:rPr>
          <w:rFonts w:ascii="Times New Roman" w:hAnsi="Times New Roman"/>
          <w:b w:val="false"/>
          <w:sz w:val="20"/>
        </w:rPr>
        <w:t>million of issuance costs paid to the Lender in conjunction with the 2020 Term Loan which represents a debt discount. The Company concluded that the 2020 Term Loan represented a modification of the 2019 Term Loan and accounted for the 2020 Term Loan as debt modification. The 2020 Warrants were recorded at the fair value as a debt discount and as a warrant liability. At each balance sheet date, the 2020 Warrants are remeasured to fair value with any changes in fair value recognized as other expense in the statements of operations. The debt discount is being amortized using the effective interest method as interest expense over the contractual period of five years</w:t>
      </w:r>
      <w:r>
        <w:rPr>
          <w:rFonts w:ascii="Times New Roman" w:hAnsi="Times New Roman"/>
          <w:sz w:val="20"/>
        </w:rPr>
        <w:t xml:space="preserve"> </w:t>
      </w:r>
      <w:r>
        <w:rPr>
          <w:rFonts w:ascii="Times New Roman" w:hAnsi="Times New Roman"/>
          <w:b w:val="false"/>
          <w:sz w:val="20"/>
        </w:rPr>
        <w:t>for the 2020 Term Loan.</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Company can voluntarily prepay the borrowings in full, with a prepayment premium beginning at 3% in the first year from entering into the 2020 MidCap Credit facility and declining to 2% in the second year to 1% in the third year thereafter. In addition, a final payment fee of 6% of the amounts borrowed is payable at the end of the term or when the borrowings are repaid in full. A long-term liability is being accreted using the effective interest method for the final payment fee over the term of the loan agreement. The borrowings are collateralized by a security interest in substantially all of the Company’s assets.</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The Company accrued $0.7</w:t>
      </w:r>
      <w:r>
        <w:rPr>
          <w:rFonts w:ascii="Times New Roman" w:hAnsi="Times New Roman"/>
          <w:sz w:val="20"/>
        </w:rPr>
        <w:t xml:space="preserve"> </w:t>
      </w:r>
      <w:r>
        <w:rPr>
          <w:rFonts w:ascii="Times New Roman" w:hAnsi="Times New Roman"/>
          <w:b w:val="false"/>
          <w:sz w:val="20"/>
        </w:rPr>
        <w:t>million and $0.5</w:t>
      </w:r>
      <w:r>
        <w:rPr>
          <w:rFonts w:ascii="Times New Roman" w:hAnsi="Times New Roman"/>
          <w:sz w:val="20"/>
        </w:rPr>
        <w:t xml:space="preserve"> </w:t>
      </w:r>
      <w:r>
        <w:rPr>
          <w:rFonts w:ascii="Times New Roman" w:hAnsi="Times New Roman"/>
          <w:b w:val="false"/>
          <w:sz w:val="20"/>
        </w:rPr>
        <w:t>million as of June 30, 2021 and December 31, 2020, respectively, related to accretion of final payment due at maturity per the agreement using the effective interest rate method. The final payment accrual is recorded in Other noncurrent liabilities on the balance sheets.</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The Company is subject to financial covenants related to minimum trailing revenue targets that began on September 30, 2020 and are tested on a monthly basis. The Company has to achieve minimum net revenue of $20.0 million over a trailing 12-month period increasing to a maximum net revenue covenant of $84.8 million for the</w:t>
      </w:r>
      <w:r>
        <w:rPr>
          <w:rFonts w:ascii="Times New Roman" w:hAnsi="Times New Roman"/>
          <w:sz w:val="20"/>
        </w:rPr>
        <w:t xml:space="preserve"> </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240" w:after="0"/>
        <w:ind w:left="0" w:right="0" w:hanging="0"/>
        <w:jc w:val="left"/>
        <w:rPr>
          <w:rFonts w:ascii="Times New Roman" w:hAnsi="Times New Roman"/>
          <w:b w:val="false"/>
          <w:sz w:val="20"/>
        </w:rPr>
      </w:pPr>
      <w:r>
        <w:rPr>
          <w:rFonts w:ascii="Times New Roman" w:hAnsi="Times New Roman"/>
          <w:b w:val="false"/>
          <w:sz w:val="20"/>
        </w:rPr>
        <w:t>trailing 12-month period ending October 31, 2025. As of June 30, 2021, the Company was in compliance with the applicable financial covenant.</w:t>
      </w:r>
    </w:p>
    <w:p>
      <w:pPr>
        <w:pStyle w:val="TextBody"/>
        <w:spacing w:lineRule="auto" w:line="312" w:before="360" w:after="0"/>
        <w:ind w:left="0" w:right="0" w:hanging="0"/>
        <w:jc w:val="left"/>
        <w:rPr>
          <w:rFonts w:ascii="Times New Roman" w:hAnsi="Times New Roman"/>
          <w:b w:val="false"/>
          <w:i/>
          <w:sz w:val="20"/>
        </w:rPr>
      </w:pPr>
      <w:r>
        <w:rPr>
          <w:rFonts w:ascii="Times New Roman" w:hAnsi="Times New Roman"/>
          <w:b w:val="false"/>
          <w:i/>
          <w:sz w:val="20"/>
        </w:rPr>
        <w:t>2020 Revolver</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The 2020 Revolver has a four-year term and has a stated floating interest rate which equates to reserve- adjusted LIBOR plus 4.50%. An unused line fee of 0.5% is payable monthly based on the average unused balance and a collateral management fee of 0.5% is payable monthly based on the outstanding balance of the 2020 Revolver.</w:t>
      </w:r>
      <w:r>
        <w:rPr>
          <w:rFonts w:ascii="Times New Roman" w:hAnsi="Times New Roman"/>
          <w:sz w:val="20"/>
        </w:rPr>
        <w:t xml:space="preserve"> </w:t>
      </w:r>
      <w:r>
        <w:rPr>
          <w:rFonts w:ascii="Times New Roman" w:hAnsi="Times New Roman"/>
          <w:b w:val="false"/>
          <w:sz w:val="20"/>
        </w:rPr>
        <w:t>The Company can request to increase the 2020 Revolver commitment amount to $15.0</w:t>
      </w:r>
      <w:r>
        <w:rPr>
          <w:rFonts w:ascii="Times New Roman" w:hAnsi="Times New Roman"/>
          <w:sz w:val="20"/>
        </w:rPr>
        <w:t xml:space="preserve"> </w:t>
      </w:r>
      <w:r>
        <w:rPr>
          <w:rFonts w:ascii="Times New Roman" w:hAnsi="Times New Roman"/>
          <w:b w:val="false"/>
          <w:sz w:val="20"/>
        </w:rPr>
        <w:t>million under the term of the agreement. As of June 30, 2021, $5.0</w:t>
      </w:r>
      <w:r>
        <w:rPr>
          <w:rFonts w:ascii="Times New Roman" w:hAnsi="Times New Roman"/>
          <w:sz w:val="20"/>
        </w:rPr>
        <w:t xml:space="preserve"> </w:t>
      </w:r>
      <w:r>
        <w:rPr>
          <w:rFonts w:ascii="Times New Roman" w:hAnsi="Times New Roman"/>
          <w:b w:val="false"/>
          <w:sz w:val="20"/>
        </w:rPr>
        <w:t>million was available to be drawn under the 2020 Revolver.</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2020 Revolver has not been drawn upon as of June 30, 2021.</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Long-term and short-term debt was as follows (in thousands):</w:t>
      </w:r>
    </w:p>
    <w:p>
      <w:pPr>
        <w:pStyle w:val="TextBody"/>
        <w:spacing w:lineRule="auto" w:line="312" w:before="120" w:after="0"/>
        <w:ind w:left="0" w:right="0" w:hanging="0"/>
        <w:jc w:val="left"/>
        <w:rPr/>
      </w:pPr>
      <w:r>
        <w:rPr/>
        <w:t> </w:t>
      </w:r>
    </w:p>
    <w:tbl>
      <w:tblPr>
        <w:tblW w:w="8710" w:type="dxa"/>
        <w:jc w:val="left"/>
        <w:tblInd w:w="0" w:type="dxa"/>
        <w:tblCellMar>
          <w:top w:w="28" w:type="dxa"/>
          <w:left w:w="28" w:type="dxa"/>
          <w:bottom w:w="28" w:type="dxa"/>
          <w:right w:w="28" w:type="dxa"/>
        </w:tblCellMar>
      </w:tblPr>
      <w:tblGrid>
        <w:gridCol w:w="5386"/>
        <w:gridCol w:w="146"/>
        <w:gridCol w:w="271"/>
        <w:gridCol w:w="869"/>
        <w:gridCol w:w="166"/>
        <w:gridCol w:w="146"/>
        <w:gridCol w:w="360"/>
        <w:gridCol w:w="1155"/>
        <w:gridCol w:w="211"/>
      </w:tblGrid>
      <w:tr>
        <w:trPr/>
        <w:tc>
          <w:tcPr>
            <w:tcW w:w="5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3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0"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As of June 30,</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515"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As of December 31,</w:t>
            </w:r>
          </w:p>
        </w:tc>
        <w:tc>
          <w:tcPr>
            <w:tcW w:w="211" w:type="dxa"/>
            <w:tcBorders/>
            <w:shd w:fill="auto" w:val="clear"/>
            <w:vAlign w:val="center"/>
          </w:tcPr>
          <w:p>
            <w:pPr>
              <w:pStyle w:val="TableContents"/>
              <w:spacing w:lineRule="auto" w:line="312" w:before="0" w:after="0"/>
              <w:ind w:left="0" w:right="0" w:hanging="0"/>
              <w:jc w:val="center"/>
              <w:rPr/>
            </w:pPr>
            <w:r>
              <w:rPr/>
              <w:t> </w:t>
            </w:r>
          </w:p>
        </w:tc>
      </w:tr>
      <w:tr>
        <w:trPr/>
        <w:tc>
          <w:tcPr>
            <w:tcW w:w="53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53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Term Loan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35,000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5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35,000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3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principal payments due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35,000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35,000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3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debt discount related to warrant liability and issuance costs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86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(2,698</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0" w:type="dxa"/>
            <w:tcBorders/>
            <w:shd w:fill="auto" w:val="clear"/>
            <w:vAlign w:val="center"/>
          </w:tcPr>
          <w:p>
            <w:pPr>
              <w:pStyle w:val="TableContents"/>
              <w:spacing w:lineRule="auto" w:line="312" w:before="0" w:after="0"/>
              <w:ind w:left="0" w:right="0" w:hanging="0"/>
              <w:jc w:val="left"/>
              <w:rPr/>
            </w:pPr>
            <w:r>
              <w:rPr/>
              <w:t> </w:t>
            </w:r>
          </w:p>
        </w:tc>
        <w:tc>
          <w:tcPr>
            <w:tcW w:w="115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(3,045</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53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amounts outstanding</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32,302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31,955</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3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Current portion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6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5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53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accrued and other current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6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32,302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6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15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31,955</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ind w:left="0" w:right="0" w:hanging="0"/>
        <w:jc w:val="left"/>
        <w:rPr/>
      </w:pPr>
      <w:r>
        <w:rPr/>
        <w:t> </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repayment schedule relating to the Company’s debt as of June 30, 2021, is as follows (in thousands):</w:t>
      </w:r>
    </w:p>
    <w:p>
      <w:pPr>
        <w:pStyle w:val="TextBody"/>
        <w:spacing w:lineRule="auto" w:line="312" w:before="120" w:after="0"/>
        <w:ind w:left="0" w:right="0" w:hanging="0"/>
        <w:jc w:val="left"/>
        <w:rPr/>
      </w:pPr>
      <w:r>
        <w:rPr/>
        <w:t> </w:t>
      </w:r>
    </w:p>
    <w:tbl>
      <w:tblPr>
        <w:tblW w:w="2880" w:type="dxa"/>
        <w:jc w:val="left"/>
        <w:tblInd w:w="0" w:type="dxa"/>
        <w:tblCellMar>
          <w:top w:w="28" w:type="dxa"/>
          <w:left w:w="28" w:type="dxa"/>
          <w:bottom w:w="28" w:type="dxa"/>
          <w:right w:w="28" w:type="dxa"/>
        </w:tblCellMar>
      </w:tblPr>
      <w:tblGrid>
        <w:gridCol w:w="1531"/>
        <w:gridCol w:w="146"/>
        <w:gridCol w:w="211"/>
        <w:gridCol w:w="736"/>
        <w:gridCol w:w="256"/>
      </w:tblGrid>
      <w:tr>
        <w:trPr/>
        <w:tc>
          <w:tcPr>
            <w:tcW w:w="1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153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Amount</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5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2021 (remainder)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pPr>
            <w:r>
              <w:rPr/>
              <w:t>—</w:t>
            </w:r>
          </w:p>
        </w:tc>
        <w:tc>
          <w:tcPr>
            <w:tcW w:w="256" w:type="dxa"/>
            <w:tcBorders/>
            <w:shd w:fill="auto" w:val="clear"/>
            <w:vAlign w:val="center"/>
          </w:tcPr>
          <w:p>
            <w:pPr>
              <w:pStyle w:val="TableContents"/>
              <w:spacing w:lineRule="auto" w:line="312" w:before="0" w:after="0"/>
              <w:ind w:left="0" w:right="0" w:hanging="0"/>
              <w:jc w:val="left"/>
              <w:rPr/>
            </w:pPr>
            <w:r>
              <w:rPr/>
              <w:t> </w:t>
            </w:r>
          </w:p>
        </w:tc>
      </w:tr>
      <w:tr>
        <w:trPr/>
        <w:tc>
          <w:tcPr>
            <w:tcW w:w="15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(1,944</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5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(11,667</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5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(11,667</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5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(9,722</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15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repayments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(35,000</w:t>
            </w:r>
          </w:p>
        </w:tc>
        <w:tc>
          <w:tcPr>
            <w:tcW w:w="25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20"/>
              </w:rPr>
              <w:t>)</w:t>
            </w:r>
            <w:r>
              <w:rPr>
                <w:rFonts w:ascii="Times New Roman" w:hAnsi="Times New Roman"/>
                <w:sz w:val="20"/>
              </w:rPr>
              <w:t> </w:t>
            </w:r>
          </w:p>
        </w:tc>
      </w:tr>
    </w:tbl>
    <w:p>
      <w:pPr>
        <w:pStyle w:val="TextBody"/>
        <w:spacing w:lineRule="auto" w:line="312" w:before="0" w:after="0"/>
        <w:jc w:val="left"/>
        <w:rPr/>
      </w:pPr>
      <w:r>
        <w:rPr/>
        <w:t> </w:t>
      </w:r>
    </w:p>
    <w:p>
      <w:pPr>
        <w:pStyle w:val="TextBody"/>
        <w:spacing w:lineRule="auto" w:line="312" w:before="160" w:after="0"/>
        <w:ind w:left="0" w:right="0" w:hanging="0"/>
        <w:jc w:val="left"/>
        <w:rPr>
          <w:rFonts w:ascii="Times New Roman" w:hAnsi="Times New Roman"/>
          <w:b/>
          <w:sz w:val="20"/>
        </w:rPr>
      </w:pPr>
      <w:r>
        <w:rPr>
          <w:rFonts w:ascii="Times New Roman" w:hAnsi="Times New Roman"/>
          <w:b/>
          <w:sz w:val="20"/>
        </w:rPr>
        <w:t>Note 6. Commitments and Contingencies</w:t>
      </w:r>
    </w:p>
    <w:p>
      <w:pPr>
        <w:pStyle w:val="TextBody"/>
        <w:spacing w:lineRule="auto" w:line="312" w:before="120" w:after="0"/>
        <w:ind w:left="0" w:right="0" w:hanging="0"/>
        <w:jc w:val="left"/>
        <w:rPr>
          <w:rFonts w:ascii="Times New Roman" w:hAnsi="Times New Roman"/>
          <w:b/>
          <w:i/>
          <w:sz w:val="20"/>
        </w:rPr>
      </w:pPr>
      <w:r>
        <w:rPr>
          <w:rFonts w:ascii="Times New Roman" w:hAnsi="Times New Roman"/>
          <w:b/>
          <w:i/>
          <w:sz w:val="20"/>
        </w:rPr>
        <w:t>Operating Lease Obligations</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The Company’s leases mainly include facility leases and storage leases. In September 2019, the Company entered into a noncancelable operating lease for approximately 10,823</w:t>
      </w:r>
      <w:r>
        <w:rPr>
          <w:rFonts w:ascii="Times New Roman" w:hAnsi="Times New Roman"/>
          <w:sz w:val="20"/>
        </w:rPr>
        <w:t xml:space="preserve"> </w:t>
      </w:r>
      <w:r>
        <w:rPr>
          <w:rFonts w:ascii="Times New Roman" w:hAnsi="Times New Roman"/>
          <w:b w:val="false"/>
          <w:sz w:val="20"/>
        </w:rPr>
        <w:t>square feet of primary office space, which expires on July 31, 2021, without the option to extend.</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The Company recognizes rent expense on a straight-line basis over the noncancelable lease term. The Company’s rent expense was $0.2</w:t>
      </w:r>
      <w:r>
        <w:rPr>
          <w:rFonts w:ascii="Times New Roman" w:hAnsi="Times New Roman"/>
          <w:sz w:val="20"/>
        </w:rPr>
        <w:t xml:space="preserve"> </w:t>
      </w:r>
      <w:r>
        <w:rPr>
          <w:rFonts w:ascii="Times New Roman" w:hAnsi="Times New Roman"/>
          <w:b w:val="false"/>
          <w:sz w:val="20"/>
        </w:rPr>
        <w:t>million and $0.1</w:t>
      </w:r>
      <w:r>
        <w:rPr>
          <w:rFonts w:ascii="Times New Roman" w:hAnsi="Times New Roman"/>
          <w:sz w:val="20"/>
        </w:rPr>
        <w:t xml:space="preserve"> </w:t>
      </w:r>
      <w:r>
        <w:rPr>
          <w:rFonts w:ascii="Times New Roman" w:hAnsi="Times New Roman"/>
          <w:b w:val="false"/>
          <w:sz w:val="20"/>
        </w:rPr>
        <w:t>million for the three months ended June 30, 2021 and 2020, respectively. The Company’s rent expense was $0.4</w:t>
      </w:r>
      <w:r>
        <w:rPr>
          <w:rFonts w:ascii="Times New Roman" w:hAnsi="Times New Roman"/>
          <w:sz w:val="20"/>
        </w:rPr>
        <w:t xml:space="preserve"> </w:t>
      </w:r>
      <w:r>
        <w:rPr>
          <w:rFonts w:ascii="Times New Roman" w:hAnsi="Times New Roman"/>
          <w:b w:val="false"/>
          <w:sz w:val="20"/>
        </w:rPr>
        <w:t>million and $0.3</w:t>
      </w:r>
      <w:r>
        <w:rPr>
          <w:rFonts w:ascii="Times New Roman" w:hAnsi="Times New Roman"/>
          <w:sz w:val="20"/>
        </w:rPr>
        <w:t xml:space="preserve"> </w:t>
      </w:r>
      <w:r>
        <w:rPr>
          <w:rFonts w:ascii="Times New Roman" w:hAnsi="Times New Roman"/>
          <w:b w:val="false"/>
          <w:sz w:val="20"/>
        </w:rPr>
        <w:t>million for the six months ended June 30, 2021 and 2020, respectively.</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In determining the present value of lease payments, the Company uses its incremental borrowing rate based on the information available at the lease commencement date if the rate implicit in the lease is not readily determinable. At the date of adoption of Topic 842, the Company determined the amounts of lease liability using a discount rate of 16.4%, which represents the Company’s incremental borrowing rate, which was based on the Company’s current borrowing rate adjusted for various factors including level of collateralization and term. As of June 30, 2021, the remaining lease term for the lease was 2.9</w:t>
      </w:r>
      <w:r>
        <w:rPr>
          <w:rFonts w:ascii="Times New Roman" w:hAnsi="Times New Roman"/>
          <w:sz w:val="20"/>
        </w:rPr>
        <w:t xml:space="preserve"> </w:t>
      </w:r>
      <w:r>
        <w:rPr>
          <w:rFonts w:ascii="Times New Roman" w:hAnsi="Times New Roman"/>
          <w:b w:val="false"/>
          <w:sz w:val="20"/>
        </w:rPr>
        <w:t>years.</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Operating lease expense and supplemental cash flow information related to operating leases for the three and six months ended June 30, 2020 and 2021 were as follows (in thousands):</w:t>
      </w:r>
    </w:p>
    <w:p>
      <w:pPr>
        <w:pStyle w:val="TextBody"/>
        <w:spacing w:lineRule="auto" w:line="312" w:before="120" w:after="0"/>
        <w:ind w:left="0" w:right="0" w:firstLine="490"/>
        <w:jc w:val="left"/>
        <w:rPr/>
      </w:pPr>
      <w:r>
        <w:rPr/>
        <w:t> </w:t>
      </w:r>
    </w:p>
    <w:tbl>
      <w:tblPr>
        <w:tblW w:w="8212" w:type="dxa"/>
        <w:jc w:val="left"/>
        <w:tblInd w:w="0" w:type="dxa"/>
        <w:tblCellMar>
          <w:top w:w="28" w:type="dxa"/>
          <w:left w:w="28" w:type="dxa"/>
          <w:bottom w:w="28" w:type="dxa"/>
          <w:right w:w="28" w:type="dxa"/>
        </w:tblCellMar>
      </w:tblPr>
      <w:tblGrid>
        <w:gridCol w:w="4381"/>
        <w:gridCol w:w="146"/>
        <w:gridCol w:w="223"/>
        <w:gridCol w:w="446"/>
        <w:gridCol w:w="154"/>
        <w:gridCol w:w="154"/>
        <w:gridCol w:w="223"/>
        <w:gridCol w:w="446"/>
        <w:gridCol w:w="146"/>
        <w:gridCol w:w="146"/>
        <w:gridCol w:w="211"/>
        <w:gridCol w:w="421"/>
        <w:gridCol w:w="146"/>
        <w:gridCol w:w="146"/>
        <w:gridCol w:w="211"/>
        <w:gridCol w:w="421"/>
        <w:gridCol w:w="191"/>
      </w:tblGrid>
      <w:tr>
        <w:trPr/>
        <w:tc>
          <w:tcPr>
            <w:tcW w:w="43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38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4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Three Months Ended </w:t>
              <w:br/>
              <w:t>June 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5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Six Months Ended </w:t>
              <w:br/>
              <w:t>June 30,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38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6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5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6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3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Operating lease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4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178</w:t>
            </w:r>
          </w:p>
        </w:tc>
        <w:tc>
          <w:tcPr>
            <w:tcW w:w="154" w:type="dxa"/>
            <w:tcBorders/>
            <w:shd w:fill="auto" w:val="clear"/>
            <w:vAlign w:val="center"/>
          </w:tcPr>
          <w:p>
            <w:pPr>
              <w:pStyle w:val="TableContents"/>
              <w:spacing w:lineRule="auto" w:line="312" w:before="0" w:after="0"/>
              <w:ind w:left="0" w:right="0" w:hanging="0"/>
              <w:jc w:val="left"/>
              <w:rPr/>
            </w:pPr>
            <w:r>
              <w:rPr/>
              <w:t> </w:t>
            </w:r>
          </w:p>
        </w:tc>
        <w:tc>
          <w:tcPr>
            <w:tcW w:w="154"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4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313</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43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Cash paid for operating leases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44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176</w:t>
            </w:r>
          </w:p>
        </w:tc>
        <w:tc>
          <w:tcPr>
            <w:tcW w:w="154" w:type="dxa"/>
            <w:tcBorders/>
            <w:shd w:fill="auto" w:val="clear"/>
            <w:vAlign w:val="center"/>
          </w:tcPr>
          <w:p>
            <w:pPr>
              <w:pStyle w:val="TableContents"/>
              <w:spacing w:lineRule="auto" w:line="312" w:before="0" w:after="0"/>
              <w:ind w:left="0" w:right="0" w:hanging="0"/>
              <w:jc w:val="left"/>
              <w:rPr/>
            </w:pPr>
            <w:r>
              <w:rPr/>
              <w:t> </w:t>
            </w:r>
          </w:p>
        </w:tc>
        <w:tc>
          <w:tcPr>
            <w:tcW w:w="154"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44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4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4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344</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43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 xml:space="preserve">New operating lease assets obtained in exchange for </w:t>
              <w:br/>
              <w:t>   operating lease liabilities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44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w:t>
            </w:r>
          </w:p>
        </w:tc>
        <w:tc>
          <w:tcPr>
            <w:tcW w:w="154" w:type="dxa"/>
            <w:tcBorders/>
            <w:shd w:fill="auto" w:val="clear"/>
            <w:vAlign w:val="center"/>
          </w:tcPr>
          <w:p>
            <w:pPr>
              <w:pStyle w:val="TableContents"/>
              <w:spacing w:lineRule="auto" w:line="312" w:before="0" w:after="0"/>
              <w:ind w:left="0" w:right="0" w:hanging="0"/>
              <w:jc w:val="left"/>
              <w:rPr/>
            </w:pPr>
            <w:r>
              <w:rPr/>
              <w:t> </w:t>
            </w:r>
          </w:p>
        </w:tc>
        <w:tc>
          <w:tcPr>
            <w:tcW w:w="154" w:type="dxa"/>
            <w:tcBorders/>
            <w:shd w:fill="auto" w:val="clear"/>
            <w:vAlign w:val="center"/>
          </w:tcPr>
          <w:p>
            <w:pPr>
              <w:pStyle w:val="TableContents"/>
              <w:spacing w:lineRule="auto" w:line="312" w:before="0" w:after="0"/>
              <w:ind w:left="0" w:right="0" w:hanging="0"/>
              <w:jc w:val="left"/>
              <w:rPr/>
            </w:pPr>
            <w:r>
              <w:rPr/>
              <w:t> </w:t>
            </w:r>
          </w:p>
        </w:tc>
        <w:tc>
          <w:tcPr>
            <w:tcW w:w="223" w:type="dxa"/>
            <w:tcBorders/>
            <w:shd w:fill="auto" w:val="clear"/>
            <w:vAlign w:val="center"/>
          </w:tcPr>
          <w:p>
            <w:pPr>
              <w:pStyle w:val="TableContents"/>
              <w:spacing w:lineRule="auto" w:line="312" w:before="0" w:after="0"/>
              <w:ind w:left="0" w:right="0" w:hanging="0"/>
              <w:jc w:val="left"/>
              <w:rPr/>
            </w:pPr>
            <w:r>
              <w:rPr/>
              <w:t> </w:t>
            </w:r>
          </w:p>
        </w:tc>
        <w:tc>
          <w:tcPr>
            <w:tcW w:w="446" w:type="dxa"/>
            <w:tcBorders/>
            <w:shd w:fill="auto" w:val="clear"/>
            <w:vAlign w:val="center"/>
          </w:tcPr>
          <w:p>
            <w:pPr>
              <w:pStyle w:val="TableContents"/>
              <w:spacing w:lineRule="auto" w:line="312" w:before="0" w:after="0"/>
              <w:ind w:left="0" w:right="0" w:hanging="0"/>
              <w:jc w:val="right"/>
              <w:rPr/>
            </w:pPr>
            <w:r>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4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421" w:type="dxa"/>
            <w:tcBorders/>
            <w:shd w:fill="auto" w:val="clear"/>
            <w:vAlign w:val="center"/>
          </w:tcPr>
          <w:p>
            <w:pPr>
              <w:pStyle w:val="TableContents"/>
              <w:spacing w:lineRule="auto" w:line="312" w:before="0" w:after="0"/>
              <w:ind w:left="0" w:right="0" w:hanging="0"/>
              <w:jc w:val="right"/>
              <w:rPr/>
            </w:pPr>
            <w:r>
              <w:rPr/>
              <w:t>—</w:t>
            </w:r>
          </w:p>
        </w:tc>
        <w:tc>
          <w:tcPr>
            <w:tcW w:w="19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ind w:left="0" w:right="0" w:firstLine="490"/>
        <w:jc w:val="left"/>
        <w:rPr/>
      </w:pPr>
      <w:r>
        <w:rPr/>
        <w:t> </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During the three and six months ended June 30, 2021 and 2020, the Company’s costs related to short-term lease arrangements and non-lease variable payments were immaterial.</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Aggregate future minimum lease payments at June 30, 2021 and December 31, 2020, under these noncancelable operating leases were as follows (in thousands):</w:t>
      </w:r>
    </w:p>
    <w:p>
      <w:pPr>
        <w:pStyle w:val="TextBody"/>
        <w:spacing w:lineRule="auto" w:line="312" w:before="120" w:after="0"/>
        <w:ind w:left="0" w:right="0" w:hanging="0"/>
        <w:jc w:val="left"/>
        <w:rPr/>
      </w:pPr>
      <w:r>
        <w:rPr/>
        <w:t> </w:t>
      </w:r>
    </w:p>
    <w:tbl>
      <w:tblPr>
        <w:tblW w:w="7360" w:type="dxa"/>
        <w:jc w:val="left"/>
        <w:tblInd w:w="0" w:type="dxa"/>
        <w:tblCellMar>
          <w:top w:w="28" w:type="dxa"/>
          <w:left w:w="28" w:type="dxa"/>
          <w:bottom w:w="28" w:type="dxa"/>
          <w:right w:w="28" w:type="dxa"/>
        </w:tblCellMar>
      </w:tblPr>
      <w:tblGrid>
        <w:gridCol w:w="4036"/>
        <w:gridCol w:w="146"/>
        <w:gridCol w:w="347"/>
        <w:gridCol w:w="793"/>
        <w:gridCol w:w="166"/>
        <w:gridCol w:w="146"/>
        <w:gridCol w:w="460"/>
        <w:gridCol w:w="1055"/>
        <w:gridCol w:w="211"/>
      </w:tblGrid>
      <w:tr>
        <w:trPr/>
        <w:tc>
          <w:tcPr>
            <w:tcW w:w="4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03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0"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As of June 30,</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515"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As of December 31,</w:t>
            </w:r>
          </w:p>
        </w:tc>
        <w:tc>
          <w:tcPr>
            <w:tcW w:w="211" w:type="dxa"/>
            <w:tcBorders/>
            <w:shd w:fill="auto" w:val="clear"/>
            <w:vAlign w:val="center"/>
          </w:tcPr>
          <w:p>
            <w:pPr>
              <w:pStyle w:val="TableContents"/>
              <w:spacing w:lineRule="auto" w:line="312" w:before="0" w:after="0"/>
              <w:ind w:left="0" w:right="0" w:hanging="0"/>
              <w:jc w:val="center"/>
              <w:rPr/>
            </w:pPr>
            <w:r>
              <w:rPr/>
              <w:t> </w:t>
            </w:r>
          </w:p>
        </w:tc>
      </w:tr>
      <w:tr>
        <w:trPr/>
        <w:tc>
          <w:tcPr>
            <w:tcW w:w="403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15"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0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6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5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440</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40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7" w:type="dxa"/>
            <w:tcBorders/>
            <w:shd w:fill="auto" w:val="clear"/>
            <w:vAlign w:val="center"/>
          </w:tcPr>
          <w:p>
            <w:pPr>
              <w:pStyle w:val="TableContents"/>
              <w:spacing w:lineRule="auto" w:line="312" w:before="0" w:after="0"/>
              <w:ind w:left="0" w:right="0" w:hanging="0"/>
              <w:jc w:val="left"/>
              <w:rPr/>
            </w:pPr>
            <w:r>
              <w:rPr/>
              <w:t> </w:t>
            </w:r>
          </w:p>
        </w:tc>
        <w:tc>
          <w:tcPr>
            <w:tcW w:w="79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60" w:type="dxa"/>
            <w:tcBorders/>
            <w:shd w:fill="auto" w:val="clear"/>
            <w:vAlign w:val="center"/>
          </w:tcPr>
          <w:p>
            <w:pPr>
              <w:pStyle w:val="TableContents"/>
              <w:spacing w:lineRule="auto" w:line="312" w:before="0" w:after="0"/>
              <w:ind w:left="0" w:right="0" w:hanging="0"/>
              <w:jc w:val="left"/>
              <w:rPr/>
            </w:pPr>
            <w:r>
              <w:rPr/>
              <w:t> </w:t>
            </w:r>
          </w:p>
        </w:tc>
        <w:tc>
          <w:tcPr>
            <w:tcW w:w="105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66</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40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2023</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7" w:type="dxa"/>
            <w:tcBorders/>
            <w:shd w:fill="auto" w:val="clear"/>
            <w:vAlign w:val="center"/>
          </w:tcPr>
          <w:p>
            <w:pPr>
              <w:pStyle w:val="TableContents"/>
              <w:spacing w:lineRule="auto" w:line="312" w:before="0" w:after="0"/>
              <w:ind w:left="0" w:right="0" w:hanging="0"/>
              <w:jc w:val="left"/>
              <w:rPr/>
            </w:pPr>
            <w:r>
              <w:rPr/>
              <w:t> </w:t>
            </w:r>
          </w:p>
        </w:tc>
        <w:tc>
          <w:tcPr>
            <w:tcW w:w="79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60" w:type="dxa"/>
            <w:tcBorders/>
            <w:shd w:fill="auto" w:val="clear"/>
            <w:vAlign w:val="center"/>
          </w:tcPr>
          <w:p>
            <w:pPr>
              <w:pStyle w:val="TableContents"/>
              <w:spacing w:lineRule="auto" w:line="312" w:before="0" w:after="0"/>
              <w:ind w:left="0" w:right="0" w:hanging="0"/>
              <w:jc w:val="left"/>
              <w:rPr/>
            </w:pPr>
            <w:r>
              <w:rPr/>
              <w:t> </w:t>
            </w:r>
          </w:p>
        </w:tc>
        <w:tc>
          <w:tcPr>
            <w:tcW w:w="105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40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2024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6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5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0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 future minimum lease payments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283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60" w:type="dxa"/>
            <w:tcBorders/>
            <w:shd w:fill="auto" w:val="clear"/>
            <w:vAlign w:val="center"/>
          </w:tcPr>
          <w:p>
            <w:pPr>
              <w:pStyle w:val="TableContents"/>
              <w:spacing w:lineRule="auto" w:line="312" w:before="0" w:after="0"/>
              <w:ind w:left="0" w:right="0" w:hanging="0"/>
              <w:jc w:val="left"/>
              <w:rPr/>
            </w:pPr>
            <w:r>
              <w:rPr/>
              <w:t> </w:t>
            </w:r>
          </w:p>
        </w:tc>
        <w:tc>
          <w:tcPr>
            <w:tcW w:w="105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603</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40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imputed interest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6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5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0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Present value of future minimum lease payments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7"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3"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60" w:type="dxa"/>
            <w:tcBorders/>
            <w:shd w:fill="auto" w:val="clear"/>
            <w:vAlign w:val="center"/>
          </w:tcPr>
          <w:p>
            <w:pPr>
              <w:pStyle w:val="TableContents"/>
              <w:spacing w:lineRule="auto" w:line="312" w:before="0" w:after="0"/>
              <w:ind w:left="0" w:right="0" w:hanging="0"/>
              <w:jc w:val="left"/>
              <w:rPr/>
            </w:pPr>
            <w:r>
              <w:rPr/>
              <w:t> </w:t>
            </w:r>
          </w:p>
        </w:tc>
        <w:tc>
          <w:tcPr>
            <w:tcW w:w="1055"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529</w:t>
            </w:r>
          </w:p>
        </w:tc>
        <w:tc>
          <w:tcPr>
            <w:tcW w:w="211" w:type="dxa"/>
            <w:tcBorders/>
            <w:shd w:fill="auto" w:val="clear"/>
            <w:vAlign w:val="center"/>
          </w:tcPr>
          <w:p>
            <w:pPr>
              <w:pStyle w:val="TableContents"/>
              <w:spacing w:lineRule="auto" w:line="312" w:before="0" w:after="0"/>
              <w:ind w:left="0" w:right="0" w:hanging="0"/>
              <w:jc w:val="left"/>
              <w:rPr/>
            </w:pPr>
            <w:r>
              <w:rPr/>
              <w:t> </w:t>
            </w:r>
          </w:p>
        </w:tc>
      </w:tr>
      <w:tr>
        <w:trPr/>
        <w:tc>
          <w:tcPr>
            <w:tcW w:w="40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Less: current portion of operating lease liability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9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6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55"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(395</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0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Operating lease liabilities - noncurrent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9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125</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6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55"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134</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120" w:after="0"/>
        <w:ind w:left="0" w:right="0" w:firstLine="490"/>
        <w:jc w:val="left"/>
        <w:rPr/>
      </w:pPr>
      <w:r>
        <w:rPr/>
        <w:t> </w:t>
      </w:r>
    </w:p>
    <w:p>
      <w:pPr>
        <w:pStyle w:val="TextBody"/>
        <w:spacing w:lineRule="auto" w:line="312" w:before="40" w:after="0"/>
        <w:ind w:left="0" w:right="0" w:hanging="0"/>
        <w:jc w:val="left"/>
        <w:rPr>
          <w:rFonts w:ascii="Times New Roman" w:hAnsi="Times New Roman"/>
          <w:b/>
          <w:i/>
          <w:sz w:val="20"/>
        </w:rPr>
      </w:pPr>
      <w:r>
        <w:rPr>
          <w:rFonts w:ascii="Times New Roman" w:hAnsi="Times New Roman"/>
          <w:b/>
          <w:i/>
          <w:sz w:val="20"/>
        </w:rPr>
        <w:t>Legal Proceedings</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Company is subject to claims and assessments from time to time in the ordinary course of business. Accruals for litigation and contingencies are reflected in the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As of June 30, 2021 and December 31, 2020, the Company was not involved in any material legal proceedings.</w:t>
      </w:r>
    </w:p>
    <w:p>
      <w:pPr>
        <w:pStyle w:val="TextBody"/>
        <w:spacing w:lineRule="auto" w:line="312" w:before="360" w:after="0"/>
        <w:ind w:left="0" w:right="0" w:hanging="0"/>
        <w:jc w:val="left"/>
        <w:rPr>
          <w:rFonts w:ascii="Times New Roman" w:hAnsi="Times New Roman"/>
          <w:b/>
          <w:i/>
          <w:sz w:val="20"/>
        </w:rPr>
      </w:pPr>
      <w:r>
        <w:rPr>
          <w:rFonts w:ascii="Times New Roman" w:hAnsi="Times New Roman"/>
          <w:b/>
          <w:i/>
          <w:sz w:val="20"/>
        </w:rPr>
        <w:t>Indemnification</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pStyle w:val="TextBody"/>
        <w:spacing w:lineRule="auto" w:line="312" w:before="240" w:after="0"/>
        <w:jc w:val="left"/>
        <w:rPr>
          <w:rFonts w:ascii="Times New Roman" w:hAnsi="Times New Roman"/>
          <w:sz w:val="20"/>
        </w:rPr>
      </w:pPr>
      <w:r>
        <w:rPr>
          <w:rFonts w:ascii="Times New Roman" w:hAnsi="Times New Roman"/>
          <w:b w:val="false"/>
          <w:sz w:val="20"/>
        </w:rPr>
        <w:t>The Company indemnifies each of its directors and officers for certain events or occurrences, subject to certain limits, while the director is or was serving at the Company’s request in such capacity, as permitted under</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Delaware law and in accordance with its certificate of incorporation and bylaws. The term of the indemnification period lasts as long as a director may be subject to any proceeding arising out of acts or omissions of such director in such capacity. The maximum amount of potential future indemnification is unlimited; however, the Company currently holds director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June 30, 2021 and December 31, 2020.</w:t>
      </w:r>
    </w:p>
    <w:p>
      <w:pPr>
        <w:pStyle w:val="TextBody"/>
        <w:spacing w:lineRule="auto" w:line="312" w:before="360" w:after="0"/>
        <w:ind w:left="0" w:right="0" w:hanging="0"/>
        <w:jc w:val="left"/>
        <w:rPr>
          <w:rFonts w:ascii="Times New Roman" w:hAnsi="Times New Roman"/>
          <w:b/>
          <w:sz w:val="20"/>
        </w:rPr>
      </w:pPr>
      <w:r>
        <w:rPr>
          <w:rFonts w:ascii="Times New Roman" w:hAnsi="Times New Roman"/>
          <w:b/>
          <w:sz w:val="20"/>
        </w:rPr>
        <w:t>Note 7. Redeemable Convertible Preferred Stock</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Company has the following redeemable convertible preferred stock issued and outstanding at June 30, 2021 and December 31, 2020 (in thousands, except share and per share data):</w:t>
      </w:r>
    </w:p>
    <w:p>
      <w:pPr>
        <w:pStyle w:val="TextBody"/>
        <w:spacing w:lineRule="auto" w:line="312" w:before="120" w:after="0"/>
        <w:ind w:left="0" w:right="0" w:firstLine="490"/>
        <w:jc w:val="left"/>
        <w:rPr/>
      </w:pPr>
      <w:r>
        <w:rPr/>
        <w:t> </w:t>
      </w:r>
    </w:p>
    <w:tbl>
      <w:tblPr>
        <w:tblW w:w="10205" w:type="dxa"/>
        <w:jc w:val="left"/>
        <w:tblInd w:w="0" w:type="dxa"/>
        <w:tblCellMar>
          <w:top w:w="28" w:type="dxa"/>
          <w:left w:w="28" w:type="dxa"/>
          <w:bottom w:w="28" w:type="dxa"/>
          <w:right w:w="28" w:type="dxa"/>
        </w:tblCellMar>
      </w:tblPr>
      <w:tblGrid>
        <w:gridCol w:w="691"/>
        <w:gridCol w:w="146"/>
        <w:gridCol w:w="161"/>
        <w:gridCol w:w="1149"/>
        <w:gridCol w:w="146"/>
        <w:gridCol w:w="146"/>
        <w:gridCol w:w="216"/>
        <w:gridCol w:w="1538"/>
        <w:gridCol w:w="146"/>
        <w:gridCol w:w="146"/>
        <w:gridCol w:w="346"/>
        <w:gridCol w:w="938"/>
        <w:gridCol w:w="146"/>
        <w:gridCol w:w="146"/>
        <w:gridCol w:w="273"/>
        <w:gridCol w:w="1011"/>
        <w:gridCol w:w="146"/>
        <w:gridCol w:w="146"/>
        <w:gridCol w:w="259"/>
        <w:gridCol w:w="702"/>
        <w:gridCol w:w="146"/>
        <w:gridCol w:w="146"/>
        <w:gridCol w:w="238"/>
        <w:gridCol w:w="880"/>
        <w:gridCol w:w="197"/>
      </w:tblGrid>
      <w:tr>
        <w:trPr/>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5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69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10"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Shares Authorized</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75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Shares Issued and 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8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Original Issuance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8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Liquidation 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6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Issuance Costs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18"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Carrying Value</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Series 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1" w:type="dxa"/>
            <w:tcBorders/>
            <w:shd w:fill="auto" w:val="clear"/>
            <w:vAlign w:val="center"/>
          </w:tcPr>
          <w:p>
            <w:pPr>
              <w:pStyle w:val="TableContents"/>
              <w:spacing w:lineRule="auto" w:line="312" w:before="0" w:after="0"/>
              <w:ind w:left="0" w:right="0" w:hanging="0"/>
              <w:jc w:val="left"/>
              <w:rPr/>
            </w:pPr>
            <w:r>
              <w:rPr/>
              <w:t> </w:t>
            </w:r>
          </w:p>
        </w:tc>
        <w:tc>
          <w:tcPr>
            <w:tcW w:w="114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3,804,344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153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3,804,344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1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5,250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9"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0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8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5,241</w:t>
            </w:r>
          </w:p>
        </w:tc>
        <w:tc>
          <w:tcPr>
            <w:tcW w:w="197" w:type="dxa"/>
            <w:tcBorders/>
            <w:shd w:fill="auto" w:val="clear"/>
            <w:vAlign w:val="center"/>
          </w:tcPr>
          <w:p>
            <w:pPr>
              <w:pStyle w:val="TableContents"/>
              <w:spacing w:lineRule="auto" w:line="312" w:before="0" w:after="0"/>
              <w:ind w:left="0" w:right="0" w:hanging="0"/>
              <w:jc w:val="left"/>
              <w:rPr/>
            </w:pPr>
            <w:r>
              <w:rPr/>
              <w:t> </w:t>
            </w:r>
          </w:p>
        </w:tc>
      </w:tr>
      <w:tr>
        <w:trPr/>
        <w:tc>
          <w:tcPr>
            <w:tcW w:w="6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Series B</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1" w:type="dxa"/>
            <w:tcBorders/>
            <w:shd w:fill="auto" w:val="clear"/>
            <w:vAlign w:val="center"/>
          </w:tcPr>
          <w:p>
            <w:pPr>
              <w:pStyle w:val="TableContents"/>
              <w:spacing w:lineRule="auto" w:line="312" w:before="0" w:after="0"/>
              <w:ind w:left="0" w:right="0" w:hanging="0"/>
              <w:jc w:val="left"/>
              <w:rPr/>
            </w:pPr>
            <w:r>
              <w:rPr/>
              <w:t> </w:t>
            </w:r>
          </w:p>
        </w:tc>
        <w:tc>
          <w:tcPr>
            <w:tcW w:w="114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1,209,621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153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1,209,621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5.79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3" w:type="dxa"/>
            <w:tcBorders/>
            <w:shd w:fill="auto" w:val="clear"/>
            <w:vAlign w:val="center"/>
          </w:tcPr>
          <w:p>
            <w:pPr>
              <w:pStyle w:val="TableContents"/>
              <w:spacing w:lineRule="auto" w:line="312" w:before="0" w:after="0"/>
              <w:ind w:left="0" w:right="0" w:hanging="0"/>
              <w:jc w:val="left"/>
              <w:rPr/>
            </w:pPr>
            <w:r>
              <w:rPr/>
              <w:t> </w:t>
            </w:r>
          </w:p>
        </w:tc>
        <w:tc>
          <w:tcPr>
            <w:tcW w:w="101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7,000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9" w:type="dxa"/>
            <w:tcBorders/>
            <w:shd w:fill="auto" w:val="clear"/>
            <w:vAlign w:val="center"/>
          </w:tcPr>
          <w:p>
            <w:pPr>
              <w:pStyle w:val="TableContents"/>
              <w:spacing w:lineRule="auto" w:line="312" w:before="0" w:after="0"/>
              <w:ind w:left="0" w:right="0" w:hanging="0"/>
              <w:jc w:val="left"/>
              <w:rPr/>
            </w:pPr>
            <w:r>
              <w:rPr/>
              <w:t> </w:t>
            </w:r>
          </w:p>
        </w:tc>
        <w:tc>
          <w:tcPr>
            <w:tcW w:w="70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pPr>
            <w:r>
              <w:rPr/>
              <w:t> </w:t>
            </w:r>
          </w:p>
        </w:tc>
        <w:tc>
          <w:tcPr>
            <w:tcW w:w="88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6,894</w:t>
            </w:r>
          </w:p>
        </w:tc>
        <w:tc>
          <w:tcPr>
            <w:tcW w:w="197" w:type="dxa"/>
            <w:tcBorders/>
            <w:shd w:fill="auto" w:val="clear"/>
            <w:vAlign w:val="center"/>
          </w:tcPr>
          <w:p>
            <w:pPr>
              <w:pStyle w:val="TableContents"/>
              <w:spacing w:lineRule="auto" w:line="312" w:before="0" w:after="0"/>
              <w:ind w:left="0" w:right="0" w:hanging="0"/>
              <w:jc w:val="left"/>
              <w:rPr/>
            </w:pPr>
            <w:r>
              <w:rPr/>
              <w:t> </w:t>
            </w:r>
          </w:p>
        </w:tc>
      </w:tr>
      <w:tr>
        <w:trPr/>
        <w:tc>
          <w:tcPr>
            <w:tcW w:w="6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Series C</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1" w:type="dxa"/>
            <w:tcBorders/>
            <w:shd w:fill="auto" w:val="clear"/>
            <w:vAlign w:val="center"/>
          </w:tcPr>
          <w:p>
            <w:pPr>
              <w:pStyle w:val="TableContents"/>
              <w:spacing w:lineRule="auto" w:line="312" w:before="0" w:after="0"/>
              <w:ind w:left="0" w:right="0" w:hanging="0"/>
              <w:jc w:val="left"/>
              <w:rPr/>
            </w:pPr>
            <w:r>
              <w:rPr/>
              <w:t> </w:t>
            </w:r>
          </w:p>
        </w:tc>
        <w:tc>
          <w:tcPr>
            <w:tcW w:w="114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2,372,371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153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2,342,857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3" w:type="dxa"/>
            <w:tcBorders/>
            <w:shd w:fill="auto" w:val="clear"/>
            <w:vAlign w:val="center"/>
          </w:tcPr>
          <w:p>
            <w:pPr>
              <w:pStyle w:val="TableContents"/>
              <w:spacing w:lineRule="auto" w:line="312" w:before="0" w:after="0"/>
              <w:ind w:left="0" w:right="0" w:hanging="0"/>
              <w:jc w:val="left"/>
              <w:rPr/>
            </w:pPr>
            <w:r>
              <w:rPr/>
              <w:t> </w:t>
            </w:r>
          </w:p>
        </w:tc>
        <w:tc>
          <w:tcPr>
            <w:tcW w:w="101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22,226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9" w:type="dxa"/>
            <w:tcBorders/>
            <w:shd w:fill="auto" w:val="clear"/>
            <w:vAlign w:val="center"/>
          </w:tcPr>
          <w:p>
            <w:pPr>
              <w:pStyle w:val="TableContents"/>
              <w:spacing w:lineRule="auto" w:line="312" w:before="0" w:after="0"/>
              <w:ind w:left="0" w:right="0" w:hanging="0"/>
              <w:jc w:val="left"/>
              <w:rPr/>
            </w:pPr>
            <w:r>
              <w:rPr/>
              <w:t> </w:t>
            </w:r>
          </w:p>
        </w:tc>
        <w:tc>
          <w:tcPr>
            <w:tcW w:w="70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pPr>
            <w:r>
              <w:rPr/>
              <w:t> </w:t>
            </w:r>
          </w:p>
        </w:tc>
        <w:tc>
          <w:tcPr>
            <w:tcW w:w="88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22,018</w:t>
            </w:r>
          </w:p>
        </w:tc>
        <w:tc>
          <w:tcPr>
            <w:tcW w:w="197" w:type="dxa"/>
            <w:tcBorders/>
            <w:shd w:fill="auto" w:val="clear"/>
            <w:vAlign w:val="center"/>
          </w:tcPr>
          <w:p>
            <w:pPr>
              <w:pStyle w:val="TableContents"/>
              <w:spacing w:lineRule="auto" w:line="312" w:before="0" w:after="0"/>
              <w:ind w:left="0" w:right="0" w:hanging="0"/>
              <w:jc w:val="left"/>
              <w:rPr/>
            </w:pPr>
            <w:r>
              <w:rPr/>
              <w:t> </w:t>
            </w:r>
          </w:p>
        </w:tc>
      </w:tr>
      <w:tr>
        <w:trPr/>
        <w:tc>
          <w:tcPr>
            <w:tcW w:w="6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Series 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1" w:type="dxa"/>
            <w:tcBorders/>
            <w:shd w:fill="auto" w:val="clear"/>
            <w:vAlign w:val="center"/>
          </w:tcPr>
          <w:p>
            <w:pPr>
              <w:pStyle w:val="TableContents"/>
              <w:spacing w:lineRule="auto" w:line="312" w:before="0" w:after="0"/>
              <w:ind w:left="0" w:right="0" w:hanging="0"/>
              <w:jc w:val="left"/>
              <w:rPr/>
            </w:pPr>
            <w:r>
              <w:rPr/>
              <w:t> </w:t>
            </w:r>
          </w:p>
        </w:tc>
        <w:tc>
          <w:tcPr>
            <w:tcW w:w="114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2,507,720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153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2,447,818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12.56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3" w:type="dxa"/>
            <w:tcBorders/>
            <w:shd w:fill="auto" w:val="clear"/>
            <w:vAlign w:val="center"/>
          </w:tcPr>
          <w:p>
            <w:pPr>
              <w:pStyle w:val="TableContents"/>
              <w:spacing w:lineRule="auto" w:line="312" w:before="0" w:after="0"/>
              <w:ind w:left="0" w:right="0" w:hanging="0"/>
              <w:jc w:val="left"/>
              <w:rPr/>
            </w:pPr>
            <w:r>
              <w:rPr/>
              <w:t> </w:t>
            </w:r>
          </w:p>
        </w:tc>
        <w:tc>
          <w:tcPr>
            <w:tcW w:w="101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30,750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9" w:type="dxa"/>
            <w:tcBorders/>
            <w:shd w:fill="auto" w:val="clear"/>
            <w:vAlign w:val="center"/>
          </w:tcPr>
          <w:p>
            <w:pPr>
              <w:pStyle w:val="TableContents"/>
              <w:spacing w:lineRule="auto" w:line="312" w:before="0" w:after="0"/>
              <w:ind w:left="0" w:right="0" w:hanging="0"/>
              <w:jc w:val="left"/>
              <w:rPr/>
            </w:pPr>
            <w:r>
              <w:rPr/>
              <w:t> </w:t>
            </w:r>
          </w:p>
        </w:tc>
        <w:tc>
          <w:tcPr>
            <w:tcW w:w="70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647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pPr>
            <w:r>
              <w:rPr/>
              <w:t> </w:t>
            </w:r>
          </w:p>
        </w:tc>
        <w:tc>
          <w:tcPr>
            <w:tcW w:w="88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30,103</w:t>
            </w:r>
          </w:p>
        </w:tc>
        <w:tc>
          <w:tcPr>
            <w:tcW w:w="197" w:type="dxa"/>
            <w:tcBorders/>
            <w:shd w:fill="auto" w:val="clear"/>
            <w:vAlign w:val="center"/>
          </w:tcPr>
          <w:p>
            <w:pPr>
              <w:pStyle w:val="TableContents"/>
              <w:spacing w:lineRule="auto" w:line="312" w:before="0" w:after="0"/>
              <w:ind w:left="0" w:right="0" w:hanging="0"/>
              <w:jc w:val="left"/>
              <w:rPr/>
            </w:pPr>
            <w:r>
              <w:rPr/>
              <w:t> </w:t>
            </w:r>
          </w:p>
        </w:tc>
      </w:tr>
      <w:tr>
        <w:trPr/>
        <w:tc>
          <w:tcPr>
            <w:tcW w:w="6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Series 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1" w:type="dxa"/>
            <w:tcBorders/>
            <w:shd w:fill="auto" w:val="clear"/>
            <w:vAlign w:val="center"/>
          </w:tcPr>
          <w:p>
            <w:pPr>
              <w:pStyle w:val="TableContents"/>
              <w:spacing w:lineRule="auto" w:line="312" w:before="0" w:after="0"/>
              <w:ind w:left="0" w:right="0" w:hanging="0"/>
              <w:jc w:val="left"/>
              <w:rPr/>
            </w:pPr>
            <w:r>
              <w:rPr/>
              <w:t> </w:t>
            </w:r>
          </w:p>
        </w:tc>
        <w:tc>
          <w:tcPr>
            <w:tcW w:w="114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1,921,902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153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1,899,847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15.87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3" w:type="dxa"/>
            <w:tcBorders/>
            <w:shd w:fill="auto" w:val="clear"/>
            <w:vAlign w:val="center"/>
          </w:tcPr>
          <w:p>
            <w:pPr>
              <w:pStyle w:val="TableContents"/>
              <w:spacing w:lineRule="auto" w:line="312" w:before="0" w:after="0"/>
              <w:ind w:left="0" w:right="0" w:hanging="0"/>
              <w:jc w:val="left"/>
              <w:rPr/>
            </w:pPr>
            <w:r>
              <w:rPr/>
              <w:t> </w:t>
            </w:r>
          </w:p>
        </w:tc>
        <w:tc>
          <w:tcPr>
            <w:tcW w:w="101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30,150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9" w:type="dxa"/>
            <w:tcBorders/>
            <w:shd w:fill="auto" w:val="clear"/>
            <w:vAlign w:val="center"/>
          </w:tcPr>
          <w:p>
            <w:pPr>
              <w:pStyle w:val="TableContents"/>
              <w:spacing w:lineRule="auto" w:line="312" w:before="0" w:after="0"/>
              <w:ind w:left="0" w:right="0" w:hanging="0"/>
              <w:jc w:val="left"/>
              <w:rPr/>
            </w:pPr>
            <w:r>
              <w:rPr/>
              <w:t> </w:t>
            </w:r>
          </w:p>
        </w:tc>
        <w:tc>
          <w:tcPr>
            <w:tcW w:w="702"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8" w:type="dxa"/>
            <w:tcBorders/>
            <w:shd w:fill="auto" w:val="clear"/>
            <w:vAlign w:val="center"/>
          </w:tcPr>
          <w:p>
            <w:pPr>
              <w:pStyle w:val="TableContents"/>
              <w:spacing w:lineRule="auto" w:line="312" w:before="0" w:after="0"/>
              <w:ind w:left="0" w:right="0" w:hanging="0"/>
              <w:jc w:val="left"/>
              <w:rPr/>
            </w:pPr>
            <w:r>
              <w:rPr/>
              <w:t> </w:t>
            </w:r>
          </w:p>
        </w:tc>
        <w:tc>
          <w:tcPr>
            <w:tcW w:w="880"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30,044</w:t>
            </w:r>
          </w:p>
        </w:tc>
        <w:tc>
          <w:tcPr>
            <w:tcW w:w="197" w:type="dxa"/>
            <w:tcBorders/>
            <w:shd w:fill="auto" w:val="clear"/>
            <w:vAlign w:val="center"/>
          </w:tcPr>
          <w:p>
            <w:pPr>
              <w:pStyle w:val="TableContents"/>
              <w:spacing w:lineRule="auto" w:line="312" w:before="0" w:after="0"/>
              <w:ind w:left="0" w:right="0" w:hanging="0"/>
              <w:jc w:val="left"/>
              <w:rPr/>
            </w:pPr>
            <w:r>
              <w:rPr/>
              <w:t> </w:t>
            </w:r>
          </w:p>
        </w:tc>
      </w:tr>
      <w:tr>
        <w:trPr/>
        <w:tc>
          <w:tcPr>
            <w:tcW w:w="6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Series F</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2,425,432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3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1,062,715</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21.88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23,250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5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02"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23,031</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9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14,241,390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53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12,767,202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284"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0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118,626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5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02"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1,295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8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117,331</w:t>
            </w:r>
          </w:p>
        </w:tc>
        <w:tc>
          <w:tcPr>
            <w:tcW w:w="197"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ind w:left="0" w:right="0" w:firstLine="490"/>
        <w:jc w:val="left"/>
        <w:rPr/>
      </w:pPr>
      <w:r>
        <w:rPr/>
        <w:t> </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rights and preferences of holders of the redeemable convertible preferred stock as of June 30, 2021 were as follows:</w:t>
      </w:r>
    </w:p>
    <w:p>
      <w:pPr>
        <w:pStyle w:val="TextBody"/>
        <w:spacing w:lineRule="auto" w:line="312" w:before="360" w:after="0"/>
        <w:ind w:left="0" w:right="0" w:hanging="0"/>
        <w:jc w:val="left"/>
        <w:rPr>
          <w:rFonts w:ascii="Times New Roman" w:hAnsi="Times New Roman"/>
          <w:b w:val="false"/>
          <w:i/>
          <w:sz w:val="20"/>
        </w:rPr>
      </w:pPr>
      <w:r>
        <w:rPr>
          <w:rFonts w:ascii="Times New Roman" w:hAnsi="Times New Roman"/>
          <w:b w:val="false"/>
          <w:i/>
          <w:sz w:val="20"/>
        </w:rPr>
        <w:t>Voting Rights</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holder of each share of redeemable convertible preferred stock has the voting rights equal to an equivalent number of shares of common stock into which it is convertible and votes together as a single class with common stock.</w:t>
      </w:r>
    </w:p>
    <w:p>
      <w:pPr>
        <w:pStyle w:val="TextBody"/>
        <w:spacing w:lineRule="auto" w:line="312" w:before="360" w:after="0"/>
        <w:ind w:left="0" w:right="0" w:hanging="0"/>
        <w:jc w:val="left"/>
        <w:rPr>
          <w:rFonts w:ascii="Times New Roman" w:hAnsi="Times New Roman"/>
          <w:b w:val="false"/>
          <w:i/>
          <w:sz w:val="20"/>
        </w:rPr>
      </w:pPr>
      <w:r>
        <w:rPr>
          <w:rFonts w:ascii="Times New Roman" w:hAnsi="Times New Roman"/>
          <w:b w:val="false"/>
          <w:i/>
          <w:sz w:val="20"/>
        </w:rPr>
        <w:t>Election of Directors</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holders of a majority of the Shares of Series A, Series B, Series C and Series D redeemable convertible preferred stock, voting separately as a single class, are entitled to each elect one director of the Company. The holders of a majority of the shares of Series E and Series F redeemable convertible preferred stock, voting together as a single class, are entitled to elect one director of the Company.</w:t>
      </w:r>
    </w:p>
    <w:p>
      <w:pPr>
        <w:pStyle w:val="TextBody"/>
        <w:spacing w:lineRule="auto" w:line="312" w:before="360" w:after="0"/>
        <w:ind w:left="0" w:right="0" w:hanging="0"/>
        <w:jc w:val="left"/>
        <w:rPr>
          <w:rFonts w:ascii="Times New Roman" w:hAnsi="Times New Roman"/>
          <w:b w:val="false"/>
          <w:i/>
          <w:sz w:val="20"/>
        </w:rPr>
      </w:pPr>
      <w:r>
        <w:rPr>
          <w:rFonts w:ascii="Times New Roman" w:hAnsi="Times New Roman"/>
          <w:b w:val="false"/>
          <w:i/>
          <w:sz w:val="20"/>
        </w:rPr>
        <w:t>Dividends</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The holders of Series A, Series B, Series C, Series D, Series E and Series F redeemable convertible preferred stock are entitled to receive dividends declared by the board of directors in proportion to the numbers of shares of common stock, which are held by each holder if all shares of such series of redeemable convertible preferred stock were converted to common stock at the then-effective conversion rate of each series of redeemable convertible preferred stock. No</w:t>
      </w:r>
      <w:r>
        <w:rPr>
          <w:rFonts w:ascii="Times New Roman" w:hAnsi="Times New Roman"/>
          <w:sz w:val="20"/>
        </w:rPr>
        <w:t xml:space="preserve"> </w:t>
      </w:r>
      <w:r>
        <w:rPr>
          <w:rFonts w:ascii="Times New Roman" w:hAnsi="Times New Roman"/>
          <w:b w:val="false"/>
          <w:sz w:val="20"/>
        </w:rPr>
        <w:t>dividends shall be paid on any common stock (other than dividends on shares of common stock payable in shares of common stock) until dividends to the holders of the redeemable convertible preferred stock have been paid. As of June 30, 2021, no dividends have been declared to date.</w:t>
      </w:r>
    </w:p>
    <w:p>
      <w:pPr>
        <w:pStyle w:val="TextBody"/>
        <w:spacing w:lineRule="auto" w:line="312" w:before="360" w:after="0"/>
        <w:ind w:left="0" w:right="0" w:hanging="0"/>
        <w:jc w:val="left"/>
        <w:rPr>
          <w:rFonts w:ascii="Times New Roman" w:hAnsi="Times New Roman"/>
          <w:b w:val="false"/>
          <w:i/>
          <w:sz w:val="20"/>
        </w:rPr>
      </w:pPr>
      <w:r>
        <w:rPr>
          <w:rFonts w:ascii="Times New Roman" w:hAnsi="Times New Roman"/>
          <w:b w:val="false"/>
          <w:i/>
          <w:sz w:val="20"/>
        </w:rPr>
        <w:t>Liquidation Rights</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In the event of any liquidation, dissolution, or winding-up of the Company, either voluntary or involuntary, the holders of Series F, Series E and Series D redeemable convertible preferred stock shall be entitled to receive on a pari passu basis among each other, prior to and in preference to any distribution of any of the assets to the holders of</w:t>
      </w:r>
      <w:r>
        <w:rPr>
          <w:rFonts w:ascii="Times New Roman" w:hAnsi="Times New Roman"/>
          <w:sz w:val="20"/>
        </w:rPr>
        <w:t xml:space="preserve"> </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120" w:after="0"/>
        <w:ind w:left="0" w:right="0" w:hanging="0"/>
        <w:jc w:val="left"/>
        <w:rPr>
          <w:rFonts w:ascii="Times New Roman" w:hAnsi="Times New Roman"/>
          <w:b w:val="false"/>
          <w:sz w:val="20"/>
        </w:rPr>
      </w:pPr>
      <w:r>
        <w:rPr>
          <w:rFonts w:ascii="Times New Roman" w:hAnsi="Times New Roman"/>
          <w:b w:val="false"/>
          <w:sz w:val="20"/>
        </w:rPr>
        <w:t>Series C redeemable convertible preferred stock, Series B redeemable convertible preferred stock, Series A redeemable convertible preferred stock, and the common stock of the Company, an amount per share equal to the sum of the original issue price of the redeemable convertible preferred stock and all declared and unpaid dividends on such shares of redeemable convertible preferred stock.</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After the payment of all preferential amounts required to be paid to the holders of Series D redeemable convertible preferred stock, the holders of Series C redeemable convertible preferred stock shall be entitled to receive, prior to and in preference to any distribution of any of the assets to the holders of Series B redeemable convertible preferred stock, Series A redeemable convertible preferred stock, and the common stock of the Company, an amount per share equal to the sum of the original issue price of the redeemable convertible preferred stock and all declared and unpaid dividends on such shares of redeemable convertible preferred stock.</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After the payment of all preferential amounts required to be paid to the holders of Series C redeemable convertible preferred stock, the holders of Series B shall be entitled to receive, prior to and in preference to any distribution of any of the assets to the holders of Series A redeemable convertible preferred stock and the common stock of the Company, an amount per share equal to the sum of the original issue price of the redeemable convertible preferred stock and all declared and unpaid dividends on such shares of redeemable convertible preferred stock.</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After the payment of all preferential amounts required to be paid to the holders of Series B redeemable convertible preferred stock, the holders of Series A shall be entitled to receive, prior to and in preference to any distribution of any of the assets to the holders of common stock of the Company, an amount per share equal to the sum of the original issue price of the redeemable convertible preferred stock and all declared and unpaid dividends on such shares of redeemable convertible preferred stock.</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If upon the occurrence of such an event, the assets and funds distributed among the holders of the redeemable convertible preferred stock are insufficient to permit the payment to such holders of the redeemable convertible preferred stock, then the entire assets and funds of the Company legally available for distribution shall be distributed ratably among the holders of the redeemable convertible preferred stock in proportion to the full preferential amount each such holders are otherwise entitled to have received pursuant to the entitlement as noted above.</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After the payment in full to holders of the redeemable convertible preferred stock as noted above, the remaining assets, if any, shall be distributed to the holders of the common and redeemable convertible preferred stock on a pro-rata as-if-converted basis.</w:t>
      </w:r>
    </w:p>
    <w:p>
      <w:pPr>
        <w:pStyle w:val="TextBody"/>
        <w:spacing w:lineRule="auto" w:line="312" w:before="360" w:after="0"/>
        <w:ind w:left="0" w:right="0" w:hanging="0"/>
        <w:jc w:val="left"/>
        <w:rPr>
          <w:rFonts w:ascii="Times New Roman" w:hAnsi="Times New Roman"/>
          <w:b w:val="false"/>
          <w:i/>
          <w:sz w:val="20"/>
        </w:rPr>
      </w:pPr>
      <w:r>
        <w:rPr>
          <w:rFonts w:ascii="Times New Roman" w:hAnsi="Times New Roman"/>
          <w:b w:val="false"/>
          <w:i/>
          <w:sz w:val="20"/>
        </w:rPr>
        <w:t>Conversion rights</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Each share of redeemable convertible preferred stock is convertible, at the option of the holder, at any time after the date of issuance of such share for such redeemable convertible preferred stock. Each share of redeemable convertible preferred stock shall be convertible into the number of shares of common stock determined by dividing the original issuance price by the conversion price. The initial conversion price for each share of redeemable convertible preferred stock is the original issuance price for such share of redeemable convertible preferred stock.</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Each share of redeemable convertible preferred stock automatically converts into the number of shares of common stock at the conversion price on the earlier of (i) immediately prior to the closing of a firmly underwritten public offering in the aggregate gross proceeds received by the Company are not less than $75.0</w:t>
      </w:r>
      <w:r>
        <w:rPr>
          <w:rFonts w:ascii="Times New Roman" w:hAnsi="Times New Roman"/>
          <w:sz w:val="20"/>
        </w:rPr>
        <w:t xml:space="preserve"> </w:t>
      </w:r>
      <w:r>
        <w:rPr>
          <w:rFonts w:ascii="Times New Roman" w:hAnsi="Times New Roman"/>
          <w:b w:val="false"/>
          <w:sz w:val="20"/>
        </w:rPr>
        <w:t>million and the Company’s valuation, represented by fair market value of the issued and outstanding shares of common stock (assuming conversion of all redeemable convertible preferred stock into common stock) immediately prior to giving effect to the issuance of any shares pursuant to such public offering, calculated based on the price per share at which the underwriters propose to sell such common stock to the public, is at least $425.0</w:t>
      </w:r>
      <w:r>
        <w:rPr>
          <w:rFonts w:ascii="Times New Roman" w:hAnsi="Times New Roman"/>
          <w:sz w:val="20"/>
        </w:rPr>
        <w:t xml:space="preserve"> </w:t>
      </w:r>
      <w:r>
        <w:rPr>
          <w:rFonts w:ascii="Times New Roman" w:hAnsi="Times New Roman"/>
          <w:b w:val="false"/>
          <w:sz w:val="20"/>
        </w:rPr>
        <w:t>million on or before the 12-month anniversary of the initial purchase date of the Series F redeemable convertible preferred stock, and at least $475.0</w:t>
      </w:r>
      <w:r>
        <w:rPr>
          <w:rFonts w:ascii="Times New Roman" w:hAnsi="Times New Roman"/>
          <w:sz w:val="20"/>
        </w:rPr>
        <w:t xml:space="preserve"> </w:t>
      </w:r>
      <w:r>
        <w:rPr>
          <w:rFonts w:ascii="Times New Roman" w:hAnsi="Times New Roman"/>
          <w:b w:val="false"/>
          <w:sz w:val="20"/>
        </w:rPr>
        <w:t>million after the twelve 12-month anniversary of the initial purchase date of the Series F redeemable convertible preferred stock (a “Qualified IPO”) or (ii) the date specified in a written request by the holders of a majority of the then outstanding shares of the Series E redeemable convertible preferred stock and the Series F redeemable convertible preferred stock, voting together as a separate class on an as-if converted basis.</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As of June 30, 2021, the conversion ratio for each series of redeemable convertible preferred stock was one-for-two, whereby each share of redeemable convertible preferred stock converts into two shares of common stock.</w:t>
      </w:r>
    </w:p>
    <w:p>
      <w:pPr>
        <w:pStyle w:val="TextBody"/>
        <w:spacing w:lineRule="auto" w:line="312" w:before="360" w:after="0"/>
        <w:ind w:left="0" w:right="0" w:hanging="0"/>
        <w:jc w:val="left"/>
        <w:rPr>
          <w:rFonts w:ascii="Times New Roman" w:hAnsi="Times New Roman"/>
          <w:b w:val="false"/>
          <w:i/>
          <w:sz w:val="20"/>
        </w:rPr>
      </w:pPr>
      <w:r>
        <w:rPr>
          <w:rFonts w:ascii="Times New Roman" w:hAnsi="Times New Roman"/>
          <w:b w:val="false"/>
          <w:i/>
          <w:sz w:val="20"/>
        </w:rPr>
        <w:t>Redemption</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redeemable convertible preferred stock is recorded in mezzanine equity because, while it is not mandatorily redeemable, it will become redeemable at the option of the stockholders upon the occurrence of certain deemed liquidation events that are considered not solely within the Company’s control.</w:t>
      </w:r>
    </w:p>
    <w:p>
      <w:pPr>
        <w:pStyle w:val="TextBody"/>
        <w:spacing w:lineRule="auto" w:line="312" w:before="360" w:after="0"/>
        <w:ind w:left="0" w:right="0" w:hanging="0"/>
        <w:jc w:val="left"/>
        <w:rPr>
          <w:rFonts w:ascii="Times New Roman" w:hAnsi="Times New Roman"/>
          <w:b/>
          <w:sz w:val="20"/>
        </w:rPr>
      </w:pPr>
      <w:r>
        <w:rPr>
          <w:rFonts w:ascii="Times New Roman" w:hAnsi="Times New Roman"/>
          <w:b/>
          <w:sz w:val="20"/>
        </w:rPr>
        <w:t>Note 8. Common Stock Warrants</w:t>
      </w:r>
    </w:p>
    <w:p>
      <w:pPr>
        <w:pStyle w:val="TextBody"/>
        <w:spacing w:lineRule="auto" w:line="312" w:before="120" w:after="0"/>
        <w:jc w:val="left"/>
        <w:rPr>
          <w:rFonts w:ascii="Times New Roman" w:hAnsi="Times New Roman"/>
          <w:sz w:val="20"/>
        </w:rPr>
      </w:pPr>
      <w:r>
        <w:rPr>
          <w:rFonts w:ascii="Times New Roman" w:hAnsi="Times New Roman"/>
          <w:b w:val="false"/>
          <w:sz w:val="20"/>
        </w:rPr>
        <w:t>In connection with the issuance of the Company’s Series A redeemable convertible preferred stock issuances in September 2011, the Company issued a warrant to purchase 129,310</w:t>
      </w:r>
      <w:r>
        <w:rPr>
          <w:rFonts w:ascii="Times New Roman" w:hAnsi="Times New Roman"/>
          <w:sz w:val="20"/>
        </w:rPr>
        <w:t xml:space="preserve"> </w:t>
      </w:r>
      <w:r>
        <w:rPr>
          <w:rFonts w:ascii="Times New Roman" w:hAnsi="Times New Roman"/>
          <w:b w:val="false"/>
          <w:sz w:val="20"/>
        </w:rPr>
        <w:t>shares of common stock to an investor who purchased Series A redeemable convertible preferred stock at an exercise price of $0.05</w:t>
      </w:r>
      <w:r>
        <w:rPr>
          <w:rFonts w:ascii="Times New Roman" w:hAnsi="Times New Roman"/>
          <w:sz w:val="20"/>
        </w:rPr>
        <w:t xml:space="preserve"> </w:t>
      </w:r>
      <w:r>
        <w:rPr>
          <w:rFonts w:ascii="Times New Roman" w:hAnsi="Times New Roman"/>
          <w:b w:val="false"/>
          <w:sz w:val="20"/>
        </w:rPr>
        <w:t>per share. The common stock warrant was exercised in December 2020 and is no</w:t>
      </w:r>
      <w:r>
        <w:rPr>
          <w:rFonts w:ascii="Times New Roman" w:hAnsi="Times New Roman"/>
          <w:sz w:val="20"/>
        </w:rPr>
        <w:t xml:space="preserve"> </w:t>
      </w:r>
      <w:r>
        <w:rPr>
          <w:rFonts w:ascii="Times New Roman" w:hAnsi="Times New Roman"/>
          <w:b w:val="false"/>
          <w:sz w:val="20"/>
        </w:rPr>
        <w:t>longer outstanding.</w:t>
      </w:r>
    </w:p>
    <w:p>
      <w:pPr>
        <w:pStyle w:val="TextBody"/>
        <w:spacing w:lineRule="auto" w:line="312" w:before="360" w:after="0"/>
        <w:ind w:left="0" w:right="0" w:hanging="0"/>
        <w:jc w:val="left"/>
        <w:rPr>
          <w:rFonts w:ascii="Times New Roman" w:hAnsi="Times New Roman"/>
          <w:b/>
          <w:sz w:val="20"/>
        </w:rPr>
      </w:pPr>
      <w:r>
        <w:rPr>
          <w:rFonts w:ascii="Times New Roman" w:hAnsi="Times New Roman"/>
          <w:b/>
          <w:sz w:val="20"/>
        </w:rPr>
        <w:t>Note 9. Redeemable Convertible Preferred Stock Warrants</w:t>
      </w:r>
    </w:p>
    <w:p>
      <w:pPr>
        <w:pStyle w:val="TextBody"/>
        <w:spacing w:lineRule="auto" w:line="312" w:before="120" w:after="0"/>
        <w:ind w:left="0" w:right="0" w:hanging="0"/>
        <w:jc w:val="left"/>
        <w:rPr>
          <w:rFonts w:ascii="Times New Roman" w:hAnsi="Times New Roman"/>
          <w:b/>
          <w:i/>
          <w:sz w:val="20"/>
        </w:rPr>
      </w:pPr>
      <w:r>
        <w:rPr>
          <w:rFonts w:ascii="Times New Roman" w:hAnsi="Times New Roman"/>
          <w:b/>
          <w:i/>
          <w:sz w:val="20"/>
        </w:rPr>
        <w:t>2019 Warrants</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In conjunction with the funding of Tranche 1 and Tranche 2 under the 2019 Term Loan, the Company issued the 2019 Initial Warrant to purchase 29,514</w:t>
      </w:r>
      <w:r>
        <w:rPr>
          <w:rFonts w:ascii="Times New Roman" w:hAnsi="Times New Roman"/>
          <w:sz w:val="20"/>
        </w:rPr>
        <w:t xml:space="preserve"> </w:t>
      </w:r>
      <w:r>
        <w:rPr>
          <w:rFonts w:ascii="Times New Roman" w:hAnsi="Times New Roman"/>
          <w:b w:val="false"/>
          <w:sz w:val="20"/>
        </w:rPr>
        <w:t>shares of its Series C redeemable convertible preferred stock (see Note 5). The 2019 Initial Warrant is immediately exercisable, at an exercise price per share of $9.49, and expires 10 years</w:t>
      </w:r>
      <w:r>
        <w:rPr>
          <w:rFonts w:ascii="Times New Roman" w:hAnsi="Times New Roman"/>
          <w:sz w:val="20"/>
        </w:rPr>
        <w:t xml:space="preserve"> </w:t>
      </w:r>
      <w:r>
        <w:rPr>
          <w:rFonts w:ascii="Times New Roman" w:hAnsi="Times New Roman"/>
          <w:b w:val="false"/>
          <w:sz w:val="20"/>
        </w:rPr>
        <w:t>from their date of issuance. The 2019 Initial Warrant will be automatically exercised upon the consummation or effective date of a change of control of the Company. Further, depending on the funding of the 2019 Term Loan Tranche 3, the Company was obligated to issue the 2019 Additional Warrant to the Lender to purchase up to 12,649</w:t>
      </w:r>
      <w:r>
        <w:rPr>
          <w:rFonts w:ascii="Times New Roman" w:hAnsi="Times New Roman"/>
          <w:sz w:val="20"/>
        </w:rPr>
        <w:t xml:space="preserve"> </w:t>
      </w:r>
      <w:r>
        <w:rPr>
          <w:rFonts w:ascii="Times New Roman" w:hAnsi="Times New Roman"/>
          <w:b w:val="false"/>
          <w:sz w:val="20"/>
        </w:rPr>
        <w:t>shares of Series C redeemable convertible preferred stock at the respective exercise price.</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The estimated fair value of the 2019 Warrants on the date of issuance was $0.2</w:t>
      </w:r>
      <w:r>
        <w:rPr>
          <w:rFonts w:ascii="Times New Roman" w:hAnsi="Times New Roman"/>
          <w:sz w:val="20"/>
        </w:rPr>
        <w:t xml:space="preserve"> </w:t>
      </w:r>
      <w:r>
        <w:rPr>
          <w:rFonts w:ascii="Times New Roman" w:hAnsi="Times New Roman"/>
          <w:b w:val="false"/>
          <w:sz w:val="20"/>
        </w:rPr>
        <w:t>million. As of the issuance date, the fair value of the 2019 Warrants was calculated using the Black-Scholes option-pricing model and was based on a term of 10 years, a risk-free interest rate of 2.99%, expected volatility of 50.95%, and 0% expected dividend yield.</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At initial recognition, the 2019 Warrants were recorded at their estimated fair values and were subject to remeasurement at each balance sheet date, with changes in fair value recognized as a component of net income. As of December 31, 2020 and June 30, 2021, the estimated fair values of the 2019 Warrants were $0.3</w:t>
      </w:r>
      <w:r>
        <w:rPr>
          <w:rFonts w:ascii="Times New Roman" w:hAnsi="Times New Roman"/>
          <w:sz w:val="20"/>
        </w:rPr>
        <w:t xml:space="preserve"> </w:t>
      </w:r>
      <w:r>
        <w:rPr>
          <w:rFonts w:ascii="Times New Roman" w:hAnsi="Times New Roman"/>
          <w:b w:val="false"/>
          <w:sz w:val="20"/>
        </w:rPr>
        <w:t>million and $1.0</w:t>
      </w:r>
      <w:r>
        <w:rPr>
          <w:rFonts w:ascii="Times New Roman" w:hAnsi="Times New Roman"/>
          <w:sz w:val="20"/>
        </w:rPr>
        <w:t xml:space="preserve"> </w:t>
      </w:r>
      <w:r>
        <w:rPr>
          <w:rFonts w:ascii="Times New Roman" w:hAnsi="Times New Roman"/>
          <w:b w:val="false"/>
          <w:sz w:val="20"/>
        </w:rPr>
        <w:t>million, respectively. The fair value of the 2019 Warrants as of December 31, 2020 was calculated using the Black-Scholes option-pricing model with the following assumptions:</w:t>
      </w:r>
    </w:p>
    <w:p>
      <w:pPr>
        <w:pStyle w:val="TextBody"/>
        <w:spacing w:lineRule="auto" w:line="312" w:before="120" w:after="0"/>
        <w:ind w:left="0" w:right="0" w:firstLine="490"/>
        <w:jc w:val="left"/>
        <w:rPr/>
      </w:pPr>
      <w:r>
        <w:rPr/>
        <w:t> </w:t>
      </w:r>
    </w:p>
    <w:tbl>
      <w:tblPr>
        <w:tblW w:w="3838" w:type="dxa"/>
        <w:jc w:val="left"/>
        <w:tblInd w:w="0" w:type="dxa"/>
        <w:tblCellMar>
          <w:top w:w="28" w:type="dxa"/>
          <w:left w:w="28" w:type="dxa"/>
          <w:bottom w:w="28" w:type="dxa"/>
          <w:right w:w="28" w:type="dxa"/>
        </w:tblCellMar>
      </w:tblPr>
      <w:tblGrid>
        <w:gridCol w:w="2086"/>
        <w:gridCol w:w="146"/>
        <w:gridCol w:w="1606"/>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606" w:type="dxa"/>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December 31,</w:t>
            </w:r>
          </w:p>
        </w:tc>
      </w:tr>
      <w:tr>
        <w:trPr/>
        <w:tc>
          <w:tcPr>
            <w:tcW w:w="20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6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r>
      <w:tr>
        <w:trPr/>
        <w:tc>
          <w:tcPr>
            <w:tcW w:w="20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Expected term (in years)</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606" w:type="dxa"/>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val="false"/>
                <w:sz w:val="20"/>
              </w:rPr>
              <w:t>8.1</w:t>
            </w:r>
            <w:r>
              <w:rPr>
                <w:rFonts w:ascii="Times New Roman" w:hAnsi="Times New Roman"/>
                <w:sz w:val="20"/>
              </w:rPr>
              <w:t xml:space="preserve"> – </w:t>
            </w:r>
            <w:r>
              <w:rPr>
                <w:rFonts w:ascii="Times New Roman" w:hAnsi="Times New Roman"/>
                <w:b w:val="false"/>
                <w:sz w:val="20"/>
              </w:rPr>
              <w:t>8.5</w:t>
            </w:r>
          </w:p>
        </w:tc>
      </w:tr>
      <w:tr>
        <w:trPr/>
        <w:tc>
          <w:tcPr>
            <w:tcW w:w="20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606"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42.18% – 42.63%</w:t>
            </w:r>
          </w:p>
        </w:tc>
      </w:tr>
      <w:tr>
        <w:trPr/>
        <w:tc>
          <w:tcPr>
            <w:tcW w:w="20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606"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2.33% – 2.49%</w:t>
            </w:r>
          </w:p>
        </w:tc>
      </w:tr>
      <w:tr>
        <w:trPr/>
        <w:tc>
          <w:tcPr>
            <w:tcW w:w="20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Dividend yield</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606" w:type="dxa"/>
            <w:tcBorders/>
            <w:shd w:fill="auto" w:val="clear"/>
            <w:vAlign w:val="center"/>
          </w:tcPr>
          <w:p>
            <w:pPr>
              <w:pStyle w:val="TableContents"/>
              <w:spacing w:lineRule="auto" w:line="312" w:before="0" w:after="0"/>
              <w:ind w:left="0" w:right="0" w:hanging="0"/>
              <w:jc w:val="center"/>
              <w:rPr/>
            </w:pPr>
            <w:r>
              <w:rPr/>
              <w:t>–</w:t>
            </w:r>
          </w:p>
        </w:tc>
      </w:tr>
    </w:tbl>
    <w:p>
      <w:pPr>
        <w:pStyle w:val="TextBody"/>
        <w:spacing w:lineRule="auto" w:line="312" w:before="120" w:after="0"/>
        <w:ind w:left="0" w:right="0" w:firstLine="490"/>
        <w:jc w:val="left"/>
        <w:rPr/>
      </w:pPr>
      <w:r>
        <w:rPr/>
        <w:t> </w:t>
      </w:r>
    </w:p>
    <w:p>
      <w:pPr>
        <w:pStyle w:val="TextBody"/>
        <w:spacing w:lineRule="auto" w:line="312" w:before="0" w:after="0"/>
        <w:ind w:left="0" w:right="0" w:firstLine="490"/>
        <w:jc w:val="left"/>
        <w:rPr>
          <w:rFonts w:ascii="Times New Roman" w:hAnsi="Times New Roman"/>
          <w:b w:val="false"/>
          <w:sz w:val="20"/>
        </w:rPr>
      </w:pPr>
      <w:r>
        <w:rPr>
          <w:rFonts w:ascii="Times New Roman" w:hAnsi="Times New Roman"/>
          <w:b w:val="false"/>
          <w:sz w:val="20"/>
        </w:rPr>
        <w:t>The fair value of the 2019 Warrants as of June 30, 2021 was calculated using a multi-scenario Option- Pricing Method with Discounts for Lack of Marketability for each class of security.</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As of June 30, 2021, the 2019 Initial Warrant remained outstanding and the remaining term was 7.8</w:t>
      </w:r>
      <w:r>
        <w:rPr>
          <w:rFonts w:ascii="Times New Roman" w:hAnsi="Times New Roman"/>
          <w:sz w:val="20"/>
        </w:rPr>
        <w:t xml:space="preserve"> </w:t>
      </w:r>
      <w:r>
        <w:rPr>
          <w:rFonts w:ascii="Times New Roman" w:hAnsi="Times New Roman"/>
          <w:b w:val="false"/>
          <w:sz w:val="20"/>
        </w:rPr>
        <w:t>years. The 2019 Additional Warrant of 12,649</w:t>
      </w:r>
      <w:r>
        <w:rPr>
          <w:rFonts w:ascii="Times New Roman" w:hAnsi="Times New Roman"/>
          <w:sz w:val="20"/>
        </w:rPr>
        <w:t xml:space="preserve"> </w:t>
      </w:r>
      <w:r>
        <w:rPr>
          <w:rFonts w:ascii="Times New Roman" w:hAnsi="Times New Roman"/>
          <w:b w:val="false"/>
          <w:sz w:val="20"/>
        </w:rPr>
        <w:t>shares of series C redeemable convertible preferred stock was not legally issued and expired upon modification of the 2019 Term Loan.</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360" w:after="0"/>
        <w:ind w:left="0" w:right="0" w:hanging="0"/>
        <w:jc w:val="left"/>
        <w:rPr>
          <w:rFonts w:ascii="Times New Roman" w:hAnsi="Times New Roman"/>
          <w:b/>
          <w:i/>
          <w:sz w:val="20"/>
        </w:rPr>
      </w:pPr>
      <w:r>
        <w:rPr>
          <w:rFonts w:ascii="Times New Roman" w:hAnsi="Times New Roman"/>
          <w:b/>
          <w:i/>
          <w:sz w:val="20"/>
        </w:rPr>
        <w:t>2020 Warrants</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In conjunction with entering the 2020 Term Loan agreement, the Company issued the 2020 Warrant to purchase 300,000</w:t>
      </w:r>
      <w:r>
        <w:rPr>
          <w:rFonts w:ascii="Times New Roman" w:hAnsi="Times New Roman"/>
          <w:sz w:val="20"/>
        </w:rPr>
        <w:t xml:space="preserve"> </w:t>
      </w:r>
      <w:r>
        <w:rPr>
          <w:rFonts w:ascii="Times New Roman" w:hAnsi="Times New Roman"/>
          <w:b w:val="false"/>
          <w:sz w:val="20"/>
        </w:rPr>
        <w:t>shares of its Series F redeemable convertible preferred stock (see Note 5). The 2020 Warrant is immediately exercisable, at an exercise price per share of $21.88, and expires 10 years</w:t>
      </w:r>
      <w:r>
        <w:rPr>
          <w:rFonts w:ascii="Times New Roman" w:hAnsi="Times New Roman"/>
          <w:sz w:val="20"/>
        </w:rPr>
        <w:t xml:space="preserve"> </w:t>
      </w:r>
      <w:r>
        <w:rPr>
          <w:rFonts w:ascii="Times New Roman" w:hAnsi="Times New Roman"/>
          <w:b w:val="false"/>
          <w:sz w:val="20"/>
        </w:rPr>
        <w:t>from its date of issuance. The warrant will be automatically exercised upon the consummation or effective date of a change of control of the Company.</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The estimated fair value of the 2020 Warrant on the date of issuance was $1.8</w:t>
      </w:r>
      <w:r>
        <w:rPr>
          <w:rFonts w:ascii="Times New Roman" w:hAnsi="Times New Roman"/>
          <w:sz w:val="20"/>
        </w:rPr>
        <w:t xml:space="preserve"> </w:t>
      </w:r>
      <w:r>
        <w:rPr>
          <w:rFonts w:ascii="Times New Roman" w:hAnsi="Times New Roman"/>
          <w:b w:val="false"/>
          <w:sz w:val="20"/>
        </w:rPr>
        <w:t>million. As of the issuance date, the fair value of the 2020 Warrant was calculated using a multi-scenario Method with Discounts for Lack of Marketability for each class of security.</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At initial recognition, the 2020 Warrant was recorded at its estimated fair values and was subject to remeasurement at each balance sheet date, with changes in fair value recognized as a component of net income. As of June 30, 2021 and December 31, 2020, the estimated fair values of the 2020 Warrant was $6.0</w:t>
      </w:r>
      <w:r>
        <w:rPr>
          <w:rFonts w:ascii="Times New Roman" w:hAnsi="Times New Roman"/>
          <w:sz w:val="20"/>
        </w:rPr>
        <w:t xml:space="preserve"> </w:t>
      </w:r>
      <w:r>
        <w:rPr>
          <w:rFonts w:ascii="Times New Roman" w:hAnsi="Times New Roman"/>
          <w:b w:val="false"/>
          <w:sz w:val="20"/>
        </w:rPr>
        <w:t>million and $1.8</w:t>
      </w:r>
      <w:r>
        <w:rPr>
          <w:rFonts w:ascii="Times New Roman" w:hAnsi="Times New Roman"/>
          <w:sz w:val="20"/>
        </w:rPr>
        <w:t xml:space="preserve"> </w:t>
      </w:r>
      <w:r>
        <w:rPr>
          <w:rFonts w:ascii="Times New Roman" w:hAnsi="Times New Roman"/>
          <w:b w:val="false"/>
          <w:sz w:val="20"/>
        </w:rPr>
        <w:t>million, respectively. The fair value of the 2020 Warrant as of June 30, 2021 and December 31, 2020 was calculated using a multi-scenario Method with Discounts for Lack of Marketability for each class of security.</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As of June 30, 2021, the 2020 Warrant remained outstanding and the remaining term was 9.4</w:t>
      </w:r>
      <w:r>
        <w:rPr>
          <w:rFonts w:ascii="Times New Roman" w:hAnsi="Times New Roman"/>
          <w:sz w:val="20"/>
        </w:rPr>
        <w:t xml:space="preserve"> </w:t>
      </w:r>
      <w:r>
        <w:rPr>
          <w:rFonts w:ascii="Times New Roman" w:hAnsi="Times New Roman"/>
          <w:b w:val="false"/>
          <w:sz w:val="20"/>
        </w:rPr>
        <w:t>years.</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fair value of the redeemable convertible preferred stock warrants was determined using the following assumption as of each report date:</w:t>
      </w:r>
    </w:p>
    <w:p>
      <w:pPr>
        <w:pStyle w:val="TextBody"/>
        <w:spacing w:lineRule="auto" w:line="312" w:before="120" w:after="0"/>
        <w:ind w:left="0" w:right="0" w:firstLine="490"/>
        <w:jc w:val="left"/>
        <w:rPr/>
      </w:pPr>
      <w:r>
        <w:rPr/>
        <w:t> </w:t>
      </w:r>
    </w:p>
    <w:tbl>
      <w:tblPr>
        <w:tblW w:w="4840" w:type="dxa"/>
        <w:jc w:val="left"/>
        <w:tblInd w:w="0" w:type="dxa"/>
        <w:tblCellMar>
          <w:top w:w="28" w:type="dxa"/>
          <w:left w:w="28" w:type="dxa"/>
          <w:bottom w:w="28" w:type="dxa"/>
          <w:right w:w="28" w:type="dxa"/>
        </w:tblCellMar>
      </w:tblPr>
      <w:tblGrid>
        <w:gridCol w:w="1846"/>
        <w:gridCol w:w="146"/>
        <w:gridCol w:w="1306"/>
        <w:gridCol w:w="146"/>
        <w:gridCol w:w="1396"/>
      </w:tblGrid>
      <w:tr>
        <w:trPr/>
        <w:tc>
          <w:tcPr>
            <w:tcW w:w="1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r>
      <w:tr>
        <w:trPr/>
        <w:tc>
          <w:tcPr>
            <w:tcW w:w="18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06" w:type="dxa"/>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June 30,</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96" w:type="dxa"/>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December 31,</w:t>
            </w:r>
          </w:p>
        </w:tc>
      </w:tr>
      <w:tr>
        <w:trPr/>
        <w:tc>
          <w:tcPr>
            <w:tcW w:w="18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0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3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Term (in years)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06" w:type="dxa"/>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val="false"/>
                <w:sz w:val="20"/>
              </w:rPr>
              <w:t>0.04</w:t>
            </w:r>
            <w:r>
              <w:rPr>
                <w:rFonts w:ascii="Times New Roman" w:hAnsi="Times New Roman"/>
                <w:sz w:val="20"/>
              </w:rPr>
              <w:t xml:space="preserve"> – </w:t>
            </w:r>
            <w:r>
              <w:rPr>
                <w:rFonts w:ascii="Times New Roman" w:hAnsi="Times New Roman"/>
                <w:b w:val="false"/>
                <w:sz w:val="20"/>
              </w:rPr>
              <w:t>2.04</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96" w:type="dxa"/>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val="false"/>
                <w:sz w:val="20"/>
              </w:rPr>
              <w:t>0.58</w:t>
            </w:r>
            <w:r>
              <w:rPr>
                <w:rFonts w:ascii="Times New Roman" w:hAnsi="Times New Roman"/>
                <w:sz w:val="20"/>
              </w:rPr>
              <w:t xml:space="preserve"> – </w:t>
            </w:r>
            <w:r>
              <w:rPr>
                <w:rFonts w:ascii="Times New Roman" w:hAnsi="Times New Roman"/>
                <w:b w:val="false"/>
                <w:sz w:val="20"/>
              </w:rPr>
              <w:t>2.58</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06"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37.9% - 59.5%</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96"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55.9% - 65.6%</w:t>
            </w:r>
          </w:p>
        </w:tc>
      </w:tr>
      <w:tr>
        <w:trPr/>
        <w:tc>
          <w:tcPr>
            <w:tcW w:w="18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06"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0.05% - 0.26%</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96" w:type="dxa"/>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val="false"/>
                <w:sz w:val="20"/>
              </w:rPr>
              <w:t>0.08% - 0.18%</w:t>
            </w:r>
            <w:r>
              <w:rPr>
                <w:rFonts w:ascii="Times New Roman" w:hAnsi="Times New Roman"/>
                <w:sz w:val="20"/>
              </w:rPr>
              <w:t> </w:t>
            </w:r>
          </w:p>
        </w:tc>
      </w:tr>
    </w:tbl>
    <w:p>
      <w:pPr>
        <w:pStyle w:val="TextBody"/>
        <w:spacing w:lineRule="auto" w:line="312" w:before="0" w:after="0"/>
        <w:jc w:val="left"/>
        <w:rPr/>
      </w:pPr>
      <w:r>
        <w:rPr/>
        <w:t> </w:t>
      </w:r>
    </w:p>
    <w:p>
      <w:pPr>
        <w:pStyle w:val="TextBody"/>
        <w:spacing w:lineRule="auto" w:line="312" w:before="160" w:after="0"/>
        <w:ind w:left="0" w:right="0" w:hanging="0"/>
        <w:jc w:val="left"/>
        <w:rPr>
          <w:rFonts w:ascii="Times New Roman" w:hAnsi="Times New Roman"/>
          <w:b/>
          <w:sz w:val="20"/>
        </w:rPr>
      </w:pPr>
      <w:r>
        <w:rPr>
          <w:rFonts w:ascii="Times New Roman" w:hAnsi="Times New Roman"/>
          <w:b/>
          <w:sz w:val="20"/>
        </w:rPr>
        <w:t>Note 10. Common Stock</w:t>
      </w:r>
    </w:p>
    <w:p>
      <w:pPr>
        <w:pStyle w:val="TextBody"/>
        <w:spacing w:lineRule="atLeast" w:line="141" w:before="0" w:after="0"/>
        <w:ind w:left="0" w:right="0" w:hanging="0"/>
        <w:jc w:val="left"/>
        <w:rPr/>
      </w:pPr>
      <w:r>
        <w:rPr/>
        <w:t> </w:t>
      </w:r>
    </w:p>
    <w:p>
      <w:pPr>
        <w:pStyle w:val="TextBody"/>
        <w:spacing w:lineRule="auto" w:line="312" w:before="0" w:after="0"/>
        <w:ind w:left="0" w:right="0" w:firstLine="490"/>
        <w:jc w:val="left"/>
        <w:rPr>
          <w:rFonts w:ascii="Times New Roman" w:hAnsi="Times New Roman"/>
          <w:sz w:val="20"/>
        </w:rPr>
      </w:pPr>
      <w:r>
        <w:rPr>
          <w:rFonts w:ascii="Times New Roman" w:hAnsi="Times New Roman"/>
          <w:b w:val="false"/>
          <w:sz w:val="20"/>
        </w:rPr>
        <w:t>At June 30, 2021, the Company’s certificate of incorporation, as amended and restated, authorized the Company to issue up to 21,831,000</w:t>
      </w:r>
      <w:r>
        <w:rPr>
          <w:rFonts w:ascii="Times New Roman" w:hAnsi="Times New Roman"/>
          <w:sz w:val="20"/>
        </w:rPr>
        <w:t xml:space="preserve"> </w:t>
      </w:r>
      <w:r>
        <w:rPr>
          <w:rFonts w:ascii="Times New Roman" w:hAnsi="Times New Roman"/>
          <w:b w:val="false"/>
          <w:sz w:val="20"/>
        </w:rPr>
        <w:t>shares of common stock with $0.001</w:t>
      </w:r>
      <w:r>
        <w:rPr>
          <w:rFonts w:ascii="Times New Roman" w:hAnsi="Times New Roman"/>
          <w:sz w:val="20"/>
        </w:rPr>
        <w:t xml:space="preserve"> </w:t>
      </w:r>
      <w:r>
        <w:rPr>
          <w:rFonts w:ascii="Times New Roman" w:hAnsi="Times New Roman"/>
          <w:b w:val="false"/>
          <w:sz w:val="20"/>
        </w:rPr>
        <w:t>par value per share, of which 9,732,032</w:t>
      </w:r>
      <w:r>
        <w:rPr>
          <w:rFonts w:ascii="Times New Roman" w:hAnsi="Times New Roman"/>
          <w:sz w:val="20"/>
        </w:rPr>
        <w:t xml:space="preserve"> </w:t>
      </w:r>
      <w:r>
        <w:rPr>
          <w:rFonts w:ascii="Times New Roman" w:hAnsi="Times New Roman"/>
          <w:b w:val="false"/>
          <w:sz w:val="20"/>
        </w:rPr>
        <w:t>shares were issued and outstanding. The holders of common stock were also entitled to receive dividends whenever funds are legally available, when and if declared by the board of directors. As of June 30, 2021, no</w:t>
      </w:r>
      <w:r>
        <w:rPr>
          <w:rFonts w:ascii="Times New Roman" w:hAnsi="Times New Roman"/>
          <w:sz w:val="20"/>
        </w:rPr>
        <w:t xml:space="preserve"> </w:t>
      </w:r>
      <w:r>
        <w:rPr>
          <w:rFonts w:ascii="Times New Roman" w:hAnsi="Times New Roman"/>
          <w:b w:val="false"/>
          <w:sz w:val="20"/>
        </w:rPr>
        <w:t>dividends have been declared to date. Each share of common stock is entitled to one</w:t>
      </w:r>
      <w:r>
        <w:rPr>
          <w:rFonts w:ascii="Times New Roman" w:hAnsi="Times New Roman"/>
          <w:sz w:val="20"/>
        </w:rPr>
        <w:t xml:space="preserve"> </w:t>
      </w:r>
      <w:r>
        <w:rPr>
          <w:rFonts w:ascii="Times New Roman" w:hAnsi="Times New Roman"/>
          <w:b w:val="false"/>
          <w:sz w:val="20"/>
        </w:rPr>
        <w:t>vote.</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At June 30, 2021 and December 31, 2020, the Company had reserved common stock for future issuances as follows:</w:t>
      </w:r>
    </w:p>
    <w:p>
      <w:pPr>
        <w:pStyle w:val="TextBody"/>
        <w:spacing w:lineRule="auto" w:line="312" w:before="120" w:after="0"/>
        <w:ind w:left="0" w:right="0" w:firstLine="490"/>
        <w:jc w:val="left"/>
        <w:rPr/>
      </w:pPr>
      <w:r>
        <w:rPr/>
        <w:t> </w:t>
      </w:r>
    </w:p>
    <w:tbl>
      <w:tblPr>
        <w:tblW w:w="9234" w:type="dxa"/>
        <w:jc w:val="left"/>
        <w:tblInd w:w="0" w:type="dxa"/>
        <w:tblCellMar>
          <w:top w:w="28" w:type="dxa"/>
          <w:left w:w="28" w:type="dxa"/>
          <w:bottom w:w="28" w:type="dxa"/>
          <w:right w:w="28" w:type="dxa"/>
        </w:tblCellMar>
      </w:tblPr>
      <w:tblGrid>
        <w:gridCol w:w="6241"/>
        <w:gridCol w:w="146"/>
        <w:gridCol w:w="146"/>
        <w:gridCol w:w="1036"/>
        <w:gridCol w:w="146"/>
        <w:gridCol w:w="146"/>
        <w:gridCol w:w="146"/>
        <w:gridCol w:w="1036"/>
        <w:gridCol w:w="191"/>
      </w:tblGrid>
      <w:tr>
        <w:trPr/>
        <w:tc>
          <w:tcPr>
            <w:tcW w:w="6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2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82"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June 30,</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182" w:type="dxa"/>
            <w:gridSpan w:val="2"/>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December 31,</w:t>
            </w:r>
          </w:p>
        </w:tc>
        <w:tc>
          <w:tcPr>
            <w:tcW w:w="191" w:type="dxa"/>
            <w:tcBorders/>
            <w:shd w:fill="auto" w:val="clear"/>
            <w:vAlign w:val="center"/>
          </w:tcPr>
          <w:p>
            <w:pPr>
              <w:pStyle w:val="TableContents"/>
              <w:spacing w:lineRule="auto" w:line="312" w:before="0" w:after="0"/>
              <w:ind w:left="0" w:right="0" w:hanging="0"/>
              <w:jc w:val="center"/>
              <w:rPr/>
            </w:pPr>
            <w:r>
              <w:rPr/>
              <w:t> </w:t>
            </w:r>
          </w:p>
        </w:tc>
      </w:tr>
      <w:tr>
        <w:trPr/>
        <w:tc>
          <w:tcPr>
            <w:tcW w:w="624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62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Conversion of Series A redeemable 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7,608,688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7,608,688</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62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Conversion of Series B redeemable 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2,419,242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2,419,242</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62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Conversion of Series C redeemable convertible preferred stock and warrants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4,744,742</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4,744,742</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62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Conversion of Series D redeemable 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4,895,636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4,895,636</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62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Conversion of Series E redeemable 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3,799,694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3,799,694</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62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Conversion of Series F redeemable convertible preferred stock and warrants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2,725,430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2,725,430</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62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Exercise of options under stock plan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5,185,736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3,137,776</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62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Issuance of options under plan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240,860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451,670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62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31,620,028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29,782,878</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312" w:before="0" w:after="0"/>
        <w:jc w:val="left"/>
        <w:rPr/>
      </w:pPr>
      <w:r>
        <w:rPr/>
        <w:t> </w:t>
      </w:r>
    </w:p>
    <w:p>
      <w:pPr>
        <w:pStyle w:val="TextBody"/>
        <w:spacing w:lineRule="auto" w:line="312" w:before="160" w:after="0"/>
        <w:ind w:left="0" w:right="0" w:hanging="0"/>
        <w:jc w:val="left"/>
        <w:rPr>
          <w:rFonts w:ascii="Times New Roman" w:hAnsi="Times New Roman"/>
          <w:b/>
          <w:sz w:val="20"/>
        </w:rPr>
      </w:pPr>
      <w:r>
        <w:rPr>
          <w:rFonts w:ascii="Times New Roman" w:hAnsi="Times New Roman"/>
          <w:b/>
          <w:sz w:val="20"/>
        </w:rPr>
        <w:t>Note 11. Stock Option Plan</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In 2011, the Company established its 2011 stock option plan (the “2011 Plan”) that provides for the granting of stock options to employees and nonemployees of the Company. Under the 2011 Plan, the Company had the ability to issue incentive stock options (ISOs), nonqualified stock options (NSOs), stock appreciation rights, dividend equivalent rights, restricted stock awards, and restricted stock unit awards. Options under the 2011 Plan may be granted for periods of up to 10 years. For incentive stock option granted to a grantee who, at the time the option is granted, owns stock representing more than 10% of the voting power of all classes of stock of the Company or any parent or subsidiary of the Company, the term of the incentive stock option may be granted for periods of up to five years. The ISOs and NSOs will be granted at a price per share not less than the fair value at the date of grant. The exercise price of an ISO granted to a 10% stockholder shall not be less than 110% of the estimated fair value of the shares on the date of grant, as determined by the board of directors. Options granted to new hires generally vest over a four-year</w:t>
      </w:r>
      <w:r>
        <w:rPr>
          <w:rFonts w:ascii="Times New Roman" w:hAnsi="Times New Roman"/>
          <w:sz w:val="20"/>
        </w:rPr>
        <w:t xml:space="preserve"> </w:t>
      </w:r>
      <w:r>
        <w:rPr>
          <w:rFonts w:ascii="Times New Roman" w:hAnsi="Times New Roman"/>
          <w:b w:val="false"/>
          <w:sz w:val="20"/>
        </w:rPr>
        <w:t>period, with 25% vesting at the end of one year and the remaining vesting monthly thereafter; options granted as merit awards generally vest monthly over a four-year</w:t>
      </w:r>
      <w:r>
        <w:rPr>
          <w:rFonts w:ascii="Times New Roman" w:hAnsi="Times New Roman"/>
          <w:sz w:val="20"/>
        </w:rPr>
        <w:t xml:space="preserve"> </w:t>
      </w:r>
      <w:r>
        <w:rPr>
          <w:rFonts w:ascii="Times New Roman" w:hAnsi="Times New Roman"/>
          <w:b w:val="false"/>
          <w:sz w:val="20"/>
        </w:rPr>
        <w:t>period.</w:t>
      </w:r>
      <w:r>
        <w:rPr>
          <w:rFonts w:ascii="Times New Roman" w:hAnsi="Times New Roman"/>
          <w:sz w:val="20"/>
        </w:rPr>
        <w:t xml:space="preserve"> </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At June 30, 2021 and December 31, 2020, there were 240,860</w:t>
      </w:r>
      <w:r>
        <w:rPr>
          <w:rFonts w:ascii="Times New Roman" w:hAnsi="Times New Roman"/>
          <w:sz w:val="20"/>
        </w:rPr>
        <w:t xml:space="preserve"> </w:t>
      </w:r>
      <w:r>
        <w:rPr>
          <w:rFonts w:ascii="Times New Roman" w:hAnsi="Times New Roman"/>
          <w:b w:val="false"/>
          <w:sz w:val="20"/>
        </w:rPr>
        <w:t>shares and 451,670</w:t>
      </w:r>
      <w:r>
        <w:rPr>
          <w:rFonts w:ascii="Times New Roman" w:hAnsi="Times New Roman"/>
          <w:sz w:val="20"/>
        </w:rPr>
        <w:t xml:space="preserve"> </w:t>
      </w:r>
      <w:r>
        <w:rPr>
          <w:rFonts w:ascii="Times New Roman" w:hAnsi="Times New Roman"/>
          <w:b w:val="false"/>
          <w:sz w:val="20"/>
        </w:rPr>
        <w:t>shares, respectively, of common stock available for issuance under the 2011 Plan.</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following tables summarize the Company’s stock option activity for the three months ended June 30, 2021:</w:t>
      </w:r>
    </w:p>
    <w:p>
      <w:pPr>
        <w:pStyle w:val="TextBody"/>
        <w:spacing w:lineRule="auto" w:line="312" w:before="120" w:after="0"/>
        <w:ind w:left="0" w:right="0" w:firstLine="490"/>
        <w:jc w:val="left"/>
        <w:rPr/>
      </w:pPr>
      <w:r>
        <w:rPr/>
        <w:t> </w:t>
      </w:r>
    </w:p>
    <w:tbl>
      <w:tblPr>
        <w:tblW w:w="10205" w:type="dxa"/>
        <w:jc w:val="left"/>
        <w:tblInd w:w="0" w:type="dxa"/>
        <w:tblCellMar>
          <w:top w:w="28" w:type="dxa"/>
          <w:left w:w="28" w:type="dxa"/>
          <w:bottom w:w="28" w:type="dxa"/>
          <w:right w:w="28" w:type="dxa"/>
        </w:tblCellMar>
      </w:tblPr>
      <w:tblGrid>
        <w:gridCol w:w="1803"/>
        <w:gridCol w:w="146"/>
        <w:gridCol w:w="146"/>
        <w:gridCol w:w="991"/>
        <w:gridCol w:w="166"/>
        <w:gridCol w:w="146"/>
        <w:gridCol w:w="146"/>
        <w:gridCol w:w="931"/>
        <w:gridCol w:w="166"/>
        <w:gridCol w:w="146"/>
        <w:gridCol w:w="470"/>
        <w:gridCol w:w="1277"/>
        <w:gridCol w:w="146"/>
        <w:gridCol w:w="146"/>
        <w:gridCol w:w="423"/>
        <w:gridCol w:w="1048"/>
        <w:gridCol w:w="146"/>
        <w:gridCol w:w="146"/>
        <w:gridCol w:w="272"/>
        <w:gridCol w:w="871"/>
        <w:gridCol w:w="473"/>
      </w:tblGrid>
      <w:tr>
        <w:trPr/>
        <w:tc>
          <w:tcPr>
            <w:tcW w:w="18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r>
      <w:tr>
        <w:trPr/>
        <w:tc>
          <w:tcPr>
            <w:tcW w:w="1803"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3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34" w:type="dxa"/>
            <w:gridSpan w:val="14"/>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Options Outstanding</w:t>
            </w:r>
          </w:p>
        </w:tc>
        <w:tc>
          <w:tcPr>
            <w:tcW w:w="4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03"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3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Shares</w:t>
              <w:br/>
              <w:t>Available for</w:t>
              <w:br/>
              <w:t>Grant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Number of</w:t>
              <w:b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7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Weighted-Average Exercise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71"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Weighted-Average</w:t>
              <w:br/>
              <w:t>Contractual</w:t>
              <w:br/>
              <w:t> Term (in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3"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Average Intrinsic Value </w:t>
              <w:br/>
              <w:t>(in thousands)</w:t>
            </w:r>
          </w:p>
        </w:tc>
        <w:tc>
          <w:tcPr>
            <w:tcW w:w="473"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1803"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Balances as of December 31, 2020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451,670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3,137,776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27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0.94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23" w:type="dxa"/>
            <w:tcBorders/>
            <w:shd w:fill="auto" w:val="clear"/>
            <w:vAlign w:val="center"/>
          </w:tcPr>
          <w:p>
            <w:pPr>
              <w:pStyle w:val="TableContents"/>
              <w:spacing w:lineRule="auto" w:line="312" w:before="0" w:after="0"/>
              <w:ind w:left="0" w:right="0" w:hanging="0"/>
              <w:jc w:val="left"/>
              <w:rPr/>
            </w:pPr>
            <w:r>
              <w:rPr/>
              <w:t> </w:t>
            </w:r>
          </w:p>
        </w:tc>
        <w:tc>
          <w:tcPr>
            <w:tcW w:w="10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18,656</w:t>
            </w:r>
          </w:p>
        </w:tc>
        <w:tc>
          <w:tcPr>
            <w:tcW w:w="473" w:type="dxa"/>
            <w:tcBorders/>
            <w:shd w:fill="auto" w:val="clear"/>
            <w:vAlign w:val="center"/>
          </w:tcPr>
          <w:p>
            <w:pPr>
              <w:pStyle w:val="TableContents"/>
              <w:spacing w:lineRule="auto" w:line="312" w:before="0" w:after="0"/>
              <w:ind w:left="0" w:right="0" w:firstLine="280"/>
              <w:jc w:val="left"/>
              <w:rPr/>
            </w:pPr>
            <w:r>
              <w:rPr/>
              <w:t> </w:t>
            </w:r>
          </w:p>
        </w:tc>
      </w:tr>
      <w:tr>
        <w:trPr/>
        <w:tc>
          <w:tcPr>
            <w:tcW w:w="1803"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Additional shares reserved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2,060,000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7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747"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71" w:type="dxa"/>
            <w:gridSpan w:val="2"/>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3" w:type="dxa"/>
            <w:gridSpan w:val="2"/>
            <w:tcBorders/>
            <w:shd w:fill="auto" w:val="clear"/>
            <w:vAlign w:val="center"/>
          </w:tcPr>
          <w:p>
            <w:pPr>
              <w:pStyle w:val="TableContents"/>
              <w:spacing w:lineRule="auto" w:line="312" w:before="0" w:after="0"/>
              <w:ind w:left="0" w:right="0" w:hanging="0"/>
              <w:jc w:val="right"/>
              <w:rPr/>
            </w:pPr>
            <w:r>
              <w:rPr/>
              <w:t> </w:t>
            </w:r>
          </w:p>
        </w:tc>
        <w:tc>
          <w:tcPr>
            <w:tcW w:w="473" w:type="dxa"/>
            <w:tcBorders/>
            <w:shd w:fill="auto" w:val="clear"/>
            <w:vAlign w:val="center"/>
          </w:tcPr>
          <w:p>
            <w:pPr>
              <w:pStyle w:val="TableContents"/>
              <w:spacing w:lineRule="auto" w:line="312" w:before="0" w:after="0"/>
              <w:ind w:left="0" w:right="0" w:firstLine="280"/>
              <w:jc w:val="right"/>
              <w:rPr/>
            </w:pPr>
            <w:r>
              <w:rPr/>
              <w:t> </w:t>
            </w:r>
          </w:p>
        </w:tc>
      </w:tr>
      <w:tr>
        <w:trPr/>
        <w:tc>
          <w:tcPr>
            <w:tcW w:w="1803"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Options granted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(2,339,000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2,339,000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0" w:type="dxa"/>
            <w:tcBorders/>
            <w:shd w:fill="auto" w:val="clear"/>
            <w:vAlign w:val="center"/>
          </w:tcPr>
          <w:p>
            <w:pPr>
              <w:pStyle w:val="TableContents"/>
              <w:spacing w:lineRule="auto" w:line="312" w:before="0" w:after="0"/>
              <w:ind w:left="0" w:right="0" w:hanging="0"/>
              <w:jc w:val="left"/>
              <w:rPr/>
            </w:pPr>
            <w:r>
              <w:rPr/>
              <w:t> </w:t>
            </w:r>
          </w:p>
        </w:tc>
        <w:tc>
          <w:tcPr>
            <w:tcW w:w="127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10.56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71"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3" w:type="dxa"/>
            <w:gridSpan w:val="2"/>
            <w:tcBorders/>
            <w:shd w:fill="auto" w:val="clear"/>
            <w:vAlign w:val="center"/>
          </w:tcPr>
          <w:p>
            <w:pPr>
              <w:pStyle w:val="TableContents"/>
              <w:spacing w:lineRule="auto" w:line="312" w:before="0" w:after="0"/>
              <w:ind w:left="0" w:right="0" w:hanging="0"/>
              <w:jc w:val="right"/>
              <w:rPr/>
            </w:pPr>
            <w:r>
              <w:rPr/>
              <w:t> </w:t>
            </w:r>
          </w:p>
        </w:tc>
        <w:tc>
          <w:tcPr>
            <w:tcW w:w="473" w:type="dxa"/>
            <w:tcBorders/>
            <w:shd w:fill="auto" w:val="clear"/>
            <w:vAlign w:val="center"/>
          </w:tcPr>
          <w:p>
            <w:pPr>
              <w:pStyle w:val="TableContents"/>
              <w:spacing w:lineRule="auto" w:line="312" w:before="0" w:after="0"/>
              <w:ind w:left="0" w:right="0" w:firstLine="280"/>
              <w:jc w:val="right"/>
              <w:rPr/>
            </w:pPr>
            <w:r>
              <w:rPr/>
              <w:t> </w:t>
            </w:r>
          </w:p>
        </w:tc>
      </w:tr>
      <w:tr>
        <w:trPr/>
        <w:tc>
          <w:tcPr>
            <w:tcW w:w="1803"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Options forfeited/cancelled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9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68,190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(68,190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0" w:type="dxa"/>
            <w:tcBorders/>
            <w:shd w:fill="auto" w:val="clear"/>
            <w:vAlign w:val="center"/>
          </w:tcPr>
          <w:p>
            <w:pPr>
              <w:pStyle w:val="TableContents"/>
              <w:spacing w:lineRule="auto" w:line="312" w:before="0" w:after="0"/>
              <w:ind w:left="0" w:right="0" w:hanging="0"/>
              <w:jc w:val="left"/>
              <w:rPr/>
            </w:pPr>
            <w:r>
              <w:rPr/>
              <w:t> </w:t>
            </w:r>
          </w:p>
        </w:tc>
        <w:tc>
          <w:tcPr>
            <w:tcW w:w="127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71"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3" w:type="dxa"/>
            <w:gridSpan w:val="2"/>
            <w:tcBorders/>
            <w:shd w:fill="auto" w:val="clear"/>
            <w:vAlign w:val="center"/>
          </w:tcPr>
          <w:p>
            <w:pPr>
              <w:pStyle w:val="TableContents"/>
              <w:spacing w:lineRule="auto" w:line="312" w:before="0" w:after="0"/>
              <w:ind w:left="0" w:right="0" w:hanging="0"/>
              <w:jc w:val="right"/>
              <w:rPr/>
            </w:pPr>
            <w:r>
              <w:rPr/>
              <w:t> </w:t>
            </w:r>
          </w:p>
        </w:tc>
        <w:tc>
          <w:tcPr>
            <w:tcW w:w="473" w:type="dxa"/>
            <w:tcBorders/>
            <w:shd w:fill="auto" w:val="clear"/>
            <w:vAlign w:val="center"/>
          </w:tcPr>
          <w:p>
            <w:pPr>
              <w:pStyle w:val="TableContents"/>
              <w:spacing w:lineRule="auto" w:line="312" w:before="0" w:after="0"/>
              <w:ind w:left="0" w:right="0" w:firstLine="280"/>
              <w:jc w:val="right"/>
              <w:rPr/>
            </w:pPr>
            <w:r>
              <w:rPr/>
              <w:t> </w:t>
            </w:r>
          </w:p>
        </w:tc>
      </w:tr>
      <w:tr>
        <w:trPr/>
        <w:tc>
          <w:tcPr>
            <w:tcW w:w="1803"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Options exercised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3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(222,850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70" w:type="dxa"/>
            <w:tcBorders/>
            <w:shd w:fill="auto" w:val="clear"/>
            <w:vAlign w:val="center"/>
          </w:tcPr>
          <w:p>
            <w:pPr>
              <w:pStyle w:val="TableContents"/>
              <w:spacing w:lineRule="auto" w:line="312" w:before="0" w:after="0"/>
              <w:ind w:left="0" w:right="0" w:hanging="0"/>
              <w:jc w:val="left"/>
              <w:rPr/>
            </w:pPr>
            <w:r>
              <w:rPr/>
              <w:t> </w:t>
            </w:r>
          </w:p>
        </w:tc>
        <w:tc>
          <w:tcPr>
            <w:tcW w:w="127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0.94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71" w:type="dxa"/>
            <w:gridSpan w:val="2"/>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3" w:type="dxa"/>
            <w:gridSpan w:val="2"/>
            <w:tcBorders/>
            <w:shd w:fill="auto" w:val="clear"/>
            <w:vAlign w:val="center"/>
          </w:tcPr>
          <w:p>
            <w:pPr>
              <w:pStyle w:val="TableContents"/>
              <w:spacing w:lineRule="auto" w:line="312" w:before="0" w:after="0"/>
              <w:ind w:left="0" w:right="0" w:hanging="0"/>
              <w:jc w:val="right"/>
              <w:rPr/>
            </w:pPr>
            <w:r>
              <w:rPr/>
              <w:t> </w:t>
            </w:r>
          </w:p>
        </w:tc>
        <w:tc>
          <w:tcPr>
            <w:tcW w:w="473" w:type="dxa"/>
            <w:tcBorders/>
            <w:shd w:fill="auto" w:val="clear"/>
            <w:vAlign w:val="center"/>
          </w:tcPr>
          <w:p>
            <w:pPr>
              <w:pStyle w:val="TableContents"/>
              <w:spacing w:lineRule="auto" w:line="312" w:before="0" w:after="0"/>
              <w:ind w:left="0" w:right="0" w:hanging="0"/>
              <w:jc w:val="right"/>
              <w:rPr/>
            </w:pPr>
            <w:r>
              <w:rPr/>
              <w:t> </w:t>
            </w:r>
          </w:p>
        </w:tc>
      </w:tr>
      <w:tr>
        <w:trPr/>
        <w:tc>
          <w:tcPr>
            <w:tcW w:w="1803"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Balances as of June 30, 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240,860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5,185,736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7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27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23" w:type="dxa"/>
            <w:tcBorders/>
            <w:shd w:fill="auto" w:val="clear"/>
            <w:vAlign w:val="center"/>
          </w:tcPr>
          <w:p>
            <w:pPr>
              <w:pStyle w:val="TableContents"/>
              <w:spacing w:lineRule="auto" w:line="312" w:before="0" w:after="0"/>
              <w:ind w:left="0" w:right="0" w:hanging="0"/>
              <w:jc w:val="left"/>
              <w:rPr/>
            </w:pPr>
            <w:r>
              <w:rPr/>
              <w:t> </w:t>
            </w:r>
          </w:p>
        </w:tc>
        <w:tc>
          <w:tcPr>
            <w:tcW w:w="10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39,934</w:t>
            </w:r>
          </w:p>
        </w:tc>
        <w:tc>
          <w:tcPr>
            <w:tcW w:w="473" w:type="dxa"/>
            <w:tcBorders/>
            <w:shd w:fill="auto" w:val="clear"/>
            <w:vAlign w:val="center"/>
          </w:tcPr>
          <w:p>
            <w:pPr>
              <w:pStyle w:val="TableContents"/>
              <w:spacing w:lineRule="auto" w:line="312" w:before="0" w:after="0"/>
              <w:ind w:left="0" w:right="0" w:hanging="0"/>
              <w:jc w:val="left"/>
              <w:rPr/>
            </w:pPr>
            <w:r>
              <w:rPr/>
              <w:t> </w:t>
            </w:r>
          </w:p>
        </w:tc>
      </w:tr>
      <w:tr>
        <w:trPr/>
        <w:tc>
          <w:tcPr>
            <w:tcW w:w="180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Vested and exercisable as of June 30, 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3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1,841,606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27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0.75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23" w:type="dxa"/>
            <w:tcBorders/>
            <w:shd w:fill="auto" w:val="clear"/>
            <w:vAlign w:val="center"/>
          </w:tcPr>
          <w:p>
            <w:pPr>
              <w:pStyle w:val="TableContents"/>
              <w:spacing w:lineRule="auto" w:line="312" w:before="0" w:after="0"/>
              <w:ind w:left="0" w:right="0" w:hanging="0"/>
              <w:jc w:val="left"/>
              <w:rPr/>
            </w:pPr>
            <w:r>
              <w:rPr/>
              <w:t> </w:t>
            </w:r>
          </w:p>
        </w:tc>
        <w:tc>
          <w:tcPr>
            <w:tcW w:w="10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18,337</w:t>
            </w:r>
          </w:p>
        </w:tc>
        <w:tc>
          <w:tcPr>
            <w:tcW w:w="473" w:type="dxa"/>
            <w:tcBorders/>
            <w:shd w:fill="auto" w:val="clear"/>
            <w:vAlign w:val="center"/>
          </w:tcPr>
          <w:p>
            <w:pPr>
              <w:pStyle w:val="TableContents"/>
              <w:spacing w:lineRule="auto" w:line="312" w:before="0" w:after="0"/>
              <w:ind w:left="0" w:right="0" w:hanging="0"/>
              <w:jc w:val="left"/>
              <w:rPr/>
            </w:pPr>
            <w:r>
              <w:rPr/>
              <w:t> </w:t>
            </w:r>
          </w:p>
        </w:tc>
      </w:tr>
      <w:tr>
        <w:trPr/>
        <w:tc>
          <w:tcPr>
            <w:tcW w:w="1803"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Vested and expected to vest as of June 30, 2021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3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5,155,736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277"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5.29</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23" w:type="dxa"/>
            <w:tcBorders/>
            <w:shd w:fill="auto" w:val="clear"/>
            <w:vAlign w:val="center"/>
          </w:tcPr>
          <w:p>
            <w:pPr>
              <w:pStyle w:val="TableContents"/>
              <w:spacing w:lineRule="auto" w:line="312" w:before="0" w:after="0"/>
              <w:ind w:left="0" w:right="0" w:hanging="0"/>
              <w:jc w:val="left"/>
              <w:rPr/>
            </w:pPr>
            <w:r>
              <w:rPr/>
              <w:t> </w:t>
            </w:r>
          </w:p>
        </w:tc>
        <w:tc>
          <w:tcPr>
            <w:tcW w:w="10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8.0</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8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39,625</w:t>
            </w:r>
          </w:p>
        </w:tc>
        <w:tc>
          <w:tcPr>
            <w:tcW w:w="473"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120" w:after="0"/>
        <w:ind w:left="0" w:right="0" w:firstLine="490"/>
        <w:jc w:val="left"/>
        <w:rPr/>
      </w:pPr>
      <w:r>
        <w:rPr/>
        <w:t> </w:t>
      </w:r>
    </w:p>
    <w:p>
      <w:pPr>
        <w:pStyle w:val="TextBody"/>
        <w:spacing w:lineRule="auto" w:line="312" w:before="0" w:after="0"/>
        <w:ind w:left="0" w:right="0" w:firstLine="490"/>
        <w:jc w:val="left"/>
        <w:rPr>
          <w:rFonts w:ascii="Times New Roman" w:hAnsi="Times New Roman"/>
          <w:sz w:val="20"/>
        </w:rPr>
      </w:pPr>
      <w:r>
        <w:rPr>
          <w:rFonts w:ascii="Times New Roman" w:hAnsi="Times New Roman"/>
          <w:b w:val="false"/>
          <w:sz w:val="20"/>
        </w:rPr>
        <w:t>The weighted-average grant-date fair values of options granted during the six months ended June 30, 2021 and 2020 was $10.42</w:t>
      </w:r>
      <w:r>
        <w:rPr>
          <w:rFonts w:ascii="Times New Roman" w:hAnsi="Times New Roman"/>
          <w:sz w:val="20"/>
        </w:rPr>
        <w:t xml:space="preserve"> </w:t>
      </w:r>
      <w:r>
        <w:rPr>
          <w:rFonts w:ascii="Times New Roman" w:hAnsi="Times New Roman"/>
          <w:b w:val="false"/>
          <w:sz w:val="20"/>
        </w:rPr>
        <w:t>and $1.57</w:t>
      </w:r>
      <w:r>
        <w:rPr>
          <w:rFonts w:ascii="Times New Roman" w:hAnsi="Times New Roman"/>
          <w:sz w:val="20"/>
        </w:rPr>
        <w:t xml:space="preserve"> </w:t>
      </w:r>
      <w:r>
        <w:rPr>
          <w:rFonts w:ascii="Times New Roman" w:hAnsi="Times New Roman"/>
          <w:b w:val="false"/>
          <w:sz w:val="20"/>
        </w:rPr>
        <w:t>per share, respectively. The aggregate intrinsic value of options exercised were $3.3</w:t>
      </w:r>
      <w:r>
        <w:rPr>
          <w:rFonts w:ascii="Times New Roman" w:hAnsi="Times New Roman"/>
          <w:sz w:val="20"/>
        </w:rPr>
        <w:t xml:space="preserve"> </w:t>
      </w:r>
      <w:r>
        <w:rPr>
          <w:rFonts w:ascii="Times New Roman" w:hAnsi="Times New Roman"/>
          <w:b w:val="false"/>
          <w:sz w:val="20"/>
        </w:rPr>
        <w:t>million during the six months ended June 30, 2021. The aggregate intrinsic value was calculated as the difference between the exercise prices of the underlying options and the estimated fair value of the common stock on the date of exercise. As of June 30, 2021, the unrecognized stock-based compensation of unvested options was $25.6</w:t>
      </w:r>
      <w:r>
        <w:rPr>
          <w:rFonts w:ascii="Times New Roman" w:hAnsi="Times New Roman"/>
          <w:sz w:val="20"/>
        </w:rPr>
        <w:t xml:space="preserve"> </w:t>
      </w:r>
      <w:r>
        <w:rPr>
          <w:rFonts w:ascii="Times New Roman" w:hAnsi="Times New Roman"/>
          <w:b w:val="false"/>
          <w:sz w:val="20"/>
        </w:rPr>
        <w:t>million, which is expected to be recognized over a weighted-average period of 3.8</w:t>
      </w:r>
      <w:r>
        <w:rPr>
          <w:rFonts w:ascii="Times New Roman" w:hAnsi="Times New Roman"/>
          <w:sz w:val="20"/>
        </w:rPr>
        <w:t xml:space="preserve"> </w:t>
      </w:r>
      <w:r>
        <w:rPr>
          <w:rFonts w:ascii="Times New Roman" w:hAnsi="Times New Roman"/>
          <w:b w:val="false"/>
          <w:sz w:val="20"/>
        </w:rPr>
        <w:t>years.</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Company estimated the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pStyle w:val="TextBody"/>
        <w:spacing w:lineRule="auto" w:line="312" w:before="120" w:after="0"/>
        <w:ind w:left="0" w:right="0" w:firstLine="490"/>
        <w:jc w:val="left"/>
        <w:rPr/>
      </w:pPr>
      <w:r>
        <w:rPr/>
        <w:t> </w:t>
      </w:r>
    </w:p>
    <w:tbl>
      <w:tblPr>
        <w:tblW w:w="8119" w:type="dxa"/>
        <w:jc w:val="left"/>
        <w:tblInd w:w="0" w:type="dxa"/>
        <w:tblCellMar>
          <w:top w:w="28" w:type="dxa"/>
          <w:left w:w="28" w:type="dxa"/>
          <w:bottom w:w="28" w:type="dxa"/>
          <w:right w:w="28" w:type="dxa"/>
        </w:tblCellMar>
      </w:tblPr>
      <w:tblGrid>
        <w:gridCol w:w="2086"/>
        <w:gridCol w:w="146"/>
        <w:gridCol w:w="1351"/>
        <w:gridCol w:w="146"/>
        <w:gridCol w:w="1351"/>
        <w:gridCol w:w="146"/>
        <w:gridCol w:w="1351"/>
        <w:gridCol w:w="146"/>
        <w:gridCol w:w="1396"/>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96"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848" w:type="dxa"/>
            <w:gridSpan w:val="3"/>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Three Months Ended </w:t>
              <w:br/>
              <w:t>June 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893" w:type="dxa"/>
            <w:gridSpan w:val="3"/>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Six Months Ended </w:t>
              <w:br/>
              <w:t>June 30,</w:t>
            </w:r>
          </w:p>
        </w:tc>
      </w:tr>
      <w:tr>
        <w:trPr/>
        <w:tc>
          <w:tcPr>
            <w:tcW w:w="208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39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r>
      <w:tr>
        <w:trPr/>
        <w:tc>
          <w:tcPr>
            <w:tcW w:w="20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Expected term (in years)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1" w:type="dxa"/>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val="false"/>
                <w:sz w:val="20"/>
              </w:rPr>
              <w:t xml:space="preserve">5.74 </w:t>
            </w:r>
            <w:r>
              <w:rPr>
                <w:rFonts w:ascii="Times New Roman" w:hAnsi="Times New Roman"/>
                <w:sz w:val="20"/>
              </w:rPr>
              <w:t xml:space="preserve">– </w:t>
            </w:r>
            <w:r>
              <w:rPr>
                <w:rFonts w:ascii="Times New Roman" w:hAnsi="Times New Roman"/>
                <w:b w:val="false"/>
                <w:sz w:val="20"/>
              </w:rPr>
              <w:t>6.18</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51" w:type="dxa"/>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val="false"/>
                <w:sz w:val="20"/>
              </w:rPr>
              <w:t xml:space="preserve">5.85 </w:t>
            </w:r>
            <w:r>
              <w:rPr>
                <w:rFonts w:ascii="Times New Roman" w:hAnsi="Times New Roman"/>
                <w:sz w:val="20"/>
              </w:rPr>
              <w:t xml:space="preserve">– </w:t>
            </w:r>
            <w:r>
              <w:rPr>
                <w:rFonts w:ascii="Times New Roman" w:hAnsi="Times New Roman"/>
                <w:b w:val="false"/>
                <w:sz w:val="20"/>
              </w:rPr>
              <w:t>6.08</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51" w:type="dxa"/>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val="false"/>
                <w:sz w:val="20"/>
              </w:rPr>
              <w:t xml:space="preserve">4.99 </w:t>
            </w:r>
            <w:r>
              <w:rPr>
                <w:rFonts w:ascii="Times New Roman" w:hAnsi="Times New Roman"/>
                <w:sz w:val="20"/>
              </w:rPr>
              <w:t xml:space="preserve">– </w:t>
            </w:r>
            <w:r>
              <w:rPr>
                <w:rFonts w:ascii="Times New Roman" w:hAnsi="Times New Roman"/>
                <w:b w:val="false"/>
                <w:sz w:val="20"/>
              </w:rPr>
              <w:t>6.18</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96" w:type="dxa"/>
            <w:tcBorders/>
            <w:shd w:fill="auto" w:val="clear"/>
            <w:vAlign w:val="center"/>
          </w:tcPr>
          <w:p>
            <w:pPr>
              <w:pStyle w:val="TableContents"/>
              <w:spacing w:lineRule="auto" w:line="312" w:before="0" w:after="0"/>
              <w:ind w:left="0" w:right="0" w:hanging="0"/>
              <w:jc w:val="center"/>
              <w:rPr>
                <w:rFonts w:ascii="Times New Roman" w:hAnsi="Times New Roman"/>
                <w:sz w:val="20"/>
              </w:rPr>
            </w:pPr>
            <w:r>
              <w:rPr>
                <w:rFonts w:ascii="Times New Roman" w:hAnsi="Times New Roman"/>
                <w:b w:val="false"/>
                <w:sz w:val="20"/>
              </w:rPr>
              <w:t>5.85</w:t>
            </w:r>
            <w:r>
              <w:rPr>
                <w:rFonts w:ascii="Times New Roman" w:hAnsi="Times New Roman"/>
                <w:sz w:val="20"/>
              </w:rPr>
              <w:t xml:space="preserve"> – </w:t>
            </w:r>
            <w:r>
              <w:rPr>
                <w:rFonts w:ascii="Times New Roman" w:hAnsi="Times New Roman"/>
                <w:b w:val="false"/>
                <w:sz w:val="20"/>
              </w:rPr>
              <w:t>6.08</w:t>
            </w:r>
          </w:p>
        </w:tc>
      </w:tr>
      <w:tr>
        <w:trPr/>
        <w:tc>
          <w:tcPr>
            <w:tcW w:w="20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Expected volatility</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59.9% – 61.1%</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5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53.9% – 54.7%</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5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56.7% – 61.1%</w:t>
            </w:r>
          </w:p>
        </w:tc>
        <w:tc>
          <w:tcPr>
            <w:tcW w:w="146" w:type="dxa"/>
            <w:tcBorders/>
            <w:shd w:fill="auto" w:val="clear"/>
            <w:vAlign w:val="center"/>
          </w:tcPr>
          <w:p>
            <w:pPr>
              <w:pStyle w:val="TableContents"/>
              <w:spacing w:lineRule="auto" w:line="312" w:before="0" w:after="0"/>
              <w:ind w:left="0" w:right="0" w:hanging="0"/>
              <w:jc w:val="right"/>
              <w:rPr/>
            </w:pPr>
            <w:r>
              <w:rPr/>
              <w:t> </w:t>
            </w:r>
          </w:p>
        </w:tc>
        <w:tc>
          <w:tcPr>
            <w:tcW w:w="1396"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48.3% – 54.7%</w:t>
            </w:r>
          </w:p>
        </w:tc>
      </w:tr>
      <w:tr>
        <w:trPr/>
        <w:tc>
          <w:tcPr>
            <w:tcW w:w="20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Risk-free interest rate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0.95% – 1.05%</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5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0.33% – 0.56%</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51"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0.48% – 1.05%</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96" w:type="dxa"/>
            <w:tcBorders/>
            <w:shd w:fill="auto" w:val="clear"/>
            <w:vAlign w:val="center"/>
          </w:tcPr>
          <w:p>
            <w:pPr>
              <w:pStyle w:val="TableContents"/>
              <w:spacing w:lineRule="auto" w:line="312" w:before="0" w:after="0"/>
              <w:ind w:left="0" w:right="0" w:hanging="0"/>
              <w:jc w:val="center"/>
              <w:rPr>
                <w:rFonts w:ascii="Times New Roman" w:hAnsi="Times New Roman"/>
                <w:b w:val="false"/>
                <w:sz w:val="20"/>
              </w:rPr>
            </w:pPr>
            <w:r>
              <w:rPr>
                <w:rFonts w:ascii="Times New Roman" w:hAnsi="Times New Roman"/>
                <w:b w:val="false"/>
                <w:sz w:val="20"/>
              </w:rPr>
              <w:t>0.33% – 1.77%</w:t>
            </w:r>
          </w:p>
        </w:tc>
      </w:tr>
      <w:tr>
        <w:trPr/>
        <w:tc>
          <w:tcPr>
            <w:tcW w:w="20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Dividend yield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351" w:type="dxa"/>
            <w:tcBorders/>
            <w:shd w:fill="auto" w:val="clear"/>
            <w:vAlign w:val="center"/>
          </w:tcPr>
          <w:p>
            <w:pPr>
              <w:pStyle w:val="TableContents"/>
              <w:spacing w:lineRule="auto" w:line="312" w:before="0" w:after="0"/>
              <w:ind w:left="0" w:right="0" w:hanging="0"/>
              <w:jc w:val="center"/>
              <w:rPr/>
            </w:pPr>
            <w:r>
              <w:rPr/>
              <w:t>–</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51" w:type="dxa"/>
            <w:tcBorders/>
            <w:shd w:fill="auto" w:val="clear"/>
            <w:vAlign w:val="center"/>
          </w:tcPr>
          <w:p>
            <w:pPr>
              <w:pStyle w:val="TableContents"/>
              <w:spacing w:lineRule="auto" w:line="312" w:before="0" w:after="0"/>
              <w:ind w:left="0" w:right="0" w:hanging="0"/>
              <w:jc w:val="center"/>
              <w:rPr/>
            </w:pPr>
            <w:r>
              <w:rPr/>
              <w:t>–</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51" w:type="dxa"/>
            <w:tcBorders/>
            <w:shd w:fill="auto" w:val="clear"/>
            <w:vAlign w:val="center"/>
          </w:tcPr>
          <w:p>
            <w:pPr>
              <w:pStyle w:val="TableContents"/>
              <w:spacing w:lineRule="auto" w:line="312" w:before="0" w:after="0"/>
              <w:ind w:left="0" w:right="0" w:hanging="0"/>
              <w:jc w:val="center"/>
              <w:rPr/>
            </w:pPr>
            <w:r>
              <w:rPr/>
              <w:t>–</w:t>
            </w:r>
          </w:p>
        </w:tc>
        <w:tc>
          <w:tcPr>
            <w:tcW w:w="146" w:type="dxa"/>
            <w:tcBorders/>
            <w:shd w:fill="auto" w:val="clear"/>
            <w:vAlign w:val="center"/>
          </w:tcPr>
          <w:p>
            <w:pPr>
              <w:pStyle w:val="TableContents"/>
              <w:spacing w:lineRule="auto" w:line="312" w:before="0" w:after="0"/>
              <w:ind w:left="0" w:right="0" w:hanging="0"/>
              <w:jc w:val="center"/>
              <w:rPr/>
            </w:pPr>
            <w:r>
              <w:rPr/>
              <w:t> </w:t>
            </w:r>
          </w:p>
        </w:tc>
        <w:tc>
          <w:tcPr>
            <w:tcW w:w="1396" w:type="dxa"/>
            <w:tcBorders/>
            <w:shd w:fill="auto" w:val="clear"/>
            <w:vAlign w:val="center"/>
          </w:tcPr>
          <w:p>
            <w:pPr>
              <w:pStyle w:val="TableContents"/>
              <w:spacing w:lineRule="auto" w:line="312" w:before="0" w:after="0"/>
              <w:ind w:left="0" w:right="0" w:hanging="0"/>
              <w:jc w:val="center"/>
              <w:rPr/>
            </w:pPr>
            <w:r>
              <w:rPr/>
              <w:t>–</w:t>
            </w:r>
          </w:p>
        </w:tc>
      </w:tr>
    </w:tbl>
    <w:p>
      <w:pPr>
        <w:pStyle w:val="TextBody"/>
        <w:spacing w:lineRule="auto" w:line="312" w:before="0" w:after="0"/>
        <w:ind w:left="0" w:right="0" w:hanging="0"/>
        <w:jc w:val="left"/>
        <w:rPr/>
      </w:pPr>
      <w:r>
        <w:rPr/>
        <w:t> </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120" w:after="0"/>
        <w:ind w:left="0" w:right="0" w:hanging="0"/>
        <w:jc w:val="left"/>
        <w:rPr/>
      </w:pPr>
      <w:r>
        <w:rPr/>
        <w:t> </w:t>
      </w:r>
    </w:p>
    <w:p>
      <w:pPr>
        <w:pStyle w:val="TextBody"/>
        <w:spacing w:lineRule="auto" w:line="312" w:before="40" w:after="0"/>
        <w:ind w:left="0" w:right="0" w:hanging="0"/>
        <w:jc w:val="left"/>
        <w:rPr>
          <w:rFonts w:ascii="Times New Roman" w:hAnsi="Times New Roman"/>
          <w:b w:val="false"/>
          <w:i/>
          <w:sz w:val="20"/>
        </w:rPr>
      </w:pPr>
      <w:r>
        <w:rPr>
          <w:rFonts w:ascii="Times New Roman" w:hAnsi="Times New Roman"/>
          <w:b w:val="false"/>
          <w:i/>
          <w:sz w:val="20"/>
        </w:rPr>
        <w:t>Expected Term</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expected term is calculated using the simplified method, which is available if there is insufficient historical data about exercise patterns and post 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 from grant until the midpoints for each of the tranches may be averaged to provide an overall expected term.</w:t>
      </w:r>
    </w:p>
    <w:p>
      <w:pPr>
        <w:pStyle w:val="TextBody"/>
        <w:spacing w:lineRule="auto" w:line="312" w:before="360" w:after="0"/>
        <w:ind w:left="0" w:right="0" w:hanging="0"/>
        <w:jc w:val="left"/>
        <w:rPr>
          <w:rFonts w:ascii="Times New Roman" w:hAnsi="Times New Roman"/>
          <w:b w:val="false"/>
          <w:i/>
          <w:sz w:val="20"/>
        </w:rPr>
      </w:pPr>
      <w:r>
        <w:rPr>
          <w:rFonts w:ascii="Times New Roman" w:hAnsi="Times New Roman"/>
          <w:b w:val="false"/>
          <w:i/>
          <w:sz w:val="20"/>
        </w:rPr>
        <w:t>Expected Volatility</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Company used an average historical stock price volatility of a peer group of publicly traded companies to be representative of its expected future stock price volatility, as the Company did not have any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pStyle w:val="TextBody"/>
        <w:spacing w:lineRule="auto" w:line="312" w:before="360" w:after="0"/>
        <w:ind w:left="0" w:right="0" w:hanging="0"/>
        <w:jc w:val="left"/>
        <w:rPr>
          <w:rFonts w:ascii="Times New Roman" w:hAnsi="Times New Roman"/>
          <w:b w:val="false"/>
          <w:i/>
          <w:sz w:val="20"/>
        </w:rPr>
      </w:pPr>
      <w:r>
        <w:rPr>
          <w:rFonts w:ascii="Times New Roman" w:hAnsi="Times New Roman"/>
          <w:b w:val="false"/>
          <w:i/>
          <w:sz w:val="20"/>
        </w:rPr>
        <w:t>Risk-Free Interest Rate</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risk-free interest rate is based on the implied yield currently available on US Treasury zero-coupon issues with remaining terms equivalent to the expected term of a stock award.</w:t>
      </w:r>
    </w:p>
    <w:p>
      <w:pPr>
        <w:pStyle w:val="TextBody"/>
        <w:spacing w:lineRule="auto" w:line="312" w:before="360" w:after="0"/>
        <w:ind w:left="0" w:right="0" w:hanging="0"/>
        <w:jc w:val="left"/>
        <w:rPr>
          <w:rFonts w:ascii="Times New Roman" w:hAnsi="Times New Roman"/>
          <w:b w:val="false"/>
          <w:i/>
          <w:sz w:val="20"/>
        </w:rPr>
      </w:pPr>
      <w:r>
        <w:rPr>
          <w:rFonts w:ascii="Times New Roman" w:hAnsi="Times New Roman"/>
          <w:b w:val="false"/>
          <w:i/>
          <w:sz w:val="20"/>
        </w:rPr>
        <w:t>Expected Dividend Rate</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Company has not paid, and does not anticipate paying, any dividends in the near future. Accordingly, the Company has estimated the dividend yield to be 0%.</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following is a summary of stock-based compensation expense by function (in thousands):</w:t>
      </w:r>
    </w:p>
    <w:p>
      <w:pPr>
        <w:pStyle w:val="TextBody"/>
        <w:spacing w:lineRule="auto" w:line="312" w:before="120" w:after="0"/>
        <w:ind w:left="0" w:right="0" w:firstLine="490"/>
        <w:jc w:val="left"/>
        <w:rPr/>
      </w:pPr>
      <w:r>
        <w:rPr/>
        <w:t> </w:t>
      </w:r>
    </w:p>
    <w:tbl>
      <w:tblPr>
        <w:tblW w:w="7716" w:type="dxa"/>
        <w:jc w:val="left"/>
        <w:tblInd w:w="0" w:type="dxa"/>
        <w:tblCellMar>
          <w:top w:w="28" w:type="dxa"/>
          <w:left w:w="28" w:type="dxa"/>
          <w:bottom w:w="28" w:type="dxa"/>
          <w:right w:w="28" w:type="dxa"/>
        </w:tblCellMar>
      </w:tblPr>
      <w:tblGrid>
        <w:gridCol w:w="3451"/>
        <w:gridCol w:w="146"/>
        <w:gridCol w:w="240"/>
        <w:gridCol w:w="479"/>
        <w:gridCol w:w="166"/>
        <w:gridCol w:w="166"/>
        <w:gridCol w:w="240"/>
        <w:gridCol w:w="359"/>
        <w:gridCol w:w="146"/>
        <w:gridCol w:w="146"/>
        <w:gridCol w:w="211"/>
        <w:gridCol w:w="571"/>
        <w:gridCol w:w="146"/>
        <w:gridCol w:w="146"/>
        <w:gridCol w:w="211"/>
        <w:gridCol w:w="421"/>
        <w:gridCol w:w="47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50"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Three Months Ended </w:t>
              <w:br/>
              <w:t>June 30,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70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Six Months Ended </w:t>
              <w:br/>
              <w:t>June 30,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45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1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99"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4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Cost of goods sold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7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5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w:t>
            </w:r>
          </w:p>
        </w:tc>
        <w:tc>
          <w:tcPr>
            <w:tcW w:w="471" w:type="dxa"/>
            <w:tcBorders/>
            <w:shd w:fill="auto" w:val="clear"/>
            <w:vAlign w:val="center"/>
          </w:tcPr>
          <w:p>
            <w:pPr>
              <w:pStyle w:val="TableContents"/>
              <w:spacing w:lineRule="auto" w:line="312" w:before="0" w:after="0"/>
              <w:ind w:left="0" w:right="0" w:hanging="0"/>
              <w:jc w:val="left"/>
              <w:rPr/>
            </w:pPr>
            <w:r>
              <w:rPr/>
              <w:t> </w:t>
            </w:r>
          </w:p>
        </w:tc>
      </w:tr>
      <w:tr>
        <w:trPr/>
        <w:tc>
          <w:tcPr>
            <w:tcW w:w="34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47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240" w:type="dxa"/>
            <w:tcBorders/>
            <w:shd w:fill="auto" w:val="clear"/>
            <w:vAlign w:val="center"/>
          </w:tcPr>
          <w:p>
            <w:pPr>
              <w:pStyle w:val="TableContents"/>
              <w:spacing w:lineRule="auto" w:line="312" w:before="0" w:after="0"/>
              <w:ind w:left="0" w:right="0" w:hanging="0"/>
              <w:jc w:val="left"/>
              <w:rPr/>
            </w:pPr>
            <w:r>
              <w:rPr/>
              <w:t> </w:t>
            </w:r>
          </w:p>
        </w:tc>
        <w:tc>
          <w:tcPr>
            <w:tcW w:w="359"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57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4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w:t>
            </w:r>
          </w:p>
        </w:tc>
        <w:tc>
          <w:tcPr>
            <w:tcW w:w="471" w:type="dxa"/>
            <w:tcBorders/>
            <w:shd w:fill="auto" w:val="clear"/>
            <w:vAlign w:val="center"/>
          </w:tcPr>
          <w:p>
            <w:pPr>
              <w:pStyle w:val="TableContents"/>
              <w:spacing w:lineRule="auto" w:line="312" w:before="0" w:after="0"/>
              <w:ind w:left="0" w:right="0" w:hanging="0"/>
              <w:jc w:val="left"/>
              <w:rPr/>
            </w:pPr>
            <w:r>
              <w:rPr/>
              <w:t> </w:t>
            </w:r>
          </w:p>
        </w:tc>
      </w:tr>
      <w:tr>
        <w:trPr/>
        <w:tc>
          <w:tcPr>
            <w:tcW w:w="34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Selling, general and administrative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7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813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0"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35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98</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3451"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Total stock-based compensation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7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931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40"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35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65</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1,208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126</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160" w:after="0"/>
        <w:ind w:left="0" w:right="0" w:hanging="0"/>
        <w:jc w:val="left"/>
        <w:rPr>
          <w:rFonts w:ascii="Times New Roman" w:hAnsi="Times New Roman"/>
          <w:b/>
          <w:sz w:val="20"/>
        </w:rPr>
      </w:pPr>
      <w:r>
        <w:rPr>
          <w:rFonts w:ascii="Times New Roman" w:hAnsi="Times New Roman"/>
          <w:b/>
          <w:sz w:val="20"/>
        </w:rPr>
        <w:t>Note 12. Net Loss per Share Attributable to Common Stockholders</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Basic net loss per share is computed by dividing the net loss by the weighted-average number of common shares outstanding for the period. As the Company reported a net loss for the three and six months ended June 30, 2021 and 2020, basic net loss per share is the same as diluted net loss per share as the inclusion of potentially dilutive shares would have been antidilutive if included in the calculation.</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following table sets forth the computation of basic and diluted net loss per share attributable to common stockholders (in thousands, except share and per share data):</w:t>
      </w:r>
    </w:p>
    <w:p>
      <w:pPr>
        <w:pStyle w:val="TextBody"/>
        <w:spacing w:lineRule="auto" w:line="312" w:before="120" w:after="0"/>
        <w:ind w:left="0" w:right="0" w:firstLine="490"/>
        <w:jc w:val="left"/>
        <w:rPr/>
      </w:pPr>
      <w:r>
        <w:rPr/>
        <w:t> </w:t>
      </w:r>
    </w:p>
    <w:tbl>
      <w:tblPr>
        <w:tblW w:w="9917" w:type="dxa"/>
        <w:jc w:val="left"/>
        <w:tblInd w:w="0" w:type="dxa"/>
        <w:tblCellMar>
          <w:top w:w="28" w:type="dxa"/>
          <w:left w:w="28" w:type="dxa"/>
          <w:bottom w:w="28" w:type="dxa"/>
          <w:right w:w="28" w:type="dxa"/>
        </w:tblCellMar>
      </w:tblPr>
      <w:tblGrid>
        <w:gridCol w:w="3796"/>
        <w:gridCol w:w="146"/>
        <w:gridCol w:w="211"/>
        <w:gridCol w:w="931"/>
        <w:gridCol w:w="166"/>
        <w:gridCol w:w="146"/>
        <w:gridCol w:w="211"/>
        <w:gridCol w:w="931"/>
        <w:gridCol w:w="166"/>
        <w:gridCol w:w="146"/>
        <w:gridCol w:w="211"/>
        <w:gridCol w:w="931"/>
        <w:gridCol w:w="166"/>
        <w:gridCol w:w="146"/>
        <w:gridCol w:w="211"/>
        <w:gridCol w:w="931"/>
        <w:gridCol w:w="471"/>
      </w:tblGrid>
      <w:tr>
        <w:trPr/>
        <w:tc>
          <w:tcPr>
            <w:tcW w:w="3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79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59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Three Months Ended </w:t>
              <w:br/>
              <w:t>June 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59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Six Months Ended </w:t>
              <w:br/>
              <w:t>June 30,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79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379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Numerator: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firstLine="280"/>
              <w:jc w:val="right"/>
              <w:rPr/>
            </w:pPr>
            <w:r>
              <w:rPr/>
              <w:t> </w:t>
            </w:r>
          </w:p>
        </w:tc>
      </w:tr>
      <w:tr>
        <w:trPr/>
        <w:tc>
          <w:tcPr>
            <w:tcW w:w="379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Net loss attributable to common stockholders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(17,615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(8,316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(29,855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(17,491</w:t>
            </w:r>
          </w:p>
        </w:tc>
        <w:tc>
          <w:tcPr>
            <w:tcW w:w="4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379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Denominator:</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42" w:type="dxa"/>
            <w:gridSpan w:val="2"/>
            <w:tcBorders/>
            <w:shd w:fill="auto" w:val="clear"/>
            <w:vAlign w:val="center"/>
          </w:tcPr>
          <w:p>
            <w:pPr>
              <w:pStyle w:val="TableContents"/>
              <w:spacing w:lineRule="auto" w:line="312" w:before="0" w:after="0"/>
              <w:ind w:left="0" w:right="0" w:hanging="0"/>
              <w:jc w:val="right"/>
              <w:rPr/>
            </w:pPr>
            <w:r>
              <w:rPr/>
              <w:t> </w:t>
            </w:r>
          </w:p>
        </w:tc>
        <w:tc>
          <w:tcPr>
            <w:tcW w:w="471" w:type="dxa"/>
            <w:tcBorders/>
            <w:shd w:fill="auto" w:val="clear"/>
            <w:vAlign w:val="center"/>
          </w:tcPr>
          <w:p>
            <w:pPr>
              <w:pStyle w:val="TableContents"/>
              <w:spacing w:lineRule="auto" w:line="312" w:before="0" w:after="0"/>
              <w:ind w:left="0" w:right="0" w:firstLine="280"/>
              <w:jc w:val="right"/>
              <w:rPr/>
            </w:pPr>
            <w:r>
              <w:rPr/>
              <w:t> </w:t>
            </w:r>
          </w:p>
        </w:tc>
      </w:tr>
      <w:tr>
        <w:trPr/>
        <w:tc>
          <w:tcPr>
            <w:tcW w:w="379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Weighted-average shares of common stock</w:t>
              <w:br/>
              <w:t>   outstanding—basic and diluted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9,610,408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9,457,893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9,564,096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9,453,640</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379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Net loss per share attributable to common</w:t>
              <w:br/>
              <w:t>   stockholders—basic and diluted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(0.88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(3.12</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9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(1.85</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312" w:before="120" w:after="0"/>
        <w:ind w:left="0" w:right="0" w:firstLine="490"/>
        <w:jc w:val="left"/>
        <w:rPr/>
      </w:pPr>
      <w:r>
        <w:rPr/>
        <w:t> </w:t>
      </w:r>
    </w:p>
    <w:p>
      <w:pPr>
        <w:pStyle w:val="TextBody"/>
        <w:spacing w:lineRule="auto" w:line="312" w:before="0" w:after="0"/>
        <w:ind w:left="0" w:right="0" w:firstLine="490"/>
        <w:jc w:val="left"/>
        <w:rPr>
          <w:rFonts w:ascii="Times New Roman" w:hAnsi="Times New Roman"/>
          <w:b w:val="false"/>
          <w:sz w:val="20"/>
        </w:rPr>
      </w:pPr>
      <w:r>
        <w:rPr>
          <w:rFonts w:ascii="Times New Roman" w:hAnsi="Times New Roman"/>
          <w:b w:val="false"/>
          <w:sz w:val="20"/>
        </w:rPr>
        <w:t>The following outstanding shares of potentially dilutive securities were excluded from the computation of diluted net loss per share attributable to common stockholders for the period presented because including them would have been antidilutive:</w:t>
      </w:r>
    </w:p>
    <w:p>
      <w:pPr>
        <w:pStyle w:val="TextBody"/>
        <w:spacing w:lineRule="auto" w:line="312" w:before="120" w:after="0"/>
        <w:ind w:left="0" w:right="0" w:firstLine="490"/>
        <w:jc w:val="left"/>
        <w:rPr/>
      </w:pPr>
      <w:r>
        <w:rPr/>
        <w:t> </w:t>
      </w:r>
    </w:p>
    <w:tbl>
      <w:tblPr>
        <w:tblW w:w="7059" w:type="dxa"/>
        <w:jc w:val="left"/>
        <w:tblInd w:w="0" w:type="dxa"/>
        <w:tblCellMar>
          <w:top w:w="28" w:type="dxa"/>
          <w:left w:w="28" w:type="dxa"/>
          <w:bottom w:w="28" w:type="dxa"/>
          <w:right w:w="28" w:type="dxa"/>
        </w:tblCellMar>
      </w:tblPr>
      <w:tblGrid>
        <w:gridCol w:w="4066"/>
        <w:gridCol w:w="146"/>
        <w:gridCol w:w="146"/>
        <w:gridCol w:w="1036"/>
        <w:gridCol w:w="146"/>
        <w:gridCol w:w="146"/>
        <w:gridCol w:w="146"/>
        <w:gridCol w:w="1036"/>
        <w:gridCol w:w="191"/>
      </w:tblGrid>
      <w:tr>
        <w:trPr/>
        <w:tc>
          <w:tcPr>
            <w:tcW w:w="4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0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65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June 30,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0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0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Series A redeemable 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3,804,344</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3,804,344</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40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Series B redeemable 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1,209,621</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1,209,621</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40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Series C redeemable 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2,342,857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2,342,857</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40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Series D redeemable 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2,447,818</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2,447,818</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40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Series E redeemable 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1,899,847</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1,899,847</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40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Series F redeemable convertible preferred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1,062,715</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pPr>
            <w:r>
              <w:rPr/>
              <w:t>—</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40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Options to purchase common stock</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5,185,736</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2,490,706</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40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Redeemable convertible preferred stock warrants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329,514</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42,163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0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18,282,452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14,237,356</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160" w:after="0"/>
        <w:ind w:left="0" w:right="0" w:hanging="0"/>
        <w:jc w:val="left"/>
        <w:rPr>
          <w:rFonts w:ascii="Times New Roman" w:hAnsi="Times New Roman"/>
          <w:b/>
          <w:sz w:val="20"/>
        </w:rPr>
      </w:pPr>
      <w:r>
        <w:rPr>
          <w:rFonts w:ascii="Times New Roman" w:hAnsi="Times New Roman"/>
          <w:b/>
          <w:sz w:val="20"/>
        </w:rPr>
        <w:t>Note 13. Defined Contribution Plan</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Company sponsors a defined contribution plan under Section 401(k) of the IRC of 1986, as amended, covering substantially all of its full-time US employees. Participating employees may contribute up to 100% of their eligible compensation up to the annual Internal Revenue Service’s contribution limit. For the three and six months ended June 30, 2021 and 2020, the Company did not match employee contributions.</w:t>
      </w:r>
    </w:p>
    <w:p>
      <w:pPr>
        <w:pStyle w:val="TextBody"/>
        <w:spacing w:lineRule="auto" w:line="312" w:before="360" w:after="0"/>
        <w:ind w:left="0" w:right="0" w:hanging="0"/>
        <w:jc w:val="left"/>
        <w:rPr>
          <w:rFonts w:ascii="Times New Roman" w:hAnsi="Times New Roman"/>
          <w:b/>
          <w:sz w:val="20"/>
        </w:rPr>
      </w:pPr>
      <w:r>
        <w:rPr>
          <w:rFonts w:ascii="Times New Roman" w:hAnsi="Times New Roman"/>
          <w:b/>
          <w:sz w:val="20"/>
        </w:rPr>
        <w:t>Note 14. Segment Information</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The Company has two</w:t>
      </w:r>
      <w:r>
        <w:rPr>
          <w:rFonts w:ascii="Times New Roman" w:hAnsi="Times New Roman"/>
          <w:sz w:val="20"/>
        </w:rPr>
        <w:t xml:space="preserve"> </w:t>
      </w:r>
      <w:r>
        <w:rPr>
          <w:rFonts w:ascii="Times New Roman" w:hAnsi="Times New Roman"/>
          <w:b w:val="false"/>
          <w:sz w:val="20"/>
        </w:rPr>
        <w:t>reportable operating segments which are determined on the basis of product portfolio: Surgical Glaucoma and Dry Eye. The operating and reportable segments were determined based on how the Company’s Chief Executive Officer, its Chief Operating Decision Maker (“CODM”), views and evaluates the Company’s operations. The CODM allocates resources to and evaluates the financial performance of each operating segment primarily based on gross profit and gross profit margin.</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Surgical Glaucoma segment includes sales of the Company’s OMNI® Surgical System for use in minimally invasive glaucoma procedures. Dry Eye segment includes sales of the Company’s TearCare® System and related components.</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240" w:after="0"/>
        <w:ind w:left="0" w:right="0" w:firstLine="490"/>
        <w:jc w:val="left"/>
        <w:rPr>
          <w:rFonts w:ascii="Times New Roman" w:hAnsi="Times New Roman"/>
          <w:b w:val="false"/>
          <w:sz w:val="20"/>
        </w:rPr>
      </w:pPr>
      <w:r>
        <w:rPr>
          <w:rFonts w:ascii="Times New Roman" w:hAnsi="Times New Roman"/>
          <w:b w:val="false"/>
          <w:sz w:val="20"/>
        </w:rPr>
        <w:t>The following table summarizes select operating results information for each reportable segment (dollars in thousands):</w:t>
      </w:r>
    </w:p>
    <w:p>
      <w:pPr>
        <w:pStyle w:val="TextBody"/>
        <w:spacing w:lineRule="auto" w:line="312" w:before="120" w:after="0"/>
        <w:ind w:left="0" w:right="0" w:firstLine="490"/>
        <w:jc w:val="left"/>
        <w:rPr/>
      </w:pPr>
      <w:r>
        <w:rPr/>
        <w:t> </w:t>
      </w:r>
    </w:p>
    <w:tbl>
      <w:tblPr>
        <w:tblW w:w="7922" w:type="dxa"/>
        <w:jc w:val="left"/>
        <w:tblInd w:w="0" w:type="dxa"/>
        <w:tblCellMar>
          <w:top w:w="28" w:type="dxa"/>
          <w:left w:w="28" w:type="dxa"/>
          <w:bottom w:w="28" w:type="dxa"/>
          <w:right w:w="28" w:type="dxa"/>
        </w:tblCellMar>
      </w:tblPr>
      <w:tblGrid>
        <w:gridCol w:w="2386"/>
        <w:gridCol w:w="146"/>
        <w:gridCol w:w="211"/>
        <w:gridCol w:w="736"/>
        <w:gridCol w:w="166"/>
        <w:gridCol w:w="146"/>
        <w:gridCol w:w="211"/>
        <w:gridCol w:w="631"/>
        <w:gridCol w:w="166"/>
        <w:gridCol w:w="146"/>
        <w:gridCol w:w="211"/>
        <w:gridCol w:w="736"/>
        <w:gridCol w:w="166"/>
        <w:gridCol w:w="146"/>
        <w:gridCol w:w="211"/>
        <w:gridCol w:w="736"/>
        <w:gridCol w:w="771"/>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01"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Three Months Ended </w:t>
              <w:br/>
              <w:t>June 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 xml:space="preserve">Six Months Ended </w:t>
              <w:br/>
              <w:t>June 30,</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38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38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firstLine="280"/>
              <w:jc w:val="right"/>
              <w:rPr/>
            </w:pPr>
            <w:r>
              <w:rPr/>
              <w:t> </w:t>
            </w:r>
          </w:p>
        </w:tc>
      </w:tr>
      <w:tr>
        <w:trPr/>
        <w:tc>
          <w:tcPr>
            <w:tcW w:w="238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Surgical Glaucoma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11,988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3,299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20,127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9,399</w:t>
            </w:r>
          </w:p>
        </w:tc>
        <w:tc>
          <w:tcPr>
            <w:tcW w:w="771" w:type="dxa"/>
            <w:tcBorders/>
            <w:shd w:fill="auto" w:val="clear"/>
            <w:vAlign w:val="center"/>
          </w:tcPr>
          <w:p>
            <w:pPr>
              <w:pStyle w:val="TableContents"/>
              <w:spacing w:lineRule="auto" w:line="312" w:before="0" w:after="0"/>
              <w:ind w:left="0" w:right="0" w:firstLine="280"/>
              <w:jc w:val="left"/>
              <w:rPr/>
            </w:pPr>
            <w:r>
              <w:rPr/>
              <w:t> </w:t>
            </w:r>
          </w:p>
        </w:tc>
      </w:tr>
      <w:tr>
        <w:trPr/>
        <w:tc>
          <w:tcPr>
            <w:tcW w:w="238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Dry Eye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599</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pPr>
            <w:r>
              <w:rPr/>
              <w:t> </w:t>
            </w:r>
          </w:p>
        </w:tc>
      </w:tr>
      <w:tr>
        <w:trPr/>
        <w:tc>
          <w:tcPr>
            <w:tcW w:w="2386"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12,535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3,502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21,170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9,998</w:t>
            </w:r>
          </w:p>
        </w:tc>
        <w:tc>
          <w:tcPr>
            <w:tcW w:w="771" w:type="dxa"/>
            <w:tcBorders/>
            <w:shd w:fill="auto" w:val="clear"/>
            <w:vAlign w:val="center"/>
          </w:tcPr>
          <w:p>
            <w:pPr>
              <w:pStyle w:val="TableContents"/>
              <w:spacing w:lineRule="auto" w:line="312" w:before="0" w:after="0"/>
              <w:ind w:left="0" w:right="0" w:hanging="0"/>
              <w:jc w:val="left"/>
              <w:rPr/>
            </w:pPr>
            <w:r>
              <w:rPr/>
              <w:t> </w:t>
            </w:r>
          </w:p>
        </w:tc>
      </w:tr>
      <w:tr>
        <w:trPr/>
        <w:tc>
          <w:tcPr>
            <w:tcW w:w="238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Cost of goods sold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firstLine="280"/>
              <w:jc w:val="right"/>
              <w:rPr/>
            </w:pPr>
            <w:r>
              <w:rPr/>
              <w:t> </w:t>
            </w:r>
          </w:p>
        </w:tc>
      </w:tr>
      <w:tr>
        <w:trPr/>
        <w:tc>
          <w:tcPr>
            <w:tcW w:w="238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Surgical Glaucoma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1,773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1,508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3,631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3,022</w:t>
            </w:r>
          </w:p>
        </w:tc>
        <w:tc>
          <w:tcPr>
            <w:tcW w:w="771" w:type="dxa"/>
            <w:tcBorders/>
            <w:shd w:fill="auto" w:val="clear"/>
            <w:vAlign w:val="center"/>
          </w:tcPr>
          <w:p>
            <w:pPr>
              <w:pStyle w:val="TableContents"/>
              <w:spacing w:lineRule="auto" w:line="312" w:before="0" w:after="0"/>
              <w:ind w:left="0" w:right="0" w:firstLine="280"/>
              <w:jc w:val="left"/>
              <w:rPr/>
            </w:pPr>
            <w:r>
              <w:rPr/>
              <w:t> </w:t>
            </w:r>
          </w:p>
        </w:tc>
      </w:tr>
      <w:tr>
        <w:trPr/>
        <w:tc>
          <w:tcPr>
            <w:tcW w:w="238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Dry Eye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532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577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975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1,191</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pPr>
            <w:r>
              <w:rPr/>
              <w:t> </w:t>
            </w:r>
          </w:p>
        </w:tc>
      </w:tr>
      <w:tr>
        <w:trPr/>
        <w:tc>
          <w:tcPr>
            <w:tcW w:w="2386"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2,305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2,085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4,606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4,213</w:t>
            </w:r>
          </w:p>
        </w:tc>
        <w:tc>
          <w:tcPr>
            <w:tcW w:w="771" w:type="dxa"/>
            <w:tcBorders/>
            <w:shd w:fill="auto" w:val="clear"/>
            <w:vAlign w:val="center"/>
          </w:tcPr>
          <w:p>
            <w:pPr>
              <w:pStyle w:val="TableContents"/>
              <w:spacing w:lineRule="auto" w:line="312" w:before="0" w:after="0"/>
              <w:ind w:left="0" w:right="0" w:hanging="0"/>
              <w:jc w:val="left"/>
              <w:rPr/>
            </w:pPr>
            <w:r>
              <w:rPr/>
              <w:t> </w:t>
            </w:r>
          </w:p>
        </w:tc>
      </w:tr>
      <w:tr>
        <w:trPr/>
        <w:tc>
          <w:tcPr>
            <w:tcW w:w="238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Gross profit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42"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771" w:type="dxa"/>
            <w:tcBorders/>
            <w:shd w:fill="auto" w:val="clear"/>
            <w:vAlign w:val="center"/>
          </w:tcPr>
          <w:p>
            <w:pPr>
              <w:pStyle w:val="TableContents"/>
              <w:spacing w:lineRule="auto" w:line="312" w:before="0" w:after="0"/>
              <w:ind w:left="0" w:right="0" w:firstLine="280"/>
              <w:jc w:val="right"/>
              <w:rPr/>
            </w:pPr>
            <w:r>
              <w:rPr/>
              <w:t> </w:t>
            </w:r>
          </w:p>
        </w:tc>
      </w:tr>
      <w:tr>
        <w:trPr/>
        <w:tc>
          <w:tcPr>
            <w:tcW w:w="238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Surgical Glaucoma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10,215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1,791</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16,496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6,377</w:t>
            </w:r>
          </w:p>
        </w:tc>
        <w:tc>
          <w:tcPr>
            <w:tcW w:w="771" w:type="dxa"/>
            <w:tcBorders/>
            <w:shd w:fill="auto" w:val="clear"/>
            <w:vAlign w:val="center"/>
          </w:tcPr>
          <w:p>
            <w:pPr>
              <w:pStyle w:val="TableContents"/>
              <w:spacing w:lineRule="auto" w:line="312" w:before="0" w:after="0"/>
              <w:ind w:left="0" w:right="0" w:firstLine="280"/>
              <w:jc w:val="left"/>
              <w:rPr/>
            </w:pPr>
            <w:r>
              <w:rPr/>
              <w:t> </w:t>
            </w:r>
          </w:p>
        </w:tc>
      </w:tr>
      <w:tr>
        <w:trPr/>
        <w:tc>
          <w:tcPr>
            <w:tcW w:w="238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Dry Eye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(592</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560"/>
              <w:jc w:val="left"/>
              <w:rPr>
                <w:rFonts w:ascii="Times New Roman" w:hAnsi="Times New Roman"/>
                <w:b w:val="false"/>
                <w:sz w:val="20"/>
              </w:rPr>
            </w:pPr>
            <w:r>
              <w:rPr>
                <w:rFonts w:ascii="Times New Roman" w:hAnsi="Times New Roman"/>
                <w:b w:val="false"/>
                <w:sz w:val="20"/>
              </w:rPr>
              <w:t>)</w:t>
            </w:r>
          </w:p>
        </w:tc>
      </w:tr>
      <w:tr>
        <w:trPr/>
        <w:tc>
          <w:tcPr>
            <w:tcW w:w="2386" w:type="dxa"/>
            <w:tcBorders/>
            <w:shd w:fill="auto" w:val="clear"/>
            <w:vAlign w:val="center"/>
          </w:tcPr>
          <w:p>
            <w:pPr>
              <w:pStyle w:val="TableContents"/>
              <w:spacing w:lineRule="auto" w:line="312" w:before="0" w:after="0"/>
              <w:ind w:left="56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10,230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1,417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16,564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5,785</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280"/>
              <w:jc w:val="left"/>
              <w:rPr/>
            </w:pPr>
            <w:r>
              <w:rPr/>
              <w:t> </w:t>
            </w:r>
          </w:p>
        </w:tc>
      </w:tr>
      <w:tr>
        <w:trPr/>
        <w:tc>
          <w:tcPr>
            <w:tcW w:w="238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Operating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21,306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9,107</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39,296</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22,185</w:t>
            </w:r>
          </w:p>
        </w:tc>
        <w:tc>
          <w:tcPr>
            <w:tcW w:w="771" w:type="dxa"/>
            <w:tcBorders/>
            <w:shd w:fill="auto" w:val="clear"/>
            <w:vAlign w:val="center"/>
          </w:tcPr>
          <w:p>
            <w:pPr>
              <w:pStyle w:val="TableContents"/>
              <w:spacing w:lineRule="auto" w:line="312" w:before="0" w:after="0"/>
              <w:ind w:left="0" w:right="0" w:hanging="0"/>
              <w:jc w:val="left"/>
              <w:rPr/>
            </w:pPr>
            <w:r>
              <w:rPr/>
              <w:t> </w:t>
            </w:r>
          </w:p>
        </w:tc>
      </w:tr>
      <w:tr>
        <w:trPr/>
        <w:tc>
          <w:tcPr>
            <w:tcW w:w="238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Loss from operations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(11,076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(7,690</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(22,732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(16,400</w:t>
            </w:r>
          </w:p>
        </w:tc>
        <w:tc>
          <w:tcPr>
            <w:tcW w:w="771" w:type="dxa"/>
            <w:tcBorders/>
            <w:shd w:fill="auto" w:val="cle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238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Interest income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pPr>
            <w:r>
              <w:rPr/>
              <w:t>—</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w:t>
            </w:r>
          </w:p>
        </w:tc>
        <w:tc>
          <w:tcPr>
            <w:tcW w:w="771" w:type="dxa"/>
            <w:tcBorders/>
            <w:shd w:fill="auto" w:val="clear"/>
            <w:vAlign w:val="center"/>
          </w:tcPr>
          <w:p>
            <w:pPr>
              <w:pStyle w:val="TableContents"/>
              <w:spacing w:lineRule="auto" w:line="312" w:before="0" w:after="0"/>
              <w:ind w:left="0" w:right="0" w:firstLine="280"/>
              <w:jc w:val="left"/>
              <w:rPr/>
            </w:pPr>
            <w:r>
              <w:rPr/>
              <w:t> </w:t>
            </w:r>
          </w:p>
        </w:tc>
      </w:tr>
      <w:tr>
        <w:trPr/>
        <w:tc>
          <w:tcPr>
            <w:tcW w:w="238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Interest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(1,082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3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(2,166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(1,101</w:t>
            </w:r>
          </w:p>
        </w:tc>
        <w:tc>
          <w:tcPr>
            <w:tcW w:w="771" w:type="dxa"/>
            <w:tcBorders/>
            <w:shd w:fill="auto" w:val="clear"/>
            <w:vAlign w:val="center"/>
          </w:tcPr>
          <w:p>
            <w:pPr>
              <w:pStyle w:val="TableContents"/>
              <w:spacing w:lineRule="auto" w:line="312" w:before="0" w:after="0"/>
              <w:ind w:left="0" w:right="0" w:firstLine="280"/>
              <w:jc w:val="left"/>
              <w:rPr>
                <w:rFonts w:ascii="Times New Roman" w:hAnsi="Times New Roman"/>
                <w:b w:val="false"/>
                <w:sz w:val="20"/>
              </w:rPr>
            </w:pPr>
            <w:r>
              <w:rPr>
                <w:rFonts w:ascii="Times New Roman" w:hAnsi="Times New Roman"/>
                <w:b w:val="false"/>
                <w:sz w:val="20"/>
              </w:rPr>
              <w:t>)</w:t>
            </w:r>
          </w:p>
        </w:tc>
      </w:tr>
      <w:tr>
        <w:trPr/>
        <w:tc>
          <w:tcPr>
            <w:tcW w:w="238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(5,435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(4,883</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38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Loss before income tax</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(17,593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(8,310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(29,781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(17,454</w:t>
            </w:r>
          </w:p>
        </w:tc>
        <w:tc>
          <w:tcPr>
            <w:tcW w:w="7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312" w:before="0" w:after="120"/>
        <w:ind w:left="0" w:right="0" w:firstLine="490"/>
        <w:jc w:val="left"/>
        <w:rPr/>
      </w:pPr>
      <w:r>
        <w:rPr/>
        <w:t> </w:t>
      </w:r>
    </w:p>
    <w:p>
      <w:pPr>
        <w:pStyle w:val="TextBody"/>
        <w:spacing w:lineRule="auto" w:line="312" w:before="0" w:after="0"/>
        <w:ind w:left="0" w:right="0" w:firstLine="490"/>
        <w:jc w:val="left"/>
        <w:rPr>
          <w:rFonts w:ascii="Times New Roman" w:hAnsi="Times New Roman"/>
          <w:b w:val="false"/>
          <w:sz w:val="20"/>
        </w:rPr>
      </w:pPr>
      <w:r>
        <w:rPr>
          <w:rFonts w:ascii="Times New Roman" w:hAnsi="Times New Roman"/>
          <w:b w:val="false"/>
          <w:sz w:val="20"/>
        </w:rPr>
        <w:t>The Company does not allocate any income and expenses beyond revenue and cost of goods sold to the reportable operating segments in its reporting to the CODM. No asset information is provided for reportable operating segments because they are not reviewed by the CODM on segment basis. Substantially all of the Company’s revenue is generated from sales in the United States, and none of its property and equipment is located outside the United States.</w:t>
      </w:r>
    </w:p>
    <w:p>
      <w:pPr>
        <w:pStyle w:val="TextBody"/>
        <w:spacing w:lineRule="auto" w:line="312" w:before="360" w:after="0"/>
        <w:ind w:left="0" w:right="0" w:hanging="0"/>
        <w:jc w:val="left"/>
        <w:rPr>
          <w:rFonts w:ascii="Times New Roman" w:hAnsi="Times New Roman"/>
          <w:b/>
          <w:sz w:val="20"/>
        </w:rPr>
      </w:pPr>
      <w:r>
        <w:rPr>
          <w:rFonts w:ascii="Times New Roman" w:hAnsi="Times New Roman"/>
          <w:b/>
          <w:sz w:val="20"/>
        </w:rPr>
        <w:t>Note 15. Subsequent Events</w:t>
      </w:r>
    </w:p>
    <w:p>
      <w:pPr>
        <w:pStyle w:val="TextBody"/>
        <w:spacing w:lineRule="auto" w:line="312" w:before="120" w:after="0"/>
        <w:ind w:left="0" w:right="0" w:firstLine="490"/>
        <w:jc w:val="left"/>
        <w:rPr>
          <w:rFonts w:ascii="Times New Roman" w:hAnsi="Times New Roman"/>
          <w:b w:val="false"/>
          <w:sz w:val="20"/>
        </w:rPr>
      </w:pPr>
      <w:r>
        <w:rPr>
          <w:rFonts w:ascii="Times New Roman" w:hAnsi="Times New Roman"/>
          <w:b w:val="false"/>
          <w:sz w:val="20"/>
        </w:rPr>
        <w:t>The Company evaluated subsequent events through August 12, 2021, the date on which the condensed consolidated financial statements were available for issuance.</w:t>
      </w:r>
    </w:p>
    <w:p>
      <w:pPr>
        <w:pStyle w:val="TextBody"/>
        <w:spacing w:lineRule="auto" w:line="312" w:before="360" w:after="0"/>
        <w:ind w:left="0" w:right="0" w:firstLine="490"/>
        <w:jc w:val="left"/>
        <w:rPr>
          <w:rFonts w:ascii="Times New Roman" w:hAnsi="Times New Roman"/>
          <w:b w:val="false"/>
          <w:i/>
          <w:sz w:val="20"/>
        </w:rPr>
      </w:pPr>
      <w:r>
        <w:rPr>
          <w:rFonts w:ascii="Times New Roman" w:hAnsi="Times New Roman"/>
          <w:b w:val="false"/>
          <w:i/>
          <w:sz w:val="20"/>
        </w:rPr>
        <w:t>Stock Split</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On July 7, 2021 the Company effected a 2-for-1 stock split of its issued and outstanding shares of common stock and a proportional adjustment to the existing conversion ratios for each series of the Company’s redeemable convertible preferred stock.</w:t>
      </w:r>
      <w:r>
        <w:rPr>
          <w:rFonts w:ascii="Times New Roman" w:hAnsi="Times New Roman"/>
          <w:sz w:val="20"/>
        </w:rPr>
        <w:t xml:space="preserve"> </w:t>
      </w:r>
      <w:r>
        <w:rPr>
          <w:rFonts w:ascii="Times New Roman" w:hAnsi="Times New Roman"/>
          <w:b w:val="false"/>
          <w:sz w:val="20"/>
        </w:rPr>
        <w:t>Accordingly, all share and per share amounts for all periods presented in the accompanying consolidated financial statements and notes thereto have been adjusted retroactively, where applicable, to reflect this stock split and adjustment of the redeemable convertible preferred stock conversion ratios.</w:t>
      </w:r>
    </w:p>
    <w:p>
      <w:pPr>
        <w:pStyle w:val="TextBody"/>
        <w:spacing w:lineRule="auto" w:line="312" w:before="360" w:after="0"/>
        <w:ind w:left="0" w:right="0" w:firstLine="490"/>
        <w:jc w:val="left"/>
        <w:rPr>
          <w:rFonts w:ascii="Times New Roman" w:hAnsi="Times New Roman"/>
          <w:b w:val="false"/>
          <w:i/>
          <w:sz w:val="20"/>
        </w:rPr>
      </w:pPr>
      <w:r>
        <w:rPr>
          <w:rFonts w:ascii="Times New Roman" w:hAnsi="Times New Roman"/>
          <w:b w:val="false"/>
          <w:i/>
          <w:sz w:val="20"/>
        </w:rPr>
        <w:t>Initial Public Offering</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On July 19, 2021, the Company closed its initial public offering (“IPO”) of its common stock in which the Company issued and sold 10,000,000</w:t>
      </w:r>
      <w:r>
        <w:rPr>
          <w:rFonts w:ascii="Times New Roman" w:hAnsi="Times New Roman"/>
          <w:sz w:val="20"/>
        </w:rPr>
        <w:t xml:space="preserve"> </w:t>
      </w:r>
      <w:r>
        <w:rPr>
          <w:rFonts w:ascii="Times New Roman" w:hAnsi="Times New Roman"/>
          <w:b w:val="false"/>
          <w:sz w:val="20"/>
        </w:rPr>
        <w:t>shares of its common stock, and sold an additional 1,500,000</w:t>
      </w:r>
      <w:r>
        <w:rPr>
          <w:rFonts w:ascii="Times New Roman" w:hAnsi="Times New Roman"/>
          <w:sz w:val="20"/>
        </w:rPr>
        <w:t xml:space="preserve"> </w:t>
      </w:r>
      <w:r>
        <w:rPr>
          <w:rFonts w:ascii="Times New Roman" w:hAnsi="Times New Roman"/>
          <w:b w:val="false"/>
          <w:sz w:val="20"/>
        </w:rPr>
        <w:t>shares of common stock upon the full exercise of the underwriters’ option to purchase additional shares at $24.00</w:t>
      </w:r>
      <w:r>
        <w:rPr>
          <w:rFonts w:ascii="Times New Roman" w:hAnsi="Times New Roman"/>
          <w:sz w:val="20"/>
        </w:rPr>
        <w:t xml:space="preserve"> </w:t>
      </w:r>
      <w:r>
        <w:rPr>
          <w:rFonts w:ascii="Times New Roman" w:hAnsi="Times New Roman"/>
          <w:b w:val="false"/>
          <w:sz w:val="20"/>
        </w:rPr>
        <w:t>per share, raising approximately $253.0</w:t>
      </w:r>
      <w:r>
        <w:rPr>
          <w:rFonts w:ascii="Times New Roman" w:hAnsi="Times New Roman"/>
          <w:sz w:val="20"/>
        </w:rPr>
        <w:t xml:space="preserve"> </w:t>
      </w:r>
      <w:r>
        <w:rPr>
          <w:rFonts w:ascii="Times New Roman" w:hAnsi="Times New Roman"/>
          <w:b w:val="false"/>
          <w:sz w:val="20"/>
        </w:rPr>
        <w:t>million in proceeds, net of underwriting discounts and commissions of $19.3</w:t>
      </w:r>
      <w:r>
        <w:rPr>
          <w:rFonts w:ascii="Times New Roman" w:hAnsi="Times New Roman"/>
          <w:sz w:val="20"/>
        </w:rPr>
        <w:t xml:space="preserve"> </w:t>
      </w:r>
      <w:r>
        <w:rPr>
          <w:rFonts w:ascii="Times New Roman" w:hAnsi="Times New Roman"/>
          <w:b w:val="false"/>
          <w:sz w:val="20"/>
        </w:rPr>
        <w:t>million and estimated offering costs of $3.7</w:t>
      </w:r>
      <w:r>
        <w:rPr>
          <w:rFonts w:ascii="Times New Roman" w:hAnsi="Times New Roman"/>
          <w:sz w:val="20"/>
        </w:rPr>
        <w:t xml:space="preserve"> </w:t>
      </w:r>
      <w:r>
        <w:rPr>
          <w:rFonts w:ascii="Times New Roman" w:hAnsi="Times New Roman"/>
          <w:b w:val="false"/>
          <w:sz w:val="20"/>
        </w:rPr>
        <w:t>million, of which $3.3</w:t>
      </w:r>
      <w:r>
        <w:rPr>
          <w:rFonts w:ascii="Times New Roman" w:hAnsi="Times New Roman"/>
          <w:sz w:val="20"/>
        </w:rPr>
        <w:t xml:space="preserve"> </w:t>
      </w:r>
      <w:r>
        <w:rPr>
          <w:rFonts w:ascii="Times New Roman" w:hAnsi="Times New Roman"/>
          <w:b w:val="false"/>
          <w:sz w:val="20"/>
        </w:rPr>
        <w:t>million were incurred as of June 30, 2021.</w:t>
      </w:r>
    </w:p>
    <w:p>
      <w:pPr>
        <w:pStyle w:val="TextBody"/>
        <w:spacing w:lineRule="auto" w:line="312" w:before="240" w:after="0"/>
        <w:ind w:left="0" w:right="0" w:firstLine="490"/>
        <w:jc w:val="left"/>
        <w:rPr>
          <w:rFonts w:ascii="Times New Roman" w:hAnsi="Times New Roman"/>
          <w:sz w:val="20"/>
        </w:rPr>
      </w:pPr>
      <w:r>
        <w:rPr>
          <w:rFonts w:ascii="Times New Roman" w:hAnsi="Times New Roman"/>
          <w:b w:val="false"/>
          <w:sz w:val="20"/>
        </w:rPr>
        <w:t>Immediately prior to the closing of the IPO, all of the then-outstanding shares of convertible preferred stock automatically converted into 25,534,404 shares of common stock at the applicable conversion ratio then in effect. Further, all of the then-outstanding convertible preferred stock warrants were converted into warrants to purchase</w:t>
      </w:r>
      <w:r>
        <w:rPr>
          <w:rFonts w:ascii="Times New Roman" w:hAnsi="Times New Roman"/>
          <w:sz w:val="20"/>
        </w:rPr>
        <w:t xml:space="preserve"> </w:t>
      </w:r>
    </w:p>
    <w:p>
      <w:pPr>
        <w:pStyle w:val="TextBody"/>
        <w:spacing w:lineRule="auto" w:line="312" w:before="0" w:after="0"/>
        <w:ind w:left="0" w:right="0" w:hanging="0"/>
        <w:jc w:val="center"/>
        <w:rPr/>
      </w:pPr>
      <w:r>
        <w:rPr/>
        <w:t> </w:t>
      </w:r>
    </w:p>
    <w:p>
      <w:pPr>
        <w:pStyle w:val="TextBody"/>
        <w:spacing w:lineRule="auto" w:line="312" w:before="0" w:after="0"/>
        <w:ind w:left="0" w:right="0" w:hanging="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312" w:before="0" w:after="0"/>
        <w:ind w:left="0" w:right="0" w:hanging="0"/>
        <w:jc w:val="left"/>
        <w:rPr/>
      </w:pPr>
      <w:r>
        <w:rPr/>
        <w:t> </w:t>
      </w:r>
    </w:p>
    <w:p>
      <w:pPr>
        <w:pStyle w:val="TextBody"/>
        <w:spacing w:lineRule="auto" w:line="312" w:before="240" w:after="0"/>
        <w:ind w:left="0" w:right="0" w:hanging="0"/>
        <w:jc w:val="left"/>
        <w:rPr>
          <w:rFonts w:ascii="Times New Roman" w:hAnsi="Times New Roman"/>
          <w:b w:val="false"/>
          <w:sz w:val="20"/>
        </w:rPr>
      </w:pPr>
      <w:r>
        <w:rPr>
          <w:rFonts w:ascii="Times New Roman" w:hAnsi="Times New Roman"/>
          <w:b w:val="false"/>
          <w:sz w:val="20"/>
        </w:rPr>
        <w:t>659,028 shares of common stock and the convertible preferred stock warrant liability was reclassified to additional paid in capital. Subsequent to the IPO, all of these common stock warrants were net exercised into 483,554 shares of common stock.</w:t>
      </w:r>
    </w:p>
    <w:p>
      <w:pPr>
        <w:pStyle w:val="TextBody"/>
        <w:spacing w:lineRule="auto" w:line="312" w:before="360" w:after="0"/>
        <w:ind w:left="0" w:right="0" w:firstLine="490"/>
        <w:jc w:val="left"/>
        <w:rPr>
          <w:rFonts w:ascii="Times New Roman" w:hAnsi="Times New Roman"/>
          <w:b w:val="false"/>
          <w:i/>
          <w:sz w:val="20"/>
        </w:rPr>
      </w:pPr>
      <w:r>
        <w:rPr>
          <w:rFonts w:ascii="Times New Roman" w:hAnsi="Times New Roman"/>
          <w:b w:val="false"/>
          <w:i/>
          <w:sz w:val="20"/>
        </w:rPr>
        <w:t>Amended and Restated Certificate of Incorporation</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In connection with the IPO, the Company filed an amended and restated certificate of incorporation effective immediately prior to the closing of the IPO that authorized the issuance of up to 200,000,000</w:t>
      </w:r>
      <w:r>
        <w:rPr>
          <w:rFonts w:ascii="Times New Roman" w:hAnsi="Times New Roman"/>
          <w:sz w:val="20"/>
        </w:rPr>
        <w:t xml:space="preserve"> </w:t>
      </w:r>
      <w:r>
        <w:rPr>
          <w:rFonts w:ascii="Times New Roman" w:hAnsi="Times New Roman"/>
          <w:b w:val="false"/>
          <w:sz w:val="20"/>
        </w:rPr>
        <w:t>shares of common stock, par value $0.001</w:t>
      </w:r>
      <w:r>
        <w:rPr>
          <w:rFonts w:ascii="Times New Roman" w:hAnsi="Times New Roman"/>
          <w:sz w:val="20"/>
        </w:rPr>
        <w:t xml:space="preserve"> </w:t>
      </w:r>
      <w:r>
        <w:rPr>
          <w:rFonts w:ascii="Times New Roman" w:hAnsi="Times New Roman"/>
          <w:b w:val="false"/>
          <w:sz w:val="20"/>
        </w:rPr>
        <w:t>per share, and 10,000,000</w:t>
      </w:r>
      <w:r>
        <w:rPr>
          <w:rFonts w:ascii="Times New Roman" w:hAnsi="Times New Roman"/>
          <w:sz w:val="20"/>
        </w:rPr>
        <w:t xml:space="preserve"> </w:t>
      </w:r>
      <w:r>
        <w:rPr>
          <w:rFonts w:ascii="Times New Roman" w:hAnsi="Times New Roman"/>
          <w:b w:val="false"/>
          <w:sz w:val="20"/>
        </w:rPr>
        <w:t>shares of undesignated preferred stock, par value $0.001</w:t>
      </w:r>
      <w:r>
        <w:rPr>
          <w:rFonts w:ascii="Times New Roman" w:hAnsi="Times New Roman"/>
          <w:sz w:val="20"/>
        </w:rPr>
        <w:t xml:space="preserve"> </w:t>
      </w:r>
      <w:r>
        <w:rPr>
          <w:rFonts w:ascii="Times New Roman" w:hAnsi="Times New Roman"/>
          <w:b w:val="false"/>
          <w:sz w:val="20"/>
        </w:rPr>
        <w:t>per share.</w:t>
      </w:r>
    </w:p>
    <w:p>
      <w:pPr>
        <w:pStyle w:val="TextBody"/>
        <w:spacing w:lineRule="auto" w:line="312" w:before="360" w:after="0"/>
        <w:ind w:left="0" w:right="0" w:firstLine="490"/>
        <w:jc w:val="left"/>
        <w:rPr>
          <w:rFonts w:ascii="Times New Roman" w:hAnsi="Times New Roman"/>
          <w:b w:val="false"/>
          <w:i/>
          <w:sz w:val="20"/>
        </w:rPr>
      </w:pPr>
      <w:r>
        <w:rPr>
          <w:rFonts w:ascii="Times New Roman" w:hAnsi="Times New Roman"/>
          <w:b w:val="false"/>
          <w:i/>
          <w:sz w:val="20"/>
        </w:rPr>
        <w:t>2021 Equity Incentive Plan</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In July 2021, the Company’s Board of Directors and stockholders adopted and approved the 2021 Equity Incentive Plan, (the “2021 Plan”). The Company’s 2011 Stock Plan was terminated in connection with the IPO and no further grants will be made under the 2011 Plan from the date that the 2021 Plan became effective. The Company reserved 5,200,000</w:t>
      </w:r>
      <w:r>
        <w:rPr>
          <w:rFonts w:ascii="Times New Roman" w:hAnsi="Times New Roman"/>
          <w:sz w:val="20"/>
        </w:rPr>
        <w:t xml:space="preserve"> </w:t>
      </w:r>
      <w:r>
        <w:rPr>
          <w:rFonts w:ascii="Times New Roman" w:hAnsi="Times New Roman"/>
          <w:b w:val="false"/>
          <w:sz w:val="20"/>
        </w:rPr>
        <w:t>shares of common stock for future issuance under the 2021 Plan, from which options for 103,903</w:t>
      </w:r>
      <w:r>
        <w:rPr>
          <w:rFonts w:ascii="Times New Roman" w:hAnsi="Times New Roman"/>
          <w:sz w:val="20"/>
        </w:rPr>
        <w:t xml:space="preserve"> </w:t>
      </w:r>
      <w:r>
        <w:rPr>
          <w:rFonts w:ascii="Times New Roman" w:hAnsi="Times New Roman"/>
          <w:b w:val="false"/>
          <w:sz w:val="20"/>
        </w:rPr>
        <w:t>shares of common stock were granted upon the pricing of the IPO.</w:t>
      </w:r>
    </w:p>
    <w:p>
      <w:pPr>
        <w:pStyle w:val="TextBody"/>
        <w:spacing w:lineRule="auto" w:line="312" w:before="360" w:after="0"/>
        <w:ind w:left="0" w:right="0" w:firstLine="490"/>
        <w:jc w:val="left"/>
        <w:rPr>
          <w:rFonts w:ascii="Times New Roman" w:hAnsi="Times New Roman"/>
          <w:b w:val="false"/>
          <w:i/>
          <w:sz w:val="20"/>
        </w:rPr>
      </w:pPr>
      <w:r>
        <w:rPr>
          <w:rFonts w:ascii="Times New Roman" w:hAnsi="Times New Roman"/>
          <w:b w:val="false"/>
          <w:i/>
          <w:sz w:val="20"/>
        </w:rPr>
        <w:t>2021 Employee Stock Purchase Plan</w:t>
      </w:r>
    </w:p>
    <w:p>
      <w:pPr>
        <w:pStyle w:val="TextBody"/>
        <w:spacing w:lineRule="auto" w:line="312" w:before="120" w:after="0"/>
        <w:ind w:left="0" w:right="0" w:firstLine="490"/>
        <w:jc w:val="left"/>
        <w:rPr>
          <w:rFonts w:ascii="Times New Roman" w:hAnsi="Times New Roman"/>
          <w:sz w:val="20"/>
        </w:rPr>
      </w:pPr>
      <w:r>
        <w:rPr>
          <w:rFonts w:ascii="Times New Roman" w:hAnsi="Times New Roman"/>
          <w:b w:val="false"/>
          <w:sz w:val="20"/>
        </w:rPr>
        <w:t>In July 2021, the Board of Directors and stockholders also adopted and approved the 2021 Employee Stock Purchase Plan (the “ESPP”). The Company reserved 850,000</w:t>
      </w:r>
      <w:r>
        <w:rPr>
          <w:rFonts w:ascii="Times New Roman" w:hAnsi="Times New Roman"/>
          <w:sz w:val="20"/>
        </w:rPr>
        <w:t xml:space="preserve"> </w:t>
      </w:r>
      <w:r>
        <w:rPr>
          <w:rFonts w:ascii="Times New Roman" w:hAnsi="Times New Roman"/>
          <w:b w:val="false"/>
          <w:sz w:val="20"/>
        </w:rPr>
        <w:t>shares of common stock for future issuance under the ESPP.</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sz w:val="20"/>
        </w:rPr>
      </w:pPr>
      <w:bookmarkStart w:id="10" w:name="item_2_managements_discussion"/>
      <w:bookmarkEnd w:id="10"/>
      <w:r>
        <w:rPr>
          <w:rFonts w:ascii="Times New Roman" w:hAnsi="Times New Roman"/>
          <w:b/>
          <w:sz w:val="20"/>
        </w:rPr>
        <w:t>Item 2. Management’s Discussion and Analysis of Financial Condition and Results of Operations.</w:t>
      </w:r>
    </w:p>
    <w:p>
      <w:pPr>
        <w:pStyle w:val="TextBody"/>
        <w:spacing w:lineRule="auto" w:line="312" w:before="120" w:after="0"/>
        <w:jc w:val="left"/>
        <w:rPr>
          <w:rFonts w:ascii="Times New Roman" w:hAnsi="Times New Roman"/>
          <w:b w:val="false"/>
          <w:i/>
          <w:sz w:val="20"/>
        </w:rPr>
      </w:pPr>
      <w:r>
        <w:rPr>
          <w:rFonts w:ascii="Times New Roman" w:hAnsi="Times New Roman"/>
          <w:b w:val="false"/>
          <w:i/>
          <w:sz w:val="20"/>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as well as our audited financial statements and related notes as disclosed in our prospectus, dated July 14, 2021, filed with the Securities and Exchange Commission (“SEC”) in accordance with Rule 424(b) of the Securities Act on July 15, 2021 (the “Prospectus”) in connection with our initial public offering (“IPO”). Certain information contained in the discussion and analysis set forth below includes forward-looking statements that involve risks and uncertainties. Our actual results may differ materially from those anticipated in these forward-looking statements as a result of various factors, including those set forth in Item II, Part 1A, “Risk Factors” and other factors set forth in other parts of this Quarterly Report on Form 10-Q.</w:t>
      </w:r>
    </w:p>
    <w:p>
      <w:pPr>
        <w:pStyle w:val="TextBody"/>
        <w:spacing w:lineRule="auto" w:line="312" w:before="360" w:after="0"/>
        <w:jc w:val="left"/>
        <w:rPr>
          <w:rFonts w:ascii="Times New Roman" w:hAnsi="Times New Roman"/>
          <w:b/>
          <w:sz w:val="20"/>
        </w:rPr>
      </w:pPr>
      <w:r>
        <w:rPr>
          <w:rFonts w:ascii="Times New Roman" w:hAnsi="Times New Roman"/>
          <w:b/>
          <w:sz w:val="20"/>
        </w:rPr>
        <w:t>Overview</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mission is to transform ophthalmology and optometry through the development and commercialization of proprietary devices that target the underlying causes of the world’s most prevalent eye diseases. We are passionate about improving patients’ lives. Our business philosophy is grounded in the following principles: comprehensively understanding disease physiology, developing products that are intended to restore natural physiological functionality to diseased eyes; developing and marketing products that achieve superior effectiveness versus current treatment paradigms while minimizing complications or side effects, providing intuitive, patient friendly solutions to ophthalmologists and optometrists; and delivering compelling economic value to all stakeholders, including patients, providers and third-party payors, such as Medicare and commercial insurers. Our objective is to develop and market products for use in new treatment paradigms and to create an interventional mindset in eyecare whereby our products may be used in procedures which supplant conventional outdated approaches. We believe current eyecare treatment models rely heavily on prescription medications, symptom relief, or either flawed or highly invasive, later-stage procedural interventions, and fail to adequately address the true underlying cause of disease. We have focused our initial product development on the treatment of two of the world’s most prevalent and underserved eye diseases, glaucoma and dry eye disease, or DED.</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have commercial products in each of our two reportable segments, Surgical Glaucoma and Dry Eye. Our Surgical Glaucoma segment consists of sales of the OMNI Surgical System, or OMNI, and also included sales of VISCO360 and TRAB360, OMNI’s predicate devices, until they were discontinued in the first quarter of 2019. Our Dry Eye segment includes sales of the TearCare System, or TearCare, and related components and accessories. For the three months ended June 30, 2021, 95.6% and 4.4% of our revenues, respectively, were derived from our Surgical Glaucoma and Dry Eye segments, respectively. For the six months ended June 30, 2021, 95.1% and 4.9% of our revenues, respectively, were derived from our Surgical Glaucoma and Dry Eye segments, respectively. We primarily sell both systems through a highly-involved direct sales model that offers intensive education, training and customer service. We believe this philosophy and model not only enables us to differentiate our products and our overall company from competitors, but also to expand our addressable market by educating ophthalmologists and optometrists (together, eyecare professionals or ECPs), patients and other stakeholders on our products and evolving treatment paradigms. Outside of the U.S., we have historically sold OMNI primarily through a network of distributors, although we began employing a small direct sales force outside of the U.S. in April 2021.</w:t>
      </w:r>
    </w:p>
    <w:p>
      <w:pPr>
        <w:pStyle w:val="TextBody"/>
        <w:spacing w:lineRule="auto" w:line="312" w:before="240" w:after="0"/>
        <w:jc w:val="left"/>
        <w:rPr>
          <w:rFonts w:ascii="Times New Roman" w:hAnsi="Times New Roman"/>
          <w:sz w:val="20"/>
        </w:rPr>
      </w:pPr>
      <w:r>
        <w:rPr>
          <w:rFonts w:ascii="Times New Roman" w:hAnsi="Times New Roman"/>
          <w:b w:val="false"/>
          <w:sz w:val="20"/>
        </w:rPr>
        <w:t>We commercially launched OMNI and TearCare in February 2018 and April 2019, respectively. In May 2020, we introduced a new version of the OMNI Surgical System called OMNI Next Gen that incorporated extensive feedback from our physician users and that we believe improved upon the first-generation device. We sell OMNI to facilities where ophthalmic surgeons perform outpatient procedures, mainly ambulatory surgery centers, or ASCs and hospital outpatient departments, or HOPDs, which are typically reimbursed by Medicare or private payors for procedures using our products. We sell TearCare to optometrist and ophthalmologist practices. Currently, there is no meaningful reimbursement coverage by Medicare or private payors for MGD procedures, including TearCare, and patients have typically paid out-of-pocket for TearCare. We are continuing our controlled commercial launch and are focused upon comprehensive, clinical data-driven long-term market development plan that aims to improve awareness and patient access to TearCare. As of June 30, 2021, we employed over 100 people to execute our commercial strategy in direct sales, marketing, training and professional services. The overall success of our approach to eyecare to date is evidenced by the over 60,000 estimated uses of OMNI and its direct predicates in over</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1,000 hospitals and ASCs in the U.S. and Europe, and over 10,000 estimated uses of TearCare in over 400 eyecare facilities in the U.S. through June 30, 2021.</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have no manufacturing facilities of our own and instead contract with third parties for our production requirements. We currently believe our suppliers will be able to meet our current and anticipated manufacturing needs across all of our products. We do not currently plan to manufacture our products or any related components ourselves.</w:t>
      </w:r>
    </w:p>
    <w:p>
      <w:pPr>
        <w:pStyle w:val="TextBody"/>
        <w:spacing w:lineRule="auto" w:line="312" w:before="240" w:after="0"/>
        <w:jc w:val="left"/>
        <w:rPr>
          <w:rFonts w:ascii="Times New Roman" w:hAnsi="Times New Roman"/>
          <w:sz w:val="20"/>
        </w:rPr>
      </w:pPr>
      <w:r>
        <w:rPr>
          <w:rFonts w:ascii="Times New Roman" w:hAnsi="Times New Roman"/>
          <w:b w:val="false"/>
          <w:sz w:val="20"/>
        </w:rPr>
        <w:t>Beginning with the production of finished goods inventory in February 2021, we have shifted our primary production of OMNI from a U.S.-based third-party contract manufacturer, to a lower cost, higher volume contract manufacturer in Asia, and are in the process of supplementing this OMNI production capacity with a U.S.-based contract manufacturer. We believe that these cost optimization initiatives contributed to the increase in gross margins in our Surgical Glaucoma segment thus far in 2021 as compared to the same periods in 2020. The TearCare System includes the SmartHub component, which is typically only sold in initial purchase orders, and single-use SmartLids which are sold as part of initial purchase orders and through repeat orders as the ECP performs procedures over time. In an effort to build a meaningful TearCare installed base and encourage product trial and adoption by ECPs, our pricing strategy for SmartHubs has not focused on gross profit maximization. As the installed base of TearCare customers grows, we believe SmartLids, which currently generate higher gross margins than SmartHubs, will increase as a proportion of total Dry Eye segment revenues and gross profit. Given the earlier stage of TearCare’s commercial development and our pricing strategy with respect to SmartHubs, we expect our Dry Eye segment’s gross margins to be lower than our Surgical Glaucoma segment’s gross margins for the near and medium-term.</w:t>
      </w:r>
      <w:r>
        <w:rPr>
          <w:rFonts w:ascii="Times New Roman" w:hAnsi="Times New Roman"/>
          <w:sz w:val="20"/>
        </w:rPr>
        <w:t xml:space="preserve">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believe in the importance of continued strategic investment in initiatives that: further demonstrate our products’ clinical effectiveness and safety to potential customers, patients, payors and regulators; enhance our commercial capabilities, including resources dedicated to sales, marketing and education; ensure the broadest possible patient access to the treatment alternatives that our products are designed to offer, enhance and improve upon our existing product technologies; and allow us to innovate new products, devices or drugs, in glaucoma and DED or in new eye disease areas. As a result, we intend to continue to invest in clinical studies, sales and marketing, education initiatives, market access, and product development. Because of these and other factors, we expect to continue to incur net losses for at least the next several fiscal years. Moreover, we expect to incur additional expenses as a result of operating as a public company, including expenses related to compliance with the rules and regulations of the SEC and those of the Nasdaq Stock Market, additional insurance expenses, investor relations activities and other administrative and professional services. As a result of these and other factors, we may require and seek additional debt and equity financing to fund our operations and planned growth.</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Prior to our IPO, our primary sources of capital have been private placements of redeemable convertible preferred stock, debt financing arrangements and revenue from sales of our products. From our inception through June 30, 2021, we raised a total of $150.2 million in net proceeds from private placements of redeemable convertible preferred stock and the incurrence of debt. As of June 30, 2021, we had an outstanding term loan balance of $35.0 million (excluding debt discount and amortized debt issuance costs), cash and cash equivalents of $35.6 million and an accumulated deficit of $119.9 million.</w:t>
      </w:r>
    </w:p>
    <w:p>
      <w:pPr>
        <w:pStyle w:val="TextBody"/>
        <w:spacing w:lineRule="auto" w:line="312" w:before="360" w:after="0"/>
        <w:jc w:val="left"/>
        <w:rPr>
          <w:rFonts w:ascii="Times New Roman" w:hAnsi="Times New Roman"/>
          <w:b/>
          <w:i/>
          <w:sz w:val="20"/>
        </w:rPr>
      </w:pPr>
      <w:r>
        <w:rPr>
          <w:rFonts w:ascii="Times New Roman" w:hAnsi="Times New Roman"/>
          <w:b/>
          <w:i/>
          <w:sz w:val="20"/>
        </w:rPr>
        <w:t>Initial Public Offering</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On July 19, 2021, the Company closed its initial public offering (“IPO”) of its common stock in which the Company issued and sold 10,000,000 shares of its common stock, and sold an additional 1,500,000 shares of common stock upon the full exercise of the underwriters’ option to purchase additional shares at $24.00 per share, raising approximately $253.0 million in proceeds, net of underwriting discounts and commissions of $19.3 million and estimated offering costs of $3.7 million, of which $3.3 million were incurred as of June 30, 2021.</w:t>
      </w:r>
    </w:p>
    <w:p>
      <w:pPr>
        <w:pStyle w:val="TextBody"/>
        <w:spacing w:lineRule="auto" w:line="312" w:before="240" w:after="0"/>
        <w:jc w:val="left"/>
        <w:rPr>
          <w:rFonts w:ascii="Times New Roman" w:hAnsi="Times New Roman"/>
          <w:sz w:val="20"/>
        </w:rPr>
      </w:pPr>
      <w:r>
        <w:rPr>
          <w:rFonts w:ascii="Times New Roman" w:hAnsi="Times New Roman"/>
          <w:b w:val="false"/>
          <w:sz w:val="20"/>
        </w:rPr>
        <w:t>Immediately prior to the closing of the IPO, all then-outstanding shares of redeemable convertible preferred stock were converted into 25,534,404 shares of common stock. Further, all outstanding redeemable convertible preferred stock warrants were converted into warrants to purchase 659,028 shares of common stock (see Note 10 to our condensed consolidated financial statements included elsewhere in this Quarterly Report on Form 10-Q). The condensed consolidated financial statements as of June 30, 2021, including share and per share amounts, do not give</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30</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effect to the IPO or the conversion of the convertible preferred stock into common stock, as the IPO and such conversions were completed subsequent to June 30, 2021.</w:t>
      </w:r>
    </w:p>
    <w:p>
      <w:pPr>
        <w:pStyle w:val="TextBody"/>
        <w:spacing w:lineRule="auto" w:line="312" w:before="360" w:after="0"/>
        <w:jc w:val="left"/>
        <w:rPr>
          <w:rFonts w:ascii="Times New Roman" w:hAnsi="Times New Roman"/>
          <w:b/>
          <w:i/>
          <w:sz w:val="20"/>
        </w:rPr>
      </w:pPr>
      <w:r>
        <w:rPr>
          <w:rFonts w:ascii="Times New Roman" w:hAnsi="Times New Roman"/>
          <w:b/>
          <w:i/>
          <w:sz w:val="20"/>
        </w:rPr>
        <w:t>Impact of COVID-19</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In December 2019, a novel strain of coronavirus, COVID-19, emerged in Wuhan, China. The World Health Organization declared COVID-19 to be a pandemic, spreading across the globe and impacting worldwide economic activity. In 2020, certain U.S. federal, state and local governmental authorities issued stay-at-home orders, proclamations and/or directives, including restrictions on elective procedures and therapies, aimed at minimizing the spread of COVID-19. As such, the global COVID-19 pandemic impacted and is expected to continue to impact demand for our products, which are used in procedures and therapies that are considered elective. Although some of these governmental restrictions have since been lifted or scaled back, recent and future surges of COVID-19, including recent surges in the delta variant of COVID-19, may result in restrictions being re-implemented in response to efforts to reduce the spread of COVID-19. We experienced a significant decrease in our revenues for both of our products in the second quarter of 2020 as compared to the first quarter of 2020. As elective eye care procedures in many facilities that utilize our products were temporarily suspended by governmental authorities, many patients avoided visiting ECPs, and, even in areas that allowed elective procedures, ECPs and healthcare facilities in general substantially reduced or in some cases halted, the scheduling and performance of such procedures. The decrease in demand for our products due to COVID-19 most significantly impacted our revenues in the latter part of the quarter ended March 31, 2020 and the first half of the quarter ended June 30, 2020. Beginning in June 2020, we began to see an increase in the number of procedures using our products. In the first quarter of 2021, our customers experienced a significant number of procedure cancellations which we believe were largely driven by patients postponing in-office treatments until their COVID-19 vaccinations were completed (as opposed to any restrictions imposed on elective procedures), impacting our revenues. As vaccine availability and the vaccinated population increased across the U.S., we observed a recovery of our end markets in the second quarter of 2021 which we currently expect to continue throughout the remainder of the year, provided that the lifting of restrictions on elective procedures and therapies continues and such restrictions are not reimposed. As a result, we believe that over the course of 2021, there may be a modest benefit to our revenues as glaucoma and DED patients schedule previously deferred elective procedures, provided that the lifting of restrictions on elective procedures and therapies continues and such restrictions are not reimposed.</w:t>
      </w:r>
    </w:p>
    <w:p>
      <w:pPr>
        <w:pStyle w:val="TextBody"/>
        <w:spacing w:lineRule="auto" w:line="312" w:before="240" w:after="0"/>
        <w:jc w:val="left"/>
        <w:rPr>
          <w:rFonts w:ascii="Times New Roman" w:hAnsi="Times New Roman"/>
          <w:sz w:val="20"/>
        </w:rPr>
      </w:pPr>
      <w:r>
        <w:rPr>
          <w:rFonts w:ascii="Times New Roman" w:hAnsi="Times New Roman"/>
          <w:b w:val="false"/>
          <w:sz w:val="20"/>
        </w:rPr>
        <w:t>We are continuing to closely monitor the global COVID-19 pandemic. In order to operate in a safe manner, we are following the health and safety guidelines of the U.S. Centers for Disease Control and Prevention, Occupational Safety and Health Administration, and local and state public health departments where we operate. The majority of our employees at our headquarters have been asked to work from home, with only limited access given to employees to work in the office when necessary. For roles that require employees to be on-site, such as our R&amp;D and manufacturing technical staff, we are providing protective equipment, practicing social distancing, and enforcing mask wearing and we have increased sanitization standards. In addition, we have created a business continuity plan and incident management team to respond quickly and effectively to COVID-19 related issues in order to offer customers uninterrupted products, services and support while safeguarding the best interests of employees, suppliers and stakeholders. The ultimate impact of the global COVID-19 pandemic on our operations is unknown and will depend on future developments which are highly uncertain and cannot be predicted with confidence, including the duration and severity of the COVID-19 pandemic, the status of health and safety actions taken to contain its spread and any additional preventative and protective actions that governments, or we, may direct, any resurgence of COVID-19 that may occur and how quickly and to what extent economic and operating conditions normalize within the markets in which we operate. The global COVID-19 pandemic could disrupt the operations of our third-party manufacturers and other suppliers. Although we have not experienced disruptions in our supply chain to date, we cannot predict how long the pandemic and measures intended to contain the spread of COVID-19 will continue and what effect COVID-19 and the associated containment measures will have on our suppliers and vendors, in particular for any of our suppliers and vendors that may not qualify as essential businesses and suffer more significant disruptions to their business operations. We are working closely with our manufacturing partners and suppliers to help ensure we are able to source key components and maintain appropriate inventory levels to meet customer demand. However, if there is a resurgence in the spread of COVID-19, including by means of the delta variant of other variants, then we may experience another slow-down in or postponement of scheduling and performance of procedures using our products, in which case our current expectations regarding continued</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31</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sz w:val="20"/>
        </w:rPr>
      </w:pPr>
      <w:r>
        <w:rPr>
          <w:rFonts w:ascii="Times New Roman" w:hAnsi="Times New Roman"/>
          <w:b w:val="false"/>
          <w:sz w:val="20"/>
        </w:rPr>
        <w:t>market recovery may not come to pass, and we could further encounter unanticipated supply chain or other challenges that could adversely affect our business.</w:t>
      </w:r>
      <w:r>
        <w:rPr>
          <w:rFonts w:ascii="Times New Roman" w:hAnsi="Times New Roman"/>
          <w:sz w:val="20"/>
        </w:rPr>
        <w:t xml:space="preserve"> </w:t>
      </w:r>
    </w:p>
    <w:p>
      <w:pPr>
        <w:pStyle w:val="TextBody"/>
        <w:spacing w:lineRule="auto" w:line="312" w:before="360" w:after="0"/>
        <w:jc w:val="left"/>
        <w:rPr>
          <w:rFonts w:ascii="Times New Roman" w:hAnsi="Times New Roman"/>
          <w:b/>
          <w:sz w:val="20"/>
        </w:rPr>
      </w:pPr>
      <w:r>
        <w:rPr>
          <w:rFonts w:ascii="Times New Roman" w:hAnsi="Times New Roman"/>
          <w:b/>
          <w:sz w:val="20"/>
        </w:rPr>
        <w:t>Factors Affecting our Business and Results of Operations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believe there are several important factors that have impacted and that will continue to impact our business and results of operations. These factors include, but are limited to:</w:t>
      </w:r>
    </w:p>
    <w:p>
      <w:pPr>
        <w:pStyle w:val="TextBody"/>
        <w:spacing w:lineRule="auto" w:line="312" w:before="360" w:after="0"/>
        <w:jc w:val="left"/>
        <w:rPr>
          <w:rFonts w:ascii="Times New Roman" w:hAnsi="Times New Roman"/>
          <w:b/>
          <w:i/>
          <w:sz w:val="20"/>
        </w:rPr>
      </w:pPr>
      <w:r>
        <w:rPr>
          <w:rFonts w:ascii="Times New Roman" w:hAnsi="Times New Roman"/>
          <w:b/>
          <w:i/>
          <w:sz w:val="20"/>
        </w:rPr>
        <w:t>Product Development</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believe our product development approach is a key differentiator of our team and our Company. We are focused on continuous innovation and design and utilize input from our network of expert employees (including several ophthalmologists on staff), advisors and customers to rapidly iterate our pre-and post-commercial product designs with the aim of better satisfying the needs of our customers and their patients, and increasing adoption and utilization of our solutions. Once our products are launched, our customer feedback helps us further develop our products. This is particularly evident in the evolution of our OMNI Surgical System, which originated from the combined functionality of two internally developed, commercial predicate devices, each of which had their own multiple commercial iterations. We further refined ergonomics and functionality in OMNI Next Gen, which we launched in May 2020. Our future growth is dependent on our ability to continue innovating and applying our expertise of disease physiology to improve existing products and develop new products.</w:t>
      </w:r>
    </w:p>
    <w:p>
      <w:pPr>
        <w:pStyle w:val="TextBody"/>
        <w:spacing w:lineRule="auto" w:line="312" w:before="360" w:after="0"/>
        <w:jc w:val="left"/>
        <w:rPr>
          <w:rFonts w:ascii="Times New Roman" w:hAnsi="Times New Roman"/>
          <w:b/>
          <w:i/>
          <w:sz w:val="20"/>
        </w:rPr>
      </w:pPr>
      <w:r>
        <w:rPr>
          <w:rFonts w:ascii="Times New Roman" w:hAnsi="Times New Roman"/>
          <w:b/>
          <w:i/>
          <w:sz w:val="20"/>
        </w:rPr>
        <w:t>Market Education and Training on the Benefit of our Products vis-à-vis Existing Treatment Alternatives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One of the key drivers of our success is educating ophthalmologists, optometrists, patients, and third-party payors about the clinical and safety benefits of our products and of the benefits of more proactive, interventional approach to treating glaucoma and DED. We believe the required market education and development is best accomplished through a differentiated, highly involved commercial approach. As such, we devote significant resources to onboarding our sales professionals and to continuously augmenting their knowledge and capabilities. Our sales professionals provide ECPs with the necessary education, training and appropriate support to adopt and continue to use our products. We believe that increasing acceptance and usage of our products will require continued investment in our sales force and education efforts to ensure ECPs, patients and third-party payors learn more about our products and appreciate our benefits to an expanded patient population.</w:t>
      </w:r>
    </w:p>
    <w:p>
      <w:pPr>
        <w:pStyle w:val="TextBody"/>
        <w:spacing w:lineRule="auto" w:line="312" w:before="360" w:after="0"/>
        <w:jc w:val="left"/>
        <w:rPr>
          <w:rFonts w:ascii="Times New Roman" w:hAnsi="Times New Roman"/>
          <w:b/>
          <w:i/>
          <w:sz w:val="20"/>
        </w:rPr>
      </w:pPr>
      <w:r>
        <w:rPr>
          <w:rFonts w:ascii="Times New Roman" w:hAnsi="Times New Roman"/>
          <w:b/>
          <w:i/>
          <w:sz w:val="20"/>
        </w:rPr>
        <w:t>Maximizing Product Usage by Customers</w:t>
      </w:r>
    </w:p>
    <w:p>
      <w:pPr>
        <w:pStyle w:val="TextBody"/>
        <w:spacing w:lineRule="auto" w:line="312" w:before="120" w:after="0"/>
        <w:jc w:val="left"/>
        <w:rPr>
          <w:rFonts w:ascii="Times New Roman" w:hAnsi="Times New Roman"/>
          <w:sz w:val="20"/>
        </w:rPr>
      </w:pPr>
      <w:r>
        <w:rPr>
          <w:rFonts w:ascii="Times New Roman" w:hAnsi="Times New Roman"/>
          <w:b w:val="false"/>
          <w:sz w:val="20"/>
        </w:rPr>
        <w:t>Demand for our products will be highly dependent on our ability to develop their potential addressable markets and maximize the breadth of patients our products can serve. OMNI is indicated for canaloplasty followed by trabeculotomy to reduce intraocular pressure, or IOP, in adult patients with primary open-angle glaucoma, or POAG, in the U.S. and with open-angle glaucoma, or OAG, in the European Union. We believe that OMNI is the only device that is authorized by the FDA as an </w:t>
      </w:r>
      <w:r>
        <w:rPr>
          <w:rFonts w:ascii="Times New Roman" w:hAnsi="Times New Roman"/>
          <w:b w:val="false"/>
          <w:i/>
          <w:sz w:val="20"/>
        </w:rPr>
        <w:t>ab interno </w:t>
      </w:r>
      <w:r>
        <w:rPr>
          <w:rFonts w:ascii="Times New Roman" w:hAnsi="Times New Roman"/>
          <w:b w:val="false"/>
          <w:sz w:val="20"/>
        </w:rPr>
        <w:t>procedure to: reduce IOP in adult patients with POAG across the spectrum of disease severity; be used in mild-to-moderate procedures either in combination with cataract surgery, or Combination Cataract, or on a standalone basis, which we refer to as Standalone procedures; access 360 degrees of the diseased conventional outflow pathway through a single clear corneal incision; and facilitate two consecutive procedures, canaloplasty and trabeculotomy, to comprehensively treat all three primary points of resistance in the conventional outflow pathway in a single operating room visit. Our ability to establish OMNI as the standard of care for all POAG patients by continuing to grow its adoption and utilization in Combination Cataract procedures and by pioneering the development of the market for interventional mild to moderate Standalone procedures will have a substantial impact on our future growth.</w:t>
      </w:r>
    </w:p>
    <w:p>
      <w:pPr>
        <w:pStyle w:val="TextBody"/>
        <w:spacing w:lineRule="auto" w:line="312" w:before="240" w:after="0"/>
        <w:jc w:val="left"/>
        <w:rPr>
          <w:rFonts w:ascii="Times New Roman" w:hAnsi="Times New Roman"/>
          <w:sz w:val="20"/>
        </w:rPr>
      </w:pPr>
      <w:r>
        <w:rPr>
          <w:rFonts w:ascii="Times New Roman" w:hAnsi="Times New Roman"/>
          <w:b w:val="false"/>
          <w:sz w:val="20"/>
        </w:rPr>
        <w:t>TearCare serves as an elegant, compact, portable, intuitive solution that enables the application of localized heat to the eyelids with a universal fit that directly targets the meibomian glands for all eye physiologies, and we believe it presents a compelling physiological profile to potentially address MGD. The current DED treatment market primarily consists of an abundance of OTC and prescription eyedrops that seek to lubricate the ocular surface, alleviate inflammation and/or increase tear production respectively. However, OTC and prescription eyedrops  mechanism of action are not designed to  MGD’s eyelid-borne physiology and subsequent obstruction of</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32</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meibomian glands. MGD is associated with 86% of DED cases and is a leading root cause of evaporative DED, which is characterized by low quality tears that evaporate prematurely. Clinical studies have demonstrated that treating MGD by liquefying and removing clogged meibum is the most effective method to eliminate obstructions and restore the lipid layer of tear film, thereby preventing premature evaporation of tears. TearCare was designed to be administered during the course of a routine office visit to an ECP, which makes it convenient for patients, and allows providers to maintain procedural throughput in their practices. Our ability to improve patient access and market education on TearCare and the benefits of proactive MGD treatment will be key drivers of TearCare’s future growth.</w:t>
      </w:r>
    </w:p>
    <w:p>
      <w:pPr>
        <w:pStyle w:val="TextBody"/>
        <w:spacing w:lineRule="auto" w:line="312" w:before="360" w:after="0"/>
        <w:jc w:val="left"/>
        <w:rPr>
          <w:rFonts w:ascii="Times New Roman" w:hAnsi="Times New Roman"/>
          <w:b/>
          <w:i/>
          <w:sz w:val="20"/>
        </w:rPr>
      </w:pPr>
      <w:r>
        <w:rPr>
          <w:rFonts w:ascii="Times New Roman" w:hAnsi="Times New Roman"/>
          <w:b/>
          <w:i/>
          <w:sz w:val="20"/>
        </w:rPr>
        <w:t>Operational Excellence and Cost Efficiency</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aim to achieve operating and financial milestones with optimal capital efficiency, and focus on our market value relative to invested capital as a key measurement of our performance. Since our inception and prior to our IPO, we have received net proceeds of $150.2 million from equity and debt financings. With a portion of these net proceeds (our June 30, 2021 cash and equivalents was $35.6 million), we believe we have developed and commercially launched two clinically differentiated products, funded multiple completed and ongoing clinical trials, and built our management team and company infrastructure to support the continued growth of our business. We believe that this level of operational and commercial progress relative to our total capital investment to date compares favorably to medical technology peers. We seek to design products that can achieve attractive long-term gross margins. For example, we have targeted the achievement of higher gross margins as one of our long-term objectives for our Surgical Glaucoma segment. The achievement of this objective will be supported by our shift to high-volume contract manufacturers in 2021.</w:t>
      </w:r>
    </w:p>
    <w:p>
      <w:pPr>
        <w:pStyle w:val="TextBody"/>
        <w:spacing w:lineRule="auto" w:line="312" w:before="360" w:after="0"/>
        <w:jc w:val="left"/>
        <w:rPr>
          <w:rFonts w:ascii="Times New Roman" w:hAnsi="Times New Roman"/>
          <w:b/>
          <w:sz w:val="20"/>
        </w:rPr>
      </w:pPr>
      <w:r>
        <w:rPr>
          <w:rFonts w:ascii="Times New Roman" w:hAnsi="Times New Roman"/>
          <w:b/>
          <w:sz w:val="20"/>
        </w:rPr>
        <w:t>Components of our Results of Operations</w:t>
      </w:r>
    </w:p>
    <w:p>
      <w:pPr>
        <w:pStyle w:val="TextBody"/>
        <w:spacing w:lineRule="auto" w:line="312" w:before="120" w:after="0"/>
        <w:jc w:val="left"/>
        <w:rPr>
          <w:rFonts w:ascii="Times New Roman" w:hAnsi="Times New Roman"/>
          <w:b/>
          <w:i/>
          <w:sz w:val="20"/>
        </w:rPr>
      </w:pPr>
      <w:r>
        <w:rPr>
          <w:rFonts w:ascii="Times New Roman" w:hAnsi="Times New Roman"/>
          <w:b/>
          <w:i/>
          <w:sz w:val="20"/>
        </w:rPr>
        <w:t>Revenue</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currently derive all of our revenue from the sale of OMNI to ASCs and HOPDs and TearCare to ophthalmology and optometry practices. During each of the three and six months ended June 30, 2021 and 2020, the revenues from our Surgical Glaucoma segment, including OMNI and its predicate devices, accounted for over 90% of our total revenues. Substantially all of our revenues for the three and six months ended June 30, 2021 and 2020 were generated from sales within the U.S. Our OMNI customers place orders based on their expected procedure volume and reorder as needed, typically on a biweekly, monthly or bimonthly basis. Our TearCare customers typically purchase a TearCare System which consists of one or more SmartHubs, multiple single-use SmartLids and other accessories. After utilizing their initial inventory, customers will reorder SmartLids as needed. No single customer accounted for 10% or more of our revenue for any of the three and six months ended June 30, 2021 and 2020.</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growth in our revenue from 2018 to 2021 has been driven by the demand for elective surgery and treatment utilizing our products. Such demand is often lower during summer months because of ECP vacations and in winter months in certain parts of the world because of fewer business or surgery days due to holidays and adverse weather conditions.</w:t>
      </w:r>
    </w:p>
    <w:p>
      <w:pPr>
        <w:pStyle w:val="TextBody"/>
        <w:spacing w:lineRule="auto" w:line="312" w:before="360" w:after="0"/>
        <w:jc w:val="left"/>
        <w:rPr>
          <w:rFonts w:ascii="Times New Roman" w:hAnsi="Times New Roman"/>
          <w:b/>
          <w:i/>
          <w:sz w:val="20"/>
        </w:rPr>
      </w:pPr>
      <w:r>
        <w:rPr>
          <w:rFonts w:ascii="Times New Roman" w:hAnsi="Times New Roman"/>
          <w:b/>
          <w:i/>
          <w:sz w:val="20"/>
        </w:rPr>
        <w:t>Cost of Goods Sold and Gross Margin</w:t>
      </w:r>
    </w:p>
    <w:p>
      <w:pPr>
        <w:pStyle w:val="TextBody"/>
        <w:spacing w:lineRule="auto" w:line="312" w:before="120" w:after="0"/>
        <w:jc w:val="left"/>
        <w:rPr>
          <w:rFonts w:ascii="Times New Roman" w:hAnsi="Times New Roman"/>
          <w:sz w:val="20"/>
        </w:rPr>
      </w:pPr>
      <w:r>
        <w:rPr>
          <w:rFonts w:ascii="Times New Roman" w:hAnsi="Times New Roman"/>
          <w:b w:val="false"/>
          <w:sz w:val="20"/>
        </w:rPr>
        <w:t>Our products are produced by third-party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 non-sellable inventory. Cost of goods sold also includes depreciation expenses for production equipment which we provide to our third-party manufacturers and certain direct costs, such as shipping and handling costs. We calculate gross margin as gross profit divided by revenue. Our gross margin has been and will continue to be affected by a variety of factors, including differences in segment gross margins, changes in average selling prices, product sales mix, production and ordering volumes, manufacturing costs, product yields, and headcount. In 2021, our gross margins have increased as we transition production of OMNI to lower-cost manufacturers and as we expect Surgical Glaucoma revenues will grow as a percentage of our overall revenue mix. In general, we expect our gross margins to increase over the long-term to the extent our production and ordering volumes increase and to the</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33</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extent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we transition to new suppliers, introduce new products and adopt new manufacturing processes and technologies.</w:t>
      </w:r>
    </w:p>
    <w:p>
      <w:pPr>
        <w:pStyle w:val="TextBody"/>
        <w:spacing w:lineRule="auto" w:line="312" w:before="360" w:after="0"/>
        <w:jc w:val="left"/>
        <w:rPr>
          <w:rFonts w:ascii="Times New Roman" w:hAnsi="Times New Roman"/>
          <w:b/>
          <w:i/>
          <w:sz w:val="20"/>
        </w:rPr>
      </w:pPr>
      <w:r>
        <w:rPr>
          <w:rFonts w:ascii="Times New Roman" w:hAnsi="Times New Roman"/>
          <w:b/>
          <w:i/>
          <w:sz w:val="20"/>
        </w:rPr>
        <w:t>Research and Development Expenses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Research and development, or R&amp;D, expenses consist primarily of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IT and facility overhead 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 develop new products and improve our existing products.</w:t>
      </w:r>
    </w:p>
    <w:p>
      <w:pPr>
        <w:pStyle w:val="TextBody"/>
        <w:spacing w:lineRule="auto" w:line="312" w:before="360" w:after="0"/>
        <w:jc w:val="left"/>
        <w:rPr>
          <w:rFonts w:ascii="Times New Roman" w:hAnsi="Times New Roman"/>
          <w:b/>
          <w:i/>
          <w:sz w:val="20"/>
        </w:rPr>
      </w:pPr>
      <w:r>
        <w:rPr>
          <w:rFonts w:ascii="Times New Roman" w:hAnsi="Times New Roman"/>
          <w:b/>
          <w:i/>
          <w:sz w:val="20"/>
        </w:rPr>
        <w:t>Selling, General and Administrative Expenses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Selling, general and administrative, or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 We expect SG&amp;A expenses to continue to increase in absolute dollars as we expand our infrastructure to both drive and support the anticipated growth in revenue and due to additional legal, accounting, insurance and other expenses associated with being a public company.</w:t>
      </w:r>
    </w:p>
    <w:p>
      <w:pPr>
        <w:pStyle w:val="TextBody"/>
        <w:spacing w:lineRule="auto" w:line="312" w:before="360" w:after="0"/>
        <w:jc w:val="left"/>
        <w:rPr>
          <w:rFonts w:ascii="Times New Roman" w:hAnsi="Times New Roman"/>
          <w:b/>
          <w:i/>
          <w:sz w:val="20"/>
        </w:rPr>
      </w:pPr>
      <w:r>
        <w:rPr>
          <w:rFonts w:ascii="Times New Roman" w:hAnsi="Times New Roman"/>
          <w:b/>
          <w:i/>
          <w:sz w:val="20"/>
        </w:rPr>
        <w:t>Interest Expense</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Interest expense consists primarily of interest incurred on our outstanding indebtedness and non-cash interest related to the amortization of debt discount and issuance costs associated with our outstanding loan.</w:t>
      </w:r>
    </w:p>
    <w:p>
      <w:pPr>
        <w:pStyle w:val="TextBody"/>
        <w:spacing w:lineRule="auto" w:line="312" w:before="360" w:after="0"/>
        <w:jc w:val="left"/>
        <w:rPr>
          <w:rFonts w:ascii="Times New Roman" w:hAnsi="Times New Roman"/>
          <w:b/>
          <w:i/>
          <w:sz w:val="20"/>
        </w:rPr>
      </w:pPr>
      <w:r>
        <w:rPr>
          <w:rFonts w:ascii="Times New Roman" w:hAnsi="Times New Roman"/>
          <w:b/>
          <w:i/>
          <w:sz w:val="20"/>
        </w:rPr>
        <w:t>Interest Income</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Interest income consists of interest earned on our balances of cash and cash equivalents.</w:t>
      </w:r>
    </w:p>
    <w:p>
      <w:pPr>
        <w:pStyle w:val="TextBody"/>
        <w:spacing w:lineRule="auto" w:line="312" w:before="360" w:after="0"/>
        <w:jc w:val="left"/>
        <w:rPr>
          <w:rFonts w:ascii="Times New Roman" w:hAnsi="Times New Roman"/>
          <w:b/>
          <w:i/>
          <w:sz w:val="20"/>
        </w:rPr>
      </w:pPr>
      <w:r>
        <w:rPr>
          <w:rFonts w:ascii="Times New Roman" w:hAnsi="Times New Roman"/>
          <w:b/>
          <w:i/>
          <w:sz w:val="20"/>
        </w:rPr>
        <w:t>Other Income (Expense), Net</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Other income (expense), net primarily consists of gains and losses resulting from the remeasurement of the fair value of our redeemable convertible preferred stock warrant liability at each balance sheet date. We will continue to record adjustments to the estimated fair value of the redeemable convertible preferred stock warrants until they are exercised. At time of the redeemable convertible preferred stock warrants are exercised, the final fair value of the warrant liability will be reclassified to stockholders’ deficit and we will no longer record any related periodic fair value adjustments.</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34</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sz w:val="20"/>
        </w:rPr>
      </w:pPr>
      <w:r>
        <w:rPr>
          <w:rFonts w:ascii="Times New Roman" w:hAnsi="Times New Roman"/>
          <w:b/>
          <w:sz w:val="20"/>
        </w:rPr>
        <w:t>Results of Operations</w:t>
      </w:r>
    </w:p>
    <w:p>
      <w:pPr>
        <w:pStyle w:val="TextBody"/>
        <w:spacing w:lineRule="auto" w:line="312" w:before="120" w:after="0"/>
        <w:jc w:val="left"/>
        <w:rPr>
          <w:rFonts w:ascii="Times New Roman" w:hAnsi="Times New Roman"/>
          <w:b/>
          <w:i/>
          <w:sz w:val="20"/>
        </w:rPr>
      </w:pPr>
      <w:r>
        <w:rPr>
          <w:rFonts w:ascii="Times New Roman" w:hAnsi="Times New Roman"/>
          <w:b/>
          <w:i/>
          <w:sz w:val="20"/>
        </w:rPr>
        <w:t>Comparison of the Three Months Ended June 30, 2021 and 2020 (dollars in thousands)</w:t>
      </w:r>
    </w:p>
    <w:p>
      <w:pPr>
        <w:pStyle w:val="TextBody"/>
        <w:spacing w:lineRule="auto" w:line="312" w:before="120" w:after="0"/>
        <w:jc w:val="left"/>
        <w:rPr/>
      </w:pPr>
      <w:r>
        <w:rPr/>
        <w:t> </w:t>
      </w:r>
    </w:p>
    <w:tbl>
      <w:tblPr>
        <w:tblW w:w="8899" w:type="dxa"/>
        <w:jc w:val="left"/>
        <w:tblInd w:w="0" w:type="dxa"/>
        <w:tblCellMar>
          <w:top w:w="28" w:type="dxa"/>
          <w:left w:w="28" w:type="dxa"/>
          <w:bottom w:w="28" w:type="dxa"/>
          <w:right w:w="28" w:type="dxa"/>
        </w:tblCellMar>
      </w:tblPr>
      <w:tblGrid>
        <w:gridCol w:w="2956"/>
        <w:gridCol w:w="146"/>
        <w:gridCol w:w="216"/>
        <w:gridCol w:w="756"/>
        <w:gridCol w:w="278"/>
        <w:gridCol w:w="149"/>
        <w:gridCol w:w="216"/>
        <w:gridCol w:w="648"/>
        <w:gridCol w:w="271"/>
        <w:gridCol w:w="146"/>
        <w:gridCol w:w="211"/>
        <w:gridCol w:w="676"/>
        <w:gridCol w:w="166"/>
        <w:gridCol w:w="146"/>
        <w:gridCol w:w="146"/>
        <w:gridCol w:w="721"/>
        <w:gridCol w:w="105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3"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Three Months Ended June 30,</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Change</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95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27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95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63" w:type="dxa"/>
            <w:gridSpan w:val="6"/>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(unaudited)</w:t>
            </w:r>
          </w:p>
        </w:tc>
        <w:tc>
          <w:tcPr>
            <w:tcW w:w="27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7" w:type="dxa"/>
            <w:gridSpan w:val="2"/>
            <w:tcBorders/>
            <w:shd w:fill="auto" w:val="clear"/>
            <w:vAlign w:val="center"/>
          </w:tcPr>
          <w:p>
            <w:pPr>
              <w:pStyle w:val="TableContents"/>
              <w:spacing w:lineRule="auto" w:line="312" w:before="0" w:after="0"/>
              <w:ind w:left="0" w:right="0" w:hanging="0"/>
              <w:jc w:val="center"/>
              <w:rPr/>
            </w:pPr>
            <w:r>
              <w:rPr/>
              <w:t> </w:t>
            </w:r>
          </w:p>
        </w:tc>
        <w:tc>
          <w:tcPr>
            <w:tcW w:w="1051" w:type="dxa"/>
            <w:tcBorders/>
            <w:shd w:fill="auto" w:val="clear"/>
            <w:vAlign w:val="center"/>
          </w:tcPr>
          <w:p>
            <w:pPr>
              <w:pStyle w:val="TableContents"/>
              <w:spacing w:lineRule="auto" w:line="312" w:before="0" w:after="0"/>
              <w:ind w:left="0" w:right="0" w:hanging="0"/>
              <w:jc w:val="center"/>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2" w:type="dxa"/>
            <w:gridSpan w:val="2"/>
            <w:tcBorders/>
            <w:shd w:fill="auto" w:val="clear"/>
            <w:vAlign w:val="center"/>
          </w:tcPr>
          <w:p>
            <w:pPr>
              <w:pStyle w:val="TableContents"/>
              <w:spacing w:lineRule="auto" w:line="312" w:before="0" w:after="0"/>
              <w:ind w:left="0" w:right="0" w:hanging="0"/>
              <w:jc w:val="right"/>
              <w:rPr/>
            </w:pPr>
            <w:r>
              <w:rPr/>
              <w:t> </w:t>
            </w:r>
          </w:p>
        </w:tc>
        <w:tc>
          <w:tcPr>
            <w:tcW w:w="278" w:type="dxa"/>
            <w:tcBorders/>
            <w:shd w:fill="auto" w:val="clear"/>
            <w:vAlign w:val="center"/>
          </w:tcPr>
          <w:p>
            <w:pPr>
              <w:pStyle w:val="TableContents"/>
              <w:spacing w:lineRule="auto" w:line="312" w:before="0" w:after="0"/>
              <w:ind w:left="0" w:right="0" w:hanging="0"/>
              <w:jc w:val="righ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864"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7"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Surgical Glaucoma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11,988</w:t>
            </w:r>
          </w:p>
        </w:tc>
        <w:tc>
          <w:tcPr>
            <w:tcW w:w="278" w:type="dxa"/>
            <w:tcBorders/>
            <w:shd w:fill="auto" w:val="clear"/>
            <w:vAlign w:val="center"/>
          </w:tcPr>
          <w:p>
            <w:pPr>
              <w:pStyle w:val="TableContents"/>
              <w:spacing w:lineRule="auto" w:line="312" w:before="0" w:after="0"/>
              <w:ind w:left="0" w:right="0" w:hanging="0"/>
              <w:jc w:val="lef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3,299</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8,689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263</w:t>
            </w:r>
          </w:p>
        </w:tc>
        <w:tc>
          <w:tcPr>
            <w:tcW w:w="1051" w:type="dxa"/>
            <w:tcBorders/>
            <w:shd w:fill="auto" w:val="clear"/>
            <w:vAlign w:val="center"/>
          </w:tcPr>
          <w:p>
            <w:pPr>
              <w:pStyle w:val="TableContents"/>
              <w:spacing w:lineRule="auto" w:line="312" w:before="0" w:after="0"/>
              <w:ind w:left="0" w:right="0" w:firstLine="560"/>
              <w:jc w:val="left"/>
              <w:rPr>
                <w:rFonts w:ascii="Times New Roman" w:hAnsi="Times New Roman"/>
                <w:b w:val="false"/>
                <w:sz w:val="20"/>
              </w:rPr>
            </w:pPr>
            <w:r>
              <w:rPr>
                <w:rFonts w:ascii="Times New Roman" w:hAnsi="Times New Roman"/>
                <w:b w:val="false"/>
                <w:sz w:val="20"/>
              </w:rPr>
              <w:t>%</w:t>
            </w:r>
          </w:p>
        </w:tc>
      </w:tr>
      <w:tr>
        <w:trPr/>
        <w:tc>
          <w:tcPr>
            <w:tcW w:w="2956" w:type="dxa"/>
            <w:tcBorders/>
            <w:shd w:fill="auto" w:val="clear"/>
            <w:vAlign w:val="center"/>
          </w:tcPr>
          <w:p>
            <w:pPr>
              <w:pStyle w:val="TableContents"/>
              <w:spacing w:lineRule="auto" w:line="312" w:before="0" w:after="0"/>
              <w:ind w:left="560" w:right="0" w:hanging="0"/>
              <w:jc w:val="left"/>
              <w:rPr>
                <w:rFonts w:ascii="Times New Roman" w:hAnsi="Times New Roman"/>
                <w:b w:val="false"/>
                <w:i/>
                <w:sz w:val="20"/>
              </w:rPr>
            </w:pPr>
            <w:r>
              <w:rPr>
                <w:rFonts w:ascii="Times New Roman" w:hAnsi="Times New Roman"/>
                <w:b w:val="false"/>
                <w:i/>
                <w:sz w:val="20"/>
              </w:rPr>
              <w:t>Percentage of total 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95.6</w:t>
            </w:r>
          </w:p>
        </w:tc>
        <w:tc>
          <w:tcPr>
            <w:tcW w:w="278"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94.2</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7"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Dry Eye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547</w:t>
            </w:r>
          </w:p>
        </w:tc>
        <w:tc>
          <w:tcPr>
            <w:tcW w:w="278" w:type="dxa"/>
            <w:tcBorders/>
            <w:shd w:fill="auto" w:val="clear"/>
            <w:vAlign w:val="center"/>
          </w:tcPr>
          <w:p>
            <w:pPr>
              <w:pStyle w:val="TableContents"/>
              <w:spacing w:lineRule="auto" w:line="312" w:before="0" w:after="0"/>
              <w:ind w:left="0" w:right="0" w:hanging="0"/>
              <w:jc w:val="lef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203</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344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169.5</w:t>
            </w:r>
          </w:p>
        </w:tc>
        <w:tc>
          <w:tcPr>
            <w:tcW w:w="1051" w:type="dxa"/>
            <w:tcBorders/>
            <w:shd w:fill="auto" w:val="clear"/>
            <w:vAlign w:val="center"/>
          </w:tcPr>
          <w:p>
            <w:pPr>
              <w:pStyle w:val="TableContents"/>
              <w:spacing w:lineRule="auto" w:line="312" w:before="0" w:after="0"/>
              <w:ind w:left="0" w:right="0" w:firstLine="560"/>
              <w:jc w:val="left"/>
              <w:rPr/>
            </w:pPr>
            <w:r>
              <w:rPr/>
              <w:t> </w:t>
            </w:r>
          </w:p>
        </w:tc>
      </w:tr>
      <w:tr>
        <w:trPr/>
        <w:tc>
          <w:tcPr>
            <w:tcW w:w="2956" w:type="dxa"/>
            <w:tcBorders/>
            <w:shd w:fill="auto" w:val="clear"/>
            <w:vAlign w:val="center"/>
          </w:tcPr>
          <w:p>
            <w:pPr>
              <w:pStyle w:val="TableContents"/>
              <w:spacing w:lineRule="auto" w:line="312" w:before="0" w:after="0"/>
              <w:ind w:left="560" w:right="0" w:hanging="0"/>
              <w:jc w:val="left"/>
              <w:rPr>
                <w:rFonts w:ascii="Times New Roman" w:hAnsi="Times New Roman"/>
                <w:b w:val="false"/>
                <w:i/>
                <w:sz w:val="20"/>
              </w:rPr>
            </w:pPr>
            <w:r>
              <w:rPr>
                <w:rFonts w:ascii="Times New Roman" w:hAnsi="Times New Roman"/>
                <w:b w:val="false"/>
                <w:i/>
                <w:sz w:val="20"/>
              </w:rPr>
              <w:t>Percentage of total 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4.4</w:t>
            </w:r>
          </w:p>
        </w:tc>
        <w:tc>
          <w:tcPr>
            <w:tcW w:w="27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5.8</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840"/>
              <w:jc w:val="right"/>
              <w:rPr/>
            </w:pPr>
            <w:r>
              <w:rPr/>
              <w:t> </w:t>
            </w:r>
          </w:p>
        </w:tc>
      </w:tr>
      <w:tr>
        <w:trPr/>
        <w:tc>
          <w:tcPr>
            <w:tcW w:w="2956" w:type="dxa"/>
            <w:tcBorders/>
            <w:shd w:fill="auto" w:val="clear"/>
            <w:vAlign w:val="center"/>
          </w:tcPr>
          <w:p>
            <w:pPr>
              <w:pStyle w:val="TableContents"/>
              <w:spacing w:lineRule="auto" w:line="312" w:before="0" w:after="0"/>
              <w:ind w:left="84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12,535</w:t>
            </w:r>
          </w:p>
        </w:tc>
        <w:tc>
          <w:tcPr>
            <w:tcW w:w="278" w:type="dxa"/>
            <w:tcBorders/>
            <w:shd w:fill="auto" w:val="clear"/>
            <w:vAlign w:val="center"/>
          </w:tcPr>
          <w:p>
            <w:pPr>
              <w:pStyle w:val="TableContents"/>
              <w:spacing w:lineRule="auto" w:line="312" w:before="0" w:after="0"/>
              <w:ind w:left="0" w:right="0" w:hanging="0"/>
              <w:jc w:val="lef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3,502</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9,033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257.9</w:t>
            </w:r>
          </w:p>
        </w:tc>
        <w:tc>
          <w:tcPr>
            <w:tcW w:w="1051" w:type="dxa"/>
            <w:tcBorders/>
            <w:shd w:fill="auto" w:val="cle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Cost of goods sold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2" w:type="dxa"/>
            <w:gridSpan w:val="2"/>
            <w:tcBorders/>
            <w:shd w:fill="auto" w:val="clear"/>
            <w:vAlign w:val="center"/>
          </w:tcPr>
          <w:p>
            <w:pPr>
              <w:pStyle w:val="TableContents"/>
              <w:spacing w:lineRule="auto" w:line="312" w:before="0" w:after="0"/>
              <w:ind w:left="0" w:right="0" w:hanging="0"/>
              <w:jc w:val="right"/>
              <w:rPr/>
            </w:pPr>
            <w:r>
              <w:rPr/>
              <w:t> </w:t>
            </w:r>
          </w:p>
        </w:tc>
        <w:tc>
          <w:tcPr>
            <w:tcW w:w="278" w:type="dxa"/>
            <w:tcBorders/>
            <w:shd w:fill="auto" w:val="clear"/>
            <w:vAlign w:val="center"/>
          </w:tcPr>
          <w:p>
            <w:pPr>
              <w:pStyle w:val="TableContents"/>
              <w:spacing w:lineRule="auto" w:line="312" w:before="0" w:after="0"/>
              <w:ind w:left="0" w:right="0" w:hanging="0"/>
              <w:jc w:val="righ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864"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7"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Surgical Glaucoma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1,773</w:t>
            </w:r>
          </w:p>
        </w:tc>
        <w:tc>
          <w:tcPr>
            <w:tcW w:w="278" w:type="dxa"/>
            <w:tcBorders/>
            <w:shd w:fill="auto" w:val="clear"/>
            <w:vAlign w:val="center"/>
          </w:tcPr>
          <w:p>
            <w:pPr>
              <w:pStyle w:val="TableContents"/>
              <w:spacing w:lineRule="auto" w:line="312" w:before="0" w:after="0"/>
              <w:ind w:left="0" w:right="0" w:hanging="0"/>
              <w:jc w:val="lef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1,508</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265</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17.6</w:t>
            </w:r>
          </w:p>
        </w:tc>
        <w:tc>
          <w:tcPr>
            <w:tcW w:w="1051" w:type="dxa"/>
            <w:tcBorders/>
            <w:shd w:fill="auto" w:val="clear"/>
            <w:vAlign w:val="center"/>
          </w:tcPr>
          <w:p>
            <w:pPr>
              <w:pStyle w:val="TableContents"/>
              <w:spacing w:lineRule="auto" w:line="312" w:before="0" w:after="0"/>
              <w:ind w:left="0" w:right="0" w:firstLine="280"/>
              <w:jc w:val="lef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Dry Eye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532</w:t>
            </w:r>
          </w:p>
        </w:tc>
        <w:tc>
          <w:tcPr>
            <w:tcW w:w="27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577</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(7.8</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840"/>
              <w:jc w:val="left"/>
              <w:rPr>
                <w:rFonts w:ascii="Times New Roman" w:hAnsi="Times New Roman"/>
                <w:b w:val="false"/>
                <w:sz w:val="20"/>
              </w:rPr>
            </w:pPr>
            <w:r>
              <w:rPr>
                <w:rFonts w:ascii="Times New Roman" w:hAnsi="Times New Roman"/>
                <w:b w:val="false"/>
                <w:sz w:val="20"/>
              </w:rPr>
              <w:t>)</w:t>
            </w:r>
          </w:p>
        </w:tc>
      </w:tr>
      <w:tr>
        <w:trPr/>
        <w:tc>
          <w:tcPr>
            <w:tcW w:w="2956" w:type="dxa"/>
            <w:tcBorders/>
            <w:shd w:fill="auto" w:val="clear"/>
            <w:vAlign w:val="center"/>
          </w:tcPr>
          <w:p>
            <w:pPr>
              <w:pStyle w:val="TableContents"/>
              <w:spacing w:lineRule="auto" w:line="312" w:before="0" w:after="0"/>
              <w:ind w:left="84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2,305</w:t>
            </w:r>
          </w:p>
        </w:tc>
        <w:tc>
          <w:tcPr>
            <w:tcW w:w="278" w:type="dxa"/>
            <w:tcBorders/>
            <w:shd w:fill="auto" w:val="clear"/>
            <w:vAlign w:val="center"/>
          </w:tcPr>
          <w:p>
            <w:pPr>
              <w:pStyle w:val="TableContents"/>
              <w:spacing w:lineRule="auto" w:line="312" w:before="0" w:after="0"/>
              <w:ind w:left="0" w:right="0" w:hanging="0"/>
              <w:jc w:val="lef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2,085</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220</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10.6</w:t>
            </w:r>
          </w:p>
        </w:tc>
        <w:tc>
          <w:tcPr>
            <w:tcW w:w="1051" w:type="dxa"/>
            <w:tcBorders/>
            <w:shd w:fill="auto" w:val="cle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Gross profit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2" w:type="dxa"/>
            <w:gridSpan w:val="2"/>
            <w:tcBorders/>
            <w:shd w:fill="auto" w:val="clear"/>
            <w:vAlign w:val="center"/>
          </w:tcPr>
          <w:p>
            <w:pPr>
              <w:pStyle w:val="TableContents"/>
              <w:spacing w:lineRule="auto" w:line="312" w:before="0" w:after="0"/>
              <w:ind w:left="0" w:right="0" w:hanging="0"/>
              <w:jc w:val="right"/>
              <w:rPr/>
            </w:pPr>
            <w:r>
              <w:rPr/>
              <w:t> </w:t>
            </w:r>
          </w:p>
        </w:tc>
        <w:tc>
          <w:tcPr>
            <w:tcW w:w="278" w:type="dxa"/>
            <w:tcBorders/>
            <w:shd w:fill="auto" w:val="clear"/>
            <w:vAlign w:val="center"/>
          </w:tcPr>
          <w:p>
            <w:pPr>
              <w:pStyle w:val="TableContents"/>
              <w:spacing w:lineRule="auto" w:line="312" w:before="0" w:after="0"/>
              <w:ind w:left="0" w:right="0" w:hanging="0"/>
              <w:jc w:val="righ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864"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7"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Surgical Glaucoma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10,215</w:t>
            </w:r>
          </w:p>
        </w:tc>
        <w:tc>
          <w:tcPr>
            <w:tcW w:w="278" w:type="dxa"/>
            <w:tcBorders/>
            <w:shd w:fill="auto" w:val="clear"/>
            <w:vAlign w:val="center"/>
          </w:tcPr>
          <w:p>
            <w:pPr>
              <w:pStyle w:val="TableContents"/>
              <w:spacing w:lineRule="auto" w:line="312" w:before="0" w:after="0"/>
              <w:ind w:left="0" w:right="0" w:hanging="0"/>
              <w:jc w:val="lef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1,791</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8,424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470.4</w:t>
            </w:r>
          </w:p>
        </w:tc>
        <w:tc>
          <w:tcPr>
            <w:tcW w:w="1051" w:type="dxa"/>
            <w:tcBorders/>
            <w:shd w:fill="auto" w:val="clear"/>
            <w:vAlign w:val="center"/>
          </w:tcPr>
          <w:p>
            <w:pPr>
              <w:pStyle w:val="TableContents"/>
              <w:spacing w:lineRule="auto" w:line="312" w:before="0" w:after="0"/>
              <w:ind w:left="0" w:right="0" w:firstLine="280"/>
              <w:jc w:val="lef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Dry Eye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w:t>
            </w:r>
          </w:p>
        </w:tc>
        <w:tc>
          <w:tcPr>
            <w:tcW w:w="27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(374</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(104.0</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840"/>
              <w:jc w:val="left"/>
              <w:rPr>
                <w:rFonts w:ascii="Times New Roman" w:hAnsi="Times New Roman"/>
                <w:b w:val="false"/>
                <w:sz w:val="20"/>
              </w:rPr>
            </w:pPr>
            <w:r>
              <w:rPr>
                <w:rFonts w:ascii="Times New Roman" w:hAnsi="Times New Roman"/>
                <w:b w:val="false"/>
                <w:sz w:val="20"/>
              </w:rPr>
              <w:t>)</w:t>
            </w:r>
          </w:p>
        </w:tc>
      </w:tr>
      <w:tr>
        <w:trPr/>
        <w:tc>
          <w:tcPr>
            <w:tcW w:w="2956" w:type="dxa"/>
            <w:tcBorders/>
            <w:shd w:fill="auto" w:val="clear"/>
            <w:vAlign w:val="center"/>
          </w:tcPr>
          <w:p>
            <w:pPr>
              <w:pStyle w:val="TableContents"/>
              <w:spacing w:lineRule="auto" w:line="312" w:before="0" w:after="0"/>
              <w:ind w:left="84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10,230</w:t>
            </w:r>
          </w:p>
        </w:tc>
        <w:tc>
          <w:tcPr>
            <w:tcW w:w="278" w:type="dxa"/>
            <w:tcBorders/>
            <w:shd w:fill="auto" w:val="clear"/>
            <w:vAlign w:val="center"/>
          </w:tcPr>
          <w:p>
            <w:pPr>
              <w:pStyle w:val="TableContents"/>
              <w:spacing w:lineRule="auto" w:line="312" w:before="0" w:after="0"/>
              <w:ind w:left="0" w:right="0" w:hanging="0"/>
              <w:jc w:val="lef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1,417</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8,813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621.9</w:t>
            </w:r>
          </w:p>
        </w:tc>
        <w:tc>
          <w:tcPr>
            <w:tcW w:w="1051" w:type="dxa"/>
            <w:tcBorders/>
            <w:shd w:fill="auto" w:val="cle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Gross margin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2" w:type="dxa"/>
            <w:gridSpan w:val="2"/>
            <w:tcBorders/>
            <w:shd w:fill="auto" w:val="clear"/>
            <w:vAlign w:val="center"/>
          </w:tcPr>
          <w:p>
            <w:pPr>
              <w:pStyle w:val="TableContents"/>
              <w:spacing w:lineRule="auto" w:line="312" w:before="0" w:after="0"/>
              <w:ind w:left="0" w:right="0" w:hanging="0"/>
              <w:jc w:val="right"/>
              <w:rPr/>
            </w:pPr>
            <w:r>
              <w:rPr/>
              <w:t> </w:t>
            </w:r>
          </w:p>
        </w:tc>
        <w:tc>
          <w:tcPr>
            <w:tcW w:w="278" w:type="dxa"/>
            <w:tcBorders/>
            <w:shd w:fill="auto" w:val="clear"/>
            <w:vAlign w:val="center"/>
          </w:tcPr>
          <w:p>
            <w:pPr>
              <w:pStyle w:val="TableContents"/>
              <w:spacing w:lineRule="auto" w:line="312" w:before="0" w:after="0"/>
              <w:ind w:left="0" w:right="0" w:hanging="0"/>
              <w:jc w:val="righ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864"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7"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Surgical Glaucoma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85.2</w:t>
            </w:r>
          </w:p>
        </w:tc>
        <w:tc>
          <w:tcPr>
            <w:tcW w:w="278"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54.3</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7"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Dry Eye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2.7</w:t>
            </w:r>
          </w:p>
        </w:tc>
        <w:tc>
          <w:tcPr>
            <w:tcW w:w="27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-184.2</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840"/>
              <w:jc w:val="right"/>
              <w:rPr/>
            </w:pPr>
            <w:r>
              <w:rPr/>
              <w:t> </w:t>
            </w:r>
          </w:p>
        </w:tc>
      </w:tr>
      <w:tr>
        <w:trPr/>
        <w:tc>
          <w:tcPr>
            <w:tcW w:w="2956" w:type="dxa"/>
            <w:tcBorders/>
            <w:shd w:fill="auto" w:val="clear"/>
            <w:vAlign w:val="center"/>
          </w:tcPr>
          <w:p>
            <w:pPr>
              <w:pStyle w:val="TableContents"/>
              <w:spacing w:lineRule="auto" w:line="312" w:before="0" w:after="0"/>
              <w:ind w:left="84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81.6</w:t>
            </w:r>
          </w:p>
        </w:tc>
        <w:tc>
          <w:tcPr>
            <w:tcW w:w="278"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40.5</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7"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hanging="0"/>
              <w:jc w:val="righ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2" w:type="dxa"/>
            <w:gridSpan w:val="2"/>
            <w:tcBorders/>
            <w:shd w:fill="auto" w:val="clear"/>
            <w:vAlign w:val="center"/>
          </w:tcPr>
          <w:p>
            <w:pPr>
              <w:pStyle w:val="TableContents"/>
              <w:spacing w:lineRule="auto" w:line="312" w:before="0" w:after="0"/>
              <w:ind w:left="0" w:right="0" w:hanging="0"/>
              <w:jc w:val="right"/>
              <w:rPr/>
            </w:pPr>
            <w:r>
              <w:rPr/>
              <w:t> </w:t>
            </w:r>
          </w:p>
        </w:tc>
        <w:tc>
          <w:tcPr>
            <w:tcW w:w="278" w:type="dxa"/>
            <w:tcBorders/>
            <w:shd w:fill="auto" w:val="clear"/>
            <w:vAlign w:val="center"/>
          </w:tcPr>
          <w:p>
            <w:pPr>
              <w:pStyle w:val="TableContents"/>
              <w:spacing w:lineRule="auto" w:line="312" w:before="0" w:after="0"/>
              <w:ind w:left="0" w:right="0" w:hanging="0"/>
              <w:jc w:val="righ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864"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7"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3,546</w:t>
            </w:r>
          </w:p>
        </w:tc>
        <w:tc>
          <w:tcPr>
            <w:tcW w:w="278" w:type="dxa"/>
            <w:tcBorders/>
            <w:shd w:fill="auto" w:val="clear"/>
            <w:vAlign w:val="center"/>
          </w:tcPr>
          <w:p>
            <w:pPr>
              <w:pStyle w:val="TableContents"/>
              <w:spacing w:lineRule="auto" w:line="312" w:before="0" w:after="0"/>
              <w:ind w:left="0" w:right="0" w:hanging="0"/>
              <w:jc w:val="lef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1,443</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2,103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145.7</w:t>
            </w:r>
          </w:p>
        </w:tc>
        <w:tc>
          <w:tcPr>
            <w:tcW w:w="1051" w:type="dxa"/>
            <w:tcBorders/>
            <w:shd w:fill="auto" w:val="clear"/>
            <w:vAlign w:val="center"/>
          </w:tcPr>
          <w:p>
            <w:pPr>
              <w:pStyle w:val="TableContents"/>
              <w:spacing w:lineRule="auto" w:line="312" w:before="0" w:after="0"/>
              <w:ind w:left="0" w:right="0" w:firstLine="280"/>
              <w:jc w:val="lef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Selling, general and administrative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17,760</w:t>
            </w:r>
          </w:p>
        </w:tc>
        <w:tc>
          <w:tcPr>
            <w:tcW w:w="27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7,664</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10,096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131.7</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840"/>
              <w:jc w:val="left"/>
              <w:rPr/>
            </w:pPr>
            <w:r>
              <w:rPr/>
              <w:t> </w:t>
            </w:r>
          </w:p>
        </w:tc>
      </w:tr>
      <w:tr>
        <w:trPr/>
        <w:tc>
          <w:tcPr>
            <w:tcW w:w="2956" w:type="dxa"/>
            <w:tcBorders/>
            <w:shd w:fill="auto" w:val="clear"/>
            <w:vAlign w:val="center"/>
          </w:tcPr>
          <w:p>
            <w:pPr>
              <w:pStyle w:val="TableContents"/>
              <w:spacing w:lineRule="auto" w:line="312" w:before="0" w:after="0"/>
              <w:ind w:left="84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21,306</w:t>
            </w:r>
          </w:p>
        </w:tc>
        <w:tc>
          <w:tcPr>
            <w:tcW w:w="27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9,107</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12,199</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134.0</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(11,076</w:t>
            </w:r>
          </w:p>
        </w:tc>
        <w:tc>
          <w:tcPr>
            <w:tcW w:w="27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(7,690</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(3,386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44.0</w:t>
            </w:r>
          </w:p>
        </w:tc>
        <w:tc>
          <w:tcPr>
            <w:tcW w:w="1051" w:type="dxa"/>
            <w:tcBorders/>
            <w:shd w:fill="auto" w:val="cle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Interest income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pPr>
            <w:r>
              <w:rPr/>
              <w:t>—</w:t>
            </w:r>
          </w:p>
        </w:tc>
        <w:tc>
          <w:tcPr>
            <w:tcW w:w="278" w:type="dxa"/>
            <w:tcBorders/>
            <w:shd w:fill="auto" w:val="clear"/>
            <w:vAlign w:val="center"/>
          </w:tcPr>
          <w:p>
            <w:pPr>
              <w:pStyle w:val="TableContents"/>
              <w:spacing w:lineRule="auto" w:line="312" w:before="0" w:after="0"/>
              <w:ind w:left="0" w:right="0" w:hanging="0"/>
              <w:jc w:val="lef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(100.0</w:t>
            </w:r>
          </w:p>
        </w:tc>
        <w:tc>
          <w:tcPr>
            <w:tcW w:w="10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Interest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(1,082</w:t>
            </w:r>
          </w:p>
        </w:tc>
        <w:tc>
          <w:tcPr>
            <w:tcW w:w="27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(549</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(533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97.1</w:t>
            </w:r>
          </w:p>
        </w:tc>
        <w:tc>
          <w:tcPr>
            <w:tcW w:w="1051" w:type="dxa"/>
            <w:tcBorders/>
            <w:shd w:fill="auto" w:val="cle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(5,435</w:t>
            </w:r>
          </w:p>
        </w:tc>
        <w:tc>
          <w:tcPr>
            <w:tcW w:w="27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4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(73</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(5,362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7,345.2</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72" w:type="dxa"/>
            <w:gridSpan w:val="2"/>
            <w:tcBorders/>
            <w:shd w:fill="auto" w:val="clear"/>
            <w:vAlign w:val="center"/>
          </w:tcPr>
          <w:p>
            <w:pPr>
              <w:pStyle w:val="TableContents"/>
              <w:spacing w:lineRule="auto" w:line="312" w:before="0" w:after="0"/>
              <w:ind w:left="0" w:right="0" w:hanging="0"/>
              <w:jc w:val="right"/>
              <w:rPr/>
            </w:pPr>
            <w:r>
              <w:rPr/>
              <w:t> </w:t>
            </w:r>
          </w:p>
        </w:tc>
        <w:tc>
          <w:tcPr>
            <w:tcW w:w="278" w:type="dxa"/>
            <w:tcBorders/>
            <w:shd w:fill="auto" w:val="clear"/>
            <w:vAlign w:val="center"/>
          </w:tcPr>
          <w:p>
            <w:pPr>
              <w:pStyle w:val="TableContents"/>
              <w:spacing w:lineRule="auto" w:line="312" w:before="0" w:after="0"/>
              <w:ind w:left="0" w:right="0" w:hanging="0"/>
              <w:jc w:val="right"/>
              <w:rPr/>
            </w:pPr>
            <w:r>
              <w:rPr/>
              <w:t> </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864"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7"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hanging="0"/>
              <w:jc w:val="righ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Loss before income tax</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75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(17,593</w:t>
            </w:r>
          </w:p>
        </w:tc>
        <w:tc>
          <w:tcPr>
            <w:tcW w:w="278"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9" w:type="dxa"/>
            <w:tcBorders/>
            <w:shd w:fill="auto" w:val="clear"/>
            <w:vAlign w:val="center"/>
          </w:tcPr>
          <w:p>
            <w:pPr>
              <w:pStyle w:val="TableContents"/>
              <w:spacing w:lineRule="auto" w:line="312" w:before="0" w:after="0"/>
              <w:ind w:left="0" w:right="0" w:hanging="0"/>
              <w:jc w:val="left"/>
              <w:rPr/>
            </w:pPr>
            <w:r>
              <w:rPr/>
              <w:t> </w:t>
            </w:r>
          </w:p>
        </w:tc>
        <w:tc>
          <w:tcPr>
            <w:tcW w:w="216" w:type="dxa"/>
            <w:tcBorders/>
            <w:shd w:fill="auto" w:val="clear"/>
            <w:vAlign w:val="center"/>
          </w:tcPr>
          <w:p>
            <w:pPr>
              <w:pStyle w:val="TableContents"/>
              <w:spacing w:lineRule="auto" w:line="312" w:before="0" w:after="0"/>
              <w:ind w:left="0" w:right="0" w:hanging="0"/>
              <w:jc w:val="left"/>
              <w:rPr/>
            </w:pPr>
            <w:r>
              <w:rPr/>
              <w:t> </w:t>
            </w:r>
          </w:p>
        </w:tc>
        <w:tc>
          <w:tcPr>
            <w:tcW w:w="648"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(8,310</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67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(9,283</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111.7</w:t>
            </w:r>
          </w:p>
        </w:tc>
        <w:tc>
          <w:tcPr>
            <w:tcW w:w="1051" w:type="dxa"/>
            <w:tcBorders/>
            <w:shd w:fill="auto" w:val="cle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Provision (benefit) for income tax</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5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w:t>
            </w:r>
          </w:p>
        </w:tc>
        <w:tc>
          <w:tcPr>
            <w:tcW w:w="278"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9"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64"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2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266.7</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 and comprehensive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5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(17,615</w:t>
            </w:r>
          </w:p>
        </w:tc>
        <w:tc>
          <w:tcPr>
            <w:tcW w:w="27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9"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48"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(8,316</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(9,299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1"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111.8</w:t>
            </w:r>
          </w:p>
        </w:tc>
        <w:tc>
          <w:tcPr>
            <w:tcW w:w="10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312" w:before="12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i/>
          <w:sz w:val="20"/>
        </w:rPr>
        <w:t>Revenue</w:t>
      </w:r>
      <w:r>
        <w:rPr>
          <w:rFonts w:ascii="Times New Roman" w:hAnsi="Times New Roman"/>
          <w:b w:val="false"/>
          <w:sz w:val="20"/>
        </w:rPr>
        <w:t>. Revenue in the three months ended June 30, 2021 was $12.5 million, an increase of $9.0 million, or 257.9%, from our revenue in the three months ended June 30, 2020. The overall increase in Surgical Glaucoma revenue was attributable to a significant increase in the number of OMNI units sold in the three months ended June 30, 2021 due to growth in the number of facilities ordering OMNI and an increase in unit utilization per ordering facility due, in part, to the significant impact of COVID-19 on industry-wide procedure volumes during the three months ended June 30, 2020.  Our Dry Eye revenue growth was the result of an increased amount of SmartLids reordered by our existing customer base and also reflected COVID-19’s significant impact on elective procedures during the three months ended June 30, 2020. Surgical Glaucoma sales represented 95.6% and 94.2% of our revenue generated in the three months ended June 30, 2021 and 2020, respectively.</w:t>
      </w:r>
      <w:r>
        <w:rPr>
          <w:rFonts w:ascii="Times New Roman" w:hAnsi="Times New Roman"/>
          <w:sz w:val="20"/>
        </w:rPr>
        <w:t xml:space="preserve"> </w:t>
      </w:r>
    </w:p>
    <w:p>
      <w:pPr>
        <w:pStyle w:val="TextBody"/>
        <w:spacing w:lineRule="auto" w:line="312" w:before="240" w:after="0"/>
        <w:jc w:val="left"/>
        <w:rPr>
          <w:rFonts w:ascii="Times New Roman" w:hAnsi="Times New Roman"/>
          <w:sz w:val="20"/>
        </w:rPr>
      </w:pPr>
      <w:r>
        <w:rPr>
          <w:rFonts w:ascii="Times New Roman" w:hAnsi="Times New Roman"/>
          <w:b w:val="false"/>
          <w:i/>
          <w:sz w:val="20"/>
        </w:rPr>
        <w:t>Cost of Goods Sold and Gross Profit</w:t>
      </w:r>
      <w:r>
        <w:rPr>
          <w:rFonts w:ascii="Times New Roman" w:hAnsi="Times New Roman"/>
          <w:b w:val="false"/>
          <w:sz w:val="20"/>
        </w:rPr>
        <w:t>. The $0.2 million increase in cost of goods sold during the three months ended June 30, 2021 compared to the three months ended June 30, 2020 was attributable to a $0.8 million increase in cost of materials and manufacturing overhead driven by increased production to support our sales growth, which was partially offset by a decrease of $0.6 million in our inventory write-down reserve. The three months ended June 30, 2020 included a large write-down of inventory from our original version of OMNI following the launch and adoption of OMNI Next Gen by our user base.</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35</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Our total gross profit increased $8.8 million from $1.4 million to $10.2 million when comparing the three months ended June 30, 2020 to the three months ended June 30, 2021. Our total gross margin increased from 40.5% to 81.6% when comparing the three months ended June 30, 2020 to the three months ended June 30, 2021 primarily due to a higher volume of OMNI units sold. Gross margin in our Surgical Glaucoma segment increased from 54.3% to 85.2% during the three months ended June 30, 2021 compared to the three months ended June 30, 2020, and in our Dry Eye segment gross margin increased from (184.2)% to 2.7% during the three months ended June 30, 2021 compared to the three months ended June 30, 2020. Gross margin was negatively impacted for the three months ended June 30, 2020 due to COVID-19 pandemic.</w:t>
      </w:r>
    </w:p>
    <w:p>
      <w:pPr>
        <w:pStyle w:val="TextBody"/>
        <w:spacing w:lineRule="auto" w:line="312" w:before="240" w:after="0"/>
        <w:jc w:val="left"/>
        <w:rPr>
          <w:rFonts w:ascii="Times New Roman" w:hAnsi="Times New Roman"/>
          <w:sz w:val="20"/>
        </w:rPr>
      </w:pPr>
      <w:r>
        <w:rPr>
          <w:rFonts w:ascii="Times New Roman" w:hAnsi="Times New Roman"/>
          <w:b w:val="false"/>
          <w:i/>
          <w:sz w:val="20"/>
        </w:rPr>
        <w:t>Research and Development ("R&amp;D") Expenses</w:t>
      </w:r>
      <w:r>
        <w:rPr>
          <w:rFonts w:ascii="Times New Roman" w:hAnsi="Times New Roman"/>
          <w:b w:val="false"/>
          <w:sz w:val="20"/>
        </w:rPr>
        <w:t>. The $2.1 million increase in R&amp;D expenses during the three months ended June 30, 2021 compared to the three months ended June 30, 2020 was primarily attributable to $0.6 million increase in personnel expenses as a result of increased headcount, $0.5 million net increase in contract manufacturing, lab supplies and Dry Eye product prototype development expenses, $0.5 million increase in clinical studies, $0.2 million in legal services mainly related to registration of patents and $0.3 million in other services driven by overall increase in business activities.</w:t>
      </w:r>
    </w:p>
    <w:p>
      <w:pPr>
        <w:pStyle w:val="TextBody"/>
        <w:spacing w:lineRule="auto" w:line="312" w:before="240" w:after="0"/>
        <w:jc w:val="left"/>
        <w:rPr>
          <w:rFonts w:ascii="Times New Roman" w:hAnsi="Times New Roman"/>
          <w:sz w:val="20"/>
        </w:rPr>
      </w:pPr>
      <w:r>
        <w:rPr>
          <w:rFonts w:ascii="Times New Roman" w:hAnsi="Times New Roman"/>
          <w:b w:val="false"/>
          <w:i/>
          <w:sz w:val="20"/>
        </w:rPr>
        <w:t>Selling, General, and Administrative ("SG&amp;A") Expenses</w:t>
      </w:r>
      <w:r>
        <w:rPr>
          <w:rFonts w:ascii="Times New Roman" w:hAnsi="Times New Roman"/>
          <w:b w:val="false"/>
          <w:sz w:val="20"/>
        </w:rPr>
        <w:t>. The $10.1 million increase in SG&amp;A expenses during the three months ended June 30, 2021 compared to the three months ended June 30, 2020 was primarily due to our continued investment and scaling of operations and corporate headcount to support our growth, which resulted in an increase of $7.0 million in personnel expenses through headcount increases during the period, $0.9 million increase in travel and other business related expenses, and an increase of $2.2 million net increase in non-personnel SG&amp;A expenses. Our largest areas of growth in non-personnel SG&amp;A expenses in the three months ended June 30, 2021 as compared to June 30, 2020 were commercial spend, including promotional activities, conferences, tradeshows and marketing initiatives, legal fees related to regulatory matters, accounting related expenses, and other services to support business growth and the preparation of our IPO.</w:t>
      </w:r>
    </w:p>
    <w:p>
      <w:pPr>
        <w:pStyle w:val="TextBody"/>
        <w:spacing w:lineRule="auto" w:line="312" w:before="240" w:after="0"/>
        <w:jc w:val="left"/>
        <w:rPr>
          <w:rFonts w:ascii="Times New Roman" w:hAnsi="Times New Roman"/>
          <w:sz w:val="20"/>
        </w:rPr>
      </w:pPr>
      <w:r>
        <w:rPr>
          <w:rFonts w:ascii="Times New Roman" w:hAnsi="Times New Roman"/>
          <w:b w:val="false"/>
          <w:i/>
          <w:sz w:val="20"/>
        </w:rPr>
        <w:t>Interest Expense</w:t>
      </w:r>
      <w:r>
        <w:rPr>
          <w:rFonts w:ascii="Times New Roman" w:hAnsi="Times New Roman"/>
          <w:b w:val="false"/>
          <w:sz w:val="20"/>
        </w:rPr>
        <w:t>. The $0.5 million increase in interest expense during the three months ended June 30, 2021 compared to the three months ended June 30, 2020 was attributable to the increase in average debt outstanding due to our debt financing in November 2020.</w:t>
      </w:r>
    </w:p>
    <w:p>
      <w:pPr>
        <w:pStyle w:val="TextBody"/>
        <w:spacing w:lineRule="auto" w:line="312" w:before="240" w:after="0"/>
        <w:jc w:val="left"/>
        <w:rPr>
          <w:rFonts w:ascii="Times New Roman" w:hAnsi="Times New Roman"/>
          <w:sz w:val="20"/>
        </w:rPr>
      </w:pPr>
      <w:r>
        <w:rPr>
          <w:rFonts w:ascii="Times New Roman" w:hAnsi="Times New Roman"/>
          <w:b w:val="false"/>
          <w:i/>
          <w:sz w:val="20"/>
        </w:rPr>
        <w:t>Interest Income and Other Income (Expense), Net.</w:t>
      </w:r>
      <w:r>
        <w:rPr>
          <w:rFonts w:ascii="Times New Roman" w:hAnsi="Times New Roman"/>
          <w:sz w:val="20"/>
        </w:rPr>
        <w:t> </w:t>
      </w:r>
      <w:r>
        <w:rPr>
          <w:rFonts w:ascii="Times New Roman" w:hAnsi="Times New Roman"/>
          <w:b w:val="false"/>
          <w:sz w:val="20"/>
        </w:rPr>
        <w:t>Interest income did not change significantly during the three months ended June 30, 2021 compared to the three months ended June 30, 2020. The increase in other income (expense), net of $5.4 million, during the three months ended June 30, 2021 compared to the three months ended June 30, 2020 was attributable primarily to the remeasurement of our convertible preferred stock warrants and recognition of the change in fair value.</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36</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i/>
          <w:sz w:val="20"/>
        </w:rPr>
      </w:pPr>
      <w:r>
        <w:rPr>
          <w:rFonts w:ascii="Times New Roman" w:hAnsi="Times New Roman"/>
          <w:b/>
          <w:i/>
          <w:sz w:val="20"/>
        </w:rPr>
        <w:t>Comparison of the Six Months Ended June 30, 2021 and 2020 (dollars in thousands)</w:t>
      </w:r>
    </w:p>
    <w:p>
      <w:pPr>
        <w:pStyle w:val="TextBody"/>
        <w:spacing w:lineRule="auto" w:line="312" w:before="120" w:after="0"/>
        <w:jc w:val="left"/>
        <w:rPr/>
      </w:pPr>
      <w:r>
        <w:rPr/>
        <w:t> </w:t>
      </w:r>
    </w:p>
    <w:tbl>
      <w:tblPr>
        <w:tblW w:w="9172" w:type="dxa"/>
        <w:jc w:val="left"/>
        <w:tblInd w:w="0" w:type="dxa"/>
        <w:tblCellMar>
          <w:top w:w="28" w:type="dxa"/>
          <w:left w:w="28" w:type="dxa"/>
          <w:bottom w:w="28" w:type="dxa"/>
          <w:right w:w="28" w:type="dxa"/>
        </w:tblCellMar>
      </w:tblPr>
      <w:tblGrid>
        <w:gridCol w:w="2956"/>
        <w:gridCol w:w="146"/>
        <w:gridCol w:w="211"/>
        <w:gridCol w:w="736"/>
        <w:gridCol w:w="271"/>
        <w:gridCol w:w="146"/>
        <w:gridCol w:w="211"/>
        <w:gridCol w:w="736"/>
        <w:gridCol w:w="271"/>
        <w:gridCol w:w="146"/>
        <w:gridCol w:w="211"/>
        <w:gridCol w:w="736"/>
        <w:gridCol w:w="166"/>
        <w:gridCol w:w="146"/>
        <w:gridCol w:w="146"/>
        <w:gridCol w:w="886"/>
        <w:gridCol w:w="1051"/>
      </w:tblGrid>
      <w:tr>
        <w:trPr/>
        <w:tc>
          <w:tcPr>
            <w:tcW w:w="29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r>
      <w:tr>
        <w:trPr/>
        <w:tc>
          <w:tcPr>
            <w:tcW w:w="295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11"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 Ended June 30,</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291"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Change</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95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295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11" w:type="dxa"/>
            <w:gridSpan w:val="6"/>
            <w:tcBorders/>
            <w:shd w:fill="auto" w:val="cle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(unaudited)</w:t>
            </w:r>
          </w:p>
        </w:tc>
        <w:tc>
          <w:tcPr>
            <w:tcW w:w="271"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2" w:type="dxa"/>
            <w:gridSpan w:val="2"/>
            <w:tcBorders/>
            <w:shd w:fill="auto" w:val="clear"/>
            <w:vAlign w:val="center"/>
          </w:tcPr>
          <w:p>
            <w:pPr>
              <w:pStyle w:val="TableContents"/>
              <w:spacing w:lineRule="auto" w:line="312" w:before="0" w:after="0"/>
              <w:ind w:left="0" w:right="0" w:hanging="0"/>
              <w:jc w:val="center"/>
              <w:rPr/>
            </w:pPr>
            <w:r>
              <w:rPr/>
              <w:t> </w:t>
            </w:r>
          </w:p>
        </w:tc>
        <w:tc>
          <w:tcPr>
            <w:tcW w:w="1051" w:type="dxa"/>
            <w:tcBorders/>
            <w:shd w:fill="auto" w:val="clear"/>
            <w:vAlign w:val="center"/>
          </w:tcPr>
          <w:p>
            <w:pPr>
              <w:pStyle w:val="TableContents"/>
              <w:spacing w:lineRule="auto" w:line="312" w:before="0" w:after="0"/>
              <w:ind w:left="0" w:right="0" w:hanging="0"/>
              <w:jc w:val="center"/>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2"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Surgical Glaucoma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20,127</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9,399</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10,728</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114.1</w:t>
            </w:r>
          </w:p>
        </w:tc>
        <w:tc>
          <w:tcPr>
            <w:tcW w:w="1051" w:type="dxa"/>
            <w:tcBorders/>
            <w:shd w:fill="auto" w:val="clear"/>
            <w:vAlign w:val="center"/>
          </w:tcPr>
          <w:p>
            <w:pPr>
              <w:pStyle w:val="TableContents"/>
              <w:spacing w:lineRule="auto" w:line="312" w:before="0" w:after="0"/>
              <w:ind w:left="0" w:right="0" w:firstLine="560"/>
              <w:jc w:val="left"/>
              <w:rPr>
                <w:rFonts w:ascii="Times New Roman" w:hAnsi="Times New Roman"/>
                <w:b w:val="false"/>
                <w:sz w:val="20"/>
              </w:rPr>
            </w:pPr>
            <w:r>
              <w:rPr>
                <w:rFonts w:ascii="Times New Roman" w:hAnsi="Times New Roman"/>
                <w:b w:val="false"/>
                <w:sz w:val="20"/>
              </w:rPr>
              <w:t>%</w:t>
            </w:r>
          </w:p>
        </w:tc>
      </w:tr>
      <w:tr>
        <w:trPr/>
        <w:tc>
          <w:tcPr>
            <w:tcW w:w="2956" w:type="dxa"/>
            <w:tcBorders/>
            <w:shd w:fill="auto" w:val="clear"/>
            <w:vAlign w:val="center"/>
          </w:tcPr>
          <w:p>
            <w:pPr>
              <w:pStyle w:val="TableContents"/>
              <w:spacing w:lineRule="auto" w:line="312" w:before="0" w:after="0"/>
              <w:ind w:left="560" w:right="0" w:hanging="0"/>
              <w:jc w:val="left"/>
              <w:rPr>
                <w:rFonts w:ascii="Times New Roman" w:hAnsi="Times New Roman"/>
                <w:b w:val="false"/>
                <w:i/>
                <w:sz w:val="20"/>
              </w:rPr>
            </w:pPr>
            <w:r>
              <w:rPr>
                <w:rFonts w:ascii="Times New Roman" w:hAnsi="Times New Roman"/>
                <w:b w:val="false"/>
                <w:i/>
                <w:sz w:val="20"/>
              </w:rPr>
              <w:t>Percentage of total 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95.1</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94.0</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2"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Dry Eye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1,043</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599</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444</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74.1</w:t>
            </w:r>
          </w:p>
        </w:tc>
        <w:tc>
          <w:tcPr>
            <w:tcW w:w="1051" w:type="dxa"/>
            <w:tcBorders/>
            <w:shd w:fill="auto" w:val="clear"/>
            <w:vAlign w:val="center"/>
          </w:tcPr>
          <w:p>
            <w:pPr>
              <w:pStyle w:val="TableContents"/>
              <w:spacing w:lineRule="auto" w:line="312" w:before="0" w:after="0"/>
              <w:ind w:left="0" w:right="0" w:firstLine="560"/>
              <w:jc w:val="left"/>
              <w:rPr/>
            </w:pPr>
            <w:r>
              <w:rPr/>
              <w:t> </w:t>
            </w:r>
          </w:p>
        </w:tc>
      </w:tr>
      <w:tr>
        <w:trPr/>
        <w:tc>
          <w:tcPr>
            <w:tcW w:w="2956" w:type="dxa"/>
            <w:tcBorders/>
            <w:shd w:fill="auto" w:val="clear"/>
            <w:vAlign w:val="center"/>
          </w:tcPr>
          <w:p>
            <w:pPr>
              <w:pStyle w:val="TableContents"/>
              <w:spacing w:lineRule="auto" w:line="312" w:before="0" w:after="0"/>
              <w:ind w:left="560" w:right="0" w:hanging="0"/>
              <w:jc w:val="left"/>
              <w:rPr>
                <w:rFonts w:ascii="Times New Roman" w:hAnsi="Times New Roman"/>
                <w:b w:val="false"/>
                <w:i/>
                <w:sz w:val="20"/>
              </w:rPr>
            </w:pPr>
            <w:r>
              <w:rPr>
                <w:rFonts w:ascii="Times New Roman" w:hAnsi="Times New Roman"/>
                <w:b w:val="false"/>
                <w:i/>
                <w:sz w:val="20"/>
              </w:rPr>
              <w:t>Percentage of total revenue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4.9</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6.0</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840"/>
              <w:jc w:val="right"/>
              <w:rPr/>
            </w:pPr>
            <w:r>
              <w:rPr/>
              <w:t> </w:t>
            </w:r>
          </w:p>
        </w:tc>
      </w:tr>
      <w:tr>
        <w:trPr/>
        <w:tc>
          <w:tcPr>
            <w:tcW w:w="2956" w:type="dxa"/>
            <w:tcBorders/>
            <w:shd w:fill="auto" w:val="clear"/>
            <w:vAlign w:val="center"/>
          </w:tcPr>
          <w:p>
            <w:pPr>
              <w:pStyle w:val="TableContents"/>
              <w:spacing w:lineRule="auto" w:line="312" w:before="0" w:after="0"/>
              <w:ind w:left="84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21,170</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9,998</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11,172</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111.7</w:t>
            </w:r>
          </w:p>
        </w:tc>
        <w:tc>
          <w:tcPr>
            <w:tcW w:w="1051" w:type="dxa"/>
            <w:tcBorders/>
            <w:shd w:fill="auto" w:val="cle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Cost of goods sold</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2"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Surgical Glaucoma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3,631</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3,022</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609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20.2</w:t>
            </w:r>
          </w:p>
        </w:tc>
        <w:tc>
          <w:tcPr>
            <w:tcW w:w="1051" w:type="dxa"/>
            <w:tcBorders/>
            <w:shd w:fill="auto" w:val="clear"/>
            <w:vAlign w:val="center"/>
          </w:tcPr>
          <w:p>
            <w:pPr>
              <w:pStyle w:val="TableContents"/>
              <w:spacing w:lineRule="auto" w:line="312" w:before="0" w:after="0"/>
              <w:ind w:left="0" w:right="0" w:firstLine="280"/>
              <w:jc w:val="lef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Dry Eye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975</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1,191</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(18.1</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840"/>
              <w:jc w:val="left"/>
              <w:rPr>
                <w:rFonts w:ascii="Times New Roman" w:hAnsi="Times New Roman"/>
                <w:b w:val="false"/>
                <w:sz w:val="20"/>
              </w:rPr>
            </w:pPr>
            <w:r>
              <w:rPr>
                <w:rFonts w:ascii="Times New Roman" w:hAnsi="Times New Roman"/>
                <w:b w:val="false"/>
                <w:sz w:val="20"/>
              </w:rPr>
              <w:t>)</w:t>
            </w:r>
          </w:p>
        </w:tc>
      </w:tr>
      <w:tr>
        <w:trPr/>
        <w:tc>
          <w:tcPr>
            <w:tcW w:w="2956" w:type="dxa"/>
            <w:tcBorders/>
            <w:shd w:fill="auto" w:val="clear"/>
            <w:vAlign w:val="center"/>
          </w:tcPr>
          <w:p>
            <w:pPr>
              <w:pStyle w:val="TableContents"/>
              <w:spacing w:lineRule="auto" w:line="312" w:before="0" w:after="0"/>
              <w:ind w:left="84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4,606</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4,213</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9.3</w:t>
            </w:r>
          </w:p>
        </w:tc>
        <w:tc>
          <w:tcPr>
            <w:tcW w:w="1051" w:type="dxa"/>
            <w:tcBorders/>
            <w:shd w:fill="auto" w:val="cle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Gross profit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2"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Surgical Glaucoma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16,496</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6,377</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10,119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158.7</w:t>
            </w:r>
          </w:p>
        </w:tc>
        <w:tc>
          <w:tcPr>
            <w:tcW w:w="1051" w:type="dxa"/>
            <w:tcBorders/>
            <w:shd w:fill="auto" w:val="clear"/>
            <w:vAlign w:val="center"/>
          </w:tcPr>
          <w:p>
            <w:pPr>
              <w:pStyle w:val="TableContents"/>
              <w:spacing w:lineRule="auto" w:line="312" w:before="0" w:after="0"/>
              <w:ind w:left="0" w:right="0" w:firstLine="280"/>
              <w:jc w:val="lef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Dry Eye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68</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(592</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660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(111.5</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840"/>
              <w:jc w:val="left"/>
              <w:rPr>
                <w:rFonts w:ascii="Times New Roman" w:hAnsi="Times New Roman"/>
                <w:b w:val="false"/>
                <w:sz w:val="20"/>
              </w:rPr>
            </w:pPr>
            <w:r>
              <w:rPr>
                <w:rFonts w:ascii="Times New Roman" w:hAnsi="Times New Roman"/>
                <w:b w:val="false"/>
                <w:sz w:val="20"/>
              </w:rPr>
              <w:t>)</w:t>
            </w:r>
          </w:p>
        </w:tc>
      </w:tr>
      <w:tr>
        <w:trPr/>
        <w:tc>
          <w:tcPr>
            <w:tcW w:w="2956" w:type="dxa"/>
            <w:tcBorders/>
            <w:shd w:fill="auto" w:val="clear"/>
            <w:vAlign w:val="center"/>
          </w:tcPr>
          <w:p>
            <w:pPr>
              <w:pStyle w:val="TableContents"/>
              <w:spacing w:lineRule="auto" w:line="312" w:before="0" w:after="0"/>
              <w:ind w:left="84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16,564</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5,785</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10,779</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186.3</w:t>
            </w:r>
          </w:p>
        </w:tc>
        <w:tc>
          <w:tcPr>
            <w:tcW w:w="1051" w:type="dxa"/>
            <w:tcBorders/>
            <w:shd w:fill="auto" w:val="cle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Gross margin</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2"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Surgical Glaucoma</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82.0</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67.8</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2"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Dry Eye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6.5</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-98.8</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032"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pPr>
            <w:r>
              <w:rPr/>
              <w:t> </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840"/>
              <w:jc w:val="right"/>
              <w:rPr/>
            </w:pPr>
            <w:r>
              <w:rPr/>
              <w:t> </w:t>
            </w:r>
          </w:p>
        </w:tc>
      </w:tr>
      <w:tr>
        <w:trPr/>
        <w:tc>
          <w:tcPr>
            <w:tcW w:w="2956" w:type="dxa"/>
            <w:tcBorders/>
            <w:shd w:fill="auto" w:val="clear"/>
            <w:vAlign w:val="center"/>
          </w:tcPr>
          <w:p>
            <w:pPr>
              <w:pStyle w:val="TableContents"/>
              <w:spacing w:lineRule="auto" w:line="312" w:before="0" w:after="0"/>
              <w:ind w:left="840" w:right="0" w:hanging="0"/>
              <w:jc w:val="left"/>
              <w:rPr>
                <w:rFonts w:ascii="Times New Roman" w:hAnsi="Times New Roman"/>
                <w:b w:val="false"/>
                <w:sz w:val="20"/>
              </w:rPr>
            </w:pPr>
            <w:r>
              <w:rPr>
                <w:rFonts w:ascii="Times New Roman" w:hAnsi="Times New Roman"/>
                <w:b w:val="false"/>
                <w:sz w:val="20"/>
              </w:rPr>
              <w:t>Total</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78.2</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i/>
                <w:sz w:val="20"/>
              </w:rPr>
            </w:pPr>
            <w:r>
              <w:rPr>
                <w:rFonts w:ascii="Times New Roman" w:hAnsi="Times New Roman"/>
                <w:b w:val="false"/>
                <w:i/>
                <w:sz w:val="20"/>
              </w:rPr>
              <w:t>57.9</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2"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hanging="0"/>
              <w:jc w:val="righ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Operating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2"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firstLine="280"/>
              <w:jc w:val="righ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Research and development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6,986</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3,843</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3,143</w:t>
            </w:r>
          </w:p>
        </w:tc>
        <w:tc>
          <w:tcPr>
            <w:tcW w:w="16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81.8</w:t>
            </w:r>
          </w:p>
        </w:tc>
        <w:tc>
          <w:tcPr>
            <w:tcW w:w="1051" w:type="dxa"/>
            <w:tcBorders/>
            <w:shd w:fill="auto" w:val="clear"/>
            <w:vAlign w:val="center"/>
          </w:tcPr>
          <w:p>
            <w:pPr>
              <w:pStyle w:val="TableContents"/>
              <w:spacing w:lineRule="auto" w:line="312" w:before="0" w:after="0"/>
              <w:ind w:left="0" w:right="0" w:firstLine="280"/>
              <w:jc w:val="left"/>
              <w:rPr/>
            </w:pPr>
            <w:r>
              <w:rPr/>
              <w:t> </w:t>
            </w:r>
          </w:p>
        </w:tc>
      </w:tr>
      <w:tr>
        <w:trPr/>
        <w:tc>
          <w:tcPr>
            <w:tcW w:w="2956" w:type="dxa"/>
            <w:tcBorders/>
            <w:shd w:fill="auto" w:val="clear"/>
            <w:vAlign w:val="center"/>
          </w:tcPr>
          <w:p>
            <w:pPr>
              <w:pStyle w:val="TableContents"/>
              <w:spacing w:lineRule="auto" w:line="312" w:before="0" w:after="0"/>
              <w:ind w:left="280" w:right="0" w:hanging="0"/>
              <w:jc w:val="left"/>
              <w:rPr>
                <w:rFonts w:ascii="Times New Roman" w:hAnsi="Times New Roman"/>
                <w:b w:val="false"/>
                <w:sz w:val="20"/>
              </w:rPr>
            </w:pPr>
            <w:r>
              <w:rPr>
                <w:rFonts w:ascii="Times New Roman" w:hAnsi="Times New Roman"/>
                <w:b w:val="false"/>
                <w:sz w:val="20"/>
              </w:rPr>
              <w:t>Selling, general and administrative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32,310</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18,342</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13,968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76.2</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firstLine="840"/>
              <w:jc w:val="left"/>
              <w:rPr/>
            </w:pPr>
            <w:r>
              <w:rPr/>
              <w:t> </w:t>
            </w:r>
          </w:p>
        </w:tc>
      </w:tr>
      <w:tr>
        <w:trPr/>
        <w:tc>
          <w:tcPr>
            <w:tcW w:w="2956" w:type="dxa"/>
            <w:tcBorders/>
            <w:shd w:fill="auto" w:val="clear"/>
            <w:vAlign w:val="center"/>
          </w:tcPr>
          <w:p>
            <w:pPr>
              <w:pStyle w:val="TableContents"/>
              <w:spacing w:lineRule="auto" w:line="312" w:before="0" w:after="0"/>
              <w:ind w:left="840" w:right="0" w:hanging="0"/>
              <w:jc w:val="left"/>
              <w:rPr>
                <w:rFonts w:ascii="Times New Roman" w:hAnsi="Times New Roman"/>
                <w:b w:val="false"/>
                <w:sz w:val="20"/>
              </w:rPr>
            </w:pPr>
            <w:r>
              <w:rPr>
                <w:rFonts w:ascii="Times New Roman" w:hAnsi="Times New Roman"/>
                <w:b w:val="false"/>
                <w:sz w:val="20"/>
              </w:rPr>
              <w:t>Total operating expenses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39,296</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22,185</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17,111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77.1</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Loss from operations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(22,732</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(16,400</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(6,332</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38.6</w:t>
            </w:r>
          </w:p>
        </w:tc>
        <w:tc>
          <w:tcPr>
            <w:tcW w:w="1051" w:type="dxa"/>
            <w:tcBorders/>
            <w:shd w:fill="auto" w:val="cle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Interest income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pPr>
            <w:r>
              <w:rPr/>
              <w:t>—</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w:t>
            </w:r>
          </w:p>
        </w:tc>
        <w:tc>
          <w:tcPr>
            <w:tcW w:w="271"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(100.0</w:t>
            </w:r>
          </w:p>
        </w:tc>
        <w:tc>
          <w:tcPr>
            <w:tcW w:w="10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Interest expense</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(2,166</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(1,101</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(1,065</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96.7</w:t>
            </w:r>
          </w:p>
        </w:tc>
        <w:tc>
          <w:tcPr>
            <w:tcW w:w="1051" w:type="dxa"/>
            <w:tcBorders/>
            <w:shd w:fill="auto" w:val="cle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 income (expense), net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(4,883</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18</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(4,901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(27,227.8</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295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271"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right"/>
              <w:rPr/>
            </w:pPr>
            <w:r>
              <w:rPr/>
              <w:t> </w:t>
            </w:r>
          </w:p>
        </w:tc>
        <w:tc>
          <w:tcPr>
            <w:tcW w:w="166" w:type="dxa"/>
            <w:tcBorders/>
            <w:shd w:fill="auto" w:val="clear"/>
            <w:vAlign w:val="center"/>
          </w:tcPr>
          <w:p>
            <w:pPr>
              <w:pStyle w:val="TableContents"/>
              <w:spacing w:lineRule="auto" w:line="312" w:before="0" w:after="0"/>
              <w:ind w:left="0" w:right="0" w:hanging="0"/>
              <w:jc w:val="righ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032" w:type="dxa"/>
            <w:gridSpan w:val="2"/>
            <w:tcBorders/>
            <w:shd w:fill="auto" w:val="clear"/>
            <w:vAlign w:val="center"/>
          </w:tcPr>
          <w:p>
            <w:pPr>
              <w:pStyle w:val="TableContents"/>
              <w:spacing w:lineRule="auto" w:line="312" w:before="0" w:after="0"/>
              <w:ind w:left="0" w:right="0" w:hanging="0"/>
              <w:jc w:val="right"/>
              <w:rPr/>
            </w:pPr>
            <w:r>
              <w:rPr/>
              <w:t> </w:t>
            </w:r>
          </w:p>
        </w:tc>
        <w:tc>
          <w:tcPr>
            <w:tcW w:w="1051" w:type="dxa"/>
            <w:tcBorders/>
            <w:shd w:fill="auto" w:val="clear"/>
            <w:vAlign w:val="center"/>
          </w:tcPr>
          <w:p>
            <w:pPr>
              <w:pStyle w:val="TableContents"/>
              <w:spacing w:lineRule="auto" w:line="312" w:before="0" w:after="0"/>
              <w:ind w:left="0" w:right="0" w:hanging="0"/>
              <w:jc w:val="righ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Loss before income tax</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(29,781</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(17,454</w:t>
            </w:r>
          </w:p>
        </w:tc>
        <w:tc>
          <w:tcPr>
            <w:tcW w:w="2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(12,327</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70.6</w:t>
            </w:r>
          </w:p>
        </w:tc>
        <w:tc>
          <w:tcPr>
            <w:tcW w:w="1051" w:type="dxa"/>
            <w:tcBorders/>
            <w:shd w:fill="auto" w:val="cle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Provision (benefit) for income tax</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74</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w:t>
            </w:r>
          </w:p>
        </w:tc>
        <w:tc>
          <w:tcPr>
            <w:tcW w:w="27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88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100.0</w:t>
            </w:r>
          </w:p>
        </w:tc>
        <w:tc>
          <w:tcPr>
            <w:tcW w:w="105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29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loss and comprehensive loss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(29,855</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(17,491</w:t>
            </w:r>
          </w:p>
        </w:tc>
        <w:tc>
          <w:tcPr>
            <w:tcW w:w="27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(12,364</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70.7</w:t>
            </w:r>
          </w:p>
        </w:tc>
        <w:tc>
          <w:tcPr>
            <w:tcW w:w="10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bl>
    <w:p>
      <w:pPr>
        <w:pStyle w:val="TextBody"/>
        <w:spacing w:lineRule="auto" w:line="312" w:before="120" w:after="0"/>
        <w:jc w:val="left"/>
        <w:rPr/>
      </w:pPr>
      <w:r>
        <w:rPr/>
        <w:t> </w:t>
      </w:r>
    </w:p>
    <w:p>
      <w:pPr>
        <w:pStyle w:val="TextBody"/>
        <w:spacing w:lineRule="auto" w:line="312" w:before="0" w:after="0"/>
        <w:jc w:val="left"/>
        <w:rPr>
          <w:rFonts w:ascii="Times New Roman" w:hAnsi="Times New Roman"/>
          <w:sz w:val="20"/>
        </w:rPr>
      </w:pPr>
      <w:r>
        <w:rPr>
          <w:rFonts w:ascii="Times New Roman" w:hAnsi="Times New Roman"/>
          <w:b w:val="false"/>
          <w:i/>
          <w:sz w:val="20"/>
        </w:rPr>
        <w:t>Revenue</w:t>
      </w:r>
      <w:r>
        <w:rPr>
          <w:rFonts w:ascii="Times New Roman" w:hAnsi="Times New Roman"/>
          <w:b w:val="false"/>
          <w:sz w:val="20"/>
        </w:rPr>
        <w:t>. Revenue in the six months ended June 30, 2021 was $21.2 million, an increase of $11.2 million, or 111.7%, from our revenue in the six months ended June 30, 2020. Surgical Glaucoma and Dry Eye sales contributed $10.7 million and $0.5 million, respectively, to the revenue increase from the six months ended June 30, 2020 to the comparable period in 2021. The overall increase in Surgical Glaucoma revenue was attributable to a significant increase in the number of OMNI units sold during 2021 due to growth in the number of facilities ordering OMNI and an increase in unit utilization per ordering facility due, in part, to the significant impact of COVID-19 on industry-wide procedure volumes during the six months ended June 30, 2020.  Our Dry Eye revenue growth was the result of an increased amount of SmartLids reordered by our existing customer base and also reflected COVID-19’s significant impact on elective procedures during the six months ended June 30, 2020. Surgical Glaucoma sales represented 95.1% and 94.0% of our revenue generated in the six months ended June 30, 2021 and 2020, respectively.</w:t>
      </w:r>
      <w:r>
        <w:rPr>
          <w:rFonts w:ascii="Times New Roman" w:hAnsi="Times New Roman"/>
          <w:sz w:val="20"/>
        </w:rPr>
        <w:t xml:space="preserve"> </w:t>
      </w:r>
    </w:p>
    <w:p>
      <w:pPr>
        <w:pStyle w:val="TextBody"/>
        <w:spacing w:lineRule="auto" w:line="312" w:before="240" w:after="0"/>
        <w:jc w:val="left"/>
        <w:rPr>
          <w:rFonts w:ascii="Times New Roman" w:hAnsi="Times New Roman"/>
          <w:sz w:val="20"/>
        </w:rPr>
      </w:pPr>
      <w:r>
        <w:rPr>
          <w:rFonts w:ascii="Times New Roman" w:hAnsi="Times New Roman"/>
          <w:b w:val="false"/>
          <w:i/>
          <w:sz w:val="20"/>
        </w:rPr>
        <w:t>Cost of Goods Sold and Gross Profit</w:t>
      </w:r>
      <w:r>
        <w:rPr>
          <w:rFonts w:ascii="Times New Roman" w:hAnsi="Times New Roman"/>
          <w:b w:val="false"/>
          <w:sz w:val="20"/>
        </w:rPr>
        <w:t>. The $0.4 million increase in cost of goods sold during the six months ended June 30, 2021 compared to the six months ended June 30, 2020 was attributable to a $1.5 million increase in cost of materials and manufacturing overhead driven by increased production to support our sales growth, which was partially offset by a decrease of $0.9 million in our inventory write-down reserve. The six months ended June 30, 2020 included a large write-down of inventory from our original version of OMNI following the launch and adoption of OMNI Next Gen by our user base.</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37</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Our total gross profit increased $10.8 million from $5.8 million to $16.6 million during the six months ended June 30, 2021 compared to the six months ended June 30, 2020. Our total gross margin increased from 57.9% to 78.2% from the six months ended June 30, 2020 to the six months ended June 30, 2021 primarily due to a higher volume of OMNI units sold. Gross margin in our Surgical Glaucoma segment increased from 67.8% to 82.0% from the six months ended June 30, 2020 to the six months ended June 30, 2021, and in our Dry Eye segment gross margin increased from (98.8)% to 6.5% from the six months ended June 30, 2020 to the six months ended June 30, 2021. Gross margin was negatively impacted for the six months ended June 30, 2020 due to COVID-19 pandemic.</w:t>
      </w:r>
    </w:p>
    <w:p>
      <w:pPr>
        <w:pStyle w:val="TextBody"/>
        <w:spacing w:lineRule="auto" w:line="312" w:before="240" w:after="0"/>
        <w:jc w:val="left"/>
        <w:rPr>
          <w:rFonts w:ascii="Times New Roman" w:hAnsi="Times New Roman"/>
          <w:sz w:val="20"/>
        </w:rPr>
      </w:pPr>
      <w:r>
        <w:rPr>
          <w:rFonts w:ascii="Times New Roman" w:hAnsi="Times New Roman"/>
          <w:b w:val="false"/>
          <w:i/>
          <w:sz w:val="20"/>
        </w:rPr>
        <w:t>Research and Development Expenses</w:t>
      </w:r>
      <w:r>
        <w:rPr>
          <w:rFonts w:ascii="Times New Roman" w:hAnsi="Times New Roman"/>
          <w:b w:val="false"/>
          <w:sz w:val="20"/>
        </w:rPr>
        <w:t>. The $3.1 million increase in R&amp;D expenses during the six months ended June 30, 2021 compared to the six months ended June 30, 2020 was primarily attributable to $0.9 million increase in personnel expenses as a result of increased headcount, $0.8 million net increase in contract manufacturing, lab supplies and Dry Eye product prototype development expenses, $0.5 million in clinical studies, $0.44 million in legal services mainly related to registration of patents and $0.5 million in other services driven by overall increase in business activities.</w:t>
      </w:r>
    </w:p>
    <w:p>
      <w:pPr>
        <w:pStyle w:val="TextBody"/>
        <w:spacing w:lineRule="auto" w:line="312" w:before="240" w:after="0"/>
        <w:jc w:val="left"/>
        <w:rPr>
          <w:rFonts w:ascii="Times New Roman" w:hAnsi="Times New Roman"/>
          <w:sz w:val="20"/>
        </w:rPr>
      </w:pPr>
      <w:r>
        <w:rPr>
          <w:rFonts w:ascii="Times New Roman" w:hAnsi="Times New Roman"/>
          <w:b w:val="false"/>
          <w:i/>
          <w:sz w:val="20"/>
        </w:rPr>
        <w:t>Selling, General, and Administrative Expenses</w:t>
      </w:r>
      <w:r>
        <w:rPr>
          <w:rFonts w:ascii="Times New Roman" w:hAnsi="Times New Roman"/>
          <w:b w:val="false"/>
          <w:sz w:val="20"/>
        </w:rPr>
        <w:t>. The $14.0 million increase in SG&amp;A expenses during the six months ended June 30, 2021 compared to the six months ended June 30, 2020 was primarily due to our continued investment and scaling of operations and corporate headcount to support our growth, which resulted in an increase of $9.6 million in personnel expenses through headcount increases during the period, $0.7 million increase in travel and other business related expenses, and an increase of $3.7 million net increase in non-personnel SG&amp;A expenses. Our largest areas of growth in non-personnel SG&amp;A expenses between the six months ended June 30, 2020 to the six months ended June 30, 2021 were commercial spend, including promotional activities, conferences, tradeshows and marketing initiatives, legal fees relate to regulatory matters, particularly related to the FDA clearance of OMNI’s expanded Indication for Use, accounting-related expenses, and other services to support business growth and the preparation of our IPO.</w:t>
      </w:r>
    </w:p>
    <w:p>
      <w:pPr>
        <w:pStyle w:val="TextBody"/>
        <w:spacing w:lineRule="auto" w:line="312" w:before="240" w:after="0"/>
        <w:jc w:val="left"/>
        <w:rPr>
          <w:rFonts w:ascii="Times New Roman" w:hAnsi="Times New Roman"/>
          <w:sz w:val="20"/>
        </w:rPr>
      </w:pPr>
      <w:r>
        <w:rPr>
          <w:rFonts w:ascii="Times New Roman" w:hAnsi="Times New Roman"/>
          <w:b w:val="false"/>
          <w:i/>
          <w:sz w:val="20"/>
        </w:rPr>
        <w:t>Interest Expense</w:t>
      </w:r>
      <w:r>
        <w:rPr>
          <w:rFonts w:ascii="Times New Roman" w:hAnsi="Times New Roman"/>
          <w:b w:val="false"/>
          <w:sz w:val="20"/>
        </w:rPr>
        <w:t>. The $1.1 million increase in interest expense during the six months ended June 30, 2021 compared to the six months ended June 30, 2020 was attributable to the increase in average debt outstanding due to our debt financing in November 2020.</w:t>
      </w:r>
    </w:p>
    <w:p>
      <w:pPr>
        <w:pStyle w:val="TextBody"/>
        <w:spacing w:lineRule="auto" w:line="312" w:before="240" w:after="0"/>
        <w:jc w:val="left"/>
        <w:rPr>
          <w:rFonts w:ascii="Times New Roman" w:hAnsi="Times New Roman"/>
          <w:sz w:val="20"/>
        </w:rPr>
      </w:pPr>
      <w:r>
        <w:rPr>
          <w:rFonts w:ascii="Times New Roman" w:hAnsi="Times New Roman"/>
          <w:b w:val="false"/>
          <w:i/>
          <w:sz w:val="20"/>
        </w:rPr>
        <w:t>Interest Income and Other Income (Expense), Net.</w:t>
      </w:r>
      <w:r>
        <w:rPr>
          <w:rFonts w:ascii="Times New Roman" w:hAnsi="Times New Roman"/>
          <w:sz w:val="20"/>
        </w:rPr>
        <w:t> </w:t>
      </w:r>
      <w:r>
        <w:rPr>
          <w:rFonts w:ascii="Times New Roman" w:hAnsi="Times New Roman"/>
          <w:b w:val="false"/>
          <w:sz w:val="20"/>
        </w:rPr>
        <w:t>Interest income did not change significantly during the six months ended June 30, 2021 compared to the six months ended June 30, 2020. The increase in other income (expense), net of $4.9 million, during the six months ended June 30, 2021 compared to the six months ended June 30, 2020 was attributable primarily to the remeasurement of our convertible preferred stock warrants and recognition of the change in fair value.</w:t>
      </w:r>
    </w:p>
    <w:p>
      <w:pPr>
        <w:pStyle w:val="TextBody"/>
        <w:spacing w:lineRule="auto" w:line="312" w:before="360" w:after="0"/>
        <w:jc w:val="left"/>
        <w:rPr>
          <w:rFonts w:ascii="Times New Roman" w:hAnsi="Times New Roman"/>
          <w:b/>
          <w:sz w:val="20"/>
        </w:rPr>
      </w:pPr>
      <w:r>
        <w:rPr>
          <w:rFonts w:ascii="Times New Roman" w:hAnsi="Times New Roman"/>
          <w:b/>
          <w:sz w:val="20"/>
        </w:rPr>
        <w:t>Cash Flows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following table summarizes our cash flows for the periods indicated (in thousands):</w:t>
      </w:r>
    </w:p>
    <w:p>
      <w:pPr>
        <w:pStyle w:val="TextBody"/>
        <w:spacing w:lineRule="auto" w:line="312" w:before="120" w:after="0"/>
        <w:jc w:val="left"/>
        <w:rPr/>
      </w:pPr>
      <w:r>
        <w:rPr/>
        <w:t> </w:t>
      </w:r>
    </w:p>
    <w:tbl>
      <w:tblPr>
        <w:tblW w:w="6779" w:type="dxa"/>
        <w:jc w:val="left"/>
        <w:tblInd w:w="0" w:type="dxa"/>
        <w:tblCellMar>
          <w:top w:w="28" w:type="dxa"/>
          <w:left w:w="28" w:type="dxa"/>
          <w:bottom w:w="28" w:type="dxa"/>
          <w:right w:w="28" w:type="dxa"/>
        </w:tblCellMar>
      </w:tblPr>
      <w:tblGrid>
        <w:gridCol w:w="4216"/>
        <w:gridCol w:w="146"/>
        <w:gridCol w:w="211"/>
        <w:gridCol w:w="736"/>
        <w:gridCol w:w="166"/>
        <w:gridCol w:w="146"/>
        <w:gridCol w:w="211"/>
        <w:gridCol w:w="736"/>
        <w:gridCol w:w="211"/>
      </w:tblGrid>
      <w:tr>
        <w:trPr/>
        <w:tc>
          <w:tcPr>
            <w:tcW w:w="42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21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Six Months Ended June 30,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21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rFonts w:ascii="Times New Roman" w:hAnsi="Times New Roman"/>
                <w:b/>
                <w:sz w:val="16"/>
              </w:rPr>
            </w:pPr>
            <w:r>
              <w:rPr>
                <w:rFonts w:ascii="Times New Roman" w:hAnsi="Times New Roman"/>
                <w:b/>
                <w:sz w:val="16"/>
              </w:rPr>
              <w:t>2020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center"/>
              <w:rPr/>
            </w:pPr>
            <w:r>
              <w:rPr/>
              <w:t> </w:t>
            </w:r>
          </w:p>
        </w:tc>
      </w:tr>
      <w:tr>
        <w:trPr/>
        <w:tc>
          <w:tcPr>
            <w:tcW w:w="421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center"/>
              <w:rPr/>
            </w:pPr>
            <w:r>
              <w:rPr/>
              <w:t> </w:t>
            </w:r>
          </w:p>
        </w:tc>
        <w:tc>
          <w:tcPr>
            <w:tcW w:w="166" w:type="dxa"/>
            <w:tcBorders/>
            <w:shd w:fill="auto" w:val="clear"/>
            <w:vAlign w:val="center"/>
          </w:tcPr>
          <w:p>
            <w:pPr>
              <w:pStyle w:val="TableContents"/>
              <w:spacing w:lineRule="auto" w:line="312" w:before="0" w:after="0"/>
              <w:ind w:left="0" w:right="0" w:hanging="0"/>
              <w:jc w:val="center"/>
              <w:rPr/>
            </w:pPr>
            <w:r>
              <w:rPr/>
              <w:t> </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47" w:type="dxa"/>
            <w:gridSpan w:val="2"/>
            <w:tcBorders/>
            <w:shd w:fill="auto" w:val="clear"/>
            <w:vAlign w:val="center"/>
          </w:tcPr>
          <w:p>
            <w:pPr>
              <w:pStyle w:val="TableContents"/>
              <w:spacing w:lineRule="auto" w:line="312" w:before="0" w:after="0"/>
              <w:ind w:left="0" w:right="0" w:hanging="0"/>
              <w:jc w:val="center"/>
              <w:rPr/>
            </w:pPr>
            <w:r>
              <w:rPr/>
              <w:t> </w:t>
            </w:r>
          </w:p>
        </w:tc>
        <w:tc>
          <w:tcPr>
            <w:tcW w:w="211" w:type="dxa"/>
            <w:tcBorders/>
            <w:shd w:fill="auto" w:val="clear"/>
            <w:vAlign w:val="center"/>
          </w:tcPr>
          <w:p>
            <w:pPr>
              <w:pStyle w:val="TableContents"/>
              <w:spacing w:lineRule="auto" w:line="312" w:before="0" w:after="0"/>
              <w:ind w:left="0" w:right="0" w:hanging="0"/>
              <w:jc w:val="center"/>
              <w:rPr/>
            </w:pPr>
            <w:r>
              <w:rPr/>
              <w:t> </w:t>
            </w:r>
          </w:p>
        </w:tc>
      </w:tr>
      <w:tr>
        <w:trPr/>
        <w:tc>
          <w:tcPr>
            <w:tcW w:w="42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cash used in operating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(25,306</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(15,009</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2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cash used in investing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(369</w:t>
            </w:r>
          </w:p>
        </w:tc>
        <w:tc>
          <w:tcPr>
            <w:tcW w:w="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shd w:fill="auto" w:val="clear"/>
            <w:vAlign w:val="center"/>
          </w:tcPr>
          <w:p>
            <w:pPr>
              <w:pStyle w:val="TableContents"/>
              <w:spacing w:lineRule="auto" w:line="312" w:before="0" w:after="0"/>
              <w:ind w:left="0" w:right="0" w:hanging="0"/>
              <w:jc w:val="left"/>
              <w:rPr/>
            </w:pPr>
            <w:r>
              <w:rPr/>
              <w:t> </w:t>
            </w:r>
          </w:p>
        </w:tc>
        <w:tc>
          <w:tcPr>
            <w:tcW w:w="736" w:type="dxa"/>
            <w:tcBorders/>
            <w:shd w:fill="auto" w:val="cle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(532</w:t>
            </w:r>
          </w:p>
        </w:tc>
        <w:tc>
          <w:tcPr>
            <w:tcW w:w="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r>
      <w:tr>
        <w:trPr/>
        <w:tc>
          <w:tcPr>
            <w:tcW w:w="42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cash (used in) provided by financing activities</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(264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30,052</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r>
        <w:trPr/>
        <w:tc>
          <w:tcPr>
            <w:tcW w:w="42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Net (decrease) increase in cash</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(25,939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right"/>
              <w:rPr>
                <w:rFonts w:ascii="Times New Roman" w:hAnsi="Times New Roman"/>
                <w:b w:val="false"/>
                <w:sz w:val="20"/>
              </w:rPr>
            </w:pPr>
            <w:r>
              <w:rPr>
                <w:rFonts w:ascii="Times New Roman" w:hAnsi="Times New Roman"/>
                <w:b w:val="false"/>
                <w:sz w:val="20"/>
              </w:rPr>
              <w:t>14,511</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160" w:after="0"/>
        <w:jc w:val="left"/>
        <w:rPr>
          <w:rFonts w:ascii="Times New Roman" w:hAnsi="Times New Roman"/>
          <w:b w:val="false"/>
          <w:i/>
          <w:sz w:val="20"/>
        </w:rPr>
      </w:pPr>
      <w:r>
        <w:rPr>
          <w:rFonts w:ascii="Times New Roman" w:hAnsi="Times New Roman"/>
          <w:b w:val="false"/>
          <w:i/>
          <w:sz w:val="20"/>
        </w:rPr>
        <w:t>Net Cash Used in Operating Activities.</w:t>
      </w:r>
    </w:p>
    <w:p>
      <w:pPr>
        <w:pStyle w:val="TextBody"/>
        <w:spacing w:lineRule="auto" w:line="312" w:before="120" w:after="0"/>
        <w:jc w:val="left"/>
        <w:rPr>
          <w:rFonts w:ascii="Times New Roman" w:hAnsi="Times New Roman"/>
          <w:sz w:val="20"/>
        </w:rPr>
      </w:pPr>
      <w:r>
        <w:rPr>
          <w:rFonts w:ascii="Times New Roman" w:hAnsi="Times New Roman"/>
          <w:b w:val="false"/>
          <w:sz w:val="20"/>
        </w:rPr>
        <w:t>Net cash used in operating activities for the six months ended June 30, 2021 was $25.3 million, consisting primarily of a net loss of $29.9 million and a net change in our operating assets and liabilities of $2.9 million, partially offset by non-cash charges of $7.5 million. The change in our net operating assets and liabilities was primarily due to a $1.6 million increase in accounts receivable, a $1.2 million increase in our prepaid expenses to support the continued growth of our operations, and a $3.1 million increase in other noncurrent assets related to the</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38</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deferred offering costs associated with the IPO, partially offset by a $1.4 million increase in accounts payable and $1.6 million in accrued and other liabilities. The non-cash charges primarily consisted of a $0.3 million provision for excess and obsolete inventories, $1.2 million related to stock-based compensation, $0.3 million of right of use asset amortization related to office lease, $0.3 million of accretion of debt discount and amortization of debt issuance costs, $0.3 million in depreciation and amortization, and $4.9 million resulted from the fair value remeasurement of our convertible preferred stock warrants.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Net cash used in operating activities for six months ended June 30, 2020 was $15.0 million, consisting primarily of a net loss of $17.5 million, which included a $2.2 million benefit from the proceeds from our Paycheck Protection Program, or PPP, loan under the Coronavirus Aid, Relief, and Economic Security Act, or CARES Act, offset by net change in our operating assets and liabilities of $2.6 million and non-cash charges of $2.1 million. The change in our net operating assets and liabilities was primarily due to a $1.1 million increase in inventory, a $0.3 million increase in our prepaid expenses to support the continued growth of our operations, a $0.3 million decrease in accrued compensation, partially offset by a $0.9 million decrease in accounts receivable, a $0.8 million increase in accounts payable, a $2.3 million increase in accrued and other liabilities, and a $0.5 million increase in other noncurrent liabilities. The non-cash charges primarily consisted of $0.8 million provision for excess and obsolete inventories, primarily related to COVID-19 pandemic impact and the launch of OMNI Next Gen, depreciation and amortization of $0.3 million, the accretion of debt discount and amortization of debt issuance costs of $0.3 million, stock-based compensation of $0.1 million and non-cash operating lease expense of $0.3 million.</w:t>
      </w:r>
    </w:p>
    <w:p>
      <w:pPr>
        <w:pStyle w:val="TextBody"/>
        <w:spacing w:lineRule="auto" w:line="312" w:before="360" w:after="0"/>
        <w:jc w:val="left"/>
        <w:rPr>
          <w:rFonts w:ascii="Times New Roman" w:hAnsi="Times New Roman"/>
          <w:b w:val="false"/>
          <w:i/>
          <w:sz w:val="20"/>
        </w:rPr>
      </w:pPr>
      <w:r>
        <w:rPr>
          <w:rFonts w:ascii="Times New Roman" w:hAnsi="Times New Roman"/>
          <w:b w:val="false"/>
          <w:i/>
          <w:sz w:val="20"/>
        </w:rPr>
        <w:t>Net Cash Used in Investing Activities.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Net cash used in investing activities in the six months ended June 30, 2021 and 2020 was $0.4 million and $0.5 million, respectively, consisting of purchases of property and equipment.</w:t>
      </w:r>
    </w:p>
    <w:p>
      <w:pPr>
        <w:pStyle w:val="TextBody"/>
        <w:spacing w:lineRule="auto" w:line="312" w:before="360" w:after="0"/>
        <w:jc w:val="left"/>
        <w:rPr>
          <w:rFonts w:ascii="Times New Roman" w:hAnsi="Times New Roman"/>
          <w:b w:val="false"/>
          <w:i/>
          <w:sz w:val="20"/>
        </w:rPr>
      </w:pPr>
      <w:r>
        <w:rPr>
          <w:rFonts w:ascii="Times New Roman" w:hAnsi="Times New Roman"/>
          <w:b w:val="false"/>
          <w:i/>
          <w:sz w:val="20"/>
        </w:rPr>
        <w:t>Net Cash (Used in) Provided by Financing Activities.</w:t>
      </w:r>
    </w:p>
    <w:p>
      <w:pPr>
        <w:pStyle w:val="TextBody"/>
        <w:spacing w:lineRule="auto" w:line="312" w:before="120" w:after="0"/>
        <w:jc w:val="left"/>
        <w:rPr>
          <w:rFonts w:ascii="Times New Roman" w:hAnsi="Times New Roman"/>
          <w:sz w:val="20"/>
        </w:rPr>
      </w:pPr>
      <w:r>
        <w:rPr>
          <w:rFonts w:ascii="Times New Roman" w:hAnsi="Times New Roman"/>
          <w:b w:val="false"/>
          <w:sz w:val="20"/>
        </w:rPr>
        <w:t>Net cash used in financing activities in the six months ended June 30, 2021 primarily related to the payment of offering costs associated with the IPO of $0.5 million, offset by $0.2 million related to proceeds from stock option exercises.</w:t>
      </w:r>
      <w:r>
        <w:rPr>
          <w:rFonts w:ascii="Times New Roman" w:hAnsi="Times New Roman"/>
          <w:sz w:val="20"/>
        </w:rPr>
        <w:t xml:space="preserve">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Net cash provided by financing activities in the six months ended June 30, 2020 was related to net proceeds from issuance of Series E redeemable convertible preferred stock of $30.0 million.</w:t>
      </w:r>
    </w:p>
    <w:p>
      <w:pPr>
        <w:pStyle w:val="TextBody"/>
        <w:spacing w:lineRule="auto" w:line="312" w:before="360" w:after="0"/>
        <w:jc w:val="left"/>
        <w:rPr>
          <w:rFonts w:ascii="Times New Roman" w:hAnsi="Times New Roman"/>
          <w:b/>
          <w:sz w:val="20"/>
        </w:rPr>
      </w:pPr>
      <w:r>
        <w:rPr>
          <w:rFonts w:ascii="Times New Roman" w:hAnsi="Times New Roman"/>
          <w:b/>
          <w:sz w:val="20"/>
        </w:rPr>
        <w:t>Liquidity and Capital Resources</w:t>
      </w:r>
    </w:p>
    <w:p>
      <w:pPr>
        <w:pStyle w:val="TextBody"/>
        <w:spacing w:lineRule="auto" w:line="312" w:before="120" w:after="0"/>
        <w:jc w:val="left"/>
        <w:rPr>
          <w:rFonts w:ascii="Times New Roman" w:hAnsi="Times New Roman"/>
          <w:b/>
          <w:i/>
          <w:sz w:val="20"/>
        </w:rPr>
      </w:pPr>
      <w:r>
        <w:rPr>
          <w:rFonts w:ascii="Times New Roman" w:hAnsi="Times New Roman"/>
          <w:b/>
          <w:i/>
          <w:sz w:val="20"/>
        </w:rPr>
        <w:t>Sources of Liquidity</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Until our July 2021 IPO, our primary sources of capital had been private placements of redeemable convertible preferred stock, debt financing agreements and revenue from the sale of our products. From our inception through June 30, 2021, we raised an aggregate of approximately $117.3 million in net proceeds from the sale of our redeemable convertible preferred stock and borrowed $32.9 million of net proceeds under our term loans.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On July 19, 2021, the Company closed its initial public offering (“IPO”) of its common stock in which the Company issued and sold 10,000,000 shares of its common stock, and sold an additional 1,500,000 shares of common stock upon the full exercise of the underwriters’ option to purchase additional shares at $24.00 per share, raising approximately $253.0 million in proceeds, net of underwriting discounts and commissions of $19.3 million and estimated offering costs of $3.7 million, of which $3.3 million were incurred as of June 30, 2021.</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As of June 30, 2021, we had cash and cash equivalents of $35.6 million, an accumulated deficit of $119.9 million and $35.0 million outstanding under our term loan agreement (before debt discount). Based on our current planned operations, we expect our cash and cash equivalents and additional borrowings available under the 2020 Term Loan and the 2020 Revolver will enable us to fund our operations for at least the next twelve months.</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39</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i/>
          <w:sz w:val="20"/>
        </w:rPr>
      </w:pPr>
      <w:r>
        <w:rPr>
          <w:rFonts w:ascii="Times New Roman" w:hAnsi="Times New Roman"/>
          <w:b/>
          <w:i/>
          <w:sz w:val="20"/>
        </w:rPr>
        <w:t>MidCap Loan Agreements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In January 2019, we entered into a loan and security agreement, or the 2019 MidCap Credit Facility, with MidCap Financial Services, or the Lender, which provided for a term loan facility, or the 2019 Term Loan, and a revolving line of credit, or the 2019 Revolver. The original agreement included a maximum of $25.0 million credit facility consisting of a senior secured 2019 Term Loan of up to $20.0 million and a $5.0 million 2019 Revolver. In November 2020, we entered into a loan and security agreement, or the 2020 MidCap Credit Facility, with the Lender, which replaced the 2019 MidCap Credit Facility, and provided for a term loan facility, or the 2020 Term Loan, and a revolving line of credit, or the 2020 Revolver. The 2020 MidCap Credit Facility includes a maximum of $40.0 million credit facility consisting of a senior secured term loan of up to $35.0 million and a $5.0 million revolver.</w:t>
      </w:r>
    </w:p>
    <w:p>
      <w:pPr>
        <w:pStyle w:val="TextBody"/>
        <w:spacing w:lineRule="auto" w:line="312" w:before="360" w:after="0"/>
        <w:jc w:val="left"/>
        <w:rPr>
          <w:rFonts w:ascii="Times New Roman" w:hAnsi="Times New Roman"/>
          <w:b w:val="false"/>
          <w:sz w:val="20"/>
          <w:u w:val="single"/>
        </w:rPr>
      </w:pPr>
      <w:r>
        <w:rPr>
          <w:rFonts w:ascii="Times New Roman" w:hAnsi="Times New Roman"/>
          <w:b w:val="false"/>
          <w:sz w:val="20"/>
          <w:u w:val="single"/>
        </w:rPr>
        <w:t>2019 Term Loan</w:t>
      </w:r>
    </w:p>
    <w:p>
      <w:pPr>
        <w:pStyle w:val="TextBody"/>
        <w:spacing w:lineRule="auto" w:line="312" w:before="120" w:after="0"/>
        <w:jc w:val="left"/>
        <w:rPr>
          <w:rFonts w:ascii="Times New Roman" w:hAnsi="Times New Roman"/>
          <w:sz w:val="20"/>
        </w:rPr>
      </w:pPr>
      <w:r>
        <w:rPr>
          <w:rFonts w:ascii="Times New Roman" w:hAnsi="Times New Roman"/>
          <w:b w:val="false"/>
          <w:sz w:val="20"/>
        </w:rPr>
        <w:t>The 2019 Term Loan had a four-year term and a stated floating interest rate which equated to reserve-adjusted LIBOR, </w:t>
      </w:r>
      <w:r>
        <w:rPr>
          <w:rFonts w:ascii="Times New Roman" w:hAnsi="Times New Roman"/>
          <w:b w:val="false"/>
          <w:i/>
          <w:sz w:val="20"/>
        </w:rPr>
        <w:t>plus</w:t>
      </w:r>
      <w:r>
        <w:rPr>
          <w:rFonts w:ascii="Times New Roman" w:hAnsi="Times New Roman"/>
          <w:sz w:val="20"/>
        </w:rPr>
        <w:t> </w:t>
      </w:r>
      <w:r>
        <w:rPr>
          <w:rFonts w:ascii="Times New Roman" w:hAnsi="Times New Roman"/>
          <w:b w:val="false"/>
          <w:sz w:val="20"/>
        </w:rPr>
        <w:t>6.75%. Under certain circumstances, the floating interest rate could have been based on the prime rate instead of LIBOR. The Term Loan was split into three tranches as follows: (i) the Tranche One Loans provided for $12.0 million in term loans, (ii) the Tranche Two Loans provided for up to $2.0 million in term loans, and (iii) the Tranche Three Loans provided for up to $6.0 million in term loans. We borrowed $14.0 million under the Tranche One Loans and Tranche Two Loans. Although the conditions necessary to draw the Tranche Three Loans had been met as of December 31, 2019, we did not draw the Tranche Three Term Loans. The 2019 Term Loan required 18 interest only payments, which began on January 31, 2019, followed by 30 equal monthly installments of principal, plus interest. The interest-only period was extended by an additional six months upon achievement of a milestone defined in the agreement with respect to the Tranche Three Loans.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incurred $1.5 million of issuance costs in conjunction with the 2019 Term Loan which were netted against the borrowed funds in the balance sheet and were being accreted using the effective interest method as interest expense over the contractual period of four years. The 2019 Term Loan had an effective interest rate of 14.52% per year.</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conjunction with the funding of Tranche One Loans and Tranche Two Loans under the 2019 Term Loan, we issued a 10-year warrant to the Lender to purchase 29,514 shares of our Series C redeemable convertible preferred stock, or the 2019 MidCap Warrants, at an exercise price of $9.4868 per share.</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estimated fair value of the 2019 MidCap Warrants was $0.2 million. The 2019 MidCap Warrants were recorded at the fair value as a debt discount and as a warrant liability. The debt discount was being accreted using the effective interest method as interest expense over the contractual period of four years for the 2019 Term Loan.</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2019 Term Loan granted us the right to voluntarily prepay the borrowings in full, with a prepayment premium beginning at 3.0% in the first year from tranche funding and declining to 2.0% in the second year from tranche funding, to 1.0% in the third year from tranche funding thereafter. In addition, a final payment fee of 5% of the original Tranche One Loans and Tranche Two Loans amounts borrowed was payable at the end of the term or when the borrowings are repaid in full. The borrowings were collateralized by a security interest in substantially all of our assets.</w:t>
      </w:r>
    </w:p>
    <w:p>
      <w:pPr>
        <w:pStyle w:val="TextBody"/>
        <w:spacing w:lineRule="auto" w:line="312" w:before="240" w:after="0"/>
        <w:jc w:val="left"/>
        <w:rPr>
          <w:rFonts w:ascii="Times New Roman" w:hAnsi="Times New Roman"/>
          <w:sz w:val="20"/>
        </w:rPr>
      </w:pPr>
      <w:r>
        <w:rPr>
          <w:rFonts w:ascii="Times New Roman" w:hAnsi="Times New Roman"/>
          <w:b w:val="false"/>
          <w:sz w:val="20"/>
        </w:rPr>
        <w:t>The 2019 Term Loan terms included making us subject to financial covenants related to minimum trailing net revenue targets that began on January 1, 2019 and were tested on a monthly basis.</w:t>
      </w:r>
      <w:r>
        <w:rPr>
          <w:rFonts w:ascii="Times New Roman" w:hAnsi="Times New Roman"/>
          <w:sz w:val="20"/>
        </w:rPr>
        <w:t xml:space="preserve"> </w:t>
      </w:r>
    </w:p>
    <w:p>
      <w:pPr>
        <w:pStyle w:val="TextBody"/>
        <w:spacing w:lineRule="auto" w:line="312" w:before="360" w:after="0"/>
        <w:jc w:val="left"/>
        <w:rPr>
          <w:rFonts w:ascii="Times New Roman" w:hAnsi="Times New Roman"/>
          <w:b w:val="false"/>
          <w:sz w:val="20"/>
          <w:u w:val="single"/>
        </w:rPr>
      </w:pPr>
      <w:r>
        <w:rPr>
          <w:rFonts w:ascii="Times New Roman" w:hAnsi="Times New Roman"/>
          <w:b w:val="false"/>
          <w:sz w:val="20"/>
          <w:u w:val="single"/>
        </w:rPr>
        <w:t>2019 Revolver</w:t>
      </w:r>
    </w:p>
    <w:p>
      <w:pPr>
        <w:pStyle w:val="TextBody"/>
        <w:spacing w:lineRule="auto" w:line="312" w:before="120" w:after="0"/>
        <w:jc w:val="left"/>
        <w:rPr>
          <w:rFonts w:ascii="Times New Roman" w:hAnsi="Times New Roman"/>
          <w:sz w:val="20"/>
        </w:rPr>
      </w:pPr>
      <w:r>
        <w:rPr>
          <w:rFonts w:ascii="Times New Roman" w:hAnsi="Times New Roman"/>
          <w:b w:val="false"/>
          <w:sz w:val="20"/>
        </w:rPr>
        <w:t>The 2019 Revolver had a four-year term and had a stated floating interest rate which equated to reserve-adjusted LIBOR, </w:t>
      </w:r>
      <w:r>
        <w:rPr>
          <w:rFonts w:ascii="Times New Roman" w:hAnsi="Times New Roman"/>
          <w:b w:val="false"/>
          <w:i/>
          <w:sz w:val="20"/>
        </w:rPr>
        <w:t>plus</w:t>
      </w:r>
      <w:r>
        <w:rPr>
          <w:rFonts w:ascii="Times New Roman" w:hAnsi="Times New Roman"/>
          <w:sz w:val="20"/>
        </w:rPr>
        <w:t> </w:t>
      </w:r>
      <w:r>
        <w:rPr>
          <w:rFonts w:ascii="Times New Roman" w:hAnsi="Times New Roman"/>
          <w:b w:val="false"/>
          <w:sz w:val="20"/>
        </w:rPr>
        <w:t>4.25%. Under certain circumstances, the floating interest rate could have been based on the prime rate instead of LIBOR. An unused line fee of 0.5% was payable monthly based on the average unused balance and a collateral management fee of 0.5% was payable monthly based on the outstanding balance of the 2019 Revolver. We could have requested to increase the 2019 Revolver commitment amount to $10.0 million under the terms of the agreement. As of December 31, 2019, $4.0 million was available to be drawn under the 2019 Revolver.</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40</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2019 Revolver provided for a prepayment premium equal to an amount determined by multiplying the commitment amount by 3.0% in the first year, 2.0% in year 2, and 1.0% thereafter.</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2019 Revolver had not been drawn upon as of December 31, 2019.</w:t>
      </w:r>
    </w:p>
    <w:p>
      <w:pPr>
        <w:pStyle w:val="TextBody"/>
        <w:spacing w:lineRule="auto" w:line="312" w:before="360" w:after="0"/>
        <w:jc w:val="left"/>
        <w:rPr>
          <w:rFonts w:ascii="Times New Roman" w:hAnsi="Times New Roman"/>
          <w:b/>
          <w:i/>
          <w:sz w:val="20"/>
        </w:rPr>
      </w:pPr>
      <w:r>
        <w:rPr>
          <w:rFonts w:ascii="Times New Roman" w:hAnsi="Times New Roman"/>
          <w:b/>
          <w:i/>
          <w:sz w:val="20"/>
        </w:rPr>
        <w:t>2020 Amendment to MidCap Loan Agreements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In November 2020, we amended the 2019 Term Loan and 2019 Revolver agreements, which resulted in an increase to our term loan borrowing availability, an extension of maturities and non-amortization periods, and changes to a number of other terms and conditions as summarized below.</w:t>
      </w:r>
    </w:p>
    <w:p>
      <w:pPr>
        <w:pStyle w:val="TextBody"/>
        <w:spacing w:lineRule="auto" w:line="312" w:before="360" w:after="0"/>
        <w:jc w:val="left"/>
        <w:rPr>
          <w:rFonts w:ascii="Times New Roman" w:hAnsi="Times New Roman"/>
          <w:b w:val="false"/>
          <w:sz w:val="20"/>
          <w:u w:val="single"/>
        </w:rPr>
      </w:pPr>
      <w:r>
        <w:rPr>
          <w:rFonts w:ascii="Times New Roman" w:hAnsi="Times New Roman"/>
          <w:b w:val="false"/>
          <w:sz w:val="20"/>
          <w:u w:val="single"/>
        </w:rPr>
        <w:t>2020 Term Loan</w:t>
      </w:r>
    </w:p>
    <w:p>
      <w:pPr>
        <w:pStyle w:val="TextBody"/>
        <w:spacing w:lineRule="auto" w:line="312" w:before="120" w:after="0"/>
        <w:jc w:val="left"/>
        <w:rPr>
          <w:rFonts w:ascii="Times New Roman" w:hAnsi="Times New Roman"/>
          <w:sz w:val="20"/>
        </w:rPr>
      </w:pPr>
      <w:r>
        <w:rPr>
          <w:rFonts w:ascii="Times New Roman" w:hAnsi="Times New Roman"/>
          <w:b w:val="false"/>
          <w:sz w:val="20"/>
        </w:rPr>
        <w:t>The amended term loan extended the maturity date to November 1, 2025 and increased the stated floating interest rate to reserve-adjusted LIBOR, </w:t>
      </w:r>
      <w:r>
        <w:rPr>
          <w:rFonts w:ascii="Times New Roman" w:hAnsi="Times New Roman"/>
          <w:b w:val="false"/>
          <w:i/>
          <w:sz w:val="20"/>
        </w:rPr>
        <w:t>plus </w:t>
      </w:r>
      <w:r>
        <w:rPr>
          <w:rFonts w:ascii="Times New Roman" w:hAnsi="Times New Roman"/>
          <w:b w:val="false"/>
          <w:sz w:val="20"/>
        </w:rPr>
        <w:t>7.00%. Outstanding principal amounts of Tranche One Loans and Tranche Two Loans borrowed under the 2019 Term Loan were designated as Tranche One Loans and Tranche Two Loans under the 2020 Term Loan, and the Tranche Three Loans commitment amount was increased to $21.0 million. We drew the entire commitment amount of the Tranche Three Loans in November 2020. The 2020 Term Loan begins to amortize on December 1, 2022, and, if certain conditions are met, the initiation of the amortization period can be extended to December 1, 2023 or December 1, 2024. In addition, the final payment fee was increased to 6.0%. We are subject to financial covenants related to minimum trailing revenue targets that began on November 30, 2020, and are tested on a monthly basis. As of December 31, 2020 and June 30, 2021, the Company was in compliance with the applicable financial covenant.</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incurred $0.7 million of issuance costs in conjunction with the 2020 Term Loan which were netted against the borrowed funds in the balance sheet and are being accreted using the effective interest method as interest expense over the contractual period of five years. The 2020 Term Loan had an effective interest rate of 13.59% per year.</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conjunction with the funding of the 2020 Term Loan, we issued a 10-year warrant to the Lender to purchase 300,000 shares of our Series F redeemable convertible preferred stock at an exercise price of $21.8779 per share, or the 2020 MidCap Warrant, with the estimated fair value of $1.8 million. The 2020 MidCap Warrants were recorded at the fair value as a debt discount and as a warrant liability. The debt discount is being accreted using the effective interest method as interest expense over the contractual period of four years for the 2020 Term Loan.</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Other key terms of the 2020 Term Loan remained substantially unchanged compared to those of the 2019 Term Loan.</w:t>
      </w:r>
    </w:p>
    <w:p>
      <w:pPr>
        <w:pStyle w:val="TextBody"/>
        <w:spacing w:lineRule="auto" w:line="312" w:before="360" w:after="0"/>
        <w:jc w:val="left"/>
        <w:rPr>
          <w:rFonts w:ascii="Times New Roman" w:hAnsi="Times New Roman"/>
          <w:b w:val="false"/>
          <w:sz w:val="20"/>
          <w:u w:val="single"/>
        </w:rPr>
      </w:pPr>
      <w:r>
        <w:rPr>
          <w:rFonts w:ascii="Times New Roman" w:hAnsi="Times New Roman"/>
          <w:b w:val="false"/>
          <w:sz w:val="20"/>
          <w:u w:val="single"/>
        </w:rPr>
        <w:t>2020 Revolver</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2020 Revolver extended maturity date to November 1, 2025 and increased the stated floating interest rate to reserve-adjusted LIBOR plus 4.50%. As of December 30, 2020, $4.8 million was available to be drawn under the 2020 Revolver which remains undrawn upon.</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Our obligations under the 2020 Term Loan and the 2020 Revolver are guaranteed by us and our future subsidiaries, subject to exceptions for certain foreign subsidiaries. Our obligations under the agreements are secured by substantially all of our assets, including our material intellectual property. Additionally, we are subject to customary affirmative and negative covenants, including covenants that limit or restrict the ability of us to, among other things, incur indebtedness, grant liens, merge or consolidate, make investments, dispose of assets, make acquisitions, pay dividends or make distributions, repurchase stock and enter into certain transactions with affiliates, in each case subject to certain exceptions.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Other key terms of the 2020 Revolver remained substantially unchanged compared to those of 2019 Revolver.</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41</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2020 Term Loan and the 2020 Revolver each contain events of default that include, among others, non-payment of principal, interest or fees, breach of covenants, inaccuracy of representations and warranties, cross-defaults and bankruptcy and insolvency events.</w:t>
      </w:r>
    </w:p>
    <w:p>
      <w:pPr>
        <w:pStyle w:val="TextBody"/>
        <w:spacing w:lineRule="auto" w:line="312" w:before="360" w:after="0"/>
        <w:jc w:val="left"/>
        <w:rPr>
          <w:rFonts w:ascii="Times New Roman" w:hAnsi="Times New Roman"/>
          <w:b/>
          <w:i/>
          <w:sz w:val="20"/>
        </w:rPr>
      </w:pPr>
      <w:r>
        <w:rPr>
          <w:rFonts w:ascii="Times New Roman" w:hAnsi="Times New Roman"/>
          <w:b/>
          <w:i/>
          <w:sz w:val="20"/>
        </w:rPr>
        <w:t>Paycheck Protection Program Loan</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In May 2020, we received a loan of $2.2 million pursuant to the Paycheck Protection Program, or PPP, under the CARES Act. The Small Business Administration required that PPP loans only be used for eligible payroll costs, business mortgage interest payments, rent or utilities. Per SBA guidelines, we would be eligible to apply for loan forgiveness if we used the loan proceeds for acceptable expenses during the 8-week period after disbursement. We believe we have satisfied all of the terms and conditions of the PPP loan and applied for loan forgiveness in September 2020. The PPP loan was forgiven in June 2021. The Company has elected to recognize this government grant income as a reduction of the related expenses.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connection with the PPP loan, we executed a promissory note in favor of Bank of America. Because the SBA confirmed full and complete forgiveness of the unpaid balance of the PPP loan and reimbursed Bank of America for the total outstanding balance, principal and interest, our obligations under the PPP loan are deemed fully satisfied and paid in full.</w:t>
      </w:r>
    </w:p>
    <w:p>
      <w:pPr>
        <w:pStyle w:val="TextBody"/>
        <w:spacing w:lineRule="auto" w:line="312" w:before="360" w:after="0"/>
        <w:jc w:val="left"/>
        <w:rPr>
          <w:rFonts w:ascii="Times New Roman" w:hAnsi="Times New Roman"/>
          <w:b/>
          <w:i/>
          <w:sz w:val="20"/>
        </w:rPr>
      </w:pPr>
      <w:r>
        <w:rPr>
          <w:rFonts w:ascii="Times New Roman" w:hAnsi="Times New Roman"/>
          <w:b/>
          <w:i/>
          <w:sz w:val="20"/>
        </w:rPr>
        <w:t>Lease Agreements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corporate headquarters are located in Menlo Park, California, where we lease approximately 10,823 square feet of office, research and development, engineering and laboratory space which is currently pursuant to a sublease agreement which was effective as of September 17, 2019 and expires on July 31, 2021. Effective August 1, 2021, we will remain in the same space under a new lease agreement with the direct landlord to that space which will extend through August 31, 2024. We also lease approximately 2,040 square feet of office space, which is primarily used by our commercial leadership team, in Southlake, Texas, pursuant to a lease that commenced on April 30, 2019 and expires on May 15, 2024.</w:t>
      </w:r>
    </w:p>
    <w:p>
      <w:pPr>
        <w:pStyle w:val="TextBody"/>
        <w:spacing w:lineRule="auto" w:line="312" w:before="360" w:after="0"/>
        <w:jc w:val="left"/>
        <w:rPr>
          <w:rFonts w:ascii="Times New Roman" w:hAnsi="Times New Roman"/>
          <w:b/>
          <w:sz w:val="20"/>
        </w:rPr>
      </w:pPr>
      <w:r>
        <w:rPr>
          <w:rFonts w:ascii="Times New Roman" w:hAnsi="Times New Roman"/>
          <w:b/>
          <w:sz w:val="20"/>
        </w:rPr>
        <w:t>Critical Accounting Policies and Estimates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condensed consolidated financial statements included elsewhere in this Quarterly Report on Form 10-Q are prepared in accordance with GAAP. The preparation of these condensed consolidated financial statements requires us to make estimates and assumptions that affect the reported amounts of assets, liabilities, revenues,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and stock-based compensation have the greatest potential impact on our condensed consolidated financial statements. Therefore, we consider these to be our critical accounting policies and estimates.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There have been no material changes to our critical accounting policies and estimates as compared to the critical accounting policies and estimates described in our consolidated financial statements for the year ended December 31, 2020, included under the heading “Management’s Discussion and Analysis of Financial Condition and Results of Operations—Critical Accounting Policies and Estimates” in the Prospectus and in and in Note 2 to our condensed consolidated financial statements appearing elsewhere in this Quarterly Report on Form 10-Q.</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42</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sz w:val="20"/>
        </w:rPr>
      </w:pPr>
      <w:r>
        <w:rPr>
          <w:rFonts w:ascii="Times New Roman" w:hAnsi="Times New Roman"/>
          <w:b/>
          <w:sz w:val="20"/>
        </w:rPr>
        <w:t>JOBS Act Accounting Election</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Jumpstart Our Business Startups Act of 2012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pStyle w:val="TextBody"/>
        <w:spacing w:lineRule="auto" w:line="312" w:before="360" w:after="0"/>
        <w:jc w:val="left"/>
        <w:rPr>
          <w:rFonts w:ascii="Times New Roman" w:hAnsi="Times New Roman"/>
          <w:b/>
          <w:sz w:val="20"/>
        </w:rPr>
      </w:pPr>
      <w:r>
        <w:rPr>
          <w:rFonts w:ascii="Times New Roman" w:hAnsi="Times New Roman"/>
          <w:b/>
          <w:sz w:val="20"/>
        </w:rPr>
        <w:t>Recently Issued Accounting Pronouncements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See Note 2 to our condensed consolidated financial statements included elsewhere in this prospectus for new accounting pronouncements not yet adopted as of the date of this Quarterly Report on Form 10-Q.</w:t>
      </w:r>
    </w:p>
    <w:p>
      <w:pPr>
        <w:pStyle w:val="TextBody"/>
        <w:spacing w:lineRule="auto" w:line="312" w:before="360" w:after="0"/>
        <w:jc w:val="left"/>
        <w:rPr>
          <w:rFonts w:ascii="Times New Roman" w:hAnsi="Times New Roman"/>
          <w:b/>
          <w:sz w:val="20"/>
        </w:rPr>
      </w:pPr>
      <w:bookmarkStart w:id="11" w:name="item_3_quantitative_and_qualitative"/>
      <w:bookmarkEnd w:id="11"/>
      <w:r>
        <w:rPr>
          <w:rFonts w:ascii="Times New Roman" w:hAnsi="Times New Roman"/>
          <w:b/>
          <w:sz w:val="20"/>
        </w:rPr>
        <w:t>Item 3. Quantitative and Qualitative Disclosures About Market Risk.</w:t>
      </w:r>
    </w:p>
    <w:p>
      <w:pPr>
        <w:pStyle w:val="TextBody"/>
        <w:spacing w:lineRule="auto" w:line="312" w:before="120" w:after="0"/>
        <w:jc w:val="left"/>
        <w:rPr>
          <w:rFonts w:ascii="Times New Roman" w:hAnsi="Times New Roman"/>
          <w:b w:val="false"/>
          <w:i/>
          <w:sz w:val="20"/>
        </w:rPr>
      </w:pPr>
      <w:r>
        <w:rPr>
          <w:rFonts w:ascii="Times New Roman" w:hAnsi="Times New Roman"/>
          <w:b w:val="false"/>
          <w:i/>
          <w:sz w:val="20"/>
        </w:rPr>
        <w:t>Interest Rate Risk</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risk associated with fluctuating interest rates is primarily limited to our cash equivalents, which are carried at quoted market prices. Due to the short-term maturities and low risk profile of our cash equivalents, an immediate 100 basis point change in interest rates would not have a material effect on the fair value of our cash equivalents. We do not currently use or plan to use financial derivatives in our investment portfolio. As of June 30, 2021, we had $35.0 million in variable rate debt outstanding. Our 2020 Term Loan bears interest per annum at 7.00% plus LIBOR for such interest period, and our 2020 Revolver bears interest per annum at 4.50% plus LIBOR for such interest period. A hypothetical change in interest rates of 10% would have resulted in a change of $0.2 million in interest expense in the six months ended June 31, 2021.</w:t>
      </w:r>
    </w:p>
    <w:p>
      <w:pPr>
        <w:pStyle w:val="TextBody"/>
        <w:spacing w:lineRule="auto" w:line="312" w:before="360" w:after="0"/>
        <w:jc w:val="left"/>
        <w:rPr>
          <w:rFonts w:ascii="Times New Roman" w:hAnsi="Times New Roman"/>
          <w:b w:val="false"/>
          <w:i/>
          <w:sz w:val="20"/>
        </w:rPr>
      </w:pPr>
      <w:r>
        <w:rPr>
          <w:rFonts w:ascii="Times New Roman" w:hAnsi="Times New Roman"/>
          <w:b w:val="false"/>
          <w:i/>
          <w:sz w:val="20"/>
        </w:rPr>
        <w:t>Foreign Currency Risk</w:t>
      </w:r>
    </w:p>
    <w:p>
      <w:pPr>
        <w:pStyle w:val="TextBody"/>
        <w:spacing w:lineRule="auto" w:line="312" w:before="120" w:after="0"/>
        <w:jc w:val="left"/>
        <w:rPr>
          <w:rFonts w:ascii="Times New Roman" w:hAnsi="Times New Roman"/>
          <w:sz w:val="20"/>
        </w:rPr>
      </w:pPr>
      <w:r>
        <w:rPr>
          <w:rFonts w:ascii="Times New Roman" w:hAnsi="Times New Roman"/>
          <w:b w:val="false"/>
          <w:sz w:val="20"/>
        </w:rPr>
        <w:t>Our business is primarily conducted in U.S. dollars. Any transactions that may be conducted in foreign currencies are not expected to have a material effect on our results of operations, financial position or cash flows.</w:t>
      </w:r>
      <w:r>
        <w:rPr>
          <w:rFonts w:ascii="Times New Roman" w:hAnsi="Times New Roman"/>
          <w:sz w:val="20"/>
        </w:rPr>
        <w:t xml:space="preserve"> </w:t>
      </w:r>
    </w:p>
    <w:p>
      <w:pPr>
        <w:pStyle w:val="TextBody"/>
        <w:spacing w:lineRule="auto" w:line="312" w:before="360" w:after="0"/>
        <w:jc w:val="left"/>
        <w:rPr>
          <w:rFonts w:ascii="Times New Roman" w:hAnsi="Times New Roman"/>
          <w:b/>
          <w:sz w:val="20"/>
        </w:rPr>
      </w:pPr>
      <w:bookmarkStart w:id="12" w:name="item_4_controls_and_procedures"/>
      <w:bookmarkEnd w:id="12"/>
      <w:r>
        <w:rPr>
          <w:rFonts w:ascii="Times New Roman" w:hAnsi="Times New Roman"/>
          <w:b/>
          <w:sz w:val="20"/>
        </w:rPr>
        <w:t>Item 4. Controls and Procedures.</w:t>
      </w:r>
    </w:p>
    <w:p>
      <w:pPr>
        <w:pStyle w:val="TextBody"/>
        <w:spacing w:lineRule="auto" w:line="312" w:before="120" w:after="0"/>
        <w:jc w:val="left"/>
        <w:rPr>
          <w:rFonts w:ascii="Times New Roman" w:hAnsi="Times New Roman"/>
          <w:b w:val="false"/>
          <w:i/>
          <w:sz w:val="20"/>
        </w:rPr>
      </w:pPr>
      <w:r>
        <w:rPr>
          <w:rFonts w:ascii="Times New Roman" w:hAnsi="Times New Roman"/>
          <w:b w:val="false"/>
          <w:i/>
          <w:sz w:val="20"/>
        </w:rPr>
        <w:t>Limitations of effectiveness of controls and procedures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spacing w:lineRule="auto" w:line="312" w:before="360" w:after="0"/>
        <w:jc w:val="left"/>
        <w:rPr>
          <w:rFonts w:ascii="Times New Roman" w:hAnsi="Times New Roman"/>
          <w:b w:val="false"/>
          <w:i/>
          <w:sz w:val="20"/>
        </w:rPr>
      </w:pPr>
      <w:r>
        <w:rPr>
          <w:rFonts w:ascii="Times New Roman" w:hAnsi="Times New Roman"/>
          <w:b w:val="false"/>
          <w:i/>
          <w:sz w:val="20"/>
        </w:rPr>
        <w:t>Management’s Evaluation of Our Disclosure Controls and Procedures</w:t>
      </w:r>
    </w:p>
    <w:p>
      <w:pPr>
        <w:pStyle w:val="TextBody"/>
        <w:spacing w:lineRule="auto" w:line="312" w:before="120" w:after="0"/>
        <w:jc w:val="left"/>
        <w:rPr>
          <w:rFonts w:ascii="Times New Roman" w:hAnsi="Times New Roman"/>
          <w:sz w:val="20"/>
        </w:rPr>
      </w:pPr>
      <w:r>
        <w:rPr>
          <w:rFonts w:ascii="Times New Roman" w:hAnsi="Times New Roman"/>
          <w:b w:val="false"/>
          <w:sz w:val="20"/>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w:t>
      </w:r>
      <w:r>
        <w:rPr>
          <w:rFonts w:ascii="Times New Roman" w:hAnsi="Times New Roman"/>
          <w:sz w:val="20"/>
        </w:rPr>
        <w:t xml:space="preserve">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Our management, with the participation of our principal executive officer and principal financial and accounting officer, evaluated the effectiveness of our disclosure controls and procedures (as defined in Rules 13a-15(e) and 15d-15(e) under the Exchange Act)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43</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val="false"/>
          <w:i/>
          <w:sz w:val="20"/>
        </w:rPr>
      </w:pPr>
      <w:r>
        <w:rPr>
          <w:rFonts w:ascii="Times New Roman" w:hAnsi="Times New Roman"/>
          <w:b w:val="false"/>
          <w:i/>
          <w:sz w:val="20"/>
        </w:rPr>
        <w:t>Material Weakness in Internal Control Over Financial Reporting</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In connection with the audit of our consolidated financial statements as of and for the year ended December 31,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determined that we had a material weakness because we did not maintain a sufficient full-time accounting personnel with requisite experience and deep technical accounting knowledge to (i) identify and resolve complex accounting issues under GAAP, and (ii) enable appropriate segregation of duties and reviews over the financial reviews over the financial close and reporting process.</w:t>
      </w:r>
    </w:p>
    <w:p>
      <w:pPr>
        <w:pStyle w:val="TextBody"/>
        <w:spacing w:lineRule="auto" w:line="312" w:before="360" w:after="0"/>
        <w:jc w:val="left"/>
        <w:rPr>
          <w:rFonts w:ascii="Times New Roman" w:hAnsi="Times New Roman"/>
          <w:b w:val="false"/>
          <w:i/>
          <w:sz w:val="20"/>
        </w:rPr>
      </w:pPr>
      <w:r>
        <w:rPr>
          <w:rFonts w:ascii="Times New Roman" w:hAnsi="Times New Roman"/>
          <w:b w:val="false"/>
          <w:i/>
          <w:sz w:val="20"/>
        </w:rPr>
        <w:t>Management’s Plan to Remediate the Material Weakness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With the oversight of senior management and our audit committee, we executed the implementation of remediation steps in the beginning of 2021. These efforts focused on (i) the hiring of personnel with technical accounting and financial reporting experience and (ii) the implementation of improved accounting and financial reporting procedures and systems to improve the completeness, timeliness and accuracy of our financial reporting and disclosures including the assessment of more judgmental areas of accounting. We are committed to continuing to improve our internal control processes and we will continue to diligently and vigorously review our financial reporting controls and procedures.</w:t>
      </w:r>
    </w:p>
    <w:p>
      <w:pPr>
        <w:pStyle w:val="TextBody"/>
        <w:spacing w:lineRule="auto" w:line="312" w:before="360" w:after="0"/>
        <w:jc w:val="left"/>
        <w:rPr>
          <w:rFonts w:ascii="Times New Roman" w:hAnsi="Times New Roman"/>
          <w:b w:val="false"/>
          <w:i/>
          <w:sz w:val="20"/>
        </w:rPr>
      </w:pPr>
      <w:r>
        <w:rPr>
          <w:rFonts w:ascii="Times New Roman" w:hAnsi="Times New Roman"/>
          <w:b w:val="false"/>
          <w:i/>
          <w:sz w:val="20"/>
        </w:rPr>
        <w:t>Changes in Internal Control over Financial Reporting</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pStyle w:val="TextBody"/>
        <w:spacing w:lineRule="auto" w:line="312" w:before="360" w:after="0"/>
        <w:jc w:val="center"/>
        <w:rPr>
          <w:rFonts w:ascii="Times New Roman" w:hAnsi="Times New Roman"/>
          <w:b/>
          <w:sz w:val="20"/>
        </w:rPr>
      </w:pPr>
      <w:bookmarkStart w:id="13" w:name="part_ii_other_information"/>
      <w:bookmarkEnd w:id="13"/>
      <w:r>
        <w:rPr>
          <w:rFonts w:ascii="Times New Roman" w:hAnsi="Times New Roman"/>
          <w:b/>
          <w:sz w:val="20"/>
        </w:rPr>
        <w:t>PART II—OTHER INFORMATION</w:t>
      </w:r>
    </w:p>
    <w:p>
      <w:pPr>
        <w:pStyle w:val="TextBody"/>
        <w:spacing w:lineRule="auto" w:line="312" w:before="120" w:after="0"/>
        <w:jc w:val="left"/>
        <w:rPr>
          <w:rFonts w:ascii="Times New Roman" w:hAnsi="Times New Roman"/>
          <w:b/>
          <w:sz w:val="20"/>
        </w:rPr>
      </w:pPr>
      <w:bookmarkStart w:id="14" w:name="item_1_legal_proceedings"/>
      <w:bookmarkEnd w:id="14"/>
      <w:r>
        <w:rPr>
          <w:rFonts w:ascii="Times New Roman" w:hAnsi="Times New Roman"/>
          <w:b/>
          <w:sz w:val="20"/>
        </w:rPr>
        <w:t>Item 1. Legal Proceedings.</w:t>
      </w:r>
    </w:p>
    <w:p>
      <w:pPr>
        <w:pStyle w:val="TextBody"/>
        <w:spacing w:lineRule="auto" w:line="312" w:before="120" w:after="0"/>
        <w:jc w:val="left"/>
        <w:rPr>
          <w:rFonts w:ascii="Times New Roman" w:hAnsi="Times New Roman"/>
          <w:sz w:val="20"/>
        </w:rPr>
      </w:pPr>
      <w:r>
        <w:rPr>
          <w:rFonts w:ascii="Times New Roman" w:hAnsi="Times New Roman"/>
          <w:b w:val="false"/>
          <w:sz w:val="20"/>
        </w:rPr>
        <w:t>We are not currently a party to any material legal proceedings.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effectiveness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business, financial condition and results of operations. Additionally, any such claims, whether or not successful, could damage our reputation and business.</w:t>
      </w:r>
      <w:r>
        <w:rPr>
          <w:rFonts w:ascii="Times New Roman" w:hAnsi="Times New Roman"/>
          <w:sz w:val="20"/>
        </w:rPr>
        <w:t xml:space="preserve"> </w:t>
      </w:r>
    </w:p>
    <w:p>
      <w:pPr>
        <w:pStyle w:val="TextBody"/>
        <w:spacing w:lineRule="auto" w:line="312" w:before="360" w:after="0"/>
        <w:jc w:val="left"/>
        <w:rPr>
          <w:rFonts w:ascii="Times New Roman" w:hAnsi="Times New Roman"/>
          <w:b/>
          <w:sz w:val="20"/>
        </w:rPr>
      </w:pPr>
      <w:bookmarkStart w:id="15" w:name="item_1a_risk_factors"/>
      <w:bookmarkEnd w:id="15"/>
      <w:r>
        <w:rPr>
          <w:rFonts w:ascii="Times New Roman" w:hAnsi="Times New Roman"/>
          <w:b/>
          <w:sz w:val="20"/>
        </w:rPr>
        <w:t>Item 1A. Risk Factors.</w:t>
      </w:r>
    </w:p>
    <w:p>
      <w:pPr>
        <w:pStyle w:val="TextBody"/>
        <w:spacing w:lineRule="auto" w:line="312" w:before="120" w:after="0"/>
        <w:jc w:val="left"/>
        <w:rPr>
          <w:rFonts w:ascii="Times New Roman" w:hAnsi="Times New Roman"/>
          <w:sz w:val="20"/>
        </w:rPr>
      </w:pPr>
      <w:r>
        <w:rPr>
          <w:rFonts w:ascii="Times New Roman" w:hAnsi="Times New Roman"/>
          <w:b w:val="false"/>
          <w:sz w:val="20"/>
        </w:rPr>
        <w:t>Investing in our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condensed consolidated financial statements and the accompanying notes thereto included elsewhere in this Quarterly Report on Form 10-Q, before investing in our common stock. Many of the risks and uncertainties are, and will be, exacerbated by the COVID-19 pandemic and any worsening of the global business and economic environment as a result.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44</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sz w:val="20"/>
        </w:rPr>
      </w:pPr>
      <w:r>
        <w:rPr>
          <w:rFonts w:ascii="Times New Roman" w:hAnsi="Times New Roman"/>
          <w:b w:val="false"/>
          <w:sz w:val="20"/>
        </w:rPr>
        <w:t>prospects, as well as our ability to accomplish our strategic objectives. In that event, the market price of our common stock could decline and you could lose part or all of your investment.</w:t>
      </w:r>
      <w:r>
        <w:rPr>
          <w:rFonts w:ascii="Times New Roman" w:hAnsi="Times New Roman"/>
          <w:sz w:val="20"/>
        </w:rPr>
        <w:t xml:space="preserve"> </w:t>
      </w:r>
    </w:p>
    <w:p>
      <w:pPr>
        <w:pStyle w:val="TextBody"/>
        <w:spacing w:lineRule="auto" w:line="312" w:before="360" w:after="0"/>
        <w:jc w:val="left"/>
        <w:rPr>
          <w:rFonts w:ascii="Times New Roman" w:hAnsi="Times New Roman"/>
          <w:sz w:val="20"/>
        </w:rPr>
      </w:pPr>
      <w:r>
        <w:rPr>
          <w:rFonts w:ascii="Times New Roman" w:hAnsi="Times New Roman"/>
          <w:b/>
          <w:sz w:val="20"/>
        </w:rPr>
        <w:t>Risks Related to Our Business</w:t>
      </w:r>
      <w:r>
        <w:rPr>
          <w:rFonts w:ascii="Times New Roman" w:hAnsi="Times New Roman"/>
          <w:sz w:val="20"/>
        </w:rPr>
        <w:t xml:space="preserve"> </w:t>
      </w:r>
    </w:p>
    <w:p>
      <w:pPr>
        <w:pStyle w:val="TextBody"/>
        <w:spacing w:lineRule="auto" w:line="312" w:before="120" w:after="0"/>
        <w:jc w:val="left"/>
        <w:rPr>
          <w:rFonts w:ascii="Times New Roman" w:hAnsi="Times New Roman"/>
          <w:b/>
          <w:i/>
          <w:sz w:val="20"/>
        </w:rPr>
      </w:pPr>
      <w:r>
        <w:rPr>
          <w:rFonts w:ascii="Times New Roman" w:hAnsi="Times New Roman"/>
          <w:b/>
          <w:i/>
          <w:sz w:val="20"/>
        </w:rPr>
        <w:t>We are an early-stage company with a history of significant losses, we expect to incur losses in the future and we may not be able to achieve or sustain profitability.</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have incurred annual net losses since our formation in 2010. For the years ended December 31, 2018, 2019 and 2020, we had net losses of $14.3 million, $25.9 million and $34.7 million, respectively, and for the six months ended June 30, 2020 and 2021 we had net losses of $17.5 million and $29.9 million, respectively. As of June 30, 2021, we had an accumulated deficit of $119.9 million. To date, we have financed our operations primarily through equity and debt financings and from sales of our products, the OMNI Surgical System, or OMNI, a device that enables canaloplasty followed by trabeculotomy for the reduction of intraocular pressure in adult patients with primary open-angle glaucoma, or POAG, and our TearCare System, or TearCare, to apply localized heat where the medical community recommends the application of warm compress to the eyelids, as well as predicates to OMNI. The losses and accumulated deficit have primarily been due to the substantial investments we have made to develop our products, costs related to our sales and marketing efforts, general research and development expenses, including costs related to clinical trials and regulatory initiatives to obtain marketing clearance, and infrastructure improvements.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as a public company, we incur significant legal, accounting and other expenses that we did not incur as a private company. Accordingly, we expect to continue to incur losses for the foreseeable future and we cannot assure you that we will ever achieve profitability or that, if we do become profitable, we will sustain profitability. Our failure to achieve and sustain profitability in the future would make it more difficult to finance our business and accomplish our strategic objectives, which would have a material adverse effect on our business, financial condition and results of operations. In addition, failure of our products to significantly penetrate our target markets would negatively affect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Our revenue has been primarily generated from the sales of our products and is expected to continue to be so generated for the near future, and we are therefore highly dependent on the success of those products, and particularly on OMNI. We have limited commercial sales experience regarding our products, which makes it difficult to evaluate our current business, predict our future prospects and forecast our financial performance and growth.</w:t>
      </w:r>
    </w:p>
    <w:p>
      <w:pPr>
        <w:pStyle w:val="TextBody"/>
        <w:spacing w:lineRule="auto" w:line="312" w:before="120" w:after="0"/>
        <w:jc w:val="left"/>
        <w:rPr>
          <w:rFonts w:ascii="Times New Roman" w:hAnsi="Times New Roman"/>
          <w:sz w:val="20"/>
        </w:rPr>
      </w:pPr>
      <w:r>
        <w:rPr>
          <w:rFonts w:ascii="Times New Roman" w:hAnsi="Times New Roman"/>
          <w:b w:val="false"/>
          <w:sz w:val="20"/>
        </w:rPr>
        <w:t>We began selling VISCO360 and TRAB360, commercial predicate devices to OMNI, in 2015 and TearCare in 2019 and therefore do not have a long history operating as a commercial company. Currently, we are highly dependent on the success of OMNI and TearCare. To date, our revenue has primarily been derived, and we expect it to continue to be substantially derived in the near future, from sales of our Surgical Glaucoma and Dry Eye products. We are particularly dependent on the success of OMNI, which accounted for 94% of our total</w:t>
      </w:r>
      <w:r>
        <w:rPr>
          <w:rFonts w:ascii="Times New Roman" w:hAnsi="Times New Roman"/>
          <w:sz w:val="20"/>
        </w:rPr>
        <w:t> </w:t>
      </w:r>
      <w:r>
        <w:rPr>
          <w:rFonts w:ascii="Times New Roman" w:hAnsi="Times New Roman"/>
          <w:b w:val="false"/>
          <w:sz w:val="20"/>
        </w:rPr>
        <w:t>revenues for the year ended December 31, 2020. Because we devote substantially all of our resources to these products and rely on them as our sole source of revenue, any factors that negatively impact our products, and particularly OMNI, or result in a decrease in sales, could have a material adverse effect on our business, financial condition and results of operations.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Over the next several years, we expect to continue to devote a substantial amount of resources to expand our commercialization efforts, drive increased adoption of our products and continue to develop new and improved products. Our limited commercialization experience and limited number of products make it difficult to evaluate our current business and predict our future prospects. These factors also make it difficult for us to forecast our future financial performance and growth, and such forecasts are subject to a number of uncertainties, including our ability to successfully complete preclinical studies and clinical trials and obtain FDA pre-market clearance for our current products and for future planned products or changes to existing products.</w:t>
      </w:r>
    </w:p>
    <w:p>
      <w:pPr>
        <w:pStyle w:val="TextBody"/>
        <w:spacing w:lineRule="auto" w:line="312" w:before="240" w:after="0"/>
        <w:jc w:val="left"/>
        <w:rPr>
          <w:rFonts w:ascii="Times New Roman" w:hAnsi="Times New Roman"/>
          <w:sz w:val="20"/>
        </w:rPr>
      </w:pPr>
      <w:r>
        <w:rPr>
          <w:rFonts w:ascii="Times New Roman" w:hAnsi="Times New Roman"/>
          <w:b w:val="false"/>
          <w:sz w:val="20"/>
        </w:rPr>
        <w:t>Ophthalmologist and optometrist (together, eyecare professionals or ECPs) awareness of, and experience with, our products is currently limited. As a result, our products have limited product and brand recognition within the ophthalmic industry. The novelty of our products, together with our limited commercialization experience, makes it</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45</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difficult to evaluate our current business and predict our future prospects. A number of factors, including some outside of our control, may contribute to fluctuations in our financial results, including:</w:t>
      </w:r>
    </w:p>
    <w:p>
      <w:pPr>
        <w:pStyle w:val="TextBody"/>
        <w:spacing w:lineRule="auto" w:line="312" w:before="0" w:after="0"/>
        <w:jc w:val="left"/>
        <w:rPr/>
      </w:pPr>
      <w:r>
        <w:rPr/>
        <w:t> </w:t>
      </w:r>
    </w:p>
    <w:tbl>
      <w:tblPr>
        <w:tblW w:w="4119" w:type="dxa"/>
        <w:jc w:val="left"/>
        <w:tblInd w:w="0" w:type="dxa"/>
        <w:tblCellMar>
          <w:top w:w="28" w:type="dxa"/>
          <w:left w:w="28" w:type="dxa"/>
          <w:bottom w:w="28" w:type="dxa"/>
          <w:right w:w="28" w:type="dxa"/>
        </w:tblCellMar>
      </w:tblPr>
      <w:tblGrid>
        <w:gridCol w:w="161"/>
        <w:gridCol w:w="256"/>
        <w:gridCol w:w="146"/>
        <w:gridCol w:w="355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5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ECP and patient demand for our products;</w:t>
            </w:r>
          </w:p>
        </w:tc>
      </w:tr>
    </w:tbl>
    <w:p>
      <w:pPr>
        <w:pStyle w:val="TextBody"/>
        <w:spacing w:lineRule="auto" w:line="312" w:before="0" w:after="0"/>
        <w:jc w:val="left"/>
        <w:rPr/>
      </w:pPr>
      <w:r>
        <w:rPr/>
        <w:t> </w:t>
      </w:r>
    </w:p>
    <w:tbl>
      <w:tblPr>
        <w:tblW w:w="9294" w:type="dxa"/>
        <w:jc w:val="left"/>
        <w:tblInd w:w="0" w:type="dxa"/>
        <w:tblCellMar>
          <w:top w:w="28" w:type="dxa"/>
          <w:left w:w="28" w:type="dxa"/>
          <w:bottom w:w="28" w:type="dxa"/>
          <w:right w:w="28" w:type="dxa"/>
        </w:tblCellMar>
      </w:tblPr>
      <w:tblGrid>
        <w:gridCol w:w="161"/>
        <w:gridCol w:w="256"/>
        <w:gridCol w:w="146"/>
        <w:gridCol w:w="873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3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7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ability to obtain and maintain reimbursement coverage for procedures in which our products are used;</w:t>
            </w:r>
          </w:p>
        </w:tc>
      </w:tr>
    </w:tbl>
    <w:p>
      <w:pPr>
        <w:pStyle w:val="TextBody"/>
        <w:spacing w:lineRule="auto" w:line="312" w:before="0" w:after="0"/>
        <w:jc w:val="left"/>
        <w:rPr/>
      </w:pPr>
      <w:r>
        <w:rPr/>
        <w:t> </w:t>
      </w:r>
    </w:p>
    <w:tbl>
      <w:tblPr>
        <w:tblW w:w="6414" w:type="dxa"/>
        <w:jc w:val="left"/>
        <w:tblInd w:w="0" w:type="dxa"/>
        <w:tblCellMar>
          <w:top w:w="28" w:type="dxa"/>
          <w:left w:w="28" w:type="dxa"/>
          <w:bottom w:w="28" w:type="dxa"/>
          <w:right w:w="28" w:type="dxa"/>
        </w:tblCellMar>
      </w:tblPr>
      <w:tblGrid>
        <w:gridCol w:w="161"/>
        <w:gridCol w:w="256"/>
        <w:gridCol w:w="146"/>
        <w:gridCol w:w="585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5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8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Changes in reimbursement rates by government or commercial payors;</w:t>
            </w:r>
          </w:p>
        </w:tc>
      </w:tr>
    </w:tbl>
    <w:p>
      <w:pPr>
        <w:pStyle w:val="TextBody"/>
        <w:spacing w:lineRule="auto" w:line="312" w:before="0" w:after="0"/>
        <w:jc w:val="left"/>
        <w:rPr/>
      </w:pPr>
      <w:r>
        <w:rPr/>
        <w:t> </w:t>
      </w:r>
    </w:p>
    <w:tbl>
      <w:tblPr>
        <w:tblW w:w="4704" w:type="dxa"/>
        <w:jc w:val="left"/>
        <w:tblInd w:w="0" w:type="dxa"/>
        <w:tblCellMar>
          <w:top w:w="28" w:type="dxa"/>
          <w:left w:w="28" w:type="dxa"/>
          <w:bottom w:w="28" w:type="dxa"/>
          <w:right w:w="28" w:type="dxa"/>
        </w:tblCellMar>
      </w:tblPr>
      <w:tblGrid>
        <w:gridCol w:w="161"/>
        <w:gridCol w:w="256"/>
        <w:gridCol w:w="146"/>
        <w:gridCol w:w="414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results of our clinical trials or investigations;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Positive or negative media coverage, or public, patient and/or physician perception, of our products or competing products and treatments;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Any safety or effectiveness concerns that arise regarding our products for either their currently authorized uses or the uses for which we are developing our products;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effectiveness of our marketing and sales efforts, including our ability to have a sufficient number of qualified sales representatives to sell our products;</w:t>
            </w:r>
          </w:p>
        </w:tc>
      </w:tr>
    </w:tbl>
    <w:p>
      <w:pPr>
        <w:pStyle w:val="TextBody"/>
        <w:spacing w:lineRule="auto" w:line="312" w:before="0" w:after="0"/>
        <w:jc w:val="left"/>
        <w:rPr/>
      </w:pPr>
      <w:r>
        <w:rPr/>
        <w:t> </w:t>
      </w:r>
    </w:p>
    <w:tbl>
      <w:tblPr>
        <w:tblW w:w="6144" w:type="dxa"/>
        <w:jc w:val="left"/>
        <w:tblInd w:w="0" w:type="dxa"/>
        <w:tblCellMar>
          <w:top w:w="28" w:type="dxa"/>
          <w:left w:w="28" w:type="dxa"/>
          <w:bottom w:w="28" w:type="dxa"/>
          <w:right w:w="28" w:type="dxa"/>
        </w:tblCellMar>
      </w:tblPr>
      <w:tblGrid>
        <w:gridCol w:w="161"/>
        <w:gridCol w:w="256"/>
        <w:gridCol w:w="146"/>
        <w:gridCol w:w="558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8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5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Unanticipated delays in product development or product launches;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ability to raise additional capital on acceptable terms, or at all, if needed to support the commercialization of our products;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ability to achieve and maintain compliance with all legal and regulatory requirements applicable to our products;</w:t>
            </w:r>
          </w:p>
        </w:tc>
      </w:tr>
    </w:tbl>
    <w:p>
      <w:pPr>
        <w:pStyle w:val="TextBody"/>
        <w:spacing w:lineRule="auto" w:line="312" w:before="0" w:after="0"/>
        <w:jc w:val="left"/>
        <w:rPr/>
      </w:pPr>
      <w:r>
        <w:rPr/>
        <w:t> </w:t>
      </w:r>
    </w:p>
    <w:tbl>
      <w:tblPr>
        <w:tblW w:w="7434" w:type="dxa"/>
        <w:jc w:val="left"/>
        <w:tblInd w:w="0" w:type="dxa"/>
        <w:tblCellMar>
          <w:top w:w="28" w:type="dxa"/>
          <w:left w:w="28" w:type="dxa"/>
          <w:bottom w:w="28" w:type="dxa"/>
          <w:right w:w="28" w:type="dxa"/>
        </w:tblCellMar>
      </w:tblPr>
      <w:tblGrid>
        <w:gridCol w:w="161"/>
        <w:gridCol w:w="256"/>
        <w:gridCol w:w="146"/>
        <w:gridCol w:w="687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7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8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ability to obtain, maintain, protect and enforce our intellectual property rights;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third-party manufacturers’ ability to supply our products in a timely manner, in accordance with our specifications, and in compliance with applicable regulatory requirements; and</w:t>
            </w:r>
          </w:p>
        </w:tc>
      </w:tr>
    </w:tbl>
    <w:p>
      <w:pPr>
        <w:pStyle w:val="TextBody"/>
        <w:spacing w:lineRule="auto" w:line="312" w:before="0" w:after="0"/>
        <w:jc w:val="left"/>
        <w:rPr/>
      </w:pPr>
      <w:r>
        <w:rPr/>
        <w:t> </w:t>
      </w:r>
    </w:p>
    <w:tbl>
      <w:tblPr>
        <w:tblW w:w="7689" w:type="dxa"/>
        <w:jc w:val="left"/>
        <w:tblInd w:w="0" w:type="dxa"/>
        <w:tblCellMar>
          <w:top w:w="28" w:type="dxa"/>
          <w:left w:w="28" w:type="dxa"/>
          <w:bottom w:w="28" w:type="dxa"/>
          <w:right w:w="28" w:type="dxa"/>
        </w:tblCellMar>
      </w:tblPr>
      <w:tblGrid>
        <w:gridCol w:w="161"/>
        <w:gridCol w:w="256"/>
        <w:gridCol w:w="146"/>
        <w:gridCol w:w="71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1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Introduction of new products or alternative treatments that compete with our products.</w:t>
            </w:r>
          </w:p>
        </w:tc>
      </w:tr>
    </w:tbl>
    <w:p>
      <w:pPr>
        <w:pStyle w:val="TextBody"/>
        <w:spacing w:lineRule="auto" w:line="312" w:before="240" w:after="0"/>
        <w:jc w:val="left"/>
        <w:rPr>
          <w:rFonts w:ascii="Times New Roman" w:hAnsi="Times New Roman"/>
          <w:b w:val="false"/>
          <w:sz w:val="20"/>
        </w:rPr>
      </w:pPr>
      <w:r>
        <w:rPr>
          <w:rFonts w:ascii="Times New Roman" w:hAnsi="Times New Roman"/>
          <w:b w:val="false"/>
          <w:sz w:val="20"/>
        </w:rPr>
        <w:t>It is therefore difficult to predict our future financial performance and growth, and such forecasts are inherently limited and subject to a number of uncertainties.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pStyle w:val="TextBody"/>
        <w:spacing w:lineRule="auto" w:line="312" w:before="360" w:after="0"/>
        <w:jc w:val="left"/>
        <w:rPr>
          <w:rFonts w:ascii="Times New Roman" w:hAnsi="Times New Roman"/>
          <w:b/>
          <w:i/>
          <w:sz w:val="20"/>
        </w:rPr>
      </w:pPr>
      <w:r>
        <w:rPr>
          <w:rFonts w:ascii="Times New Roman" w:hAnsi="Times New Roman"/>
          <w:b/>
          <w:i/>
          <w:sz w:val="20"/>
        </w:rPr>
        <w:t>Our business is dependent upon the broad adoption of our products by ECPs and patients.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future growth and profitability largely depend on our ability to increase ECP and patient awareness of our products and on the willingness of ECPs and patients to adopt our products. ECPs may not adopt our products unless they are able to determine, based on experience, clinical data, medical society recommendations and other analyses, that our products are clinically differentiated from, or otherwise preferable to, available alternatives. Even if we are able to raise awareness among ECPs, they may be slow to change their medical treatment practices and may be hesitant to select our products for a variety of reasons, including:</w:t>
      </w:r>
    </w:p>
    <w:p>
      <w:pPr>
        <w:pStyle w:val="TextBody"/>
        <w:spacing w:lineRule="auto" w:line="312" w:before="0" w:after="0"/>
        <w:jc w:val="left"/>
        <w:rPr/>
      </w:pPr>
      <w:r>
        <w:rPr/>
        <w:t> </w:t>
      </w:r>
    </w:p>
    <w:tbl>
      <w:tblPr>
        <w:tblW w:w="7824" w:type="dxa"/>
        <w:jc w:val="left"/>
        <w:tblInd w:w="0" w:type="dxa"/>
        <w:tblCellMar>
          <w:top w:w="28" w:type="dxa"/>
          <w:left w:w="28" w:type="dxa"/>
          <w:bottom w:w="28" w:type="dxa"/>
          <w:right w:w="28" w:type="dxa"/>
        </w:tblCellMar>
      </w:tblPr>
      <w:tblGrid>
        <w:gridCol w:w="161"/>
        <w:gridCol w:w="256"/>
        <w:gridCol w:w="146"/>
        <w:gridCol w:w="726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6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Lack of experience with our products and concerns that we are relatively new to market;</w:t>
            </w:r>
          </w:p>
        </w:tc>
      </w:tr>
    </w:tbl>
    <w:p>
      <w:pPr>
        <w:pStyle w:val="TextBody"/>
        <w:spacing w:lineRule="auto" w:line="312" w:before="0" w:after="0"/>
        <w:jc w:val="left"/>
        <w:rPr/>
      </w:pPr>
      <w:r>
        <w:rPr/>
        <w:t> </w:t>
      </w:r>
    </w:p>
    <w:tbl>
      <w:tblPr>
        <w:tblW w:w="8484" w:type="dxa"/>
        <w:jc w:val="left"/>
        <w:tblInd w:w="0" w:type="dxa"/>
        <w:tblCellMar>
          <w:top w:w="28" w:type="dxa"/>
          <w:left w:w="28" w:type="dxa"/>
          <w:bottom w:w="28" w:type="dxa"/>
          <w:right w:w="28" w:type="dxa"/>
        </w:tblCellMar>
      </w:tblPr>
      <w:tblGrid>
        <w:gridCol w:w="161"/>
        <w:gridCol w:w="256"/>
        <w:gridCol w:w="146"/>
        <w:gridCol w:w="792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Perceived liability risk generally associated with the use of new products and treatment options;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Lack, or perceived lack, of sufficient clinical evidence, including long-term data, supporting clinical benefits or the cost-effectiveness of our products over existing treatments;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failure of key ophthalmologist and optometrist leaders to provide recommendations regarding our products, or to assure physicians, patients and healthcare payors of the benefits of our products as an attractive alternative to other treatment options;</w:t>
            </w:r>
          </w:p>
        </w:tc>
      </w:tr>
    </w:tbl>
    <w:p>
      <w:pPr>
        <w:pStyle w:val="TextBody"/>
        <w:spacing w:lineRule="auto" w:line="312" w:before="0" w:after="0"/>
        <w:jc w:val="left"/>
        <w:rPr/>
      </w:pPr>
      <w:r>
        <w:rPr/>
        <w:t> </w:t>
      </w:r>
    </w:p>
    <w:tbl>
      <w:tblPr>
        <w:tblW w:w="4254" w:type="dxa"/>
        <w:jc w:val="left"/>
        <w:tblInd w:w="0" w:type="dxa"/>
        <w:tblCellMar>
          <w:top w:w="28" w:type="dxa"/>
          <w:left w:w="28" w:type="dxa"/>
          <w:bottom w:w="28" w:type="dxa"/>
          <w:right w:w="28" w:type="dxa"/>
        </w:tblCellMar>
      </w:tblPr>
      <w:tblGrid>
        <w:gridCol w:w="161"/>
        <w:gridCol w:w="256"/>
        <w:gridCol w:w="146"/>
        <w:gridCol w:w="369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Perceptions that our products are unproven;</w:t>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46</w:t>
      </w:r>
    </w:p>
    <w:p>
      <w:pPr>
        <w:pStyle w:val="HorizontalLine"/>
        <w:rPr/>
      </w:pPr>
      <w:r>
        <w:rPr/>
      </w:r>
    </w:p>
    <w:p>
      <w:pPr>
        <w:pStyle w:val="TextBody"/>
        <w:spacing w:lineRule="auto" w:line="312" w:before="0" w:after="0"/>
        <w:jc w:val="left"/>
        <w:rPr/>
      </w:pPr>
      <w:r>
        <w:rPr/>
        <w:t> </w:t>
      </w:r>
    </w:p>
    <w:tbl>
      <w:tblPr>
        <w:tblW w:w="9099" w:type="dxa"/>
        <w:jc w:val="left"/>
        <w:tblInd w:w="0" w:type="dxa"/>
        <w:tblCellMar>
          <w:top w:w="28" w:type="dxa"/>
          <w:left w:w="28" w:type="dxa"/>
          <w:bottom w:w="28" w:type="dxa"/>
          <w:right w:w="28" w:type="dxa"/>
        </w:tblCellMar>
      </w:tblPr>
      <w:tblGrid>
        <w:gridCol w:w="161"/>
        <w:gridCol w:w="256"/>
        <w:gridCol w:w="146"/>
        <w:gridCol w:w="853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3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Long-standing relationships with companies, distributors and salespeople that sell competing products;</w:t>
            </w:r>
          </w:p>
        </w:tc>
      </w:tr>
    </w:tbl>
    <w:p>
      <w:pPr>
        <w:pStyle w:val="TextBody"/>
        <w:spacing w:lineRule="auto" w:line="312" w:before="0" w:after="0"/>
        <w:jc w:val="left"/>
        <w:rPr/>
      </w:pPr>
      <w:r>
        <w:rPr/>
        <w:t> </w:t>
      </w:r>
    </w:p>
    <w:tbl>
      <w:tblPr>
        <w:tblW w:w="7029" w:type="dxa"/>
        <w:jc w:val="left"/>
        <w:tblInd w:w="0" w:type="dxa"/>
        <w:tblCellMar>
          <w:top w:w="28" w:type="dxa"/>
          <w:left w:w="28" w:type="dxa"/>
          <w:bottom w:w="28" w:type="dxa"/>
          <w:right w:w="28" w:type="dxa"/>
        </w:tblCellMar>
      </w:tblPr>
      <w:tblGrid>
        <w:gridCol w:w="161"/>
        <w:gridCol w:w="256"/>
        <w:gridCol w:w="146"/>
        <w:gridCol w:w="646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4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Lack of availability of adequate third-party payor coverage or reimbursement;</w:t>
            </w:r>
          </w:p>
        </w:tc>
      </w:tr>
    </w:tbl>
    <w:p>
      <w:pPr>
        <w:pStyle w:val="TextBody"/>
        <w:spacing w:lineRule="auto" w:line="312" w:before="0" w:after="0"/>
        <w:jc w:val="left"/>
        <w:rPr/>
      </w:pPr>
      <w:r>
        <w:rPr/>
        <w:t> </w:t>
      </w:r>
    </w:p>
    <w:tbl>
      <w:tblPr>
        <w:tblW w:w="8034" w:type="dxa"/>
        <w:jc w:val="left"/>
        <w:tblInd w:w="0" w:type="dxa"/>
        <w:tblCellMar>
          <w:top w:w="28" w:type="dxa"/>
          <w:left w:w="28" w:type="dxa"/>
          <w:bottom w:w="28" w:type="dxa"/>
          <w:right w:w="28" w:type="dxa"/>
        </w:tblCellMar>
      </w:tblPr>
      <w:tblGrid>
        <w:gridCol w:w="161"/>
        <w:gridCol w:w="256"/>
        <w:gridCol w:w="146"/>
        <w:gridCol w:w="747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47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47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Competitive response and negative selling efforts from providers of alternative treatments;</w:t>
            </w:r>
          </w:p>
        </w:tc>
      </w:tr>
    </w:tbl>
    <w:p>
      <w:pPr>
        <w:pStyle w:val="TextBody"/>
        <w:spacing w:lineRule="auto" w:line="312" w:before="0" w:after="0"/>
        <w:jc w:val="left"/>
        <w:rPr/>
      </w:pPr>
      <w:r>
        <w:rPr/>
        <w:t> </w:t>
      </w:r>
    </w:p>
    <w:tbl>
      <w:tblPr>
        <w:tblW w:w="8694" w:type="dxa"/>
        <w:jc w:val="left"/>
        <w:tblInd w:w="0" w:type="dxa"/>
        <w:tblCellMar>
          <w:top w:w="28" w:type="dxa"/>
          <w:left w:w="28" w:type="dxa"/>
          <w:bottom w:w="28" w:type="dxa"/>
          <w:right w:w="28" w:type="dxa"/>
        </w:tblCellMar>
      </w:tblPr>
      <w:tblGrid>
        <w:gridCol w:w="161"/>
        <w:gridCol w:w="256"/>
        <w:gridCol w:w="146"/>
        <w:gridCol w:w="813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13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1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Challenges of integrating TearCare into established ophthalmologic and optometric practices; and</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Perceptions regarding the time commitment and skill development that may be required to gain familiarity and proficiency with our products.</w:t>
            </w:r>
          </w:p>
        </w:tc>
      </w:tr>
    </w:tbl>
    <w:p>
      <w:pPr>
        <w:pStyle w:val="TextBody"/>
        <w:spacing w:lineRule="auto" w:line="312" w:before="240" w:after="0"/>
        <w:jc w:val="left"/>
        <w:rPr/>
      </w:pPr>
      <w:r>
        <w:rPr/>
        <w:t> </w:t>
      </w:r>
      <w:r>
        <w:rPr>
          <w:rFonts w:ascii="Times New Roman" w:hAnsi="Times New Roman"/>
          <w:b w:val="false"/>
          <w:sz w:val="20"/>
        </w:rPr>
        <w:t>To effectively market and sell our products, we will need to continue to educate the medical community about the safety, efficacy, necessity and efficiency of our products and about the patient populations that would potentially benefit from the use of our products. We focus our sales, marketing and education efforts primarily on our target ECP providers, ambulatory surgery centers, hospital outpatient departments and potential patient populations. However, we cannot assure you that we will achieve broad education or market acceptance. For example, if first-line ECPs or primary care physicians that serve as the early point of contact for patients are not made aware of our OMNI products, they may not refer patients to ECPs who utilize our products, and those patients may be treated with alternative procedures or treatments. In addition, some physicians may choose to utilize our products on only a subset of their total patient population or may not adopt our products at all. If we are not able to effectively demonstrate that our products are beneficial for a broad range of patients, adoption of our products will be limited and may not occur as rapidly as we anticipate or at all, which would have a material adverse effect on our business, financial condition and results of operations. Further, if we are unable to obtain or maintain favorable third-party reimbursement coverage of procedures in which our OMNI product is used, or if we are unable to obtain favorable reimbursement for procedures in which TearCare is used, adoption of our products by ECPs and patients will suffer. We cannot assure you that our products will achieve broad market acceptance among payors, physicians and patients. Any failure of our products to satisfy demand or to achieve meaningful market acceptance and penetration will harm our future prospects and have a material adverse effect on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Adoption of OMNI and TearCare depends upon appropriate physician training, practice and patient selection.</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success of our products depends in part on the skill of the ECPs utilizing and administering products to treat patients and on their adherence to our stated patient selection criteria and the proper techniques that we provide in training sessions. We train ECPs on the correct use of OMNI. However, ECPs rely on their previous medical training and experience when performing ophthalmic surgical procedures and may deviate from the techniques we provide in training sessions. Furthermore, we cannot guarantee that all such ECPs who use OMNI will have the necessary skills or experience to safely and effectively perform these procedures. Similarly, though we train ECPs to ensure correct use of TearCare, including placement of TearCare SmartLids on patients’ eyelids, we cannot guarantee that all such ECPs will have the necessary skills or experience to safely and effectively use these devices.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do not control which physicians utilize these medical devices in their treatments or how much training they receive, and physicians who have not completed our training sessions may nonetheless attempt to use OMNI as part of an ophthalmic surgical procedure or use TearCare to apply localized heat. In addition, a perception by physicians that OMNI or TearCare are difficult to use may negatively impact adoption by ECPs. If ECPs utilize these devices in a manner that is inconsistent with our labeled indications or with components that are not part of our products, such as viscoelastic fluid that is incompatible with OMNI or without adhering to or completing our training sessions, the patient outcomes may be negative. This could negatively impact the perception of patient benefits and safety associated with OMNI and TearCare and limit adoption of our devices, which would have a material adverse effect on our business, financial condition and results of operations.</w:t>
      </w:r>
    </w:p>
    <w:p>
      <w:pPr>
        <w:pStyle w:val="TextBody"/>
        <w:spacing w:lineRule="auto" w:line="312" w:before="360" w:after="0"/>
        <w:jc w:val="left"/>
        <w:rPr>
          <w:rFonts w:ascii="Times New Roman" w:hAnsi="Times New Roman"/>
          <w:sz w:val="20"/>
        </w:rPr>
      </w:pPr>
      <w:r>
        <w:rPr>
          <w:rFonts w:ascii="Times New Roman" w:hAnsi="Times New Roman"/>
          <w:b/>
          <w:i/>
          <w:sz w:val="20"/>
        </w:rPr>
        <w:t>Development of TearCare for expanded indications depends upon positive clinical data, and the safety and efficacy of our products for the intended uses for which we intend to seek clearance, certification or approval are not yet supported by long-term clinical data, which could delay or prevent clearance by the FDA (or other foreign</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47</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i/>
          <w:sz w:val="20"/>
        </w:rPr>
      </w:pPr>
      <w:r>
        <w:rPr>
          <w:rFonts w:ascii="Times New Roman" w:hAnsi="Times New Roman"/>
          <w:b/>
          <w:i/>
          <w:sz w:val="20"/>
        </w:rPr>
        <w:t>authorities) or limit sales if cleared, certified or approved and our products might therefore prove to be less safe or effective than initially thought.</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are developing TearCare for expanded indications for which we intend to seek clearance by the FDA in the future.</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are conducting and intend to continue conducting additional clinical trials or investigations to develop our devices for expanded indications. Historical clinical results, including interim results, are not necessarily predictive of future clinical results, and we cannot assure you that the results reported in these studies will be consistent with, or better than, currently available clinical data. Moreover, the outcomes and updates resulting from these studies, including interim results, may be compared to the results of other products and treatments for POAG or MGD, and if the comparisons are not favorable, it may limit the ability to obtain clearance, certification or approval of the devices for the expanded indications for which we intend to seek clearance, certification or approval, as well as adoption of our products for their current authorized uses. In addition, our competitors and other third parties may also conduct clinical trials or investigations of our products without our participation. Unfavorable or inconsistent clinical data from existing or future clinical trials or investigations conducted by us, our competitors or other third parties, the interpretation of our clinical data or findings of new or more frequent adverse events, could subject us to mandatory or voluntary product recalls, suspension or withdrawal of FDA or other clearance, certification or approval, significant legal liability or harm to our business reputation and could have a material adverse effect on our business, financial condition and results of operations.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Our products will be adopted and compete, in part, based on long-term data regarding patient outcomes and the risk of our products relative to other treatment options. The long-term clinical outcomes of the use of OMNI for its cleared uses are not known and, due to the novelty of our products, there is no long-term data regarding patient outcomes beyond our clinical trials or investigations. The results of short-term clinical experience of our products do not necessarily predict long-term clinical outcomes. We believe that ECPs will compare the rates of long-term clinical outcomes for procedures using our products for their authorized uses against alternative procedures and treatment options. If the long-term data does not meet ECPs’ expectations, or if the long-term data indicates that our products are not as safe or effective as other treatment options or as current short-term data would suggest, physicians may recommend alternative treatments for their patients and our products may not become widely adopted, which will negatively affect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The safety and efficacy of some of our products is not yet supported by long-term clinical data, which could limit sales, and our products might therefore prove to be less safe or effective than initially thought.</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products that we market in the United States are regulated as medical devices by the FDA. OMNI has received premarket clearance under Section 510(k) of the Federal Food, Drug, and Cosmetic Act, or the FDCA.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application and later down-classified, or a 510(k)-exempt device. This process is typically shorter and generally requires the submission of less supporting documentation than the FDA’s PMA process and does not always require long-term clinical studies. TearCare is currently marketed as a 510(k)-exempt device, and did not undergo premarket clearance prior to marketing. In November 2020, we submitted a 510(k) premarket notification seeking an expanded indication for use for TearCare. The FDA requested several safety tests and modifications which we believe would have required additional time to complete beyond the designated review process. We voluntarily withdrew this submission in May 2021 to allow us to comply with the FDA requests in a comprehensive manner. We intend to resubmit the application for an expanded indication for use in the second half of 2021.</w:t>
      </w:r>
    </w:p>
    <w:p>
      <w:pPr>
        <w:pStyle w:val="TextBody"/>
        <w:spacing w:lineRule="auto" w:line="312" w:before="240" w:after="0"/>
        <w:jc w:val="left"/>
        <w:rPr>
          <w:rFonts w:ascii="Times New Roman" w:hAnsi="Times New Roman"/>
          <w:sz w:val="20"/>
        </w:rPr>
      </w:pPr>
      <w:r>
        <w:rPr>
          <w:rFonts w:ascii="Times New Roman" w:hAnsi="Times New Roman"/>
          <w:b w:val="false"/>
          <w:sz w:val="20"/>
        </w:rPr>
        <w:t>In the European Economic Area, or EEA, manufacturers of medical devices are required by the Medical Devices Directive to collect post-marketing clinical data in relation to their CE marked medical devices. Post-market surveillance includes the conduct of post-market clinical follow-up studies permitting manufacturers to gather information concerning quality, safety or performance of medical devices after they have been placed on the market in the EU. All information collected as part of the post-market surveillance process must be reviewed, investigated and analyzed on a regular basis in order to determine whether trending conclusions can be made concerning the</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48</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safety or performance of the medical device and decisions must be taken in relation to the continued marketing of medical devices currently on the market. We expect to incur ongoing costs to comply with these post-market clinical obligations in EEA markets for so long as we continue to market and sell products in those markets.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are conducting and intend to continue conducting additional clinical trials, including clinical trials to develop TearCare for an expanded indication. In addition, our competitors and other third parties may also conduct clinical trials of our products without our participation. If future patient studies or clinical testing do not support our belief that our products are advantageous for their intended uses, market acceptance of our products could fail to increase or could decrease and our business could be harmed. Moreover, if future results and experience by us, our competitors or other third parties, indicate that our products cause unexpected or serious complications or other unforeseen negative effects, we could be subject to mandatory or voluntary product recalls, suspension or withdrawal of FDA or other governmental clearance or approval or CE Certificates of Conformity, significant legal liability or harm to our business reputation, which could have a material adverse effect on our business, financial condition and results of operations.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believe that ECPs will compare the rates of long-term clinical outcomes for procedures using our products for their authorized uses against alternative procedures and treatment options. If we choose to, or are required to, conduct additional studies, such studies or experience could reduce the rate of coverage and reimbursement by both public and private third-party payors for procedures that are performed with our products, slow market adoption of our products by ECPs, significantly reduce our ability to achieve expected revenues and prevent us from being profitable.</w:t>
      </w:r>
    </w:p>
    <w:p>
      <w:pPr>
        <w:pStyle w:val="TextBody"/>
        <w:spacing w:lineRule="auto" w:line="312" w:before="360" w:after="0"/>
        <w:jc w:val="left"/>
        <w:rPr>
          <w:rFonts w:ascii="Times New Roman" w:hAnsi="Times New Roman"/>
          <w:b/>
          <w:i/>
          <w:sz w:val="20"/>
        </w:rPr>
      </w:pPr>
      <w:r>
        <w:rPr>
          <w:rFonts w:ascii="Times New Roman" w:hAnsi="Times New Roman"/>
          <w:b/>
          <w:i/>
          <w:sz w:val="20"/>
        </w:rPr>
        <w:t>We have limited experience in training on, and marketing and selling, our products and we may provide inadequate training, fail to increase our sales and marketing capabilities or fail to develop broad brand awareness in a cost-effective manner.</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have limited experience marketing and selling our products. In the United States, we currently rely on our direct sales force and, in certain targeted geographic regions or customer verticals, independent sales representatives and distributors, and any failure to maintain and grow our sales force could harm our business. In Europe, we currently rely on a combination of direct sales personnel and independent distributors to sell our products, and we intend to grow our international sales through a combination of direct and distributor sales. If we are unable to identify and retain productive direct sales representatives and distributors in the international territories and jurisdictions that we have targeted for commercial expansion, we may not be able to achieve projected revenue goals and our business could suffer. Our sales representatives are trained and possess product specific sales expertise, which we believe is critical in driving the awareness and adoption of our products. The members of our U.S. sales force are at-will employees. The loss of these personnel to competitors, or otherwise, could materially harm our business. If we are unable to retain our direct sales force personnel or replace them with individuals of equivalent expertise and qualifications, or if we are unable to successfully instill such expertise in replacement personnel, our business, financial condition and results of operations could be materially harmed.</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order to generate future growth, we plan to continue to significantly expand and leverage our commercial infrastructure to increase our customer base and increase adoption by existing customers to drive our growth. Identifying and recruiting qualified sales and marketing professionals and training them on our products, on applicable federal and state laws and regulations and on our internal policies and procedures requires significant time, expense and attention. It can take several months or more before a sales representative or distributor representative is fully trained and productive. Our direct sales force may subject us to higher fixed costs than those of companies with competing products or treatments that rely more heavily on independent third parties, placing us at a competitive disadvantage. Our business may be harmed if our efforts to expand and train our sales force and distribution chain do not generate a corresponding increase in product sales and revenue, and our higher fixed costs may slow our ability to reduce costs in the face of a sudden decline in demand for our products. Any failure to hire, develop and retain effective sales personnel, to identify and train distributors and independent sales representatives in targeted international territories, to achieve desired productivity levels in a reasonable period of time or timely reduce fixed costs, could have a material adverse effect on our business, financial condition and results of operations.</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49</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Our ability to increase our customer base and achieve broader market acceptance of our products will depend, to a significant extent, on our ability to expand our sales and marketing and educational efforts. We plan to dedicate significant resources to our sales and marketing initiatives, and educational programs through leading medical publications and at large industry and scientific meetings, both directly and through key opinion leaders. Our business may be harmed if these efforts and expenditures do not generate a corresponding increase in revenue. In addition, we believe that developing and maintaining broad awareness of our brand in a cost-effective manner is critical to achieving broad acceptance of our products and reaching new ECPs and patients. Brand promotion activities may not impact ECP or patient awareness or increase revenue, and even if they do, any increase in revenue may not offset the costs and expenses we incur in building our brand. If we fail to successfully promote, maintain and protect our brand, we may fail to attract or retain the market acceptance necessary to realize a sufficient return on our brand building efforts, or to achieve the level of brand awareness that is an important factor for the broad adoption of our products.</w:t>
      </w:r>
    </w:p>
    <w:p>
      <w:pPr>
        <w:pStyle w:val="TextBody"/>
        <w:spacing w:lineRule="auto" w:line="312" w:before="360" w:after="0"/>
        <w:jc w:val="left"/>
        <w:rPr>
          <w:rFonts w:ascii="Times New Roman" w:hAnsi="Times New Roman"/>
          <w:b/>
          <w:i/>
          <w:sz w:val="20"/>
        </w:rPr>
      </w:pPr>
      <w:r>
        <w:rPr>
          <w:rFonts w:ascii="Times New Roman" w:hAnsi="Times New Roman"/>
          <w:b/>
          <w:i/>
          <w:sz w:val="20"/>
        </w:rPr>
        <w:t>Our products are designed to be used in a limited number of procedures, and there is a limited total addressable market for our products. The sizes of the potential and actual markets for our current products have not been established with precision and may be smaller than we estimate.</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currently market our OMNI device for use in the U.S. and select European geographies for canaloplasty followed by trabeculotomy to reduce intraocular pressure in adult patients with POAG. POAG is the most prevalent form of glaucoma and affects approximately 4.1 million people in the United States and over 60 million people worldwide. We currently market TearCare as a Class II, 510(k)-exempt powered heating pad for the delivery of localized heat where the current medical community recommends application of a warm compress. We intend to seek FDA clearance of TearCare for an expanded indication for use in the second half of 2021. There are an estimated 739 million people globally and 38 million people in the U.S. who suffer from DED. DED is the most common reason for a patient visit to an eye doctor, yet of the 38 million people with DED in the U.S., only 17 million have been diagnosed with DED. Studies have shown that evaporative DED resulting from MGD is associated with approximately 86% of all DED cases.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total addressable markets for our products are subject to change and, even assuming TearCare is cleared for an expanded indication, its use may be further limited by FDA restrictions or more narrowly defined indications, any of which could have a material adverse effect on our business, financial condition and results of operations.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Further, our estimates of the total addressable markets for our products are based on a number of internal and third-party estimates, including, without limitation, the number of patients with POAG and, if TearCare is cleared for such use, MGD, and the assumed prices at which we can sell our products in markets that have not yet been fully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products may prove to be incorrect. If the actual number of patients who would benefit from our products or the price at which we can sell our products is smaller than we have estimated, it may impair our sales growth and negatively affect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Our operations and financial results have been, and will continue to be, adversely impacted by the COVID-19 pandemic in the United States and the rest of the world.</w:t>
      </w:r>
    </w:p>
    <w:p>
      <w:pPr>
        <w:pStyle w:val="TextBody"/>
        <w:spacing w:lineRule="auto" w:line="312" w:before="120" w:after="0"/>
        <w:jc w:val="left"/>
        <w:rPr>
          <w:rFonts w:ascii="Times New Roman" w:hAnsi="Times New Roman"/>
          <w:sz w:val="20"/>
        </w:rPr>
      </w:pPr>
      <w:r>
        <w:rPr>
          <w:rFonts w:ascii="Times New Roman" w:hAnsi="Times New Roman"/>
          <w:b w:val="false"/>
          <w:sz w:val="20"/>
        </w:rPr>
        <w:t>In December 2019, a novel strain of coronavirus, SARS-CoV-2, was identified in Wuhan, China. Since then, SARS-CoV-2, and the resulting disease, COVID-19, has spread worldwide. In response to the COVID-19 pandemic, numerous state and local jurisdictions have imposed, and others in the future may impose, “shelter-in-place” orders, quarantines, executive orders and similar government orders and restrictions for their residents. Such orders or restrictions have resulted in work stoppages, slowdowns and delays, travel restrictions and cancellation of events. Disruptions or potential disruptions to our business from COVID-19 or a future pandemic could include the inability of our component suppliers and manufacturers to produce our products, components, or accessories on a timely basis, or at all; disruptions in our logistics and distribution providers to deliver our products to customers on a timely basis, or at all; inventory shortages or obsolescence; diversion of or limitations on employee resources that would otherwise be focused on the operations of our business; delays in growing or reductions in our sales</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50</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organization, including through delays in hiring, lay-offs, furloughs or other losses of sales representatives; limitations on the ability of our sales representatives and distributors to reach potential customers and reduced opportunities for market education; business adjustments or disruptions of certain third parties, including suppliers and customers; and additional government requirements or other incremental mitigation efforts that may further impact our or our suppliers’ capacity to manufacture our products. For example, as a result of restrictions related to the COVID-19 pandemic our sales representatives have been curtailed in their ability to conduct in-person meetings and demonstrations, and our market education and training efforts have been limited. We may also experience delays in initiating or completing any clinical trials or investigations that we intend to conduct or are conducting, and we do not know whether our clinical trials or investigations will begin on time, need to be redesigned, enroll patients on time, or be completed on schedule, or at all.</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experienced a significant decrease in our revenues for both of our products in the second quarter of 2020 as compared to the first quarter of 2020. As elective eye care procedures in many facilities that utilize OMNI and TearCare were temporarily suspended by governmental authorities, many patients avoided visiting ECPs, and, even in areas that allowed elective procedures, ECPs and healthcare facilities in general severely cut back on the scheduling and performance of such procedures. We felt the decrease in demand due to COVID-19 most significantly in the latter part of the quarter ended March 31, 2020 and the first half of the quarter ended June 30, 2020. Beginning in June 2020, we began to see an increase in the number of procedures using our products. In the first quarter of 2021, our customers experienced a significant number of procedure cancellations which we believe was largely driven by patients postponing procedures until their COVID-19 vaccinations were completed as opposed to any restrictions imposed on elective procedures.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extent to which the COVID-19 pandemic impacts our business will depend on future developments, which are highly uncertain and cannot be predicted, including new information which may emerge concerning the severity and spread of COVID-19, any new variants of the virus, the nature, extent and effectiveness of containment and treatment measures, the extent and duration of the effect on the economy and how quickly and to what extent normal economic and operating conditions can resume.</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While the potential economic impact brought by and the duration of any pandemic, epidemic or outbreak of an infectious disease, including COVID-19, may be difficult to assess or predict, the COVID-19 pandemic has resulted in, and may continue to result in, significant disruption of global financial markets, reducing our ability to access capital, which could in the future negatively affect our liquidity. In addition, a recession or market correction resulting from the spread of an infectious disease, including COVID-19, could materially affect our business. Such economic recession could have a material adverse effect on our long-term business as hospitals and surgical centers curtail and reduce capital and overall spending. In addition, the current economic downturn is resulting in significant job losses and reductions in disposable income and if patients are unable to obtain or maintain health insurance policies, this may significantly impact their ability to pay for the procedures utilizing our products, further negatively impacting our business, financial condition and results of operations. To the extent the COVID-19 pandemic adversely affects our business and financial results, it may also have the effect of heightening many of the other risks described in this “Risk Factors” section.</w:t>
      </w:r>
    </w:p>
    <w:p>
      <w:pPr>
        <w:pStyle w:val="TextBody"/>
        <w:spacing w:lineRule="auto" w:line="312" w:before="360" w:after="0"/>
        <w:jc w:val="left"/>
        <w:rPr>
          <w:rFonts w:ascii="Times New Roman" w:hAnsi="Times New Roman"/>
          <w:b/>
          <w:i/>
          <w:sz w:val="20"/>
        </w:rPr>
      </w:pPr>
      <w:r>
        <w:rPr>
          <w:rFonts w:ascii="Times New Roman" w:hAnsi="Times New Roman"/>
          <w:b/>
          <w:i/>
          <w:sz w:val="20"/>
        </w:rPr>
        <w:t>We may not be able to maintain adequate levels of third-party coverage and reimbursement for procedures in which OMNI is used, and third parties may rescind or modify their coverage or delay payments related to OMNI. We may not be able to secure any, or adequate levels of, third-party coverage and reimbursement for procedures in which TearCare is used, and even if third parties provide coverage they may rescind or modify their coverage or delay payments related to TearCare.</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derive revenue from sales of OMNI to physicians, ambulatory surgery centers and hospital outpatient departments, which typically bill all or a portion of the costs and fees associated with our products to various third-party payors, including Medicare, Medicaid, private commercial insurance companies, health maintenance organizations and other healthcare-related organizations, and then bill patients for any applicable deductibles or co-payments. As a result, access to adequate coverage and reimbursement for procedures in which OMNI is used by third-party payors is essential to its acceptance and adoption by patients and ECPs.</w:t>
      </w:r>
    </w:p>
    <w:p>
      <w:pPr>
        <w:pStyle w:val="TextBody"/>
        <w:spacing w:lineRule="auto" w:line="312" w:before="240" w:after="0"/>
        <w:jc w:val="left"/>
        <w:rPr>
          <w:rFonts w:ascii="Times New Roman" w:hAnsi="Times New Roman"/>
          <w:sz w:val="20"/>
        </w:rPr>
      </w:pPr>
      <w:r>
        <w:rPr>
          <w:rFonts w:ascii="Times New Roman" w:hAnsi="Times New Roman"/>
          <w:b w:val="false"/>
          <w:sz w:val="20"/>
        </w:rPr>
        <w:t>We also derive revenue from sales of TearCare to ECPs and eye care clinics, which also bill all or a portion of the costs and fees associated with treatments and products to patients or, on a limited basis, to third-party payors.</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51</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believe that access to adequate coverage and reimbursement for procedures in which TearCare is used by third-party payors is important to the broad acceptance and adoption of TearCare. Currently, however, no payors have formal policies establishing coverage for the procedures in which TearCare is used. We are pursuing a comprehensive long-term market development and patient access plan for TearCare and focusing our efforts on partnering with key strategic accounts to pursue prior authorization approvals and reimbursement claims for procedures in which TearCare is used, but there is no guarantee that we will be successful. If patients are not willing to pay for procedures in which TearCare is used, or if third-party payors continue to refuse to provide coverage and reimbursement or provide insufficient levels of coverage and reimbursement, it could have a negative impact on ECPs’ adoption of TearCare and sales of TearCare.</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Coverage and reimbursement by governmental and third-party payors may depend upon a number of factors, including the determination that the product or service and its use or administration for a particular patient is:</w:t>
      </w:r>
    </w:p>
    <w:p>
      <w:pPr>
        <w:pStyle w:val="TextBody"/>
        <w:spacing w:lineRule="auto" w:line="312" w:before="0" w:after="0"/>
        <w:jc w:val="left"/>
        <w:rPr/>
      </w:pPr>
      <w:r>
        <w:rPr/>
        <w:t> </w:t>
      </w:r>
    </w:p>
    <w:tbl>
      <w:tblPr>
        <w:tblW w:w="2214" w:type="dxa"/>
        <w:jc w:val="left"/>
        <w:tblInd w:w="0" w:type="dxa"/>
        <w:tblCellMar>
          <w:top w:w="28" w:type="dxa"/>
          <w:left w:w="28" w:type="dxa"/>
          <w:bottom w:w="28" w:type="dxa"/>
          <w:right w:w="28" w:type="dxa"/>
        </w:tblCellMar>
      </w:tblPr>
      <w:tblGrid>
        <w:gridCol w:w="161"/>
        <w:gridCol w:w="256"/>
        <w:gridCol w:w="146"/>
        <w:gridCol w:w="165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5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 covered benefit;</w:t>
            </w:r>
          </w:p>
        </w:tc>
      </w:tr>
    </w:tbl>
    <w:p>
      <w:pPr>
        <w:pStyle w:val="TextBody"/>
        <w:spacing w:lineRule="auto" w:line="312" w:before="0" w:after="0"/>
        <w:jc w:val="left"/>
        <w:rPr/>
      </w:pPr>
      <w:r>
        <w:rPr/>
        <w:t> </w:t>
      </w:r>
    </w:p>
    <w:tbl>
      <w:tblPr>
        <w:tblW w:w="3939" w:type="dxa"/>
        <w:jc w:val="left"/>
        <w:tblInd w:w="0" w:type="dxa"/>
        <w:tblCellMar>
          <w:top w:w="28" w:type="dxa"/>
          <w:left w:w="28" w:type="dxa"/>
          <w:bottom w:w="28" w:type="dxa"/>
          <w:right w:w="28" w:type="dxa"/>
        </w:tblCellMar>
      </w:tblPr>
      <w:tblGrid>
        <w:gridCol w:w="161"/>
        <w:gridCol w:w="256"/>
        <w:gridCol w:w="146"/>
        <w:gridCol w:w="337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37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Safe, effective and medically necessary;</w:t>
            </w:r>
          </w:p>
        </w:tc>
      </w:tr>
    </w:tbl>
    <w:p>
      <w:pPr>
        <w:pStyle w:val="TextBody"/>
        <w:spacing w:lineRule="auto" w:line="312" w:before="0" w:after="0"/>
        <w:jc w:val="left"/>
        <w:rPr/>
      </w:pPr>
      <w:r>
        <w:rPr/>
        <w:t> </w:t>
      </w:r>
    </w:p>
    <w:tbl>
      <w:tblPr>
        <w:tblW w:w="3609" w:type="dxa"/>
        <w:jc w:val="left"/>
        <w:tblInd w:w="0" w:type="dxa"/>
        <w:tblCellMar>
          <w:top w:w="28" w:type="dxa"/>
          <w:left w:w="28" w:type="dxa"/>
          <w:bottom w:w="28" w:type="dxa"/>
          <w:right w:w="28" w:type="dxa"/>
        </w:tblCellMar>
      </w:tblPr>
      <w:tblGrid>
        <w:gridCol w:w="161"/>
        <w:gridCol w:w="256"/>
        <w:gridCol w:w="146"/>
        <w:gridCol w:w="304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0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Appropriate for the specific patient;</w:t>
            </w:r>
          </w:p>
        </w:tc>
      </w:tr>
    </w:tbl>
    <w:p>
      <w:pPr>
        <w:pStyle w:val="TextBody"/>
        <w:spacing w:lineRule="auto" w:line="312" w:before="0" w:after="0"/>
        <w:jc w:val="left"/>
        <w:rPr/>
      </w:pPr>
      <w:r>
        <w:rPr/>
        <w:t> </w:t>
      </w:r>
    </w:p>
    <w:tbl>
      <w:tblPr>
        <w:tblW w:w="2919" w:type="dxa"/>
        <w:jc w:val="left"/>
        <w:tblInd w:w="0" w:type="dxa"/>
        <w:tblCellMar>
          <w:top w:w="28" w:type="dxa"/>
          <w:left w:w="28" w:type="dxa"/>
          <w:bottom w:w="28" w:type="dxa"/>
          <w:right w:w="28" w:type="dxa"/>
        </w:tblCellMar>
      </w:tblPr>
      <w:tblGrid>
        <w:gridCol w:w="161"/>
        <w:gridCol w:w="256"/>
        <w:gridCol w:w="146"/>
        <w:gridCol w:w="235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Supported by clinical data;</w:t>
            </w:r>
          </w:p>
        </w:tc>
      </w:tr>
    </w:tbl>
    <w:p>
      <w:pPr>
        <w:pStyle w:val="TextBody"/>
        <w:spacing w:lineRule="auto" w:line="312" w:before="0" w:after="0"/>
        <w:jc w:val="left"/>
        <w:rPr/>
      </w:pPr>
      <w:r>
        <w:rPr/>
        <w:t> </w:t>
      </w:r>
    </w:p>
    <w:tbl>
      <w:tblPr>
        <w:tblW w:w="6774" w:type="dxa"/>
        <w:jc w:val="left"/>
        <w:tblInd w:w="0" w:type="dxa"/>
        <w:tblCellMar>
          <w:top w:w="28" w:type="dxa"/>
          <w:left w:w="28" w:type="dxa"/>
          <w:bottom w:w="28" w:type="dxa"/>
          <w:right w:w="28" w:type="dxa"/>
        </w:tblCellMar>
      </w:tblPr>
      <w:tblGrid>
        <w:gridCol w:w="161"/>
        <w:gridCol w:w="256"/>
        <w:gridCol w:w="146"/>
        <w:gridCol w:w="621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2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Supported by guidelines established by the relevant professional societies;</w:t>
            </w:r>
          </w:p>
        </w:tc>
      </w:tr>
    </w:tbl>
    <w:p>
      <w:pPr>
        <w:pStyle w:val="TextBody"/>
        <w:spacing w:lineRule="auto" w:line="312" w:before="0" w:after="0"/>
        <w:jc w:val="left"/>
        <w:rPr/>
      </w:pPr>
      <w:r>
        <w:rPr/>
        <w:t> </w:t>
      </w:r>
    </w:p>
    <w:tbl>
      <w:tblPr>
        <w:tblW w:w="2259" w:type="dxa"/>
        <w:jc w:val="left"/>
        <w:tblInd w:w="0" w:type="dxa"/>
        <w:tblCellMar>
          <w:top w:w="28" w:type="dxa"/>
          <w:left w:w="28" w:type="dxa"/>
          <w:bottom w:w="28" w:type="dxa"/>
          <w:right w:w="28" w:type="dxa"/>
        </w:tblCellMar>
      </w:tblPr>
      <w:tblGrid>
        <w:gridCol w:w="161"/>
        <w:gridCol w:w="256"/>
        <w:gridCol w:w="146"/>
        <w:gridCol w:w="169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9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6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Cost-effective; and</w:t>
            </w:r>
          </w:p>
        </w:tc>
      </w:tr>
    </w:tbl>
    <w:p>
      <w:pPr>
        <w:pStyle w:val="TextBody"/>
        <w:spacing w:lineRule="auto" w:line="312" w:before="0" w:after="0"/>
        <w:jc w:val="left"/>
        <w:rPr/>
      </w:pPr>
      <w:r>
        <w:rPr/>
        <w:t> </w:t>
      </w:r>
    </w:p>
    <w:tbl>
      <w:tblPr>
        <w:tblW w:w="4059" w:type="dxa"/>
        <w:jc w:val="left"/>
        <w:tblInd w:w="0" w:type="dxa"/>
        <w:tblCellMar>
          <w:top w:w="28" w:type="dxa"/>
          <w:left w:w="28" w:type="dxa"/>
          <w:bottom w:w="28" w:type="dxa"/>
          <w:right w:w="28" w:type="dxa"/>
        </w:tblCellMar>
      </w:tblPr>
      <w:tblGrid>
        <w:gridCol w:w="161"/>
        <w:gridCol w:w="256"/>
        <w:gridCol w:w="146"/>
        <w:gridCol w:w="349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9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4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Neither experimental nor investigational.</w:t>
            </w:r>
          </w:p>
        </w:tc>
      </w:tr>
    </w:tbl>
    <w:p>
      <w:pPr>
        <w:pStyle w:val="TextBody"/>
        <w:spacing w:lineRule="auto" w:line="312" w:before="240" w:after="0"/>
        <w:jc w:val="left"/>
        <w:rPr>
          <w:rFonts w:ascii="Times New Roman" w:hAnsi="Times New Roman"/>
          <w:b w:val="false"/>
          <w:sz w:val="20"/>
        </w:rPr>
      </w:pPr>
      <w:r>
        <w:rPr>
          <w:rFonts w:ascii="Times New Roman" w:hAnsi="Times New Roman"/>
          <w:b w:val="false"/>
          <w:sz w:val="20"/>
        </w:rPr>
        <w:t>Third-party payors, whether foreign or domestic, or governmental or commercial,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Obtaining and maintaining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the United States, the American Medical Association, or AMA, generally assigns specific billing codes for procedures under a coding system known as Current Procedure Terminology, or CPT, which surgeons use to bill third-party payors and receive reimbursement. Once a permanent (Category I) CPT code is established for a service, the Centers for Medicare &amp; Medicaid Services, or CMS, establishes payment levels under Medicare, while other payors may establish rates and coverage rules independently. Canaloplasty followed by trabeculotomy procedures using OMNI are typically billed using the Category I CPT code 66174, which describes canaloplasty. Coding for ophthalmic surgical procedures is complex, and changes to the codes used to report services performed with our products may result in significant changes in reimbursement, which could negatively impact our revenue.</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AMA maintains a subset of temporary (Category III) CPT codes used for new and emerging technologies. For example, TearCare was assigned a Category III CPT code effective beginning January 1, 2020. Coverage for Category III CPT codes is often limited. Medicare does not generally establish national payment rates for Category III CPT codes on the Medicare Physician Fee Schedule, or MPFS. As a result, individual Medicare contractors and private payors may establish their own payment rates for services described by Category III CPT codes, which payment rates may be materially below the final reimbursement rates that we are currently targeting, or may determine not to reimburse services described by Category III CPT codes.</w:t>
      </w:r>
    </w:p>
    <w:p>
      <w:pPr>
        <w:pStyle w:val="TextBody"/>
        <w:spacing w:lineRule="auto" w:line="312" w:before="240" w:after="0"/>
        <w:jc w:val="left"/>
        <w:rPr>
          <w:rFonts w:ascii="Times New Roman" w:hAnsi="Times New Roman"/>
          <w:sz w:val="20"/>
        </w:rPr>
      </w:pPr>
      <w:r>
        <w:rPr>
          <w:rFonts w:ascii="Times New Roman" w:hAnsi="Times New Roman"/>
          <w:b w:val="false"/>
          <w:sz w:val="20"/>
        </w:rPr>
        <w:t>Payors also continually review new and existing technologies for possible coverage and can deny or reverse coverage for new or existing products and procedures. There can be no assurance that third-party payor policies provide coverage, or will continue to provide coverage, for procedures in which OMNI is used. If coverage policies change such that Medicare no longer covers procedures in which our products are used, there would be a material adverse effect on our business, financial condition and results of operations. For example, Medicare Administrative Contractors could issue local coverage determinations that could restrict the patients eligible for treatment with our</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52</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products or that are otherwise unfavorable to our business. If we are not successful in reversing any proposed non-coverage policies, or if third-party payors that currently cover or reimburse procedures in which our products are used reverse or limit their coverage in the future, or if other third-party payors issue similar policies, this could have a material adverse effect on our business.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Further, we believe that future coverage and reimbursement may be subject to increased restrictions, such as additional prior authorization requirements, both in the United States and in international markets. Third-party coverage and reimbursement for procedures using our products or any of our products in development for which we may receive regulatory clearance, certification or approval may not be available or adequate in either the United States or international markets. Further, other devices or treatments that compete with our products may be more widely covered or subject to different co-pay policies and requirements, which could impact demand for our products. If hospital, surgical center, ECP and/or patient demand for our products is adversely affected by third-party reimbursement policies and decisions, it could have a material adverse effect on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The market for our products is highly competitive. Our competitors may have longer operating histories, more established products and greater resources than we do, and may be able to develop or market treatments that are safer, more effective or gain greater acceptance in the marketplace than our products.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medical device industry is highly competitive, subject to rapid change and significantly affected by the introduction of new products and technologies and the other activities of industry participants. We compete, or plan to compete, with medical device and pharmaceutical companies that develop and commercialize products for eye conditions, including Glaukos, Ivantis, AbbVie/Allergan, Novartis, Alcon, and Johnson &amp; Johnson. These companies, or other entrants into the market, may have or develop competing technologies, other products that are in or that enter clinical trials, new devices or additional indications for existing devices that could demonstrate better safety, effectiveness, clinical results, lower costs or greater ECP and market acceptance than our products.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Established treatment patterns pursuant to which prescription medications, traditional glaucoma surgery or more conventional MIGS devices are generally first-line therapies for the treatment of POAG and eye drops or warm-compresses are first-line therapies for the treatment of MGD;</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Established relationships with ECPs who are familiar with their products and procedures for the treatment of POAG or MGD;</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Established relationships with key stakeholders, including hospital outpatient departments, ambulatory surgery centers, optometrists and ophthalmologists, general practitioners and administrators;</w:t>
            </w:r>
          </w:p>
        </w:tc>
      </w:tr>
    </w:tbl>
    <w:p>
      <w:pPr>
        <w:pStyle w:val="TextBody"/>
        <w:spacing w:lineRule="auto" w:line="312" w:before="0" w:after="0"/>
        <w:jc w:val="left"/>
        <w:rPr/>
      </w:pPr>
      <w:r>
        <w:rPr/>
        <w:t> </w:t>
      </w:r>
    </w:p>
    <w:tbl>
      <w:tblPr>
        <w:tblW w:w="4464" w:type="dxa"/>
        <w:jc w:val="left"/>
        <w:tblInd w:w="0" w:type="dxa"/>
        <w:tblCellMar>
          <w:top w:w="28" w:type="dxa"/>
          <w:left w:w="28" w:type="dxa"/>
          <w:bottom w:w="28" w:type="dxa"/>
          <w:right w:w="28" w:type="dxa"/>
        </w:tblCellMar>
      </w:tblPr>
      <w:tblGrid>
        <w:gridCol w:w="161"/>
        <w:gridCol w:w="256"/>
        <w:gridCol w:w="146"/>
        <w:gridCol w:w="390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9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Greater financial and human capital resources;</w:t>
            </w:r>
          </w:p>
        </w:tc>
      </w:tr>
    </w:tbl>
    <w:p>
      <w:pPr>
        <w:pStyle w:val="TextBody"/>
        <w:spacing w:lineRule="auto" w:line="312" w:before="0" w:after="0"/>
        <w:jc w:val="left"/>
        <w:rPr/>
      </w:pPr>
      <w:r>
        <w:rPr/>
        <w:t> </w:t>
      </w:r>
    </w:p>
    <w:tbl>
      <w:tblPr>
        <w:tblW w:w="3909" w:type="dxa"/>
        <w:jc w:val="left"/>
        <w:tblInd w:w="0" w:type="dxa"/>
        <w:tblCellMar>
          <w:top w:w="28" w:type="dxa"/>
          <w:left w:w="28" w:type="dxa"/>
          <w:bottom w:w="28" w:type="dxa"/>
          <w:right w:w="28" w:type="dxa"/>
        </w:tblCellMar>
      </w:tblPr>
      <w:tblGrid>
        <w:gridCol w:w="161"/>
        <w:gridCol w:w="256"/>
        <w:gridCol w:w="146"/>
        <w:gridCol w:w="334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3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Significantly greater name recognition;</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Additional lines of products, and the ability to offer rebates or bundle products to offer greater discounts or incentives to gain a competitive advantage; and</w:t>
            </w:r>
          </w:p>
        </w:tc>
      </w:tr>
    </w:tbl>
    <w:p>
      <w:pPr>
        <w:pStyle w:val="TextBody"/>
        <w:spacing w:lineRule="auto" w:line="312" w:before="0" w:after="0"/>
        <w:jc w:val="left"/>
        <w:rPr/>
      </w:pPr>
      <w:r>
        <w:rPr/>
        <w:t> </w:t>
      </w:r>
    </w:p>
    <w:tbl>
      <w:tblPr>
        <w:tblW w:w="6084" w:type="dxa"/>
        <w:jc w:val="left"/>
        <w:tblInd w:w="0" w:type="dxa"/>
        <w:tblCellMar>
          <w:top w:w="28" w:type="dxa"/>
          <w:left w:w="28" w:type="dxa"/>
          <w:bottom w:w="28" w:type="dxa"/>
          <w:right w:w="28" w:type="dxa"/>
        </w:tblCellMar>
      </w:tblPr>
      <w:tblGrid>
        <w:gridCol w:w="161"/>
        <w:gridCol w:w="256"/>
        <w:gridCol w:w="146"/>
        <w:gridCol w:w="552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5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Established sales, marketing and worldwide distribution networks.</w:t>
            </w:r>
          </w:p>
        </w:tc>
      </w:tr>
    </w:tbl>
    <w:p>
      <w:pPr>
        <w:pStyle w:val="TextBody"/>
        <w:spacing w:lineRule="auto" w:line="312" w:before="240" w:after="0"/>
        <w:jc w:val="left"/>
        <w:rPr>
          <w:rFonts w:ascii="Times New Roman" w:hAnsi="Times New Roman"/>
          <w:b w:val="false"/>
          <w:sz w:val="20"/>
        </w:rPr>
      </w:pPr>
      <w:r>
        <w:rPr>
          <w:rFonts w:ascii="Times New Roman" w:hAnsi="Times New Roman"/>
          <w:b w:val="false"/>
          <w:sz w:val="20"/>
        </w:rPr>
        <w:t>One of the major hurdles to adoption of our products will be overcoming established treatment patterns, which will require educating ECPs and supportive clinical data. However, because of the size of the market opportunity for devices used in procedures to address POAG and MGD, we believe current and potential future competitors will dedicate significant resources to aggressively promote their products or develop new products or treatments, such as Glaukos’ iStent infinite. Further, new treatment options may be developed that could compete more effectively with our products due to the prevalence of POAG and MGD, and the research and technological progress that exist within the market.</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53</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i/>
          <w:sz w:val="20"/>
        </w:rPr>
      </w:pPr>
      <w:r>
        <w:rPr>
          <w:rFonts w:ascii="Times New Roman" w:hAnsi="Times New Roman"/>
          <w:b/>
          <w:i/>
          <w:sz w:val="20"/>
        </w:rPr>
        <w:t>We rely on third parties to manufacture and supply OMNI and TearCare, and we may encounter delays or incur additional costs when we add new manufacturers and suppliers for our products.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business strategy depends on our ability to manufacture our current and future products in sufficient quantities and on a timely basis to meet customer demand, while adhering to product quality standards, complying with regulatory quality system requirements and managing manufacturing costs. We do not have any internal manufacturing capabilities or infrastructure. OMNI is currently being produced and assembled by Peter’s Technology (Suzhou) CO LTD., or Peter’s, a subsidiary of Peter’s Co., Ltd., a Taiwan-based manufacturer, and we also maintain OMNI product inventory manufactured by Second Source Medical, LLC (“Second Source”), our previous OMNI manufacturer, which will be used to fulfill customer orders until such inventory has been depleted. We intend to fully transition OMNI production to Peter’s and an additional high-volume contract manufacturer with domestic U.S. production facilities by the end of 2021. The Peter’s Supply Agreement governs the assembly and supply of OMNI by Peter's, pursuant to which Peter’s purchases components from our approved suppliers for assembly and we make purchases on a purchase order basis. We may encounter delays or incur additional costs in connection with the transition to a new contract manufacturer with domestic U.S. and Chinese production facilities for OMNI production. For the production of TearCare, we currently have supply arrangements with separate Chinese and U.S. medical device manufacturers for the production of TearCare’s SmartLids and TearCare’s SmartHubs. These companies manufacture, assemble, inspect, test, package and ship OMNI and TearCare and related accessories.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While our existing manufacturers have generally met our demand requirements on a timely basis in the past, their ability and willingness to continue to do so going forward may be limited for several reasons, including if any of our manufacturers’ facilities suffer damage or a force majeure event, our relative importance as a customer to each manufacturer or their inability to provide assembly services to manufacture our products, which may be affected by the COVID-19 pandemic. An interruption in our commercial operations could occur if we encounter delays or difficulties in securing these manufactured products if we cannot obtain an acceptable substitute.</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process of identifying alternative manufacturing facilities for any other reason could be time-consuming and expensive, may result in interruptions in our operations and product delivery, and could affect the performance specifications of our products. If we are required to change any of our contract manufacturers, we will be required to verify that the new manufacturer maintains facilities, procedures and operations that comply with our quality and applicable regulatory requirements, which could further impede our ability to manufacture our products in a timely manner. We cannot assure you that we will be able to identify and engage alternative contract manufacturers on similar terms or without delay. Furthermore, our contract manufacturers could require us to move to a different production facility. The occurrence of any of these events could harm our ability to meet the demand for our products in a timely and cost-effective manner, which could have a material adverse effect on our business, financial condition and results of operations.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are also subject to numerous other risks relating to our reliance on third parties, including:</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Inability to renew or extend contracts and arrangements with such third parties or renew any such contracts or arrangements on terms that are favorable to us;</w:t>
            </w:r>
          </w:p>
        </w:tc>
      </w:tr>
    </w:tbl>
    <w:p>
      <w:pPr>
        <w:pStyle w:val="TextBody"/>
        <w:spacing w:lineRule="auto" w:line="312" w:before="0" w:after="0"/>
        <w:jc w:val="left"/>
        <w:rPr/>
      </w:pPr>
      <w:r>
        <w:rPr/>
        <w:t> </w:t>
      </w:r>
    </w:p>
    <w:tbl>
      <w:tblPr>
        <w:tblW w:w="9054" w:type="dxa"/>
        <w:jc w:val="left"/>
        <w:tblInd w:w="0" w:type="dxa"/>
        <w:tblCellMar>
          <w:top w:w="28" w:type="dxa"/>
          <w:left w:w="28" w:type="dxa"/>
          <w:bottom w:w="28" w:type="dxa"/>
          <w:right w:w="28" w:type="dxa"/>
        </w:tblCellMar>
      </w:tblPr>
      <w:tblGrid>
        <w:gridCol w:w="161"/>
        <w:gridCol w:w="256"/>
        <w:gridCol w:w="146"/>
        <w:gridCol w:w="849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4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Interruption of supply resulting from modifications to, or discontinuation of, a third-party’s operations;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Delays in shipments resulting from uncorrected defects, reliability issues or a third-party’s failure to manufacture and supply components, accessories and materials that consistently meet our agreed specifications and quality requirements;</w:t>
            </w:r>
          </w:p>
        </w:tc>
      </w:tr>
    </w:tbl>
    <w:p>
      <w:pPr>
        <w:pStyle w:val="TextBody"/>
        <w:spacing w:lineRule="auto" w:line="312" w:before="0" w:after="0"/>
        <w:jc w:val="left"/>
        <w:rPr/>
      </w:pPr>
      <w:r>
        <w:rPr/>
        <w:t> </w:t>
      </w:r>
    </w:p>
    <w:tbl>
      <w:tblPr>
        <w:tblW w:w="9114" w:type="dxa"/>
        <w:jc w:val="left"/>
        <w:tblInd w:w="0" w:type="dxa"/>
        <w:tblCellMar>
          <w:top w:w="28" w:type="dxa"/>
          <w:left w:w="28" w:type="dxa"/>
          <w:bottom w:w="28" w:type="dxa"/>
          <w:right w:w="28" w:type="dxa"/>
        </w:tblCellMar>
      </w:tblPr>
      <w:tblGrid>
        <w:gridCol w:w="161"/>
        <w:gridCol w:w="256"/>
        <w:gridCol w:w="146"/>
        <w:gridCol w:w="855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5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Inability to obtain adequate supply or services in a timely manner or on commercially reasonable terms;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Difficulty identifying and qualifying, and obtaining new regulatory approvals, for alternative suppliers for our products and product components in a timely manner;</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Inability to design or modify production processes to enable us to produce future products efficiently or implement changes in current products in response to design or regulatory requirements;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Inability to comply with applicable provisions of the FDA’s Quality System Regulation, or QSR, or other applicable laws or regulations enforced by the FDA, state and foreign regulatory authorities;</w:t>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54</w:t>
      </w:r>
    </w:p>
    <w:p>
      <w:pPr>
        <w:pStyle w:val="HorizontalLine"/>
        <w:rPr/>
      </w:pPr>
      <w:r>
        <w:rPr/>
      </w:r>
    </w:p>
    <w:p>
      <w:pPr>
        <w:pStyle w:val="TextBody"/>
        <w:spacing w:lineRule="auto" w:line="312" w:before="0" w:after="0"/>
        <w:jc w:val="left"/>
        <w:rPr/>
      </w:pPr>
      <w:r>
        <w:rPr/>
        <w:t> </w:t>
      </w:r>
    </w:p>
    <w:p>
      <w:pPr>
        <w:pStyle w:val="TextBody"/>
        <w:spacing w:lineRule="auto" w:line="312" w:before="0" w:after="0"/>
        <w:jc w:val="left"/>
        <w:rPr/>
      </w:pPr>
      <w:r>
        <w:rPr/>
        <w:t> </w:t>
      </w:r>
    </w:p>
    <w:tbl>
      <w:tblPr>
        <w:tblW w:w="7959" w:type="dxa"/>
        <w:jc w:val="left"/>
        <w:tblInd w:w="0" w:type="dxa"/>
        <w:tblCellMar>
          <w:top w:w="28" w:type="dxa"/>
          <w:left w:w="28" w:type="dxa"/>
          <w:bottom w:w="28" w:type="dxa"/>
          <w:right w:w="28" w:type="dxa"/>
        </w:tblCellMar>
      </w:tblPr>
      <w:tblGrid>
        <w:gridCol w:w="161"/>
        <w:gridCol w:w="256"/>
        <w:gridCol w:w="146"/>
        <w:gridCol w:w="739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39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3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Inability to ensure the quality of products and components manufactured by third parties;</w:t>
            </w:r>
          </w:p>
        </w:tc>
      </w:tr>
    </w:tbl>
    <w:p>
      <w:pPr>
        <w:pStyle w:val="TextBody"/>
        <w:spacing w:lineRule="auto" w:line="312" w:before="0" w:after="0"/>
        <w:jc w:val="left"/>
        <w:rPr/>
      </w:pPr>
      <w:r>
        <w:rPr/>
        <w:t> </w:t>
      </w:r>
    </w:p>
    <w:tbl>
      <w:tblPr>
        <w:tblW w:w="6789" w:type="dxa"/>
        <w:jc w:val="left"/>
        <w:tblInd w:w="0" w:type="dxa"/>
        <w:tblCellMar>
          <w:top w:w="28" w:type="dxa"/>
          <w:left w:w="28" w:type="dxa"/>
          <w:bottom w:w="28" w:type="dxa"/>
          <w:right w:w="28" w:type="dxa"/>
        </w:tblCellMar>
      </w:tblPr>
      <w:tblGrid>
        <w:gridCol w:w="161"/>
        <w:gridCol w:w="256"/>
        <w:gridCol w:w="146"/>
        <w:gridCol w:w="62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2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Failure to timely increase production capacity or volumes to meet demand;</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Production delays related to the evaluation and testing of products and components from alternative third parties and corresponding regulatory qualifications;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An outbreak of disease or similar public health threat, such as the COVID-19 pandemic, particularly as it may impact our supply chain;</w:t>
            </w:r>
          </w:p>
        </w:tc>
      </w:tr>
    </w:tbl>
    <w:p>
      <w:pPr>
        <w:pStyle w:val="TextBody"/>
        <w:spacing w:lineRule="auto" w:line="312" w:before="0" w:after="0"/>
        <w:jc w:val="left"/>
        <w:rPr/>
      </w:pPr>
      <w:r>
        <w:rPr/>
        <w:t> </w:t>
      </w:r>
    </w:p>
    <w:tbl>
      <w:tblPr>
        <w:tblW w:w="6639" w:type="dxa"/>
        <w:jc w:val="left"/>
        <w:tblInd w:w="0" w:type="dxa"/>
        <w:tblCellMar>
          <w:top w:w="28" w:type="dxa"/>
          <w:left w:w="28" w:type="dxa"/>
          <w:bottom w:w="28" w:type="dxa"/>
          <w:right w:w="28" w:type="dxa"/>
        </w:tblCellMar>
      </w:tblPr>
      <w:tblGrid>
        <w:gridCol w:w="161"/>
        <w:gridCol w:w="256"/>
        <w:gridCol w:w="146"/>
        <w:gridCol w:w="607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07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Long lead time for the production of certain components of our products;</w:t>
            </w:r>
          </w:p>
        </w:tc>
      </w:tr>
    </w:tbl>
    <w:p>
      <w:pPr>
        <w:pStyle w:val="TextBody"/>
        <w:spacing w:lineRule="auto" w:line="312" w:before="0" w:after="0"/>
        <w:jc w:val="left"/>
        <w:rPr/>
      </w:pPr>
      <w:r>
        <w:rPr/>
        <w:t> </w:t>
      </w:r>
    </w:p>
    <w:tbl>
      <w:tblPr>
        <w:tblW w:w="8364" w:type="dxa"/>
        <w:jc w:val="left"/>
        <w:tblInd w:w="0" w:type="dxa"/>
        <w:tblCellMar>
          <w:top w:w="28" w:type="dxa"/>
          <w:left w:w="28" w:type="dxa"/>
          <w:bottom w:w="28" w:type="dxa"/>
          <w:right w:w="28" w:type="dxa"/>
        </w:tblCellMar>
      </w:tblPr>
      <w:tblGrid>
        <w:gridCol w:w="161"/>
        <w:gridCol w:w="256"/>
        <w:gridCol w:w="146"/>
        <w:gridCol w:w="780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0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8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Price fluctuations due to a lack of long-term supply arrangements with certain of our suppliers;</w:t>
            </w:r>
          </w:p>
        </w:tc>
      </w:tr>
    </w:tbl>
    <w:p>
      <w:pPr>
        <w:pStyle w:val="TextBody"/>
        <w:spacing w:lineRule="auto" w:line="312" w:before="0" w:after="0"/>
        <w:jc w:val="left"/>
        <w:rPr/>
      </w:pPr>
      <w:r>
        <w:rPr/>
        <w:t> </w:t>
      </w:r>
    </w:p>
    <w:tbl>
      <w:tblPr>
        <w:tblW w:w="5619" w:type="dxa"/>
        <w:jc w:val="left"/>
        <w:tblInd w:w="0" w:type="dxa"/>
        <w:tblCellMar>
          <w:top w:w="28" w:type="dxa"/>
          <w:left w:w="28" w:type="dxa"/>
          <w:bottom w:w="28" w:type="dxa"/>
          <w:right w:w="28" w:type="dxa"/>
        </w:tblCellMar>
      </w:tblPr>
      <w:tblGrid>
        <w:gridCol w:w="161"/>
        <w:gridCol w:w="256"/>
        <w:gridCol w:w="146"/>
        <w:gridCol w:w="505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0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0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Risk of delays or interruption stemming from trade wars; and</w:t>
            </w:r>
          </w:p>
        </w:tc>
      </w:tr>
    </w:tbl>
    <w:p>
      <w:pPr>
        <w:pStyle w:val="TextBody"/>
        <w:spacing w:lineRule="auto" w:line="312" w:before="0" w:after="0"/>
        <w:jc w:val="left"/>
        <w:rPr/>
      </w:pPr>
      <w:r>
        <w:rPr/>
        <w:t> </w:t>
      </w:r>
    </w:p>
    <w:tbl>
      <w:tblPr>
        <w:tblW w:w="4239" w:type="dxa"/>
        <w:jc w:val="left"/>
        <w:tblInd w:w="0" w:type="dxa"/>
        <w:tblCellMar>
          <w:top w:w="28" w:type="dxa"/>
          <w:left w:w="28" w:type="dxa"/>
          <w:bottom w:w="28" w:type="dxa"/>
          <w:right w:w="28" w:type="dxa"/>
        </w:tblCellMar>
      </w:tblPr>
      <w:tblGrid>
        <w:gridCol w:w="161"/>
        <w:gridCol w:w="256"/>
        <w:gridCol w:w="146"/>
        <w:gridCol w:w="367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67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General delays in delivery by our suppliers.</w:t>
            </w:r>
          </w:p>
        </w:tc>
      </w:tr>
    </w:tbl>
    <w:p>
      <w:pPr>
        <w:pStyle w:val="TextBody"/>
        <w:spacing w:lineRule="auto" w:line="312" w:before="240" w:after="0"/>
        <w:jc w:val="left"/>
        <w:rPr>
          <w:rFonts w:ascii="Times New Roman" w:hAnsi="Times New Roman"/>
          <w:b w:val="false"/>
          <w:sz w:val="20"/>
        </w:rPr>
      </w:pPr>
      <w:r>
        <w:rPr>
          <w:rFonts w:ascii="Times New Roman" w:hAnsi="Times New Roman"/>
          <w:b w:val="false"/>
          <w:sz w:val="20"/>
        </w:rPr>
        <w:t>These risks are likely to be exacerbated by our limited experience with our current products and manufacturing processes. As demand for our products increases, we will have to invest additional resources to manage the manufacturing process. If we fail to secure increased production capacity efficiently, we may not be able to fill customer orders on a timely basis, our sales may not increase in line with our expectations and our operating margins could fluctuate or decline. In addition, although some future products may share product features, components, sub-assemblies and materials with our existing products, the manufacture of these products may require modification of the current production processes or unique production processes, the identification of new suppliers for specific components, sub-assemblies and materials or the development of new manufacturing technologies. It may not be possible for our current third-party manufacturers to produce these products at a cost or in quantities sufficient to make these products commercially viable or to maintain current operating margins, all of which could have a material adverse effect on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We depend on a limited number of single source suppliers.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rely on a limited number of third-party manufacturers, many of which are single source suppliers, for a portion of the components, accessories and materials that we utilize in our products. These items are critical and, for certain items, there are relatively few or no readily available alternative sources of supply. These single source suppliers may be unwilling or unable to supply these items reliably and at the levels we anticipate or that are required by the market. Additionally, although we require our suppliers and providers to supply us with components and services that meet our specifications and other applicable legal and regulatory requirements in our agreements and contracts, and appropriate inspections, testing or other acceptance activities are performed to ensure the components meet our requirements, there is a risk that these third parties will not always act consistent with our best interests, and may not always supply components or provide services that meet our requirements or in a timely manner.</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While our suppliers have generally met our demand requirements on a timely basis in the past, we cannot guarantee that suppliers will in the future be able to meet our demand, either because of acts of nature, global pandemics, such as the COVID-19 pandemic, the nature of our agreements with those suppliers or our relative importance to them as a customer, and our suppliers may decide in the future to discontinue or reduce the level of business they conduct with us. We may also fail to obtain additional suppliers for any of the components used in our products. If we are unable to meet our demand requirements on a timely basis, we may not have a sufficient number of our products available for delivery to support ECPs that utilize our products as part of their treatment. Any shortfall in the supply of products may result in lower adoption and usage rates of our products and have a material adverse effect on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The failure of third parties to meet their contractual, regulatory, and other obligations could adversely affect our business.</w:t>
      </w:r>
    </w:p>
    <w:p>
      <w:pPr>
        <w:pStyle w:val="TextBody"/>
        <w:spacing w:lineRule="auto" w:line="312" w:before="120" w:after="0"/>
        <w:jc w:val="left"/>
        <w:rPr>
          <w:rFonts w:ascii="Times New Roman" w:hAnsi="Times New Roman"/>
          <w:sz w:val="20"/>
        </w:rPr>
      </w:pPr>
      <w:r>
        <w:rPr>
          <w:rFonts w:ascii="Times New Roman" w:hAnsi="Times New Roman"/>
          <w:b w:val="false"/>
          <w:sz w:val="20"/>
        </w:rPr>
        <w:t>We rely on suppliers, vendors, outsourcing partners, consultants, alliance partners and other third parties to help research, develop, manufacture, commercialize and distribute our products and manage certain parts of our</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55</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business.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risk, infrastructure problems and natural disasters, in addition to country-specific privacy and data security risk given current legal and regulatory environments. Failure of third parties to meet their contractual, regulatory, and other obligations may materially adversely affect our business.</w:t>
      </w:r>
    </w:p>
    <w:p>
      <w:pPr>
        <w:pStyle w:val="TextBody"/>
        <w:spacing w:lineRule="auto" w:line="312" w:before="360" w:after="0"/>
        <w:jc w:val="left"/>
        <w:rPr>
          <w:rFonts w:ascii="Times New Roman" w:hAnsi="Times New Roman"/>
          <w:b/>
          <w:i/>
          <w:sz w:val="20"/>
        </w:rPr>
      </w:pPr>
      <w:r>
        <w:rPr>
          <w:rFonts w:ascii="Times New Roman" w:hAnsi="Times New Roman"/>
          <w:b/>
          <w:i/>
          <w:sz w:val="20"/>
        </w:rPr>
        <w:t>The failure of OMNI or TearCare to meet patient expectations or the occurrence of adverse events from use of OMNI or TearCare could limit their adoption and impair our financial performance.</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future success depends in part upon patients having an experience with our products that meets their expectations in order to increase ECPs’ demand for our products as a result of positive feedback, social media and word-of-mouth. Patients may be dissatisfied if their expectations of the procedures performed by ECPs using our products, among other things, are not met. Despite what we believe to be the strong safety profile of our products for their intended uses, patients may experience adverse events following canaloplasty or trabeculotomy with OMNI, including, but not limited to, hyphema, mild anterior chamber inflammation and spikes in intraocular pressure. Similarly, patients may experience adverse events following application of localized heat with TearCare, including discomfort, pain or erythema of the eyelids.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If experiences with OMNI or TearCare do not meet the expectations of patients, or if patients experience adverse events, it could discourage the patient and treating physician from referring our products to others. Dissatisfied patients may express negative opinions through social media or other public forums. Any failure to meet patient expectations and any resulting negative publicity could harm our reputation and future sales and therefore adversely affect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Our results of operations could be materially harmed if we are unable to accurately forecast customer demand for our products and manage our inventory.</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seek to maintain sufficient levels of inventory in order to protect ourselves from supply interruptions, but keep limited components, sub-assemblies, materials and finished products on hand. To ensure adequate inventory supply and manage our operations with our third-party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product introductions by competitors, an increase or decrease in customer demand for our products, our failure to accurately forecast customer acceptance and adoption of new products, unanticipated changes in general market conditions or regulatory matters and weakening of economic conditions or consumer confidence in future economic conditions.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Inventory levels in excess of customer demand may result in a portion of our inventory becoming obsolete or expiring, as well as inventory write-downs or write-offs, which would negatively impact our gross margins and impair the strength of our brand. Conversely, if we underestimate customer demand for our products or our own requirements for components, sub-assemblies and materials, our third-party suppliers may not be able to deliver 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or additional manufacturing capacity may not be available when required on terms that are acceptable to us, or at all, and our third-party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56</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i/>
          <w:sz w:val="20"/>
        </w:rPr>
      </w:pPr>
      <w:r>
        <w:rPr>
          <w:rFonts w:ascii="Times New Roman" w:hAnsi="Times New Roman"/>
          <w:b/>
          <w:i/>
          <w:sz w:val="20"/>
        </w:rPr>
        <w:t>Our quarterly and annual results may fluctuate significantly and may not fully reflect the underlying performance of our business.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quarterly and annual results of operations, including our revenue, may vary significantly in the future, and period-to-period comparisons of our operating results may not be meaningful. Accordingly, the results of any one quarter or period should not be relied upon as an indication of future performance or of the results for the year in which such quarter or period occurs.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or result in volatility of our common stock. Because our quarterly results may fluctuate, period-to-period comparisons may not be the best indication of the underlying results of our business and should only be relied upon as one factor in determining how our business is performing. These fluctuations may occur due to a variety of factors, many of which are outside of our control, including, but not limited to:</w:t>
      </w:r>
    </w:p>
    <w:p>
      <w:pPr>
        <w:pStyle w:val="TextBody"/>
        <w:spacing w:lineRule="auto" w:line="312" w:before="0" w:after="0"/>
        <w:jc w:val="left"/>
        <w:rPr/>
      </w:pPr>
      <w:r>
        <w:rPr/>
        <w:t> </w:t>
      </w:r>
    </w:p>
    <w:tbl>
      <w:tblPr>
        <w:tblW w:w="6189" w:type="dxa"/>
        <w:jc w:val="left"/>
        <w:tblInd w:w="0" w:type="dxa"/>
        <w:tblCellMar>
          <w:top w:w="28" w:type="dxa"/>
          <w:left w:w="28" w:type="dxa"/>
          <w:bottom w:w="28" w:type="dxa"/>
          <w:right w:w="28" w:type="dxa"/>
        </w:tblCellMar>
      </w:tblPr>
      <w:tblGrid>
        <w:gridCol w:w="161"/>
        <w:gridCol w:w="256"/>
        <w:gridCol w:w="146"/>
        <w:gridCol w:w="56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6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6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level of demand for our products which may vary significantly;</w:t>
            </w:r>
          </w:p>
        </w:tc>
      </w:tr>
    </w:tbl>
    <w:p>
      <w:pPr>
        <w:pStyle w:val="TextBody"/>
        <w:spacing w:lineRule="auto" w:line="312" w:before="0" w:after="0"/>
        <w:jc w:val="left"/>
        <w:rPr/>
      </w:pPr>
      <w:r>
        <w:rPr/>
        <w:t> </w:t>
      </w:r>
    </w:p>
    <w:tbl>
      <w:tblPr>
        <w:tblW w:w="6849" w:type="dxa"/>
        <w:jc w:val="left"/>
        <w:tblInd w:w="0" w:type="dxa"/>
        <w:tblCellMar>
          <w:top w:w="28" w:type="dxa"/>
          <w:left w:w="28" w:type="dxa"/>
          <w:bottom w:w="28" w:type="dxa"/>
          <w:right w:w="28" w:type="dxa"/>
        </w:tblCellMar>
      </w:tblPr>
      <w:tblGrid>
        <w:gridCol w:w="161"/>
        <w:gridCol w:w="256"/>
        <w:gridCol w:w="146"/>
        <w:gridCol w:w="628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8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2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Results of clinical trials or investigations involving the use of our products;</w:t>
            </w:r>
          </w:p>
        </w:tc>
      </w:tr>
    </w:tbl>
    <w:p>
      <w:pPr>
        <w:pStyle w:val="TextBody"/>
        <w:spacing w:lineRule="auto" w:line="312" w:before="0" w:after="0"/>
        <w:jc w:val="left"/>
        <w:rPr/>
      </w:pPr>
      <w:r>
        <w:rPr/>
        <w:t> </w:t>
      </w:r>
    </w:p>
    <w:tbl>
      <w:tblPr>
        <w:tblW w:w="6159" w:type="dxa"/>
        <w:jc w:val="left"/>
        <w:tblInd w:w="0" w:type="dxa"/>
        <w:tblCellMar>
          <w:top w:w="28" w:type="dxa"/>
          <w:left w:w="28" w:type="dxa"/>
          <w:bottom w:w="28" w:type="dxa"/>
          <w:right w:w="28" w:type="dxa"/>
        </w:tblCellMar>
      </w:tblPr>
      <w:tblGrid>
        <w:gridCol w:w="161"/>
        <w:gridCol w:w="256"/>
        <w:gridCol w:w="146"/>
        <w:gridCol w:w="559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9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5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Regulatory decisions or announcements, including product recalls;</w:t>
            </w:r>
          </w:p>
        </w:tc>
      </w:tr>
    </w:tbl>
    <w:p>
      <w:pPr>
        <w:pStyle w:val="TextBody"/>
        <w:spacing w:lineRule="auto" w:line="312" w:before="0" w:after="0"/>
        <w:jc w:val="left"/>
        <w:rPr/>
      </w:pPr>
      <w:r>
        <w:rPr/>
        <w:t> </w:t>
      </w:r>
    </w:p>
    <w:tbl>
      <w:tblPr>
        <w:tblW w:w="7389" w:type="dxa"/>
        <w:jc w:val="left"/>
        <w:tblInd w:w="0" w:type="dxa"/>
        <w:tblCellMar>
          <w:top w:w="28" w:type="dxa"/>
          <w:left w:w="28" w:type="dxa"/>
          <w:bottom w:w="28" w:type="dxa"/>
          <w:right w:w="28" w:type="dxa"/>
        </w:tblCellMar>
      </w:tblPr>
      <w:tblGrid>
        <w:gridCol w:w="161"/>
        <w:gridCol w:w="256"/>
        <w:gridCol w:w="146"/>
        <w:gridCol w:w="68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8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Data and results relating to our products that are presented in journal publications;</w:t>
            </w:r>
          </w:p>
        </w:tc>
      </w:tr>
    </w:tbl>
    <w:p>
      <w:pPr>
        <w:pStyle w:val="TextBody"/>
        <w:spacing w:lineRule="auto" w:line="312" w:before="0" w:after="0"/>
        <w:jc w:val="left"/>
        <w:rPr/>
      </w:pPr>
      <w:r>
        <w:rPr/>
        <w:t> </w:t>
      </w:r>
    </w:p>
    <w:tbl>
      <w:tblPr>
        <w:tblW w:w="9459" w:type="dxa"/>
        <w:jc w:val="left"/>
        <w:tblInd w:w="0" w:type="dxa"/>
        <w:tblCellMar>
          <w:top w:w="28" w:type="dxa"/>
          <w:left w:w="28" w:type="dxa"/>
          <w:bottom w:w="28" w:type="dxa"/>
          <w:right w:w="28" w:type="dxa"/>
        </w:tblCellMar>
      </w:tblPr>
      <w:tblGrid>
        <w:gridCol w:w="161"/>
        <w:gridCol w:w="256"/>
        <w:gridCol w:w="146"/>
        <w:gridCol w:w="889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9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Expenditures that we may incur to acquire, develop or commercialize additional products and technologies;</w:t>
            </w:r>
          </w:p>
        </w:tc>
      </w:tr>
    </w:tbl>
    <w:p>
      <w:pPr>
        <w:pStyle w:val="TextBody"/>
        <w:spacing w:lineRule="auto" w:line="312" w:before="0" w:after="0"/>
        <w:jc w:val="left"/>
        <w:rPr/>
      </w:pPr>
      <w:r>
        <w:rPr/>
        <w:t> </w:t>
      </w:r>
    </w:p>
    <w:tbl>
      <w:tblPr>
        <w:tblW w:w="4089" w:type="dxa"/>
        <w:jc w:val="left"/>
        <w:tblInd w:w="0" w:type="dxa"/>
        <w:tblCellMar>
          <w:top w:w="28" w:type="dxa"/>
          <w:left w:w="28" w:type="dxa"/>
          <w:bottom w:w="28" w:type="dxa"/>
          <w:right w:w="28" w:type="dxa"/>
        </w:tblCellMar>
      </w:tblPr>
      <w:tblGrid>
        <w:gridCol w:w="161"/>
        <w:gridCol w:w="256"/>
        <w:gridCol w:w="146"/>
        <w:gridCol w:w="35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5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Sales and marketing efforts and expenses;</w:t>
            </w:r>
          </w:p>
        </w:tc>
      </w:tr>
    </w:tbl>
    <w:p>
      <w:pPr>
        <w:pStyle w:val="TextBody"/>
        <w:spacing w:lineRule="auto" w:line="312" w:before="0" w:after="0"/>
        <w:jc w:val="left"/>
        <w:rPr/>
      </w:pPr>
      <w:r>
        <w:rPr/>
        <w:t> </w:t>
      </w:r>
    </w:p>
    <w:tbl>
      <w:tblPr>
        <w:tblW w:w="2139" w:type="dxa"/>
        <w:jc w:val="left"/>
        <w:tblInd w:w="0" w:type="dxa"/>
        <w:tblCellMar>
          <w:top w:w="28" w:type="dxa"/>
          <w:left w:w="28" w:type="dxa"/>
          <w:bottom w:w="28" w:type="dxa"/>
          <w:right w:w="28" w:type="dxa"/>
        </w:tblCellMar>
      </w:tblPr>
      <w:tblGrid>
        <w:gridCol w:w="161"/>
        <w:gridCol w:w="256"/>
        <w:gridCol w:w="146"/>
        <w:gridCol w:w="157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57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Pricing pressures;</w:t>
            </w:r>
          </w:p>
        </w:tc>
      </w:tr>
    </w:tbl>
    <w:p>
      <w:pPr>
        <w:pStyle w:val="TextBody"/>
        <w:spacing w:lineRule="auto" w:line="312" w:before="0" w:after="0"/>
        <w:jc w:val="left"/>
        <w:rPr/>
      </w:pPr>
      <w:r>
        <w:rPr/>
        <w:t> </w:t>
      </w:r>
    </w:p>
    <w:tbl>
      <w:tblPr>
        <w:tblW w:w="9399" w:type="dxa"/>
        <w:jc w:val="left"/>
        <w:tblInd w:w="0" w:type="dxa"/>
        <w:tblCellMar>
          <w:top w:w="28" w:type="dxa"/>
          <w:left w:w="28" w:type="dxa"/>
          <w:bottom w:w="28" w:type="dxa"/>
          <w:right w:w="28" w:type="dxa"/>
        </w:tblCellMar>
      </w:tblPr>
      <w:tblGrid>
        <w:gridCol w:w="161"/>
        <w:gridCol w:w="256"/>
        <w:gridCol w:w="146"/>
        <w:gridCol w:w="883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83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8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rate at which we grow our sales force and the speed at which newly hired salespeople become effective;</w:t>
            </w:r>
          </w:p>
        </w:tc>
      </w:tr>
    </w:tbl>
    <w:p>
      <w:pPr>
        <w:pStyle w:val="TextBody"/>
        <w:spacing w:lineRule="auto" w:line="312" w:before="0" w:after="0"/>
        <w:jc w:val="left"/>
        <w:rPr/>
      </w:pPr>
      <w:r>
        <w:rPr/>
        <w:t> </w:t>
      </w:r>
    </w:p>
    <w:tbl>
      <w:tblPr>
        <w:tblW w:w="4464" w:type="dxa"/>
        <w:jc w:val="left"/>
        <w:tblInd w:w="0" w:type="dxa"/>
        <w:tblCellMar>
          <w:top w:w="28" w:type="dxa"/>
          <w:left w:w="28" w:type="dxa"/>
          <w:bottom w:w="28" w:type="dxa"/>
          <w:right w:w="28" w:type="dxa"/>
        </w:tblCellMar>
      </w:tblPr>
      <w:tblGrid>
        <w:gridCol w:w="161"/>
        <w:gridCol w:w="256"/>
        <w:gridCol w:w="146"/>
        <w:gridCol w:w="390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9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Changes in the productivity of our sales force;</w:t>
            </w:r>
          </w:p>
        </w:tc>
      </w:tr>
    </w:tbl>
    <w:p>
      <w:pPr>
        <w:pStyle w:val="TextBody"/>
        <w:spacing w:lineRule="auto" w:line="312" w:before="0" w:after="0"/>
        <w:jc w:val="left"/>
        <w:rPr/>
      </w:pPr>
      <w:r>
        <w:rPr/>
        <w:t> </w:t>
      </w:r>
    </w:p>
    <w:tbl>
      <w:tblPr>
        <w:tblW w:w="5664" w:type="dxa"/>
        <w:jc w:val="left"/>
        <w:tblInd w:w="0" w:type="dxa"/>
        <w:tblCellMar>
          <w:top w:w="28" w:type="dxa"/>
          <w:left w:w="28" w:type="dxa"/>
          <w:bottom w:w="28" w:type="dxa"/>
          <w:right w:w="28" w:type="dxa"/>
        </w:tblCellMar>
      </w:tblPr>
      <w:tblGrid>
        <w:gridCol w:w="161"/>
        <w:gridCol w:w="256"/>
        <w:gridCol w:w="146"/>
        <w:gridCol w:w="510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0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1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ability to expand the geographic reach of our sales force;</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degree of competition in our industry and any change in the competitive landscape of our industry, including consolidation among our competitors or future partners;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Changes in coverage and reimbursement policies with respect to our procedures in which our products are used, and potential future products that compete with our products;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Positive or negative coverage in the media or clinical publications of our products or products of our competitors or our industry;</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timing of customer orders or medical procedures using our products and the number of available selling days in any quarterly period, which can be impacted by holidays, the mix of products sold and the geographic mix of where products are sold;</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timing and cost of, and level of investment in, research, development, licenses, regulatory approval, commercialization activities, acquisitions and other strategic transactions, or other significant events relating to our products, which may change from time to time;</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cost of manufacturing our products, which may vary depending on the quantity of production and the terms of our agreements with third-party suppliers; and</w:t>
            </w:r>
          </w:p>
        </w:tc>
      </w:tr>
    </w:tbl>
    <w:p>
      <w:pPr>
        <w:pStyle w:val="TextBody"/>
        <w:spacing w:lineRule="auto" w:line="312" w:before="0" w:after="0"/>
        <w:jc w:val="left"/>
        <w:rPr/>
      </w:pPr>
      <w:r>
        <w:rPr/>
        <w:t> </w:t>
      </w:r>
    </w:p>
    <w:tbl>
      <w:tblPr>
        <w:tblW w:w="6729" w:type="dxa"/>
        <w:jc w:val="left"/>
        <w:tblInd w:w="0" w:type="dxa"/>
        <w:tblCellMar>
          <w:top w:w="28" w:type="dxa"/>
          <w:left w:w="28" w:type="dxa"/>
          <w:bottom w:w="28" w:type="dxa"/>
          <w:right w:w="28" w:type="dxa"/>
        </w:tblCellMar>
      </w:tblPr>
      <w:tblGrid>
        <w:gridCol w:w="161"/>
        <w:gridCol w:w="256"/>
        <w:gridCol w:w="146"/>
        <w:gridCol w:w="616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1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Future accounting pronouncements or changes in our accounting policies.</w:t>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57</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i/>
          <w:sz w:val="20"/>
        </w:rPr>
      </w:pPr>
      <w:r>
        <w:rPr>
          <w:rFonts w:ascii="Times New Roman" w:hAnsi="Times New Roman"/>
          <w:b/>
          <w:i/>
          <w:sz w:val="20"/>
        </w:rPr>
        <w:t>Our long-term growth depends on our ability to enhance our products, expand our indications and develop and commercialize additional products in a timely manner. If we fail to identify, acquire and develop other products, we may be unable to grow our business.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markets for our products are highly competitive, dynamic, and marked by rapid and substantial technological development and product innovation. New entrants or existing competitors could attempt to develop products that compete directly with ours. Demand for our products and future related products could be diminished by equivalent or superior products and technologies offered by competitors. If we are unable to innovate successfully, our products could become obsolete and our revenue would decline as our customers purchase our competitors’ products. Developing and improving products is expensive and time-consuming and could divert management’s attention away from our existing products. The success of any new product offering or product enhancements to our solutions will depend on several factors, including our ability to:</w:t>
      </w:r>
    </w:p>
    <w:p>
      <w:pPr>
        <w:pStyle w:val="TextBody"/>
        <w:spacing w:lineRule="auto" w:line="312" w:before="0" w:after="0"/>
        <w:jc w:val="left"/>
        <w:rPr/>
      </w:pPr>
      <w:r>
        <w:rPr/>
        <w:t> </w:t>
      </w:r>
    </w:p>
    <w:tbl>
      <w:tblPr>
        <w:tblW w:w="4329" w:type="dxa"/>
        <w:jc w:val="left"/>
        <w:tblInd w:w="0" w:type="dxa"/>
        <w:tblCellMar>
          <w:top w:w="28" w:type="dxa"/>
          <w:left w:w="28" w:type="dxa"/>
          <w:bottom w:w="28" w:type="dxa"/>
          <w:right w:w="28" w:type="dxa"/>
        </w:tblCellMar>
      </w:tblPr>
      <w:tblGrid>
        <w:gridCol w:w="161"/>
        <w:gridCol w:w="256"/>
        <w:gridCol w:w="146"/>
        <w:gridCol w:w="376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7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Maintaining strong relationships with ECPs;</w:t>
            </w:r>
          </w:p>
        </w:tc>
      </w:tr>
    </w:tbl>
    <w:p>
      <w:pPr>
        <w:pStyle w:val="TextBody"/>
        <w:spacing w:lineRule="auto" w:line="312" w:before="0" w:after="0"/>
        <w:jc w:val="left"/>
        <w:rPr/>
      </w:pPr>
      <w:r>
        <w:rPr/>
        <w:t> </w:t>
      </w:r>
    </w:p>
    <w:tbl>
      <w:tblPr>
        <w:tblW w:w="6594" w:type="dxa"/>
        <w:jc w:val="left"/>
        <w:tblInd w:w="0" w:type="dxa"/>
        <w:tblCellMar>
          <w:top w:w="28" w:type="dxa"/>
          <w:left w:w="28" w:type="dxa"/>
          <w:bottom w:w="28" w:type="dxa"/>
          <w:right w:w="28" w:type="dxa"/>
        </w:tblCellMar>
      </w:tblPr>
      <w:tblGrid>
        <w:gridCol w:w="161"/>
        <w:gridCol w:w="256"/>
        <w:gridCol w:w="146"/>
        <w:gridCol w:w="603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3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03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Assemble sufficient resources to acquire or discover additional products;</w:t>
            </w:r>
          </w:p>
        </w:tc>
      </w:tr>
    </w:tbl>
    <w:p>
      <w:pPr>
        <w:pStyle w:val="TextBody"/>
        <w:spacing w:lineRule="auto" w:line="312" w:before="0" w:after="0"/>
        <w:jc w:val="left"/>
        <w:rPr/>
      </w:pPr>
      <w:r>
        <w:rPr/>
        <w:t> </w:t>
      </w:r>
    </w:p>
    <w:tbl>
      <w:tblPr>
        <w:tblW w:w="5664" w:type="dxa"/>
        <w:jc w:val="left"/>
        <w:tblInd w:w="0" w:type="dxa"/>
        <w:tblCellMar>
          <w:top w:w="28" w:type="dxa"/>
          <w:left w:w="28" w:type="dxa"/>
          <w:bottom w:w="28" w:type="dxa"/>
          <w:right w:w="28" w:type="dxa"/>
        </w:tblCellMar>
      </w:tblPr>
      <w:tblGrid>
        <w:gridCol w:w="161"/>
        <w:gridCol w:w="256"/>
        <w:gridCol w:w="146"/>
        <w:gridCol w:w="510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0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1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Properly identify and anticipate physician and patient needs;</w:t>
            </w:r>
          </w:p>
        </w:tc>
      </w:tr>
    </w:tbl>
    <w:p>
      <w:pPr>
        <w:pStyle w:val="TextBody"/>
        <w:spacing w:lineRule="auto" w:line="312" w:before="0" w:after="0"/>
        <w:jc w:val="left"/>
        <w:rPr/>
      </w:pPr>
      <w:r>
        <w:rPr/>
        <w:t> </w:t>
      </w:r>
    </w:p>
    <w:tbl>
      <w:tblPr>
        <w:tblW w:w="7539" w:type="dxa"/>
        <w:jc w:val="left"/>
        <w:tblInd w:w="0" w:type="dxa"/>
        <w:tblCellMar>
          <w:top w:w="28" w:type="dxa"/>
          <w:left w:w="28" w:type="dxa"/>
          <w:bottom w:w="28" w:type="dxa"/>
          <w:right w:w="28" w:type="dxa"/>
        </w:tblCellMar>
      </w:tblPr>
      <w:tblGrid>
        <w:gridCol w:w="161"/>
        <w:gridCol w:w="256"/>
        <w:gridCol w:w="146"/>
        <w:gridCol w:w="697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97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Develop and introduce new products and product enhancements in a timely manner;</w:t>
            </w:r>
          </w:p>
        </w:tc>
      </w:tr>
    </w:tbl>
    <w:p>
      <w:pPr>
        <w:pStyle w:val="TextBody"/>
        <w:spacing w:lineRule="auto" w:line="312" w:before="0" w:after="0"/>
        <w:jc w:val="left"/>
        <w:rPr/>
      </w:pPr>
      <w:r>
        <w:rPr/>
        <w:t> </w:t>
      </w:r>
    </w:p>
    <w:tbl>
      <w:tblPr>
        <w:tblW w:w="9684" w:type="dxa"/>
        <w:jc w:val="left"/>
        <w:tblInd w:w="0" w:type="dxa"/>
        <w:tblCellMar>
          <w:top w:w="28" w:type="dxa"/>
          <w:left w:w="28" w:type="dxa"/>
          <w:bottom w:w="28" w:type="dxa"/>
          <w:right w:w="28" w:type="dxa"/>
        </w:tblCellMar>
      </w:tblPr>
      <w:tblGrid>
        <w:gridCol w:w="161"/>
        <w:gridCol w:w="256"/>
        <w:gridCol w:w="146"/>
        <w:gridCol w:w="912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1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Avoid infringing upon, misappropriating or otherwise violating the intellectual property rights of third parties;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Demonstrate, if required, the safety and efficacy of new products with data from preclinical studies and clinical trials or investigations;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Obtain the necessary regulatory clearances, certifications or approvals for expanded indications, new products or product modifications;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Comply with the requirements of FDA and similar foreign regulatory authorities regarding the marketing of new devices or modified products;</w:t>
            </w:r>
          </w:p>
        </w:tc>
      </w:tr>
    </w:tbl>
    <w:p>
      <w:pPr>
        <w:pStyle w:val="TextBody"/>
        <w:spacing w:lineRule="auto" w:line="312" w:before="0" w:after="0"/>
        <w:jc w:val="left"/>
        <w:rPr/>
      </w:pPr>
      <w:r>
        <w:rPr/>
        <w:t> </w:t>
      </w:r>
    </w:p>
    <w:tbl>
      <w:tblPr>
        <w:tblW w:w="6339" w:type="dxa"/>
        <w:jc w:val="left"/>
        <w:tblInd w:w="0" w:type="dxa"/>
        <w:tblCellMar>
          <w:top w:w="28" w:type="dxa"/>
          <w:left w:w="28" w:type="dxa"/>
          <w:bottom w:w="28" w:type="dxa"/>
          <w:right w:w="28" w:type="dxa"/>
        </w:tblCellMar>
      </w:tblPr>
      <w:tblGrid>
        <w:gridCol w:w="161"/>
        <w:gridCol w:w="256"/>
        <w:gridCol w:w="146"/>
        <w:gridCol w:w="577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77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Produce new products in commercial quantities at an acceptable cost;</w:t>
            </w:r>
          </w:p>
        </w:tc>
      </w:tr>
    </w:tbl>
    <w:p>
      <w:pPr>
        <w:pStyle w:val="TextBody"/>
        <w:spacing w:lineRule="auto" w:line="312" w:before="0" w:after="0"/>
        <w:jc w:val="left"/>
        <w:rPr/>
      </w:pPr>
      <w:r>
        <w:rPr/>
        <w:t> </w:t>
      </w:r>
    </w:p>
    <w:tbl>
      <w:tblPr>
        <w:tblW w:w="5589" w:type="dxa"/>
        <w:jc w:val="left"/>
        <w:tblInd w:w="0" w:type="dxa"/>
        <w:tblCellMar>
          <w:top w:w="28" w:type="dxa"/>
          <w:left w:w="28" w:type="dxa"/>
          <w:bottom w:w="28" w:type="dxa"/>
          <w:right w:w="28" w:type="dxa"/>
        </w:tblCellMar>
      </w:tblPr>
      <w:tblGrid>
        <w:gridCol w:w="161"/>
        <w:gridCol w:w="256"/>
        <w:gridCol w:w="146"/>
        <w:gridCol w:w="50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0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0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Provide adequate training to potential users of our products;</w:t>
            </w:r>
          </w:p>
        </w:tc>
      </w:tr>
    </w:tbl>
    <w:p>
      <w:pPr>
        <w:pStyle w:val="TextBody"/>
        <w:spacing w:lineRule="auto" w:line="312" w:before="0" w:after="0"/>
        <w:jc w:val="left"/>
        <w:rPr/>
      </w:pPr>
      <w:r>
        <w:rPr/>
        <w:t> </w:t>
      </w:r>
    </w:p>
    <w:tbl>
      <w:tblPr>
        <w:tblW w:w="9129" w:type="dxa"/>
        <w:jc w:val="left"/>
        <w:tblInd w:w="0" w:type="dxa"/>
        <w:tblCellMar>
          <w:top w:w="28" w:type="dxa"/>
          <w:left w:w="28" w:type="dxa"/>
          <w:bottom w:w="28" w:type="dxa"/>
          <w:right w:w="28" w:type="dxa"/>
        </w:tblCellMar>
      </w:tblPr>
      <w:tblGrid>
        <w:gridCol w:w="161"/>
        <w:gridCol w:w="256"/>
        <w:gridCol w:w="146"/>
        <w:gridCol w:w="856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Receive adequate coding, coverage and reimbursement for procedures performed with our products; and</w:t>
            </w:r>
          </w:p>
        </w:tc>
      </w:tr>
    </w:tbl>
    <w:p>
      <w:pPr>
        <w:pStyle w:val="TextBody"/>
        <w:spacing w:lineRule="auto" w:line="312" w:before="0" w:after="0"/>
        <w:jc w:val="left"/>
        <w:rPr/>
      </w:pPr>
      <w:r>
        <w:rPr/>
        <w:t> </w:t>
      </w:r>
    </w:p>
    <w:tbl>
      <w:tblPr>
        <w:tblW w:w="5709" w:type="dxa"/>
        <w:jc w:val="left"/>
        <w:tblInd w:w="0" w:type="dxa"/>
        <w:tblCellMar>
          <w:top w:w="28" w:type="dxa"/>
          <w:left w:w="28" w:type="dxa"/>
          <w:bottom w:w="28" w:type="dxa"/>
          <w:right w:w="28" w:type="dxa"/>
        </w:tblCellMar>
      </w:tblPr>
      <w:tblGrid>
        <w:gridCol w:w="161"/>
        <w:gridCol w:w="256"/>
        <w:gridCol w:w="146"/>
        <w:gridCol w:w="514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1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Develop an effective and dedicated sales and marketing team.</w:t>
            </w:r>
          </w:p>
        </w:tc>
      </w:tr>
    </w:tbl>
    <w:p>
      <w:pPr>
        <w:pStyle w:val="TextBody"/>
        <w:spacing w:lineRule="auto" w:line="312" w:before="240" w:after="0"/>
        <w:jc w:val="left"/>
        <w:rPr>
          <w:rFonts w:ascii="Times New Roman" w:hAnsi="Times New Roman"/>
          <w:b w:val="false"/>
          <w:sz w:val="20"/>
        </w:rPr>
      </w:pPr>
      <w:r>
        <w:rPr>
          <w:rFonts w:ascii="Times New Roman" w:hAnsi="Times New Roman"/>
          <w:b w:val="false"/>
          <w:sz w:val="20"/>
        </w:rPr>
        <w:t>If we are unable to develop or improve products, applications or features due to constraints, such as insufficient cash resources, high employee turnover, inability to hire personnel with sufficient technical skills or a lack of other research and development resources, we may not be able to maintain our competitive position compared to other companies. Furthermore, many of our competitors devote a considerably greater amount of funds to their research and development programs than we do, and those that do not may be acquired by larger companies that could allocate greater resources to research and development programs. Our failure or inability to devote adequate research and development resources or compete effectively with the research and development programs of our competitors could harm our business.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we may choose to focus our efforts and resources on potential products or indications that ultimately prove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potential products or other diseases that may later prove to have greater commercial potential, or relinquish valuable rights to such potential products through collaboration, licensing or other royalty arrangements in cases in which it would have been advantageous for us to retain sole development and commercialization rights, which could adversely impact our business, financial condition and results of operations.</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58</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i/>
          <w:sz w:val="20"/>
        </w:rPr>
      </w:pPr>
      <w:r>
        <w:rPr>
          <w:rFonts w:ascii="Times New Roman" w:hAnsi="Times New Roman"/>
          <w:b/>
          <w:i/>
          <w:sz w:val="20"/>
        </w:rPr>
        <w:t>Changes in public health insurance coverage and government reimbursement rates for our products could affect the adoption of our products and our future revenue.</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federal government is considering ways to change, and has changed, the manner in which healthcare services are paid for in the U.S. Individual states may also enact legislation that impacts Medicaid payments to hospitals, surgical centers and physicians. In addition, CMS establishes Medicare payment levels for hospitals, surgical centers and physicians on an annual basis, which can increase or decrease payment to such entities, including for procedures involving our products.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Even if we succeed in bringing our products to market in additional foreign countries, uncertainties regarding future healthcare policy, legislation and regulation, as well as private market practices, could affect our ability to sell our products in commercially acceptable quantities at acceptable prices.</w:t>
      </w:r>
    </w:p>
    <w:p>
      <w:pPr>
        <w:pStyle w:val="TextBody"/>
        <w:spacing w:lineRule="auto" w:line="312" w:before="360" w:after="0"/>
        <w:jc w:val="left"/>
        <w:rPr>
          <w:rFonts w:ascii="Times New Roman" w:hAnsi="Times New Roman"/>
          <w:b/>
          <w:i/>
          <w:sz w:val="20"/>
        </w:rPr>
      </w:pPr>
      <w:r>
        <w:rPr>
          <w:rFonts w:ascii="Times New Roman" w:hAnsi="Times New Roman"/>
          <w:b/>
          <w:i/>
          <w:sz w:val="20"/>
        </w:rPr>
        <w:t>Cost-containment efforts of our customers, purchasing groups and governmental organizations could have a material adverse effect on our sales and results of operations. Consolidation in the healthcare industry or group purchasing organizations could lead to demands for price concessions, which may affect our ability to sell our products at prices necessary to support our current business strategies.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In an effort to reduce costs, many clinics and hospitals in the United States, including some of our customers, are members of Group Purchasing Organizations, or GPOs, and Integrated Delivery Networks, or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products, thereby reducing our revenue and margins.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sales volumes and revenue.</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Healthcare costs have risen significantly over the past decade, which has resulted in or led to numerous cost reform initiatives by legislators, regulators and third-party payors. Cost reform has triggered a consolidation trend in the healthcare industry to aggregate purchasing power, which may create more requests for pricing concessions in the future. Additionally, GPOs, IDNs and large single accounts may continue to use their market power to consolidate purchasing decisions for hospitals. 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of our products. Such downward pressure on the prices of our products may affect our results of operations and our ability to support our current business strategies.</w:t>
      </w:r>
    </w:p>
    <w:p>
      <w:pPr>
        <w:pStyle w:val="TextBody"/>
        <w:spacing w:lineRule="auto" w:line="312" w:before="360" w:after="0"/>
        <w:jc w:val="left"/>
        <w:rPr>
          <w:rFonts w:ascii="Times New Roman" w:hAnsi="Times New Roman"/>
          <w:b/>
          <w:i/>
          <w:sz w:val="20"/>
        </w:rPr>
      </w:pPr>
      <w:r>
        <w:rPr>
          <w:rFonts w:ascii="Times New Roman" w:hAnsi="Times New Roman"/>
          <w:b/>
          <w:i/>
          <w:sz w:val="20"/>
        </w:rPr>
        <w:t>We may not be able to achieve or maintain satisfactory pricing and margins for our products.</w:t>
      </w:r>
    </w:p>
    <w:p>
      <w:pPr>
        <w:pStyle w:val="TextBody"/>
        <w:spacing w:lineRule="auto" w:line="312" w:before="120" w:after="0"/>
        <w:jc w:val="left"/>
        <w:rPr>
          <w:rFonts w:ascii="Times New Roman" w:hAnsi="Times New Roman"/>
          <w:sz w:val="20"/>
        </w:rPr>
      </w:pPr>
      <w:r>
        <w:rPr>
          <w:rFonts w:ascii="Times New Roman" w:hAnsi="Times New Roman"/>
          <w:b w:val="false"/>
          <w:sz w:val="20"/>
        </w:rPr>
        <w:t>Medical device companies have a history of price competition, and we can give no assurance that we will be able to achieve satisfactory prices for our products or maintain prices at the levels we have historically achieved.</w:t>
      </w:r>
      <w:r>
        <w:rPr>
          <w:rFonts w:ascii="Times New Roman" w:hAnsi="Times New Roman"/>
          <w:sz w:val="20"/>
        </w:rPr>
        <w:t xml:space="preserve"> </w:t>
      </w:r>
      <w:r>
        <w:rPr>
          <w:rFonts w:ascii="Times New Roman" w:hAnsi="Times New Roman"/>
          <w:b w:val="false"/>
          <w:sz w:val="20"/>
        </w:rPr>
        <w:t>Any decline in the amount that payors reimburse our customers for procedures that use OMNI or in the amount that customers are willing to pay or that payors reimburse for procedures that use TearCare in the future, could make it difficult for customers to continue using, or to adopt, our products and could create additional pricing pressure for us. If we are forced to lower the price we charge for our products or add more components to our products, our gross margins will decrease, which will adversely affect our ability to invest in and grow our business. If we are unable to</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59</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maintain our prices, or if our costs increase and we are unable to offset such increase with an increase in our prices, our margins could erode. We are, and will continue to be, subject to significant pricing pressure, which could negatively affect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We may be unable to manage the anticipated growth of our business.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In order to grow, we need to expand our commercial team, and general and administrative infrastructure. In addition to the need to scale our organization, future growth will impose significant added responsibilities on management, including the need to identify, recruit, train and integrate additional employees. Rapid expansion in personnel could mean that less experienced people market and sell our products, which could result in inefficiencies and unanticipated costs, reduced quality and disruptions to our operations. In addition, rapid and significant growth may strain our administrative and operational infrastructure. Our ability to manage our business and growth will require us to continue to improve our operational, financial and management controls, reporting systems and procedures. For example, we currently rely on a combination of direct sales personnel and independent distributors to sell our products in Europe, and we intend to grow our international sales through a combination of direct and distributor sales. If we are unable to manage our growth effectively, it may be difficult for us to execute our business strategy and our business could be harmed.</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As demand for our current products or any of our future products increases, we will need to continue to expand customer service, billing and systems processes and enhance our internal quality assurance program. We cannot assure you that any increases in scale, related improvements and quality assurance will be successfully implemented or that appropriate personnel will be available to facilitate the growth of our business. Failure to implement necessary procedures, transition to new processes or hire the necessary personnel could result in higher costs of processing data or inability to meet increased demand.</w:t>
      </w:r>
    </w:p>
    <w:p>
      <w:pPr>
        <w:pStyle w:val="TextBody"/>
        <w:spacing w:lineRule="auto" w:line="312" w:before="360" w:after="0"/>
        <w:jc w:val="left"/>
        <w:rPr>
          <w:rFonts w:ascii="Times New Roman" w:hAnsi="Times New Roman"/>
          <w:b/>
          <w:i/>
          <w:sz w:val="20"/>
        </w:rPr>
      </w:pPr>
      <w:r>
        <w:rPr>
          <w:rFonts w:ascii="Times New Roman" w:hAnsi="Times New Roman"/>
          <w:b/>
          <w:i/>
          <w:sz w:val="20"/>
        </w:rPr>
        <w:t>Performance issues, service interruptions or price increases by our shipping carriers and distributors could negatively affect our business, financial condition and results of operations and harm our reputation and the relationship between us and the ECPs we work with.</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Expedited, reliable shipping is essential to our operations. We rely heavily on providers of transport services for reliable and secure point-to-point transport of our products to our customers and for tracking of these shipments. Should a carrier encounter delivery performance issues such as loss, damage or destruction of any systems, it would be costly to replace such systems in a timely manner and such occurrences may damage our reputation and lead to decreased demand for our solutions and increased cost and expense to our business. In addition, any significant increase in shipping rates could adversely affect our operating margins and results of operations. Similarly, strikes, severe weather, natural disasters or other service interruptions affecting delivery services we use would adversely affect our ability to process orders for our products on a timely basis. These factors could negatively affect our business, financial condition and results of operations and harm our reputation and the relationship between us and the ECPs we work with.</w:t>
      </w:r>
    </w:p>
    <w:p>
      <w:pPr>
        <w:pStyle w:val="TextBody"/>
        <w:spacing w:lineRule="auto" w:line="312" w:before="360" w:after="0"/>
        <w:jc w:val="left"/>
        <w:rPr>
          <w:rFonts w:ascii="Times New Roman" w:hAnsi="Times New Roman"/>
          <w:b/>
          <w:i/>
          <w:sz w:val="20"/>
        </w:rPr>
      </w:pPr>
      <w:r>
        <w:rPr>
          <w:rFonts w:ascii="Times New Roman" w:hAnsi="Times New Roman"/>
          <w:b/>
          <w:i/>
          <w:sz w:val="20"/>
        </w:rPr>
        <w:t>Our products may become obsolete in the future.</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medical device industry is characterized by rapid and significant change. There can be no assurance that other companies will not succeed in developing or marketing devices or products that are more effective than our products or that would render our products obsolete or noncompetitive. Additionally, new surgical procedures, medications and other therapies could be developed that replace or reduce the importance of our products. Accordingly, our success will depend in part on our ability to respond quickly to medical and other changes through the development and introduction of new products. Product development involves a high degree of risk, and there can be no assurance that our new product development efforts will result in any commercially successful products.</w:t>
      </w:r>
    </w:p>
    <w:p>
      <w:pPr>
        <w:pStyle w:val="TextBody"/>
        <w:spacing w:lineRule="auto" w:line="312" w:before="360" w:after="0"/>
        <w:jc w:val="left"/>
        <w:rPr>
          <w:rFonts w:ascii="Times New Roman" w:hAnsi="Times New Roman"/>
          <w:b/>
          <w:i/>
          <w:sz w:val="20"/>
        </w:rPr>
      </w:pPr>
      <w:r>
        <w:rPr>
          <w:rFonts w:ascii="Times New Roman" w:hAnsi="Times New Roman"/>
          <w:b/>
          <w:i/>
          <w:sz w:val="20"/>
        </w:rPr>
        <w:t>We bear the risk of potential warranty claims on our products.</w:t>
      </w:r>
    </w:p>
    <w:p>
      <w:pPr>
        <w:pStyle w:val="TextBody"/>
        <w:spacing w:lineRule="auto" w:line="312" w:before="120" w:after="0"/>
        <w:jc w:val="left"/>
        <w:rPr>
          <w:rFonts w:ascii="Times New Roman" w:hAnsi="Times New Roman"/>
          <w:sz w:val="20"/>
        </w:rPr>
      </w:pPr>
      <w:r>
        <w:rPr>
          <w:rFonts w:ascii="Times New Roman" w:hAnsi="Times New Roman"/>
          <w:b w:val="false"/>
          <w:sz w:val="20"/>
        </w:rPr>
        <w:t>We provide limited warranties regarding our products, including warranties pertaining to freedom from defects and conformance to specifications. We are generally obligated under our sales contracts to repair, replace or credit or refund the purchase price of defective products. As a result, we bear the risk of potential warranty claims</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60</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on our products. In the event that we attempt to recover some or all of the expenses associated with a warranty claim against us from our suppliers or vendors, we may not be successful in claiming recovery under any warranty or indemnity provided to us by such suppliers or vendors and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pStyle w:val="TextBody"/>
        <w:spacing w:lineRule="auto" w:line="312" w:before="360" w:after="0"/>
        <w:jc w:val="left"/>
        <w:rPr>
          <w:rFonts w:ascii="Times New Roman" w:hAnsi="Times New Roman"/>
          <w:b/>
          <w:i/>
          <w:sz w:val="20"/>
        </w:rPr>
      </w:pPr>
      <w:r>
        <w:rPr>
          <w:rFonts w:ascii="Times New Roman" w:hAnsi="Times New Roman"/>
          <w:b/>
          <w:i/>
          <w:sz w:val="20"/>
        </w:rPr>
        <w:t>We may enter into collaborations, in-licensing arrangements, joint ventures, strategic alliances or partnerships with third parties that may not result in the development of commercially viable products or product improvements or the generation of significant future revenues.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may enter into collaborations, in-licensing arrangements, joint ventures, strategic alliances, partnerships or other arrangements to develop new products or product improvements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viable product improvements or result in significant revenues and could be terminated prior to developing any products.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 and they may breach their obligations to us. In addition, we may have limited control over the amount and timing of resources that any future collaborators devote to our or their future products.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Disputes between us and any collaborators we may have in the future may result in litigation or arbitration which would increase our expenses and divert the attention of our management. These arrangements may consume management time and resources to establish and maintain.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Any termination of collaborations we enter into in the future, or any delay in entering into collaborations related to our products, could delay the development and commercialization of our products and reduce their competitiveness if they reach the market, which could have a material adverse effect on our business, financial condition and results of operations.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and/or seek damages arising out of the alleged breach, which could adversely affect our competitive business position and harm our business prospects.</w:t>
      </w:r>
    </w:p>
    <w:p>
      <w:pPr>
        <w:pStyle w:val="TextBody"/>
        <w:spacing w:lineRule="auto" w:line="312" w:before="360" w:after="0"/>
        <w:jc w:val="left"/>
        <w:rPr>
          <w:rFonts w:ascii="Times New Roman" w:hAnsi="Times New Roman"/>
          <w:b/>
          <w:i/>
          <w:sz w:val="20"/>
        </w:rPr>
      </w:pPr>
      <w:r>
        <w:rPr>
          <w:rFonts w:ascii="Times New Roman" w:hAnsi="Times New Roman"/>
          <w:b/>
          <w:i/>
          <w:sz w:val="20"/>
        </w:rPr>
        <w:t>Our insurance policies are expensive and protect us only from some business risks, which leaves us exposed to significant uninsured liabilities.</w:t>
      </w:r>
    </w:p>
    <w:p>
      <w:pPr>
        <w:pStyle w:val="TextBody"/>
        <w:spacing w:lineRule="auto" w:line="312" w:before="120" w:after="0"/>
        <w:jc w:val="left"/>
        <w:rPr>
          <w:rFonts w:ascii="Times New Roman" w:hAnsi="Times New Roman"/>
          <w:sz w:val="20"/>
        </w:rPr>
      </w:pPr>
      <w:r>
        <w:rPr>
          <w:rFonts w:ascii="Times New Roman" w:hAnsi="Times New Roman"/>
          <w:b w:val="false"/>
          <w:sz w:val="20"/>
        </w:rPr>
        <w:t>We do not carry insurance for all categories of risk that our business may encounter. Although we carry product liability insurance in the United States, we can give no assurance that such coverage will be available or</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61</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We depend on our senior management team and the loss of one or more key employees or an inability to attract and retain highly skilled employees will negatively affect our business, financial condition and results of operations.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success depends largely on the continued services of key members of our executive management team and others in key management positions. For example, the services of Paul Badawi, our Chief Executive Officer, Jesse Selnick, our Chief Financial Officer, Shawn O’Neil, our Chief Commercial Officer, and Sam Park, our Chief Operating Officer, are essential to driving adoption of our products, executing on our corporate strategy and ensuring the continued operations and integrity of financial reporting within our company. In addition, the services of our sales professionals are critical to driving the growth in sales of our products. Any of our employees may terminate their employment with us at any time. We currently maintain a key person life insurance policy on Mr. Badawi. If we lose one or more key employees, we may experience difficulties in competing effectively, developing our technologies and implementing our business strategy, which in turn would negatively affect our business.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our research and development programs, clinical and quality operations and sales efforts depend on our ability to attract and retain highly skilled engineers and sales professionals, as well as experienced regulatory, quality and clinical professionals. We may not be able to attract or retain qualified professionals in the future due to the competition for qualified personnel. We have from time to time experienced, and we expect to continue to experience, difficulty in hiring and retaining employees with appropriate qualifications. Many of the companies with which we compete for experienced personnel have greater resources than we do. If we hire employees from competitors or other companies, their former employers may attempt to assert that these employees or we have breached legal obligations, resulting in a diversion of our time and resources and, potentially, damages.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job candidates and existing employees often consider the value of the stock awards they receive in connection with their employment. If the perceived benefits of our stock awards decline, either because of unfavorable fluctuations or declines in our stock price or for other reasons, it may harm our ability to recruit and retain highly skilled employees. Many of our employees have become or will soon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Our future success also depends on our ability to continue to attract and retain additional executive officers and other key employees. If we fail to attract new personnel or fail to retain and motivate our current personnel, it will negatively affect our business, financial condition and results of operations.</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62</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i/>
          <w:sz w:val="20"/>
        </w:rPr>
      </w:pPr>
      <w:r>
        <w:rPr>
          <w:rFonts w:ascii="Times New Roman" w:hAnsi="Times New Roman"/>
          <w:b/>
          <w:i/>
          <w:sz w:val="20"/>
        </w:rPr>
        <w:t>The use, misuse or off-label use of our products may result in injuries that lead to product liability suits, which could be expensive, divert management’s attention and harm our reputation and business. We may not be able to maintain adequate product liability insurance.</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products are cleared or authorized by the FDA to be marketed for certain specific intended uses. If physicians elect to use our products in manners outside of the intended uses that have been cleared or authorized by the FDA, then such off-label use of our products may result in outcomes and adverse events that are sight threatening, necessitate medical or surgical intervention to preclude permanent impairment of vision, or result in a permanent impairment of vision, potentially leading to product liability claims. However, we cannot prevent a physician from using our products for off-label applications or using components or products that are not our products when performing procedures with our products. There may be increased risk of injury to patients if physicians attempt to use our devices off-label. In addition, we cannot guarantee that physicians are trained by us or their peers prior to utilizing our products. Complications resulting from the use of our products off-label or use by physicians who have not been trained appropriately, or at all, may not effectively treat the applicable conditions and may expose us to product liability claims or litigation by our customers or their patients and may harm our reputation.</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if our products are defectively designed, manufactured or labeled, contain defective components or are misused, we may become subject to costly litigation initiated by hospitals, surgical centers, ECPs or patients. Product liability claims are especially prevalent in the medical device industry and could harm our reputation, divert management’s attention from our core business, attract negative publicity, be expensive to defend and may result in sizable damage awards against us. Although we maintain product liability insurance, we may not have sufficient insurance coverage for future product liability claims. We are not able to obtain insurance in amounts or scope sufficient to provide us with adequate coverage against all potential liabilities. Any product liability claims brought against us, with or without merit, could increase our product liability insurance rates or prevent us from securing continuing coverage, harm our reputation, significantly increase our expenses, and reduce product sales. Product liability claims could cause us to incur significant legal fees and deductibles and claims in excess of our insurance coverage would be paid out of cash reserves, harming our financial condition and operating results.</w:t>
      </w:r>
    </w:p>
    <w:p>
      <w:pPr>
        <w:pStyle w:val="TextBody"/>
        <w:spacing w:lineRule="auto" w:line="312" w:before="360" w:after="0"/>
        <w:jc w:val="left"/>
        <w:rPr>
          <w:rFonts w:ascii="Times New Roman" w:hAnsi="Times New Roman"/>
          <w:b/>
          <w:i/>
          <w:sz w:val="20"/>
        </w:rPr>
      </w:pPr>
      <w:r>
        <w:rPr>
          <w:rFonts w:ascii="Times New Roman" w:hAnsi="Times New Roman"/>
          <w:b/>
          <w:i/>
          <w:sz w:val="20"/>
        </w:rPr>
        <w:t>We may need additional funding to finance our planned operations, and may not be able to raise capital on acceptable terms, if at all, which could force us to delay, reduce or eliminate our product development programs and commercialization efforts.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Since inception, we have incurred significant net losses and expect to continue to incur net losses for the foreseeable future. Since our inception, our operations have been financed primarily by net proceeds from the sale of our convertible preferred stock in private placements, indebtedness and, to a lesser extent, product revenue from sales of our products. As of June 30, 2021, we had $35.6 million in cash and cash equivalents, and an accumulated deficit of $119.9 million. Based on our current planned operations, we expect that our cash and cash equivalents and additional borrowings available under our credit facility will enable us to fund our operations for at least the next twelve months. We have based these estimates on assumptions that may prove to be wrong, and we could utilize our available capital resources sooner than we expect.</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expect to continue to invest in clinical trials or investigations that are designed to provide clinical evidence of the safety and efficacy of our products, the growth of our sales and marketing organization, and research and development of product improvements and future products. Moreover, we expect to incur additional expenses associated with operating as a public company, including legal, accounting, insurance, exchange listing and SEC compliance, investor relations and other expenses. Because of these and other factors, we expect to continue to incur net losses and negative cash flows from operations for the foreseeable future. Our future funding requirements will depend on many factors, including:</w:t>
      </w:r>
    </w:p>
    <w:p>
      <w:pPr>
        <w:pStyle w:val="TextBody"/>
        <w:spacing w:lineRule="auto" w:line="312" w:before="0" w:after="0"/>
        <w:jc w:val="left"/>
        <w:rPr/>
      </w:pPr>
      <w:r>
        <w:rPr/>
        <w:t> </w:t>
      </w:r>
    </w:p>
    <w:tbl>
      <w:tblPr>
        <w:tblW w:w="6669" w:type="dxa"/>
        <w:jc w:val="left"/>
        <w:tblInd w:w="0" w:type="dxa"/>
        <w:tblCellMar>
          <w:top w:w="28" w:type="dxa"/>
          <w:left w:w="28" w:type="dxa"/>
          <w:bottom w:w="28" w:type="dxa"/>
          <w:right w:w="28" w:type="dxa"/>
        </w:tblCellMar>
      </w:tblPr>
      <w:tblGrid>
        <w:gridCol w:w="161"/>
        <w:gridCol w:w="256"/>
        <w:gridCol w:w="146"/>
        <w:gridCol w:w="610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0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1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degree and rate of market acceptance of our products and procedures;</w:t>
            </w:r>
          </w:p>
        </w:tc>
      </w:tr>
    </w:tbl>
    <w:p>
      <w:pPr>
        <w:pStyle w:val="TextBody"/>
        <w:spacing w:lineRule="auto" w:line="312" w:before="0" w:after="0"/>
        <w:jc w:val="left"/>
        <w:rPr/>
      </w:pPr>
      <w:r>
        <w:rPr/>
        <w:t> </w:t>
      </w:r>
    </w:p>
    <w:tbl>
      <w:tblPr>
        <w:tblW w:w="6309" w:type="dxa"/>
        <w:jc w:val="left"/>
        <w:tblInd w:w="0" w:type="dxa"/>
        <w:tblCellMar>
          <w:top w:w="28" w:type="dxa"/>
          <w:left w:w="28" w:type="dxa"/>
          <w:bottom w:w="28" w:type="dxa"/>
          <w:right w:w="28" w:type="dxa"/>
        </w:tblCellMar>
      </w:tblPr>
      <w:tblGrid>
        <w:gridCol w:w="161"/>
        <w:gridCol w:w="256"/>
        <w:gridCol w:w="146"/>
        <w:gridCol w:w="574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7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Whether we acquire third-party companies, products or technologies;</w:t>
            </w:r>
          </w:p>
        </w:tc>
      </w:tr>
    </w:tbl>
    <w:p>
      <w:pPr>
        <w:pStyle w:val="TextBody"/>
        <w:spacing w:lineRule="auto" w:line="312" w:before="0" w:after="0"/>
        <w:jc w:val="left"/>
        <w:rPr/>
      </w:pPr>
      <w:r>
        <w:rPr/>
        <w:t> </w:t>
      </w:r>
    </w:p>
    <w:tbl>
      <w:tblPr>
        <w:tblW w:w="2319" w:type="dxa"/>
        <w:jc w:val="left"/>
        <w:tblInd w:w="0" w:type="dxa"/>
        <w:tblCellMar>
          <w:top w:w="28" w:type="dxa"/>
          <w:left w:w="28" w:type="dxa"/>
          <w:bottom w:w="28" w:type="dxa"/>
          <w:right w:w="28" w:type="dxa"/>
        </w:tblCellMar>
      </w:tblPr>
      <w:tblGrid>
        <w:gridCol w:w="161"/>
        <w:gridCol w:w="256"/>
        <w:gridCol w:w="146"/>
        <w:gridCol w:w="175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7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Repayment of debt;</w:t>
            </w:r>
          </w:p>
        </w:tc>
      </w:tr>
    </w:tbl>
    <w:p>
      <w:pPr>
        <w:pStyle w:val="TextBody"/>
        <w:spacing w:lineRule="auto" w:line="312" w:before="0" w:after="0"/>
        <w:jc w:val="left"/>
        <w:rPr/>
      </w:pPr>
      <w:r>
        <w:rPr/>
        <w:t> </w:t>
      </w:r>
    </w:p>
    <w:tbl>
      <w:tblPr>
        <w:tblW w:w="8919" w:type="dxa"/>
        <w:jc w:val="left"/>
        <w:tblInd w:w="0" w:type="dxa"/>
        <w:tblCellMar>
          <w:top w:w="28" w:type="dxa"/>
          <w:left w:w="28" w:type="dxa"/>
          <w:bottom w:w="28" w:type="dxa"/>
          <w:right w:w="28" w:type="dxa"/>
        </w:tblCellMar>
      </w:tblPr>
      <w:tblGrid>
        <w:gridCol w:w="161"/>
        <w:gridCol w:w="256"/>
        <w:gridCol w:w="146"/>
        <w:gridCol w:w="835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3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3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scope and timing of investment in our sales force and expansion of our commercial organization;</w:t>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63</w:t>
      </w:r>
    </w:p>
    <w:p>
      <w:pPr>
        <w:pStyle w:val="HorizontalLine"/>
        <w:rPr/>
      </w:pPr>
      <w:r>
        <w:rPr/>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impact on our business from the ongoing COVID-19 pandemic, or any other pandemic, epidemic or outbreak of an infectious disease;</w:t>
            </w:r>
          </w:p>
        </w:tc>
      </w:tr>
    </w:tbl>
    <w:p>
      <w:pPr>
        <w:pStyle w:val="TextBody"/>
        <w:spacing w:lineRule="auto" w:line="312" w:before="0" w:after="0"/>
        <w:jc w:val="left"/>
        <w:rPr/>
      </w:pPr>
      <w:r>
        <w:rPr/>
        <w:t> </w:t>
      </w:r>
    </w:p>
    <w:tbl>
      <w:tblPr>
        <w:tblW w:w="9159" w:type="dxa"/>
        <w:jc w:val="left"/>
        <w:tblInd w:w="0" w:type="dxa"/>
        <w:tblCellMar>
          <w:top w:w="28" w:type="dxa"/>
          <w:left w:w="28" w:type="dxa"/>
          <w:bottom w:w="28" w:type="dxa"/>
          <w:right w:w="28" w:type="dxa"/>
        </w:tblCellMar>
      </w:tblPr>
      <w:tblGrid>
        <w:gridCol w:w="161"/>
        <w:gridCol w:w="256"/>
        <w:gridCol w:w="146"/>
        <w:gridCol w:w="859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9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scope, rate of progress and cost of our current or future clinical trials or investigations and registries;</w:t>
            </w:r>
          </w:p>
        </w:tc>
      </w:tr>
    </w:tbl>
    <w:p>
      <w:pPr>
        <w:pStyle w:val="TextBody"/>
        <w:spacing w:lineRule="auto" w:line="312" w:before="0" w:after="0"/>
        <w:jc w:val="left"/>
        <w:rPr/>
      </w:pPr>
      <w:r>
        <w:rPr/>
        <w:t> </w:t>
      </w:r>
    </w:p>
    <w:tbl>
      <w:tblPr>
        <w:tblW w:w="4944" w:type="dxa"/>
        <w:jc w:val="left"/>
        <w:tblInd w:w="0" w:type="dxa"/>
        <w:tblCellMar>
          <w:top w:w="28" w:type="dxa"/>
          <w:left w:w="28" w:type="dxa"/>
          <w:bottom w:w="28" w:type="dxa"/>
          <w:right w:w="28" w:type="dxa"/>
        </w:tblCellMar>
      </w:tblPr>
      <w:tblGrid>
        <w:gridCol w:w="161"/>
        <w:gridCol w:w="256"/>
        <w:gridCol w:w="146"/>
        <w:gridCol w:w="438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8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3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cost of our research and development activities;</w:t>
            </w:r>
          </w:p>
        </w:tc>
      </w:tr>
    </w:tbl>
    <w:p>
      <w:pPr>
        <w:pStyle w:val="TextBody"/>
        <w:spacing w:lineRule="auto" w:line="312" w:before="0" w:after="0"/>
        <w:jc w:val="left"/>
        <w:rPr/>
      </w:pPr>
      <w:r>
        <w:rPr/>
        <w:t> </w:t>
      </w:r>
    </w:p>
    <w:tbl>
      <w:tblPr>
        <w:tblW w:w="7464" w:type="dxa"/>
        <w:jc w:val="left"/>
        <w:tblInd w:w="0" w:type="dxa"/>
        <w:tblCellMar>
          <w:top w:w="28" w:type="dxa"/>
          <w:left w:w="28" w:type="dxa"/>
          <w:bottom w:w="28" w:type="dxa"/>
          <w:right w:w="28" w:type="dxa"/>
        </w:tblCellMar>
      </w:tblPr>
      <w:tblGrid>
        <w:gridCol w:w="161"/>
        <w:gridCol w:w="256"/>
        <w:gridCol w:w="146"/>
        <w:gridCol w:w="690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0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9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cost and timing of additional regulatory clearances, certifications or approvals;</w:t>
            </w:r>
          </w:p>
        </w:tc>
      </w:tr>
    </w:tbl>
    <w:p>
      <w:pPr>
        <w:pStyle w:val="TextBody"/>
        <w:spacing w:lineRule="auto" w:line="312" w:before="0" w:after="0"/>
        <w:jc w:val="left"/>
        <w:rPr/>
      </w:pPr>
      <w:r>
        <w:rPr/>
        <w:t> </w:t>
      </w:r>
    </w:p>
    <w:tbl>
      <w:tblPr>
        <w:tblW w:w="5589" w:type="dxa"/>
        <w:jc w:val="left"/>
        <w:tblInd w:w="0" w:type="dxa"/>
        <w:tblCellMar>
          <w:top w:w="28" w:type="dxa"/>
          <w:left w:w="28" w:type="dxa"/>
          <w:bottom w:w="28" w:type="dxa"/>
          <w:right w:w="28" w:type="dxa"/>
        </w:tblCellMar>
      </w:tblPr>
      <w:tblGrid>
        <w:gridCol w:w="161"/>
        <w:gridCol w:w="256"/>
        <w:gridCol w:w="146"/>
        <w:gridCol w:w="50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0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0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costs associated with any product recall that may occur;</w:t>
            </w:r>
          </w:p>
        </w:tc>
      </w:tr>
    </w:tbl>
    <w:p>
      <w:pPr>
        <w:pStyle w:val="TextBody"/>
        <w:spacing w:lineRule="auto" w:line="312" w:before="0" w:after="0"/>
        <w:jc w:val="left"/>
        <w:rPr/>
      </w:pPr>
      <w:r>
        <w:rPr/>
        <w:t> </w:t>
      </w:r>
    </w:p>
    <w:tbl>
      <w:tblPr>
        <w:tblW w:w="8079" w:type="dxa"/>
        <w:jc w:val="left"/>
        <w:tblInd w:w="0" w:type="dxa"/>
        <w:tblCellMar>
          <w:top w:w="28" w:type="dxa"/>
          <w:left w:w="28" w:type="dxa"/>
          <w:bottom w:w="28" w:type="dxa"/>
          <w:right w:w="28" w:type="dxa"/>
        </w:tblCellMar>
      </w:tblPr>
      <w:tblGrid>
        <w:gridCol w:w="161"/>
        <w:gridCol w:w="256"/>
        <w:gridCol w:w="146"/>
        <w:gridCol w:w="751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1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5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costs of attaining, defending, protecting and enforcing our intellectual property rights;</w:t>
            </w:r>
          </w:p>
        </w:tc>
      </w:tr>
    </w:tbl>
    <w:p>
      <w:pPr>
        <w:pStyle w:val="TextBody"/>
        <w:spacing w:lineRule="auto" w:line="312" w:before="0" w:after="0"/>
        <w:jc w:val="left"/>
        <w:rPr/>
      </w:pPr>
      <w:r>
        <w:rPr/>
        <w:t> </w:t>
      </w:r>
    </w:p>
    <w:tbl>
      <w:tblPr>
        <w:tblW w:w="9204" w:type="dxa"/>
        <w:jc w:val="left"/>
        <w:tblInd w:w="0" w:type="dxa"/>
        <w:tblCellMar>
          <w:top w:w="28" w:type="dxa"/>
          <w:left w:w="28" w:type="dxa"/>
          <w:bottom w:w="28" w:type="dxa"/>
          <w:right w:w="28" w:type="dxa"/>
        </w:tblCellMar>
      </w:tblPr>
      <w:tblGrid>
        <w:gridCol w:w="161"/>
        <w:gridCol w:w="256"/>
        <w:gridCol w:w="146"/>
        <w:gridCol w:w="864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6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terms and timing of any other collaborative, licensing and other arrangements that we may establish;</w:t>
            </w:r>
          </w:p>
        </w:tc>
      </w:tr>
    </w:tbl>
    <w:p>
      <w:pPr>
        <w:pStyle w:val="TextBody"/>
        <w:spacing w:lineRule="auto" w:line="312" w:before="0" w:after="0"/>
        <w:jc w:val="left"/>
        <w:rPr/>
      </w:pPr>
      <w:r>
        <w:rPr/>
        <w:t> </w:t>
      </w:r>
    </w:p>
    <w:tbl>
      <w:tblPr>
        <w:tblW w:w="7689" w:type="dxa"/>
        <w:jc w:val="left"/>
        <w:tblInd w:w="0" w:type="dxa"/>
        <w:tblCellMar>
          <w:top w:w="28" w:type="dxa"/>
          <w:left w:w="28" w:type="dxa"/>
          <w:bottom w:w="28" w:type="dxa"/>
          <w:right w:w="28" w:type="dxa"/>
        </w:tblCellMar>
      </w:tblPr>
      <w:tblGrid>
        <w:gridCol w:w="161"/>
        <w:gridCol w:w="256"/>
        <w:gridCol w:w="146"/>
        <w:gridCol w:w="71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1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emergence of competing technologies or other adverse market developments; and</w:t>
            </w:r>
          </w:p>
        </w:tc>
      </w:tr>
    </w:tbl>
    <w:p>
      <w:pPr>
        <w:pStyle w:val="TextBody"/>
        <w:spacing w:lineRule="auto" w:line="312" w:before="0" w:after="0"/>
        <w:jc w:val="left"/>
        <w:rPr/>
      </w:pPr>
      <w:r>
        <w:rPr/>
        <w:t> </w:t>
      </w:r>
    </w:p>
    <w:tbl>
      <w:tblPr>
        <w:tblW w:w="4329" w:type="dxa"/>
        <w:jc w:val="left"/>
        <w:tblInd w:w="0" w:type="dxa"/>
        <w:tblCellMar>
          <w:top w:w="28" w:type="dxa"/>
          <w:left w:w="28" w:type="dxa"/>
          <w:bottom w:w="28" w:type="dxa"/>
          <w:right w:w="28" w:type="dxa"/>
        </w:tblCellMar>
      </w:tblPr>
      <w:tblGrid>
        <w:gridCol w:w="161"/>
        <w:gridCol w:w="256"/>
        <w:gridCol w:w="146"/>
        <w:gridCol w:w="376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7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rate at which we expand internationally.</w:t>
            </w:r>
          </w:p>
        </w:tc>
      </w:tr>
    </w:tbl>
    <w:p>
      <w:pPr>
        <w:pStyle w:val="TextBody"/>
        <w:spacing w:lineRule="auto" w:line="312" w:before="240" w:after="0"/>
        <w:jc w:val="left"/>
        <w:rPr>
          <w:rFonts w:ascii="Times New Roman" w:hAnsi="Times New Roman"/>
          <w:b w:val="false"/>
          <w:sz w:val="20"/>
        </w:rPr>
      </w:pPr>
      <w:r>
        <w:rPr>
          <w:rFonts w:ascii="Times New Roman" w:hAnsi="Times New Roman"/>
          <w:b w:val="false"/>
          <w:sz w:val="20"/>
        </w:rPr>
        <w:t>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the IPO.</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If we are unable to obtain adequate financing on terms satisfactory to us when we require it, we may terminate or delay the development of one or more of our products, delay clinical trials or investigations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We have a significant amount of debt, which may affect our ability to operate our business and secure additional financing in the future.</w:t>
      </w:r>
    </w:p>
    <w:p>
      <w:pPr>
        <w:pStyle w:val="TextBody"/>
        <w:spacing w:lineRule="auto" w:line="312" w:before="120" w:after="0"/>
        <w:jc w:val="left"/>
        <w:rPr>
          <w:rFonts w:ascii="Times New Roman" w:hAnsi="Times New Roman"/>
          <w:sz w:val="20"/>
        </w:rPr>
      </w:pPr>
      <w:r>
        <w:rPr>
          <w:rFonts w:ascii="Times New Roman" w:hAnsi="Times New Roman"/>
          <w:b w:val="false"/>
          <w:sz w:val="20"/>
        </w:rPr>
        <w:t>In November 2020, we entered into a new loan and security agreement with MidCap Financial Services, which provides for a term loan facility and revolving line of credit, or the 2020 MidCap Credit Facility. The 2020 MidCap Credit Facility consists of a term loan of up to $35.0 million, or the 2020 Term Loan, which has a stated floating interest rate equal to reserve-adjusted LIBOR plus 7.00%, and a revolving line of credit of $5 million, or the 2020 Revolver, with a stated floating interest rate equal to reserve-adjusted LIBOR plus 4.50%, a 0.5% unused line fee and a 0.5% collateral management fee. As of December 31, 2020 and June 30, 2021, we had an aggregate of approximately $35.0 million in principal borrowings outstanding under the 2020 MidCap Credit Facility, excluding debt discounts. We must make interest payments under the 2020 MidCap Credit Facility, which has diverted and</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64</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will continue to divert resources from other activities. We incurred an aggregate interest expense of $2.0 million and $2.4 million in the years ended December 31, 2019 and December 31, 2020, respectively, and $1.1 million and $2.2 million in the six months ended June 30, 2020 and June 30, 2021, respectively.</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Our obligations under the 2020 MidCap Credit Facility are collateralized by a security interest in substantially all of our assets, and we are subject to customary financial and operating covenants limiting our ability to, among other things, relocate or dispose of assets, undergo a change in control, merge or consolidate, enter into certain transactions with affiliates, make acquisitions, incur debt, pay dividends, grant liens, store certain amounts of inventory or equipment with third parties and make investments, in each case subject to certain exceptions. We are also subject to minimum trailing revenue targets that are evaluated on a monthly basis. The covenants related to the 2020 MidCap Credit Facility, as well as any future financing agreements into which we may enter, may restrict our ability to finance our operations and engage in, expand or otherwise pursue our business activities and strategies.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While we have not previously breached and are not currently in breach of these or any other covenants contained in the 2020 MidCap Credit Facility, there can be no guarantee that we will not breach these covenants in the future. Our ability to comply with these covenants may be affected by events beyond our control, and future breaches of any of these covenants could result in a default under the 2020 MidCap Credit Facility. If not waived, future defaults could cause all of the outstanding indebtedness under the 2020 MidCap Credit Facility to become immediately due and payable and terminate commitments to extend further credit and foreclose on the collateral granted to it to collateralize such indebtedness. If we do not have or are unable to generate sufficient cash available to repay our debt obligations when they become due and payable, either upon maturity or in the event of a default, our assets could be foreclosed upon and we may not be able to obtain additional debt or equity financing on favorable terms, if at all, which may negatively impact our ability to operate and continue our business as a going concern.</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order to service this indebtedness and any additional indebtedness we may incur in the future, we need to generate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cash flow from operations or that future borrowings or other financings will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capital expenditures or other general corporate purposes, we will be less able to plan for, or react to, changes in our business, industry and in the economy generally. This may place us at a competitive disadvantage compared to our competitors that have less indebtedness or greater financial resources to service their debt.</w:t>
      </w:r>
    </w:p>
    <w:p>
      <w:pPr>
        <w:pStyle w:val="TextBody"/>
        <w:spacing w:lineRule="auto" w:line="312" w:before="360" w:after="0"/>
        <w:jc w:val="left"/>
        <w:rPr>
          <w:rFonts w:ascii="Times New Roman" w:hAnsi="Times New Roman"/>
          <w:b/>
          <w:i/>
          <w:sz w:val="20"/>
        </w:rPr>
      </w:pPr>
      <w:r>
        <w:rPr>
          <w:rFonts w:ascii="Times New Roman" w:hAnsi="Times New Roman"/>
          <w:b/>
          <w:i/>
          <w:sz w:val="20"/>
        </w:rPr>
        <w:t>Uncertainty relating to the LIBOR calculation process and potential phasing out of LIBOR after 2021 may adversely affect the market value of our current or future debt obligations.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London Inter-bank Offered Rate, or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and it is unclear if LIBOR will cease to exist or if new methods of calculating LIBOR will evolve. If LIBOR ceases to exist or if the methods of calculating LIBOR change from their current form, there may be adverse impacts on the financial markets generally and interest rates on borrowings under our 2020 Term Loan and 2020 Revolver may be adversely affected.</w:t>
      </w:r>
    </w:p>
    <w:p>
      <w:pPr>
        <w:pStyle w:val="TextBody"/>
        <w:spacing w:lineRule="auto" w:line="312" w:before="360" w:after="0"/>
        <w:jc w:val="left"/>
        <w:rPr>
          <w:rFonts w:ascii="Times New Roman" w:hAnsi="Times New Roman"/>
          <w:b/>
          <w:i/>
          <w:sz w:val="20"/>
        </w:rPr>
      </w:pPr>
      <w:r>
        <w:rPr>
          <w:rFonts w:ascii="Times New Roman" w:hAnsi="Times New Roman"/>
          <w:b/>
          <w:i/>
          <w:sz w:val="20"/>
        </w:rPr>
        <w:t>We may acquire other companies or technologies, which could fail to result in a commercial product or net sales, divert our management’s attention, result in additional dilution to our stockholders and otherwise disrupt our business and adversely affect our results of operations.</w:t>
      </w:r>
    </w:p>
    <w:p>
      <w:pPr>
        <w:pStyle w:val="TextBody"/>
        <w:spacing w:lineRule="auto" w:line="312" w:before="120" w:after="0"/>
        <w:jc w:val="left"/>
        <w:rPr>
          <w:rFonts w:ascii="Times New Roman" w:hAnsi="Times New Roman"/>
          <w:sz w:val="20"/>
        </w:rPr>
      </w:pPr>
      <w:r>
        <w:rPr>
          <w:rFonts w:ascii="Times New Roman" w:hAnsi="Times New Roman"/>
          <w:b w:val="false"/>
          <w:sz w:val="20"/>
        </w:rPr>
        <w:t>Although we currently have no agreements or commitments to complete any such transactions and are not involved in negotiations to do so,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65</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To date, the growth of our operations has been largely organic, and we have limited experience in acquiring other businesses or technologies. Furthermore, the anticipated benefit of any strategic alliance, joint venture or acquisition may not materialize, or such strategic alliance, joint venture or acquisition may be prohibited. In November 2020, we amended our credit facilities and entered into the 2020 Term Loan and 2020 Revolver. The 2020 Term Loan and the 2020 Revolver restrict our ability to pursue certain mergers, acquisitions, amalgamations or consolidations that we may believe to be in our best interest.</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business, financial condition and results of operations may be negatively affected. Additional risks we may face in connection with acquisitions include:</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Diversion of management time and focus from operating our business to addressing acquisition integration challenges;</w:t>
            </w:r>
          </w:p>
        </w:tc>
      </w:tr>
    </w:tbl>
    <w:p>
      <w:pPr>
        <w:pStyle w:val="TextBody"/>
        <w:spacing w:lineRule="auto" w:line="312" w:before="0" w:after="0"/>
        <w:jc w:val="left"/>
        <w:rPr/>
      </w:pPr>
      <w:r>
        <w:rPr/>
        <w:t> </w:t>
      </w:r>
    </w:p>
    <w:tbl>
      <w:tblPr>
        <w:tblW w:w="7044" w:type="dxa"/>
        <w:jc w:val="left"/>
        <w:tblInd w:w="0" w:type="dxa"/>
        <w:tblCellMar>
          <w:top w:w="28" w:type="dxa"/>
          <w:left w:w="28" w:type="dxa"/>
          <w:bottom w:w="28" w:type="dxa"/>
          <w:right w:w="28" w:type="dxa"/>
        </w:tblCellMar>
      </w:tblPr>
      <w:tblGrid>
        <w:gridCol w:w="161"/>
        <w:gridCol w:w="256"/>
        <w:gridCol w:w="146"/>
        <w:gridCol w:w="648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8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4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Coordination of research and development and sales and marketing functions;</w:t>
            </w:r>
          </w:p>
        </w:tc>
      </w:tr>
    </w:tbl>
    <w:p>
      <w:pPr>
        <w:pStyle w:val="TextBody"/>
        <w:spacing w:lineRule="auto" w:line="312" w:before="0" w:after="0"/>
        <w:jc w:val="left"/>
        <w:rPr/>
      </w:pPr>
      <w:r>
        <w:rPr/>
        <w:t> </w:t>
      </w:r>
    </w:p>
    <w:tbl>
      <w:tblPr>
        <w:tblW w:w="4284" w:type="dxa"/>
        <w:jc w:val="left"/>
        <w:tblInd w:w="0" w:type="dxa"/>
        <w:tblCellMar>
          <w:top w:w="28" w:type="dxa"/>
          <w:left w:w="28" w:type="dxa"/>
          <w:bottom w:w="28" w:type="dxa"/>
          <w:right w:w="28" w:type="dxa"/>
        </w:tblCellMar>
      </w:tblPr>
      <w:tblGrid>
        <w:gridCol w:w="161"/>
        <w:gridCol w:w="256"/>
        <w:gridCol w:w="146"/>
        <w:gridCol w:w="372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7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Integration of product and service offerings;</w:t>
            </w:r>
          </w:p>
        </w:tc>
      </w:tr>
    </w:tbl>
    <w:p>
      <w:pPr>
        <w:pStyle w:val="TextBody"/>
        <w:spacing w:lineRule="auto" w:line="312" w:before="0" w:after="0"/>
        <w:jc w:val="left"/>
        <w:rPr/>
      </w:pPr>
      <w:r>
        <w:rPr/>
        <w:t> </w:t>
      </w:r>
    </w:p>
    <w:tbl>
      <w:tblPr>
        <w:tblW w:w="5319" w:type="dxa"/>
        <w:jc w:val="left"/>
        <w:tblInd w:w="0" w:type="dxa"/>
        <w:tblCellMar>
          <w:top w:w="28" w:type="dxa"/>
          <w:left w:w="28" w:type="dxa"/>
          <w:bottom w:w="28" w:type="dxa"/>
          <w:right w:w="28" w:type="dxa"/>
        </w:tblCellMar>
      </w:tblPr>
      <w:tblGrid>
        <w:gridCol w:w="161"/>
        <w:gridCol w:w="256"/>
        <w:gridCol w:w="146"/>
        <w:gridCol w:w="475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Retention of key employees from the acquired company;</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Changes in relationships with strategic partners as a result of product acquisitions or strategic positioning resulting from the acquisition;</w:t>
            </w:r>
          </w:p>
        </w:tc>
      </w:tr>
    </w:tbl>
    <w:p>
      <w:pPr>
        <w:pStyle w:val="TextBody"/>
        <w:spacing w:lineRule="auto" w:line="312" w:before="0" w:after="0"/>
        <w:jc w:val="left"/>
        <w:rPr/>
      </w:pPr>
      <w:r>
        <w:rPr/>
        <w:t> </w:t>
      </w:r>
    </w:p>
    <w:tbl>
      <w:tblPr>
        <w:tblW w:w="9549" w:type="dxa"/>
        <w:jc w:val="left"/>
        <w:tblInd w:w="0" w:type="dxa"/>
        <w:tblCellMar>
          <w:top w:w="28" w:type="dxa"/>
          <w:left w:w="28" w:type="dxa"/>
          <w:bottom w:w="28" w:type="dxa"/>
          <w:right w:w="28" w:type="dxa"/>
        </w:tblCellMar>
      </w:tblPr>
      <w:tblGrid>
        <w:gridCol w:w="161"/>
        <w:gridCol w:w="256"/>
        <w:gridCol w:w="146"/>
        <w:gridCol w:w="898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98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9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Cultural challenges associated with integrating employees from the acquired company into our organization;</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Integration of the acquired company’s accounting, management information, human resources and other administrative systems;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need to implement or improve controls, procedures, and policies at a business that prior to the acquisition may have lacked sufficiently effective controls, procedures and policies;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Financial reporting, revenue recognition or other financial or control deficiencies of the acquired company that we don’t adequately address and that cause our reported results to be incorrect;</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Liability for activities of the acquired company before the acquisition, including intellectual property infringement claims, misappropriation or other violation, violations of laws, commercial disputes, tax liabilities and other known and unknown liabilities;</w:t>
            </w:r>
          </w:p>
        </w:tc>
      </w:tr>
    </w:tbl>
    <w:p>
      <w:pPr>
        <w:pStyle w:val="TextBody"/>
        <w:spacing w:lineRule="auto" w:line="312" w:before="0" w:after="0"/>
        <w:jc w:val="left"/>
        <w:rPr/>
      </w:pPr>
      <w:r>
        <w:rPr/>
        <w:t> </w:t>
      </w:r>
    </w:p>
    <w:tbl>
      <w:tblPr>
        <w:tblW w:w="3954" w:type="dxa"/>
        <w:jc w:val="left"/>
        <w:tblInd w:w="0" w:type="dxa"/>
        <w:tblCellMar>
          <w:top w:w="28" w:type="dxa"/>
          <w:left w:w="28" w:type="dxa"/>
          <w:bottom w:w="28" w:type="dxa"/>
          <w:right w:w="28" w:type="dxa"/>
        </w:tblCellMar>
      </w:tblPr>
      <w:tblGrid>
        <w:gridCol w:w="161"/>
        <w:gridCol w:w="256"/>
        <w:gridCol w:w="146"/>
        <w:gridCol w:w="339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33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Unanticipated write-offs or charges; and</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Litigation or other claims in connection with the acquired company, including claims from terminated employees, customers, former stockholders or other third parties.</w:t>
            </w:r>
          </w:p>
        </w:tc>
      </w:tr>
    </w:tbl>
    <w:p>
      <w:pPr>
        <w:pStyle w:val="TextBody"/>
        <w:spacing w:lineRule="auto" w:line="312" w:before="240" w:after="0"/>
        <w:jc w:val="left"/>
        <w:rPr>
          <w:rFonts w:ascii="Times New Roman" w:hAnsi="Times New Roman"/>
          <w:b w:val="false"/>
          <w:sz w:val="20"/>
        </w:rPr>
      </w:pPr>
      <w:r>
        <w:rPr>
          <w:rFonts w:ascii="Times New Roman" w:hAnsi="Times New Roman"/>
          <w:b w:val="false"/>
          <w:sz w:val="20"/>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66</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i/>
          <w:sz w:val="20"/>
        </w:rPr>
      </w:pPr>
      <w:r>
        <w:rPr>
          <w:rFonts w:ascii="Times New Roman" w:hAnsi="Times New Roman"/>
          <w:b/>
          <w:i/>
          <w:sz w:val="20"/>
        </w:rPr>
        <w:t>Taxing authorities may successfully assert that we should have collected or in the future should collect sales and use, gross receipts, value added or similar taxes and may successfully impose additional obligations on us.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One or more jurisdictions may seek to impose additional tax collection obligations on us, including for past sales.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products, or otherwise harm our business, results of operations and financial condition.</w:t>
      </w:r>
    </w:p>
    <w:p>
      <w:pPr>
        <w:pStyle w:val="TextBody"/>
        <w:spacing w:lineRule="auto" w:line="312" w:before="360" w:after="0"/>
        <w:jc w:val="left"/>
        <w:rPr>
          <w:rFonts w:ascii="Times New Roman" w:hAnsi="Times New Roman"/>
          <w:b/>
          <w:i/>
          <w:sz w:val="20"/>
        </w:rPr>
      </w:pPr>
      <w:r>
        <w:rPr>
          <w:rFonts w:ascii="Times New Roman" w:hAnsi="Times New Roman"/>
          <w:b/>
          <w:i/>
          <w:sz w:val="20"/>
        </w:rPr>
        <w:t>Our ability to utilize our net operating loss carryforwards, disallowed interest expense carryforwards and research and development carryforwards may be limited.</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As of December 31, 2020, we had U.S. federal and state net operating loss carryforwards, or NOLs, of $85.3 million and $83.5 million, respectively, and U.S. federal and state research and development credit carryforwards of $0.8 million and $0.9 million, respectively. In general, under Sections 382 and 383 of the Internal Revenue Code of 1986, as amended, or the Code, a corporation that undergoes an “ownership change,” generally defined as a greater than 50 percentage point change by value in its equity ownership over a rolling three-year period, is subject to limitations on its ability to utilize its pre-change net operating losses, or NOLs, and its research and development credit carryforwards to offset future taxable income. Our existing NOLs and research and development credit carryforwards could be subject to limitation under Sections 382 and 383 of the Code if we have undergone, or undergo in the future, any ownership changes for purposes of these provisions. If our NOLs and research and development credit carryforwards are subject to these limitations, we may not be able to utilize a material portion of the NOLs and research and development credit carryforwards, even if we attain profitability.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the tax benefit of NOLs, temporary differences and credit carryforwards are required to be recorded as an asset to the extent that we assess that realization is more likely than not. We believe that recognition of the deferred tax asset arising from these future tax benefits is not likely to be realized and, accordingly, have provided a valuation allowance of $14.4 million and $24.5 million for the years ended December 31, 2019 and 2020, respectively.</w:t>
      </w:r>
    </w:p>
    <w:p>
      <w:pPr>
        <w:pStyle w:val="TextBody"/>
        <w:spacing w:lineRule="auto" w:line="312" w:before="360" w:after="0"/>
        <w:jc w:val="left"/>
        <w:rPr>
          <w:rFonts w:ascii="Times New Roman" w:hAnsi="Times New Roman"/>
          <w:b/>
          <w:i/>
          <w:sz w:val="20"/>
        </w:rPr>
      </w:pPr>
      <w:r>
        <w:rPr>
          <w:rFonts w:ascii="Times New Roman" w:hAnsi="Times New Roman"/>
          <w:b/>
          <w:i/>
          <w:sz w:val="20"/>
        </w:rPr>
        <w:t>The impact of the Tax Cuts and Jobs Act and the CARES Act on our financial results is not entirely clear and could differ materially from the financial statements provided herein.</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On December 22, 2017, the United States enacted the Tax Cuts and Jobs Act, or the TCJA, that significantly reformed the Code. The TCJA, among other things, contained significant changes to corporate taxation, including reduction of the corporate tax rate from a top marginal rate of 35% to a flat rate of 21%; limitation of the tax deduction for interest expense; limitation (as modified by the CARES Act as discussed below) of the deduction for NOLs and elimination of NOL carrybacks, in each case, for losses arising in taxable years beginning after December 31, 2017 (though any such tax losses may be carried forward indefinitely); and modifying or repealing many business deductions and credits.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On March 27, 2020, President Trump signed the Coronavirus Aid, Relief, and Economic Security Act (the CARES Act), aimed at helping American workers and businesses impacted by the COVID-19 pandemic. The CARES Act, among other things, temporarily removes the current-law taxable income limitation established under the Tax Cuts and Jobs Act of 2017, and permits NOL carryovers and carrybacks to offset 100% of taxable income for taxable years beginning before 2021. In addition, the CARES Act allows NOLs incurred in 2018, 2019 and 2020 to be carried back to each of the five preceding taxable years. The NOL provisions of the CARES Act are not expected to result in a cash benefit to the Company nor did they impact our NOL balance upon enactment.</w:t>
      </w:r>
    </w:p>
    <w:p>
      <w:pPr>
        <w:pStyle w:val="TextBody"/>
        <w:spacing w:lineRule="auto" w:line="312" w:before="240" w:after="0"/>
        <w:jc w:val="left"/>
        <w:rPr>
          <w:rFonts w:ascii="Times New Roman" w:hAnsi="Times New Roman"/>
          <w:sz w:val="20"/>
        </w:rPr>
      </w:pPr>
      <w:r>
        <w:rPr>
          <w:rFonts w:ascii="Times New Roman" w:hAnsi="Times New Roman"/>
          <w:b w:val="false"/>
          <w:sz w:val="20"/>
        </w:rPr>
        <w:t>The financial statements contained herein reflect the effects of the TCJA and the CARES Act based on current guidance. However, there remain uncertainties and ambiguities in the application of certain provisions of the TCJA and the CARES Act, and, as a result, we made certain judgments and assumptions in the interpretation thereof. The U.S. Treasury Department and the Internal Revenue Service may issue further guidance on how the provisions of the</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67</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TCJA and the CARES Act will be applied or otherwise administered that differs from our current interpretation. In addition, the TCJA and the CARES Act could be subject to potential amendments and technical corrections, any of which could materially lessen or increase certain adverse impacts of the legislation on us.</w:t>
      </w:r>
    </w:p>
    <w:p>
      <w:pPr>
        <w:pStyle w:val="TextBody"/>
        <w:spacing w:lineRule="auto" w:line="312" w:before="360" w:after="0"/>
        <w:jc w:val="left"/>
        <w:rPr>
          <w:rFonts w:ascii="Times New Roman" w:hAnsi="Times New Roman"/>
          <w:b/>
          <w:i/>
          <w:sz w:val="20"/>
        </w:rPr>
      </w:pPr>
      <w:r>
        <w:rPr>
          <w:rFonts w:ascii="Times New Roman" w:hAnsi="Times New Roman"/>
          <w:b/>
          <w:i/>
          <w:sz w:val="20"/>
        </w:rPr>
        <w:t>The planned international expansion of our business will expose us to market, legal, regulatory, political, operational, financial and economic risks associated with doing business outside of the United States.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intend to increase our international presence, including securing additional regulatory approvals in targeted countries outside the United States. This strategy may include establishing and maintaining physician outreach and education capabilities outside of the United States and expanding our relationships with international payors. Doing business internationally involves a number of risks, including:</w:t>
      </w:r>
    </w:p>
    <w:p>
      <w:pPr>
        <w:pStyle w:val="TextBody"/>
        <w:spacing w:lineRule="auto" w:line="312" w:before="0" w:after="0"/>
        <w:jc w:val="left"/>
        <w:rPr/>
      </w:pPr>
      <w:r>
        <w:rPr/>
        <w:t> </w:t>
      </w:r>
    </w:p>
    <w:tbl>
      <w:tblPr>
        <w:tblW w:w="6069" w:type="dxa"/>
        <w:jc w:val="left"/>
        <w:tblInd w:w="0" w:type="dxa"/>
        <w:tblCellMar>
          <w:top w:w="28" w:type="dxa"/>
          <w:left w:w="28" w:type="dxa"/>
          <w:bottom w:w="28" w:type="dxa"/>
          <w:right w:w="28" w:type="dxa"/>
        </w:tblCellMar>
      </w:tblPr>
      <w:tblGrid>
        <w:gridCol w:w="161"/>
        <w:gridCol w:w="256"/>
        <w:gridCol w:w="146"/>
        <w:gridCol w:w="550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50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5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Difficulties in staffing and managing our international operations;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Multiple, conflicting and changing laws and regulations such as tax laws, privacy laws, export and import restrictions, employment laws, regulatory requirements and other governmental approvals, permits and licenses;</w:t>
            </w:r>
          </w:p>
        </w:tc>
      </w:tr>
    </w:tbl>
    <w:p>
      <w:pPr>
        <w:pStyle w:val="TextBody"/>
        <w:spacing w:lineRule="auto" w:line="312" w:before="0" w:after="0"/>
        <w:jc w:val="left"/>
        <w:rPr/>
      </w:pPr>
      <w:r>
        <w:rPr/>
        <w:t> </w:t>
      </w:r>
    </w:p>
    <w:tbl>
      <w:tblPr>
        <w:tblW w:w="7104" w:type="dxa"/>
        <w:jc w:val="left"/>
        <w:tblInd w:w="0" w:type="dxa"/>
        <w:tblCellMar>
          <w:top w:w="28" w:type="dxa"/>
          <w:left w:w="28" w:type="dxa"/>
          <w:bottom w:w="28" w:type="dxa"/>
          <w:right w:w="28" w:type="dxa"/>
        </w:tblCellMar>
      </w:tblPr>
      <w:tblGrid>
        <w:gridCol w:w="161"/>
        <w:gridCol w:w="256"/>
        <w:gridCol w:w="146"/>
        <w:gridCol w:w="654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5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5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Reduced or varied protection for intellectual property rights in some countries;</w:t>
            </w:r>
          </w:p>
        </w:tc>
      </w:tr>
    </w:tbl>
    <w:p>
      <w:pPr>
        <w:pStyle w:val="TextBody"/>
        <w:spacing w:lineRule="auto" w:line="312" w:before="0" w:after="0"/>
        <w:jc w:val="left"/>
        <w:rPr/>
      </w:pPr>
      <w:r>
        <w:rPr/>
        <w:t> </w:t>
      </w:r>
    </w:p>
    <w:tbl>
      <w:tblPr>
        <w:tblW w:w="9579" w:type="dxa"/>
        <w:jc w:val="left"/>
        <w:tblInd w:w="0" w:type="dxa"/>
        <w:tblCellMar>
          <w:top w:w="28" w:type="dxa"/>
          <w:left w:w="28" w:type="dxa"/>
          <w:bottom w:w="28" w:type="dxa"/>
          <w:right w:w="28" w:type="dxa"/>
        </w:tblCellMar>
      </w:tblPr>
      <w:tblGrid>
        <w:gridCol w:w="161"/>
        <w:gridCol w:w="256"/>
        <w:gridCol w:w="146"/>
        <w:gridCol w:w="901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01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0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Obtaining regulatory clearance, certification or approval where required for our products in various countries;</w:t>
            </w:r>
          </w:p>
        </w:tc>
      </w:tr>
    </w:tbl>
    <w:p>
      <w:pPr>
        <w:pStyle w:val="TextBody"/>
        <w:spacing w:lineRule="auto" w:line="312" w:before="0" w:after="0"/>
        <w:jc w:val="left"/>
        <w:rPr/>
      </w:pPr>
      <w:r>
        <w:rPr/>
        <w:t> </w:t>
      </w:r>
    </w:p>
    <w:tbl>
      <w:tblPr>
        <w:tblW w:w="9069" w:type="dxa"/>
        <w:jc w:val="left"/>
        <w:tblInd w:w="0" w:type="dxa"/>
        <w:tblCellMar>
          <w:top w:w="28" w:type="dxa"/>
          <w:left w:w="28" w:type="dxa"/>
          <w:bottom w:w="28" w:type="dxa"/>
          <w:right w:w="28" w:type="dxa"/>
        </w:tblCellMar>
      </w:tblPr>
      <w:tblGrid>
        <w:gridCol w:w="161"/>
        <w:gridCol w:w="256"/>
        <w:gridCol w:w="146"/>
        <w:gridCol w:w="850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0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Requirements to maintain data and the processing of that data on servers located within such countries;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Complexities associated with managing multiple payor reimbursement regimes, government payors or patient self-pay systems;</w:t>
            </w:r>
          </w:p>
        </w:tc>
      </w:tr>
    </w:tbl>
    <w:p>
      <w:pPr>
        <w:pStyle w:val="TextBody"/>
        <w:spacing w:lineRule="auto" w:line="312" w:before="0" w:after="0"/>
        <w:jc w:val="left"/>
        <w:rPr/>
      </w:pPr>
      <w:r>
        <w:rPr/>
        <w:t> </w:t>
      </w:r>
    </w:p>
    <w:tbl>
      <w:tblPr>
        <w:tblW w:w="9609" w:type="dxa"/>
        <w:jc w:val="left"/>
        <w:tblInd w:w="0" w:type="dxa"/>
        <w:tblCellMar>
          <w:top w:w="28" w:type="dxa"/>
          <w:left w:w="28" w:type="dxa"/>
          <w:bottom w:w="28" w:type="dxa"/>
          <w:right w:w="28" w:type="dxa"/>
        </w:tblCellMar>
      </w:tblPr>
      <w:tblGrid>
        <w:gridCol w:w="161"/>
        <w:gridCol w:w="256"/>
        <w:gridCol w:w="146"/>
        <w:gridCol w:w="904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0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0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Limits on our ability to penetrate international markets if we are required to manufacture our products locally;</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Financial risks, such as longer payment cycles, difficulty collecting accounts receivable, foreign tax laws and complexities of foreign value-added tax systems, the effect of local and regional financial pressures on demand and payment for our products and exposure to foreign currency exchange rate fluctuations;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Restrictions on the site-of-service for use of our products and the economics related thereto for physicians, providers and payors;</w:t>
            </w:r>
          </w:p>
        </w:tc>
      </w:tr>
    </w:tbl>
    <w:p>
      <w:pPr>
        <w:pStyle w:val="TextBody"/>
        <w:spacing w:lineRule="auto" w:line="312" w:before="0" w:after="0"/>
        <w:jc w:val="left"/>
        <w:rPr/>
      </w:pPr>
      <w:r>
        <w:rPr/>
        <w:t> </w:t>
      </w:r>
    </w:p>
    <w:tbl>
      <w:tblPr>
        <w:tblW w:w="8874" w:type="dxa"/>
        <w:jc w:val="left"/>
        <w:tblInd w:w="0" w:type="dxa"/>
        <w:tblCellMar>
          <w:top w:w="28" w:type="dxa"/>
          <w:left w:w="28" w:type="dxa"/>
          <w:bottom w:w="28" w:type="dxa"/>
          <w:right w:w="28" w:type="dxa"/>
        </w:tblCellMar>
      </w:tblPr>
      <w:tblGrid>
        <w:gridCol w:w="161"/>
        <w:gridCol w:w="256"/>
        <w:gridCol w:w="146"/>
        <w:gridCol w:w="831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3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3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Changes in foreign currency exchange rates and costs associated with hedging against such changes;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Natural disasters, political and economic instability, including wars, terrorism, political unrest, outbreak of disease, boycotts, curtailment of trade and other market restrictions; and</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Regulatory and compliance risks that relate to maintaining accurate information and control over activities subject to regulation under the United States Foreign Corrupt Practices Act of 1977, or FCPA, U.K. Bribery Act of 2010 and comparable laws and regulations in other countries.</w:t>
            </w:r>
          </w:p>
        </w:tc>
      </w:tr>
    </w:tbl>
    <w:p>
      <w:pPr>
        <w:pStyle w:val="TextBody"/>
        <w:spacing w:lineRule="auto" w:line="312" w:before="240" w:after="0"/>
        <w:jc w:val="left"/>
        <w:rPr>
          <w:rFonts w:ascii="Times New Roman" w:hAnsi="Times New Roman"/>
          <w:b w:val="false"/>
          <w:sz w:val="20"/>
        </w:rPr>
      </w:pPr>
      <w:r>
        <w:rPr>
          <w:rFonts w:ascii="Times New Roman" w:hAnsi="Times New Roman"/>
          <w:b w:val="false"/>
          <w:sz w:val="20"/>
        </w:rPr>
        <w:t>Any of these factors could significantly harm our future international expansion and operations and, consequently, have a material adverse effect on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We could be adversely affected by violations of the FCPA and similar worldwide anti-bribery laws and any investigation, and the outcome of any investigation, by government agencies of possible violations by us of the FCPA could have a material adverse effect on our business.</w:t>
      </w:r>
    </w:p>
    <w:p>
      <w:pPr>
        <w:pStyle w:val="TextBody"/>
        <w:spacing w:lineRule="auto" w:line="312" w:before="120" w:after="0"/>
        <w:jc w:val="left"/>
        <w:rPr>
          <w:rFonts w:ascii="Times New Roman" w:hAnsi="Times New Roman"/>
          <w:sz w:val="20"/>
        </w:rPr>
      </w:pPr>
      <w:r>
        <w:rPr>
          <w:rFonts w:ascii="Times New Roman" w:hAnsi="Times New Roman"/>
          <w:b w:val="false"/>
          <w:sz w:val="20"/>
        </w:rPr>
        <w:t>The FCPA and similar worldwide anti-bribery and anti-corruption laws prohibit companies and their intermediaries from corruptly providing any payments or other benefits to government officials for the purpose of obtaining or retaining business. The U.S. Departments of Justice, Commerce, State and Treasury and other federal agencies and authorities have a broad range of civil and criminal penalties they may seek to impose against corporations and individuals for violations of economic sanctions laws, export control laws, the FCPA, and other federal statutes and regulations, including those established by the Office of Foreign Assets Control, or OFAC. In</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68</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addition, the U.K. Bribery Act of 2010, or the Bribery Act, prohibits both domestic and international bribery, as well as bribery across both private and public sectors. An organization that fails to prevent bribery by anyone associated with the organization can be charged under the Bribery Act unless the organization can establish the defense of having implemented adequate procedures to prevent bribery. Under these laws and regulations, as well as other anti-corruption laws, anti-money laundering laws, export control laws, customs laws, sanctions laws and other laws governing our operations, various government agencies may require export licenses,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have commenced commercial sales of OMNI in certain European countries through a combination of direct sales personnel and independent distributors, and we are also in the process of conducting an EU-based clinical investigation. Further, a portion of our business with respect to our manufacturing is conducted outside of the United States. We expect our international activities to increase in the future. Though we maintain policies, internal controls and other measures reasonably designed to promote compliance with applicable anticorruption and anti-bribery laws and regulations, and certain safeguards designed to ensure compliance with U.S. trade control laws, our employees or agents may nevertheless engage in improper conduct for which we might be held responsible. Any violations of these anti-corruption or trade controls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be subject to criminal and civil enforcement action, suffer severe fines and penalties, profit disgorgement, injunctions on future conduct, securities litigation, bans on transacting government business, delisting from securities exchanges and other consequences that may have a material adverse effect on our business, financial condition and results of operations. In addition, our reputation, our net sales or our stock price could be adversely affected if we become the subject of any negative publicity related to actual or potential violations of anti-corruption, anti-bribery or trade control laws and regulations.</w:t>
      </w:r>
    </w:p>
    <w:p>
      <w:pPr>
        <w:pStyle w:val="TextBody"/>
        <w:spacing w:lineRule="auto" w:line="312" w:before="360" w:after="0"/>
        <w:jc w:val="left"/>
        <w:rPr>
          <w:rFonts w:ascii="Times New Roman" w:hAnsi="Times New Roman"/>
          <w:b/>
          <w:i/>
          <w:sz w:val="20"/>
        </w:rPr>
      </w:pPr>
      <w:r>
        <w:rPr>
          <w:rFonts w:ascii="Times New Roman" w:hAnsi="Times New Roman"/>
          <w:b/>
          <w:i/>
          <w:sz w:val="20"/>
        </w:rPr>
        <w:t>Changes in government trade policies, including the imposition of tariffs and export restrictions, could have a negative impact on our manufacturing process, which may materially and adversely affect our sales and results of operations.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Certain public officials, including members of the current U.S. Congress, have made public statements indicating the possibility of significant changes in U.S. trade policy and have taken certain actions that may impact U.S. trade policy, including imposing new or increased tariffs on certain goods imported into the United States during the Trump administration. For example, the United States and China have imposed a number of tariffs and other restrictions on items imported or exported between the United States and China, and have proposed to impose a number of additional tariffs. We cannot predict what actions may ultimately be taken with respect to tariffs or trade relations between the United States and China or other countries, what products may be subject to such actions, or what actions may be taken by the other countries in retaliation.</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Since certain of our critical product and product component manufacturers are located outside the United States, such changes, if adopted, could have a negative impact on our business and make our products more expensive and less competitive in domestic markets. Furthermore, changes in U.S. trade policy could trigger retaliatory actions by affected countries, which could impose restrictions on our ability to do business in or with affected countries or prohibit, reduce or discourage purchases of our products by foreign customers. Changes in, and responses to, U.S. trade policy could reduce the competitiveness of our products and cause our sales to decline, which could materially and adversely impact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The United Kingdom’s withdrawal from the European Union may have a negative effect on global economic conditions, financial markets and our business.</w:t>
      </w:r>
    </w:p>
    <w:p>
      <w:pPr>
        <w:pStyle w:val="TextBody"/>
        <w:spacing w:lineRule="auto" w:line="312" w:before="120" w:after="0"/>
        <w:jc w:val="left"/>
        <w:rPr>
          <w:rFonts w:ascii="Times New Roman" w:hAnsi="Times New Roman"/>
          <w:sz w:val="20"/>
        </w:rPr>
      </w:pPr>
      <w:r>
        <w:rPr>
          <w:rFonts w:ascii="Times New Roman" w:hAnsi="Times New Roman"/>
          <w:b w:val="false"/>
          <w:sz w:val="20"/>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is being applied provisionally from January 1, 2021 until it is ratified by the European Parliament and the Council of the European Union,</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69</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Following the end of the “Brexit” Transition Period, from January 1, 2021 onwards, the Medicines and Healthcare Products Regulatory Agency, or the MHRA, will be responsible for the UK medical device market. The new regulations will require medical devices to be registered with the MHRA (but manufacturers will be given a grace period of four to 12 months to comply with the new registration process). Manufacturers based outside the UK will need to appoint a UK Responsible Person to register devices with the MHRA in line with the grace periods. By July 1, 2023, in the UK (England, Scotland, and Wales), all medical devices will require a UKCA (UK Conformity Assessed) mark but CE marks issued by EU Notified Bodies will remain valid until this period. However, UKCA marking alone will not be recognized in the EU. The rules for placing medical devices on the Northern Ireland market will differ from those in the UK. These modifications may have an effect on the way we conduct our business.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These developments, or the perception that any related developments could occur, have had and may continue to have a material adverse effect on global economic conditions and financial markets, and could significantly reduce global market liquidity and restrict the ability of key market participants to operate in certain financial markets. Asset valuations, currency exchange rates and credit ratings have been and may continue to be subject to increased market volatility. Lack of clarity about future United Kingdom laws and regulations as the United Kingdom determines which European Union laws to replace or replicate could depress economic activity and investment in healthcare technology products.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withdrawal has also given rise to calls for the governments of other EU member states to consider withdrawal. These developments, or the perception that any of them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 Any of these factors could have a material adverse effect on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Security breaches, loss of data and other disruptions could compromise sensitive information related to our business or our customer’s patients, or prevent us from accessing critical information and expose us to liability, which could adversely affect our business and our reputation.</w:t>
      </w:r>
    </w:p>
    <w:p>
      <w:pPr>
        <w:pStyle w:val="TextBody"/>
        <w:spacing w:lineRule="auto" w:line="312" w:before="120" w:after="0"/>
        <w:jc w:val="left"/>
        <w:rPr>
          <w:rFonts w:ascii="Times New Roman" w:hAnsi="Times New Roman"/>
          <w:sz w:val="20"/>
        </w:rPr>
      </w:pPr>
      <w:r>
        <w:rPr>
          <w:rFonts w:ascii="Times New Roman" w:hAnsi="Times New Roman"/>
          <w:b w:val="false"/>
          <w:sz w:val="20"/>
        </w:rPr>
        <w:t>In the ordinary course of our business, we may become exposed to, or collect and store, sensitive data, including procedure-based information and legally-protected health information, credit card, and other financial information, insurance information, and other potentially personally identifiable information. We also store sensitive intellectual property and other proprietary business information. We are taking measures to implement policies and procedures designed to ensure compliance with applicable data security and privacy-related laws and regulations and protect sensitive information from unauthorized access or disclosure. However, our information technology, or IT, and infrastructure, and that of our third-party billing and collections provider and other technology partners and providers, may be vulnerable to cyber-attacks by hackers or viruses or breaches due to employee error, malfeasance or other disruptions. We rely extensively on IT systems, networks and services, including internet sites, data hosting and processing facilities and tools, physical security systems and other hardware, software and technical applications and platforms, some of which are managed, hosted, provided and/or used by third parties or their vendors, to assist in conducting our business. A significant breakdown, invasion, corruption, destruction or interruption of critical information technology systems or infrastructure, by our workforce, others with authorized access to our systems or unauthorized persons could negatively impact operations. The ever-increasing use and evolution of technology, including cloud-based computing, creates opportunities for the unintentional dissemination or intentional destruction of confidential information stored in our or our third-party providers’ systems, portable media or storage devices. For example, companies have experienced an increase in phishing and social engineering attacks from third parties</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70</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in connection with the COVID-19 pandemic. We could also experience a business interruption, theft of confidential information or reputational damage from industrial espionage attacks, malware or other cyber-attacks, which may compromise our system infrastructure or lead to data leakage, either internally or at our third-party providers. Although the aggregate impact on our operations and financial condition has not been material to date, we have been the target of events of this nature and expect them to continue as cybersecurity threats have been rapidly evolving in sophistication and becoming more prevalent in the industry. We are investing in protections and monitoring practices of our data and IT to reduce these risks and continue to monitor our systems on an ongoing basis for any current or potential threats. There can be no assurance, however, that our efforts will prevent breakdowns or breaches to our or our third-party providers’ databases or systems, and such breakdowns or breaches could adversely affect our business, financial condition and reputation. We also intend to mitigate the risks related to these risks by purchasing cybersecurity insurance. However, such insurance, if purchased, will not necessarily cover all costs and impacts related to these risks.</w:t>
      </w:r>
    </w:p>
    <w:p>
      <w:pPr>
        <w:pStyle w:val="TextBody"/>
        <w:spacing w:lineRule="auto" w:line="312" w:before="360" w:after="0"/>
        <w:jc w:val="left"/>
        <w:rPr>
          <w:rFonts w:ascii="Times New Roman" w:hAnsi="Times New Roman"/>
          <w:b/>
          <w:sz w:val="20"/>
        </w:rPr>
      </w:pPr>
      <w:r>
        <w:rPr>
          <w:rFonts w:ascii="Times New Roman" w:hAnsi="Times New Roman"/>
          <w:b/>
          <w:sz w:val="20"/>
        </w:rPr>
        <w:t>Risks Related to Our Intellectual Property</w:t>
      </w:r>
    </w:p>
    <w:p>
      <w:pPr>
        <w:pStyle w:val="TextBody"/>
        <w:spacing w:lineRule="auto" w:line="312" w:before="120" w:after="0"/>
        <w:jc w:val="left"/>
        <w:rPr>
          <w:rFonts w:ascii="Times New Roman" w:hAnsi="Times New Roman"/>
          <w:b/>
          <w:i/>
          <w:sz w:val="20"/>
        </w:rPr>
      </w:pPr>
      <w:r>
        <w:rPr>
          <w:rFonts w:ascii="Times New Roman" w:hAnsi="Times New Roman"/>
          <w:b/>
          <w:i/>
          <w:sz w:val="20"/>
        </w:rPr>
        <w:t>Our success will depend on our, and any of our future licensors’, ability to obtain, maintain and protect our intellectual property rights.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commercial success will depend in part on our, and any of our future licensors’, success in obtaining and maintaining issued patents, trademarks and other intellectual property rights in the United States and elsewhere and protecting our proprietary technology. If we, or any of our future licensors, do not adequately protect our intellectual property and proprietary technology, competitors may be able to use our technologies or the goodwill we have acquired in the marketplace and erode or negate any competitive advantage we may have, which could harm our business and ability to achieve profitability.</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rely on a combination of contractual provisions, confidentiality procedures and patent, copyright, trademark, trade secret and other intellectual property laws to protect the proprietary aspects of our products, brands, technologies and data. These legal measures afford only limited protection, and competitors or others may gain access to or use our intellectual property and proprietary information. Our success will depend, in part, on preserving our trade secrets, maintaining the security of our data and know-how and obtaining and maintaining other intellectual property rights. We may not be able to obtain or maintain intellectual property or other proprietary rights necessary to our business or in a form that provides us with a competitive advantage.</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despite our efforts to enter into confidentiality agreements with our employees, consultants, suppliers, clients and other vendors who have access to information that we regard as proprietary, our trade secrets, data, know-how and other proprietary information and technology could be subject to unauthorized access, use, misappropriation, or disclosure to unauthorized parties, and could otherwise become known or be independently discovered by third parties. Our intellectual property, including trademarks, could be challenged, invalidated, infringed, misappropriated, violated and circumvented by third parties, and our trademarks could also be diluted, declared generic or found to be infringing on other marks. If any of the foregoing occurs, we could be forced to re-brand our products, resulting in loss of brand recognition and requiring us to devote resources to advertising and marketing new brands and causing us to suffer other competitive harm. Third parties may also adopt trademarks similar to ours, which could harm our brand identity and lead to market confusion.</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services, and may not provide an adequate remedy if our intellectual property rights are infringed, misappropriated or otherwise violated.</w:t>
      </w:r>
    </w:p>
    <w:p>
      <w:pPr>
        <w:pStyle w:val="TextBody"/>
        <w:spacing w:lineRule="auto" w:line="312" w:before="240" w:after="0"/>
        <w:jc w:val="left"/>
        <w:rPr>
          <w:rFonts w:ascii="Times New Roman" w:hAnsi="Times New Roman"/>
          <w:sz w:val="20"/>
        </w:rPr>
      </w:pPr>
      <w:r>
        <w:rPr>
          <w:rFonts w:ascii="Times New Roman" w:hAnsi="Times New Roman"/>
          <w:b w:val="false"/>
          <w:sz w:val="20"/>
        </w:rPr>
        <w:t>Our business relies, in part, on our ability to obtain, maintain, expand, enforce, and defend the scope of our intellectual property portfolio or other proprietary rights, including making any payments required in connection with the licensing, filing, defense and enforcement of any patents or other intellectual property rights. The process of applying for and obtaining a patent is expensive, time consuming and complex, and we may not be able to prepare,</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71</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file, prosecute, maintain, enforce or license all necessary or desirable patent applications and patents at a reasonable cost, in a timely manner, or in all jurisdictions where protection may be commercially advantageous, or we may not be able to protect our proprietary rights at all. It is also possible that we may fail to identify patentable aspects of inventions made in the course of development and commercialization activities before it is too late to obtain patent protection on them.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maintained, and/or enforced in a manner consistent with the best interests of our business. Despite our efforts to protect our proprietary rights, unauthorized parties may be able to obtain and use information that we regard as proprietary. Additionally, if there are material defects in the form, preparation or prosecution of our patents or patent applications, such patents or applications may be invalid and unenforceable. Any of these outcomes could impair our ability to prevent competition from third parties, which may have an adverse impact on our business.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patent positions of medical device companies may involve complex legal and factual questions and have been the subject of much litigation in recent years, and therefore, the scope, validity and enforceability of any patent claims that we have or may obtain cannot be predicted with certainty. We cannot offer any assurances about which of our patent applications will issue, the breadth of any resulting patent or whether any of the issued patents will be found to be infringed, invalid or unenforceable or will be threatened or challenged by third parties.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and commercializing a product in a non-infringing manner that would be competitive with one or more of our products, or otherwise provide us with any competitive advantage. Furthermore, any successful challenge to these patents or any other patents owned by or licensed to us after patent issuance could deprive us of rights necessary for our commercial success.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Patents have a limited lifespan. In the United States, the natural expiration of a utility patent is generally 20 years. Further, if we encounter delays in any future regulatory approvals, the period of time during which we could market a product under patent protection could be reduced, and, given the amount of time required for the development, testing and regulatory review of planned or future products, patents protecting such products might expire before or shortly after such products are commercialized. As a result, our intellectual property may not provide us with sufficient rights to exclude others from commercializing products similar or identical to ours.</w:t>
      </w:r>
    </w:p>
    <w:p>
      <w:pPr>
        <w:pStyle w:val="TextBody"/>
        <w:spacing w:lineRule="auto" w:line="312" w:before="240" w:after="0"/>
        <w:jc w:val="left"/>
        <w:rPr>
          <w:rFonts w:ascii="Times New Roman" w:hAnsi="Times New Roman"/>
          <w:sz w:val="20"/>
        </w:rPr>
      </w:pPr>
      <w:r>
        <w:rPr>
          <w:rFonts w:ascii="Times New Roman" w:hAnsi="Times New Roman"/>
          <w:b w:val="false"/>
          <w:sz w:val="20"/>
        </w:rPr>
        <w:t>Though an issued patent is presumed valid and enforceable, its issuance is not conclusive as to its validity or its enforceability and it may not provide us with adequate proprietary protection or competitive advantages against competitors with similar products.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commercialize our products. Competitors could purchase our products and attempt to replicate or reverse engineer some or all of the competitive advantages we derive from our development efforts, willfully infringe, misappropriate or otherwise violate our intellectual property rights, design around our patents, or develop and obtain patent protection for more effective technologies, designs or methods. We may be unable to prevent the unauthorized disclosure or use of our technical knowledge or trade secrets by consultants, suppliers, vendors, former employees and current employees. Further, the laws of some foreign</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72</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countries do not protect our proprietary rights to the same extent as the laws of the United States, and we may encounter significant problems in protecting our proprietary rights in these countries.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our products are invalidated, found unenforceable or interpreted narrowly, or if a court found that valid, enforceable patents held by third parties covered one or more of our products, our competitive position could be harmed or we could be required to incur significant expenses to enforce or defend our rights.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degree of future protection for our proprietary rights is uncertain, and we cannot ensure that:</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Any of our patents, or any of our pending patent applications, if issued, will include claims having a scope sufficient to protect our products;</w:t>
            </w:r>
          </w:p>
        </w:tc>
      </w:tr>
    </w:tbl>
    <w:p>
      <w:pPr>
        <w:pStyle w:val="TextBody"/>
        <w:spacing w:lineRule="auto" w:line="312" w:before="0" w:after="0"/>
        <w:jc w:val="left"/>
        <w:rPr/>
      </w:pPr>
      <w:r>
        <w:rPr/>
        <w:t> </w:t>
      </w:r>
    </w:p>
    <w:tbl>
      <w:tblPr>
        <w:tblW w:w="5619" w:type="dxa"/>
        <w:jc w:val="left"/>
        <w:tblInd w:w="0" w:type="dxa"/>
        <w:tblCellMar>
          <w:top w:w="28" w:type="dxa"/>
          <w:left w:w="28" w:type="dxa"/>
          <w:bottom w:w="28" w:type="dxa"/>
          <w:right w:w="28" w:type="dxa"/>
        </w:tblCellMar>
      </w:tblPr>
      <w:tblGrid>
        <w:gridCol w:w="161"/>
        <w:gridCol w:w="256"/>
        <w:gridCol w:w="146"/>
        <w:gridCol w:w="505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0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0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Any of our pending patent applications will issue as patents;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 will be able to successfully commercialize our products on a substantial scale, if approved, before our relevant patents we may have expire;</w:t>
            </w:r>
          </w:p>
        </w:tc>
      </w:tr>
    </w:tbl>
    <w:p>
      <w:pPr>
        <w:pStyle w:val="TextBody"/>
        <w:spacing w:lineRule="auto" w:line="312" w:before="0" w:after="0"/>
        <w:jc w:val="left"/>
        <w:rPr/>
      </w:pPr>
      <w:r>
        <w:rPr/>
        <w:t> </w:t>
      </w:r>
    </w:p>
    <w:tbl>
      <w:tblPr>
        <w:tblW w:w="9219" w:type="dxa"/>
        <w:jc w:val="left"/>
        <w:tblInd w:w="0" w:type="dxa"/>
        <w:tblCellMar>
          <w:top w:w="28" w:type="dxa"/>
          <w:left w:w="28" w:type="dxa"/>
          <w:bottom w:w="28" w:type="dxa"/>
          <w:right w:w="28" w:type="dxa"/>
        </w:tblCellMar>
      </w:tblPr>
      <w:tblGrid>
        <w:gridCol w:w="161"/>
        <w:gridCol w:w="256"/>
        <w:gridCol w:w="146"/>
        <w:gridCol w:w="865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6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 were the first to make the inventions covered by each of our patents and pending patent applications;</w:t>
            </w:r>
          </w:p>
        </w:tc>
      </w:tr>
    </w:tbl>
    <w:p>
      <w:pPr>
        <w:pStyle w:val="TextBody"/>
        <w:spacing w:lineRule="auto" w:line="312" w:before="0" w:after="0"/>
        <w:jc w:val="left"/>
        <w:rPr/>
      </w:pPr>
      <w:r>
        <w:rPr/>
        <w:t> </w:t>
      </w:r>
    </w:p>
    <w:tbl>
      <w:tblPr>
        <w:tblW w:w="5904" w:type="dxa"/>
        <w:jc w:val="left"/>
        <w:tblInd w:w="0" w:type="dxa"/>
        <w:tblCellMar>
          <w:top w:w="28" w:type="dxa"/>
          <w:left w:w="28" w:type="dxa"/>
          <w:bottom w:w="28" w:type="dxa"/>
          <w:right w:w="28" w:type="dxa"/>
        </w:tblCellMar>
      </w:tblPr>
      <w:tblGrid>
        <w:gridCol w:w="161"/>
        <w:gridCol w:w="256"/>
        <w:gridCol w:w="146"/>
        <w:gridCol w:w="534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3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 were the first to file patent applications for these inventions;</w:t>
            </w:r>
          </w:p>
        </w:tc>
      </w:tr>
    </w:tbl>
    <w:p>
      <w:pPr>
        <w:pStyle w:val="TextBody"/>
        <w:spacing w:lineRule="auto" w:line="312" w:before="0" w:after="0"/>
        <w:jc w:val="left"/>
        <w:rPr/>
      </w:pPr>
      <w:r>
        <w:rPr/>
        <w:t> </w:t>
      </w:r>
    </w:p>
    <w:tbl>
      <w:tblPr>
        <w:tblW w:w="8064" w:type="dxa"/>
        <w:jc w:val="left"/>
        <w:tblInd w:w="0" w:type="dxa"/>
        <w:tblCellMar>
          <w:top w:w="28" w:type="dxa"/>
          <w:left w:w="28" w:type="dxa"/>
          <w:bottom w:w="28" w:type="dxa"/>
          <w:right w:w="28" w:type="dxa"/>
        </w:tblCellMar>
      </w:tblPr>
      <w:tblGrid>
        <w:gridCol w:w="161"/>
        <w:gridCol w:w="256"/>
        <w:gridCol w:w="146"/>
        <w:gridCol w:w="750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50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5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Others will not develop similar or alternative technologies that do not infringe our patents;</w:t>
            </w:r>
          </w:p>
        </w:tc>
      </w:tr>
    </w:tbl>
    <w:p>
      <w:pPr>
        <w:pStyle w:val="TextBody"/>
        <w:spacing w:lineRule="auto" w:line="312" w:before="0" w:after="0"/>
        <w:jc w:val="left"/>
        <w:rPr/>
      </w:pPr>
      <w:r>
        <w:rPr/>
        <w:t> </w:t>
      </w:r>
    </w:p>
    <w:tbl>
      <w:tblPr>
        <w:tblW w:w="7479" w:type="dxa"/>
        <w:jc w:val="left"/>
        <w:tblInd w:w="0" w:type="dxa"/>
        <w:tblCellMar>
          <w:top w:w="28" w:type="dxa"/>
          <w:left w:w="28" w:type="dxa"/>
          <w:bottom w:w="28" w:type="dxa"/>
          <w:right w:w="28" w:type="dxa"/>
        </w:tblCellMar>
      </w:tblPr>
      <w:tblGrid>
        <w:gridCol w:w="161"/>
        <w:gridCol w:w="256"/>
        <w:gridCol w:w="146"/>
        <w:gridCol w:w="691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9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Any of our challenged patents will be found to ultimately be valid and enforceable;</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Any patents issued to us will provide a basis for an exclusive market for our commercially viable products, will provide us with any competitive advantages or will not be challenged by third parties;</w:t>
            </w:r>
          </w:p>
        </w:tc>
      </w:tr>
    </w:tbl>
    <w:p>
      <w:pPr>
        <w:pStyle w:val="TextBody"/>
        <w:spacing w:lineRule="auto" w:line="312" w:before="0" w:after="0"/>
        <w:jc w:val="left"/>
        <w:rPr/>
      </w:pPr>
      <w:r>
        <w:rPr/>
        <w:t> </w:t>
      </w:r>
    </w:p>
    <w:tbl>
      <w:tblPr>
        <w:tblW w:w="8619" w:type="dxa"/>
        <w:jc w:val="left"/>
        <w:tblInd w:w="0" w:type="dxa"/>
        <w:tblCellMar>
          <w:top w:w="28" w:type="dxa"/>
          <w:left w:w="28" w:type="dxa"/>
          <w:bottom w:w="28" w:type="dxa"/>
          <w:right w:w="28" w:type="dxa"/>
        </w:tblCellMar>
      </w:tblPr>
      <w:tblGrid>
        <w:gridCol w:w="161"/>
        <w:gridCol w:w="256"/>
        <w:gridCol w:w="146"/>
        <w:gridCol w:w="805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0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0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 will develop additional proprietary technologies or products that are separately patentable; or</w:t>
            </w:r>
          </w:p>
        </w:tc>
      </w:tr>
    </w:tbl>
    <w:p>
      <w:pPr>
        <w:pStyle w:val="TextBody"/>
        <w:spacing w:lineRule="auto" w:line="312" w:before="0" w:after="0"/>
        <w:jc w:val="left"/>
        <w:rPr/>
      </w:pPr>
      <w:r>
        <w:rPr/>
        <w:t> </w:t>
      </w:r>
    </w:p>
    <w:tbl>
      <w:tblPr>
        <w:tblW w:w="7314" w:type="dxa"/>
        <w:jc w:val="left"/>
        <w:tblInd w:w="0" w:type="dxa"/>
        <w:tblCellMar>
          <w:top w:w="28" w:type="dxa"/>
          <w:left w:w="28" w:type="dxa"/>
          <w:bottom w:w="28" w:type="dxa"/>
          <w:right w:w="28" w:type="dxa"/>
        </w:tblCellMar>
      </w:tblPr>
      <w:tblGrid>
        <w:gridCol w:w="161"/>
        <w:gridCol w:w="256"/>
        <w:gridCol w:w="146"/>
        <w:gridCol w:w="675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5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7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commercial activities or products will not infringe upon the patents of others.</w:t>
            </w:r>
          </w:p>
        </w:tc>
      </w:tr>
    </w:tbl>
    <w:p>
      <w:pPr>
        <w:pStyle w:val="TextBody"/>
        <w:spacing w:lineRule="auto" w:line="312" w:before="240" w:after="0"/>
        <w:jc w:val="left"/>
        <w:rPr/>
      </w:pPr>
      <w:r>
        <w:rPr/>
        <w:t> </w:t>
      </w:r>
      <w:r>
        <w:rPr>
          <w:rFonts w:ascii="Times New Roman" w:hAnsi="Times New Roman"/>
          <w:b w:val="false"/>
          <w:sz w:val="20"/>
        </w:rPr>
        <w:t>Even if we are able to obtain patent protection, such patent protection may be of insufficient scope to achieve our business objectives. Issued patents may be challenged, narrowed, invalidated or circumvented. Decisions by courts and governmental patent agencies may introduce uncertainty in the enforceability or scope of patents owned by or that are in the future licensed to us. Furthermore, the issuance of a patent does not give us the right to practice the patented invention. Third parties may have blocking patents that could prevent us from marketing our own products and practicing our own technology. Alternatively,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pStyle w:val="TextBody"/>
        <w:spacing w:lineRule="auto" w:line="312" w:before="240" w:after="0"/>
        <w:jc w:val="left"/>
        <w:rPr>
          <w:rFonts w:ascii="Times New Roman" w:hAnsi="Times New Roman"/>
          <w:sz w:val="20"/>
        </w:rPr>
      </w:pPr>
      <w:r>
        <w:rPr>
          <w:rFonts w:ascii="Times New Roman" w:hAnsi="Times New Roman"/>
          <w:b w:val="false"/>
          <w:sz w:val="20"/>
        </w:rPr>
        <w:t>In addition, 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patent owner or</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73</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successors in title to the patent to grant a “nonexclusive, partially exclusive, or exclusive license” to a “responsible applicant or applicants.” If the patent owner refuses to do so, the government may grant the license to itself. We cannot be sure that if we acquired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 Any of the foregoing could have a material adverse effect on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U.S. Patent and Trademark Office, or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we may not be able to stop a competitor from marketing products that are the same as or similar to our products, which would have a material adverse effect on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We may be unsuccessful in licensing or acquiring intellectual property from third parties that may be required to develop and commercialize our current and/or future products.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A third party may hold intellectual property rights, including patent rights that are important or necessary to the development and commercialization of our current and/or future products. It may be necessary for us to use the patented or proprietary technology of third parties to commercialize our current and/or future products,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we may not be able to develop, manufacture or market a product or future product, which could have a material adverse effect on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Changes in patent law could diminish the value of patents in general, thereby impairing our ability to protect our existing and future products, and could increase the uncertainties and costs surrounding the prosecution of our patent applications and the enforcement or defense of our patents or our future patents.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Furthermore, changes in either patent laws or interpretations of patent laws in the United States and other countries may diminish the value of our intellectual property or narrow the scope of our patent protection.</w:t>
      </w:r>
    </w:p>
    <w:p>
      <w:pPr>
        <w:pStyle w:val="TextBody"/>
        <w:spacing w:lineRule="auto" w:line="312" w:before="240" w:after="0"/>
        <w:jc w:val="left"/>
        <w:rPr>
          <w:rFonts w:ascii="Times New Roman" w:hAnsi="Times New Roman"/>
          <w:sz w:val="20"/>
        </w:rPr>
      </w:pPr>
      <w:r>
        <w:rPr>
          <w:rFonts w:ascii="Times New Roman" w:hAnsi="Times New Roman"/>
          <w:b w:val="false"/>
          <w:sz w:val="20"/>
        </w:rPr>
        <w:t>Patent reform legislation may pass in the future that could lead to additional uncertainties and increased costs surrounding the prosecution, enforcement and defense of our patents and applications. Furthermore, the U.S.</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74</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Supreme Court and the U.S.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We may become a party to intellectual property litigation or administrative proceedings that could be costly, time-consuming, unsuccessful, and could interfere with our ability to sell and market our products.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commercial success depends, in part, upon our ability and the ability of future collaborators, if any, to develop, manufacture, market and sell our products and use our proprietary technologies without infringing, misappropriating or otherwise violating the proprietary rights and intellectual property of third parties. The medical device industry has been characterized by extensive litigation regarding patents, trademarks, trade secrets, and other intellectual property rights, and companies in the industry have used intellectual property litigation to gain a competitive advantage.</w:t>
      </w:r>
    </w:p>
    <w:p>
      <w:pPr>
        <w:pStyle w:val="TextBody"/>
        <w:spacing w:lineRule="auto" w:line="312" w:before="240" w:after="0"/>
        <w:jc w:val="left"/>
        <w:rPr>
          <w:rFonts w:ascii="Times New Roman" w:hAnsi="Times New Roman"/>
          <w:sz w:val="20"/>
        </w:rPr>
      </w:pPr>
      <w:r>
        <w:rPr>
          <w:rFonts w:ascii="Times New Roman" w:hAnsi="Times New Roman"/>
          <w:b w:val="false"/>
          <w:sz w:val="20"/>
        </w:rPr>
        <w:t>Third parties may initiate legal proceedings alleging that we are infringing, misappropriating or otherwise violating their intellectual property rights, the outcome of which would be uncertain and could have a negative impact on the success of our business. It is possible that U.S. and foreign patents and pending patent applications controlled by third parties may be alleged to cover our products,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and technology, including interference proceedings, post grant review and </w:t>
      </w:r>
      <w:r>
        <w:rPr>
          <w:rFonts w:ascii="Times New Roman" w:hAnsi="Times New Roman"/>
          <w:b w:val="false"/>
          <w:i/>
          <w:sz w:val="20"/>
        </w:rPr>
        <w:t>inter partes</w:t>
      </w:r>
      <w:r>
        <w:rPr>
          <w:rFonts w:ascii="Times New Roman" w:hAnsi="Times New Roman"/>
          <w:sz w:val="20"/>
        </w:rPr>
        <w:t> </w:t>
      </w:r>
      <w:r>
        <w:rPr>
          <w:rFonts w:ascii="Times New Roman" w:hAnsi="Times New Roman"/>
          <w:b w:val="false"/>
          <w:sz w:val="20"/>
        </w:rPr>
        <w:t>review before the USPTO or equivalent foreign regulatory authority.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the commercial success of our current and any future products. In order to successfully challenge</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75</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If we are found to infringe, misappropriate or otherwise violate a third party’s valid and enforceable intellectual property rights, we could be required to obtain a license from such third party to continue developing, manufacturing and marketing our products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from manufacturing and commercializing our products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products or to use our technologies or product names.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otherwise violate the intellectual property rights of others. The defense of these matters can be time consuming, costly to defend in litigation, divert management’s attention and resources, damage our reputation and brand and cause us to incur significant expenses or make substantial payments. In addition, vendors from whom we purchase hardware or software may not indemnify us in the event that such hardware or software is accused of infringing a third-party’s patent or trademark or of misappropriating a third-party’s trade secret.</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cannot be certain that we were the first to file any patent application related to our products, in part because patent applications are confidential for a period of time after filing. Competitors may also contest our patents, if issued, by demonstrating that the claimed invention was not original, was not novel or was obvious. In litigation, a competitor could claim that our patents are not valid for a number of reasons. If a court agrees, we would lose our rights to those challenged patents.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we may in the future be subject to claims by our former employees or consultants asserting an ownership right in our patents, patent applications or other intellectual property, as a result of the work they performed on our behalf. Although we generally require all of our employees and consultants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76</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Any lawsuits relating to intellectual property rights could subject us to significant liability for damages and invalidate our intellectual property or proprietary rights. Any potential intellectual property litigation also could force us to do one or more of the following:</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Stop making, selling or using products or technologies that allegedly infringe, misappropriate or otherwise violate the asserted intellectual property;</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Lose the opportunity to license our intellectual property to others or to collect royalty payments based upon successful protection and assertion of our intellectual property rights against others;</w:t>
            </w:r>
          </w:p>
        </w:tc>
      </w:tr>
    </w:tbl>
    <w:p>
      <w:pPr>
        <w:pStyle w:val="TextBody"/>
        <w:spacing w:lineRule="auto" w:line="312" w:before="0" w:after="0"/>
        <w:jc w:val="left"/>
        <w:rPr/>
      </w:pPr>
      <w:r>
        <w:rPr/>
        <w:t> </w:t>
      </w:r>
    </w:p>
    <w:tbl>
      <w:tblPr>
        <w:tblW w:w="3339" w:type="dxa"/>
        <w:jc w:val="left"/>
        <w:tblInd w:w="0" w:type="dxa"/>
        <w:tblCellMar>
          <w:top w:w="28" w:type="dxa"/>
          <w:left w:w="28" w:type="dxa"/>
          <w:bottom w:w="28" w:type="dxa"/>
          <w:right w:w="28" w:type="dxa"/>
        </w:tblCellMar>
      </w:tblPr>
      <w:tblGrid>
        <w:gridCol w:w="161"/>
        <w:gridCol w:w="256"/>
        <w:gridCol w:w="146"/>
        <w:gridCol w:w="277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77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Incur significant legal expenses;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Pay substantial damages or royalties to the party whose intellectual property rights we may be found to be infringing, misappropriating or otherwise violating;</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Pay the attorney’s fees and costs of litigation to the party whose intellectual property rights we may be found to be infringing, misappropriating or otherwise violating;</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Redesign those products or technologies that contain the allegedly infringing intellectual property, which could be costly, disruptive and infeasible; and</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Attempt to obtain a license to the relevant intellectual property from third parties, which may not be available on reasonable terms or at all, or from third parties who may attempt to license rights that they do not have.</w:t>
            </w:r>
          </w:p>
        </w:tc>
      </w:tr>
    </w:tbl>
    <w:p>
      <w:pPr>
        <w:pStyle w:val="TextBody"/>
        <w:spacing w:lineRule="auto" w:line="312" w:before="240" w:after="0"/>
        <w:jc w:val="left"/>
        <w:rPr>
          <w:rFonts w:ascii="Times New Roman" w:hAnsi="Times New Roman"/>
          <w:sz w:val="20"/>
        </w:rPr>
      </w:pPr>
      <w:r>
        <w:rPr>
          <w:rFonts w:ascii="Times New Roman" w:hAnsi="Times New Roman"/>
          <w:b w:val="false"/>
          <w:sz w:val="20"/>
        </w:rPr>
        <w:t>In addition, if we are found to willfully infringe third-party patents or trademarks or to have misappropriated trade secrets, we could be required to pay treble damages in addition to other penalties. Although patent, trademark, trade secret, and other intellectual property disputes in the medical device area have often been settled through licensing or similar arrangements, costs associated with such arrangements may be substantial and could include ongoing royalties.</w:t>
      </w:r>
      <w:r>
        <w:rPr>
          <w:rFonts w:ascii="Times New Roman" w:hAnsi="Times New Roman"/>
          <w:sz w:val="20"/>
        </w:rPr>
        <w:t xml:space="preserve">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Any litigation or claim against us, even those without merit and even those where we prevail, may cause us to incur substantial costs, and could place a significant strain on our financial resources, divert the attention of management from our core business and harm our reputation.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pStyle w:val="TextBody"/>
        <w:spacing w:lineRule="auto" w:line="312" w:before="240" w:after="0"/>
        <w:jc w:val="left"/>
        <w:rPr>
          <w:rFonts w:ascii="Times New Roman" w:hAnsi="Times New Roman"/>
          <w:sz w:val="20"/>
        </w:rPr>
      </w:pPr>
      <w:r>
        <w:rPr>
          <w:rFonts w:ascii="Times New Roman" w:hAnsi="Times New Roman"/>
          <w:b w:val="false"/>
          <w:sz w:val="20"/>
        </w:rPr>
        <w:t>Similarly, interference or derivation proceedings provoked by third parties or brought by the USPTO may be necessary to determine priority with respect to our patents or patent applications. An unfavorable outcome could require us to cease using the related technology or force us to take a license under the patent rights of the prevailing party, if available. Furthermore, our business could be harmed if the prevailing party does not offer us a license on commercially reasonable terms. We may also become involved in other proceedings, such as reexamination, </w:t>
      </w:r>
      <w:r>
        <w:rPr>
          <w:rFonts w:ascii="Times New Roman" w:hAnsi="Times New Roman"/>
          <w:b w:val="false"/>
          <w:i/>
          <w:sz w:val="20"/>
        </w:rPr>
        <w:t>inter partes</w:t>
      </w:r>
      <w:r>
        <w:rPr>
          <w:rFonts w:ascii="Times New Roman" w:hAnsi="Times New Roman"/>
          <w:sz w:val="20"/>
        </w:rPr>
        <w:t> </w:t>
      </w:r>
      <w:r>
        <w:rPr>
          <w:rFonts w:ascii="Times New Roman" w:hAnsi="Times New Roman"/>
          <w:b w:val="false"/>
          <w:sz w:val="20"/>
        </w:rPr>
        <w:t>review, derivation or opposition proceedings before the USPTO or other jurisdictional body relating to our intellectual property rights or the intellectual property rights of others. Our defense of any litigation or interference proceedings may fail and, even if successful, may result in substantial costs and distract our management and other employees. Adverse determinations in a judicial or administrative proceeding or failure to obtain necessary licenses</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77</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could prevent us from manufacturing our products or using product names, which would have a significant adverse impact on our business, financial condition and results of operations.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Additionally, competitors or other third parties may currently, or in the future, infringe, misappropriate or otherwise violate our issued patents or other intellectual property, and we may file lawsuits or initiate other proceedings to protect or enforce our patents or other intellectual property rights, which could be expensive, time consuming and unsuccessful.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If we initiate legal proceedings against a third party to enforce a patent covering one of our products, the defendant could counterclaim that the patent covering our product is invalid and/or unenforceable. In patent litigation in the United States, counterclaims alleging invalidity and/or unenforceability are common, and there are numerous grounds upon which a third party can assert invalidity or unenforceability of a patent. Any claims we assert against perceived infringers could also provoke these parties to assert counterclaims against us alleging that we infringe, misappropriate or otherwise violate their intellectual property. In a patent or other intellectual property infringement proceeding, a court may decide that a patent or other intellectual property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at risk of being invalidated or interpreted narrowly, which could adversely affect our competitive business position, financial condition and results of operations. Moreover, even if we are successful in any litigation, we may incur significant expense in connection with such proceedings, and the amount of any monetary damages may be inadequate to compensate us for damage as a result of the infringement and the proceedings.</w:t>
      </w:r>
    </w:p>
    <w:p>
      <w:pPr>
        <w:pStyle w:val="TextBody"/>
        <w:spacing w:lineRule="auto" w:line="312" w:before="240" w:after="0"/>
        <w:jc w:val="left"/>
        <w:rPr>
          <w:rFonts w:ascii="Times New Roman" w:hAnsi="Times New Roman"/>
          <w:sz w:val="20"/>
        </w:rPr>
      </w:pPr>
      <w:r>
        <w:rPr>
          <w:rFonts w:ascii="Times New Roman" w:hAnsi="Times New Roman"/>
          <w:b w:val="false"/>
          <w:sz w:val="20"/>
        </w:rPr>
        <w:t>Third parties may also raise similar claims before administrative bodies in the United States or abroad, even outside the context of litigation. Such mechanisms include re-examination, post grant review, </w:t>
      </w:r>
      <w:r>
        <w:rPr>
          <w:rFonts w:ascii="Times New Roman" w:hAnsi="Times New Roman"/>
          <w:b w:val="false"/>
          <w:i/>
          <w:sz w:val="20"/>
        </w:rPr>
        <w:t>inter partes</w:t>
      </w:r>
      <w:r>
        <w:rPr>
          <w:rFonts w:ascii="Times New Roman" w:hAnsi="Times New Roman"/>
          <w:sz w:val="20"/>
        </w:rPr>
        <w:t> </w:t>
      </w:r>
      <w:r>
        <w:rPr>
          <w:rFonts w:ascii="Times New Roman" w:hAnsi="Times New Roman"/>
          <w:b w:val="false"/>
          <w:sz w:val="20"/>
        </w:rPr>
        <w:t>review and equivalent proceedings in foreign jurisdictions (for example, opposition proceedings). Such proceedings could result in revocation of or amendment to our patents in such a way that they no longer cover our products.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may lose some, and perhaps all, of the patent protection on our products.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may cause us to incur substantial costs, and could place a significant strain on our financial resources, divert the attention of management from our core business and harm our reputation.</w:t>
      </w:r>
    </w:p>
    <w:p>
      <w:pPr>
        <w:pStyle w:val="TextBody"/>
        <w:spacing w:lineRule="auto" w:line="312" w:before="360" w:after="0"/>
        <w:jc w:val="left"/>
        <w:rPr>
          <w:rFonts w:ascii="Times New Roman" w:hAnsi="Times New Roman"/>
          <w:b/>
          <w:i/>
          <w:sz w:val="20"/>
        </w:rPr>
      </w:pPr>
      <w:r>
        <w:rPr>
          <w:rFonts w:ascii="Times New Roman" w:hAnsi="Times New Roman"/>
          <w:b/>
          <w:i/>
          <w:sz w:val="20"/>
        </w:rPr>
        <w:t>If we are unable to protect the confidentiality of our other proprietary information, our business and competitive position may be harmed.</w:t>
      </w:r>
    </w:p>
    <w:p>
      <w:pPr>
        <w:pStyle w:val="TextBody"/>
        <w:spacing w:lineRule="auto" w:line="312" w:before="120" w:after="0"/>
        <w:jc w:val="left"/>
        <w:rPr>
          <w:rFonts w:ascii="Times New Roman" w:hAnsi="Times New Roman"/>
          <w:sz w:val="20"/>
        </w:rPr>
      </w:pPr>
      <w:r>
        <w:rPr>
          <w:rFonts w:ascii="Times New Roman" w:hAnsi="Times New Roman"/>
          <w:b w:val="false"/>
          <w:sz w:val="20"/>
        </w:rPr>
        <w:t>In addition to patent protection, we also rely on other proprietary rights, including protection of trade secrets, know-how, and/or other proprietary information that is not patentable or that we elect not to patent.</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78</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However, trade secrets can be difficult to protect and some courts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 To the extent our intellectual property or other proprietary information protection is inadequate or incomplete, we are exposed to a greater risk of direct competition. A third party could, without authorization, copy or otherwise obtain and use our products or technology, or develop similar technology. Our competitors may independently develop knowledge, methods and know-how equivalent to our trade secrets. Our competitors could also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Costly and time consuming litigation could be necessary to enforce and determine the scope of our trade secret rights and related confidentiality and nondisclosure provisions. Further, it is possible that others will independently develop the same or similar technology or products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or competing technologies or products,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pStyle w:val="TextBody"/>
        <w:spacing w:lineRule="auto" w:line="312" w:before="240" w:after="0"/>
        <w:jc w:val="left"/>
        <w:rPr>
          <w:rFonts w:ascii="Times New Roman" w:hAnsi="Times New Roman"/>
          <w:sz w:val="20"/>
        </w:rPr>
      </w:pPr>
      <w:r>
        <w:rPr>
          <w:rFonts w:ascii="Times New Roman" w:hAnsi="Times New Roman"/>
          <w:b w:val="false"/>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security measures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Also, if the steps taken to maintain our trade secrets we may have are deemed inadequate, we may have insufficient recourse</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79</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against third parties for misappropriating the trade secret. In addition, others may independently develop our trade secrets and proprietary information.</w:t>
      </w:r>
    </w:p>
    <w:p>
      <w:pPr>
        <w:pStyle w:val="TextBody"/>
        <w:spacing w:lineRule="auto" w:line="312" w:before="360" w:after="0"/>
        <w:jc w:val="left"/>
        <w:rPr>
          <w:rFonts w:ascii="Times New Roman" w:hAnsi="Times New Roman"/>
          <w:b/>
          <w:i/>
          <w:sz w:val="20"/>
        </w:rPr>
      </w:pPr>
      <w:r>
        <w:rPr>
          <w:rFonts w:ascii="Times New Roman" w:hAnsi="Times New Roman"/>
          <w:b/>
          <w:i/>
          <w:sz w:val="20"/>
        </w:rPr>
        <w:t>We may enjoy only limited geographical protection with respect to certain patents and we may not be able to protect our intellectual property rights throughout the world.</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A company may attempt to commercialize competing products utilizing our proprietary technology, design, trademarks or tradenames in foreign countries where we do not have any patents or patent applications, trademarks, and/or other forms of intellectual property and where legal recourse may be limited. This may have a significant commercial impact on our foreign business operations.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Filing, prosecuting and defending patents or trademarks on our current and future products in all countries throughout the world would be prohibitively expensive. The requirements for patentability and trademark protection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or technology. For example, certain jurisdictions do not allow for patent protection with respect to method of treatment.</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While we seek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which may have an adverse effect on our ability to successfully commercialize our products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pStyle w:val="TextBody"/>
        <w:spacing w:lineRule="auto" w:line="312" w:before="240" w:after="0"/>
        <w:jc w:val="left"/>
        <w:rPr>
          <w:rFonts w:ascii="Times New Roman" w:hAnsi="Times New Roman"/>
          <w:sz w:val="20"/>
        </w:rPr>
      </w:pPr>
      <w:r>
        <w:rPr>
          <w:rFonts w:ascii="Times New Roman" w:hAnsi="Times New Roman"/>
          <w:b w:val="false"/>
          <w:sz w:val="20"/>
        </w:rPr>
        <w:t>The laws of some jurisdictions do not protect intellectual property rights to the same extent as the laws or rules and regulations in the United States and 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whether or not successful, could result in substantial costs and divert our efforts and attention from other aspects of our business, could put our patents and trademarks in those jurisdictions, as well as elsewhere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and our competitive position may be impaired. In addition, some countries limit the enforceability of patents against government agencies or government contractors. In those countries, the patent owner may have limited remedies, which could materially diminish the value of such patents. Accordingly, our efforts to enforce our intellectual property rights around the world may be inadequate to obtain a significant commercial advantage from the</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80</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intellectual property that we own or license. Finally, our ability to protect and enforce our intellectual property rights may be adversely affected by unforeseen changes in foreign intellectual property laws.</w:t>
      </w:r>
    </w:p>
    <w:p>
      <w:pPr>
        <w:pStyle w:val="TextBody"/>
        <w:spacing w:lineRule="auto" w:line="312" w:before="360" w:after="0"/>
        <w:jc w:val="left"/>
        <w:rPr>
          <w:rFonts w:ascii="Times New Roman" w:hAnsi="Times New Roman"/>
          <w:b/>
          <w:i/>
          <w:sz w:val="20"/>
        </w:rPr>
      </w:pPr>
      <w:r>
        <w:rPr>
          <w:rFonts w:ascii="Times New Roman" w:hAnsi="Times New Roman"/>
          <w:b/>
          <w:i/>
          <w:sz w:val="20"/>
        </w:rPr>
        <w:t>We may be subject to claims that we or our employees have misappropriated the intellectual property of a third party, including trade secrets or know-how, or are in breach of non-competition or non-solicitation agreements with our competitors.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may be subject to claims that our employees, consultants, or independent contractors have wrongfully used or disclosed confidential information of third parties. 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or other third parties. In addition, we may be subject to claims that we are infringing, misappropriating or otherwise violating other intellectual property rights, such as trademarks or copyrights. To the extent that our employees, consultants or contractors use intellectual property or proprietary information owned by others in their work for us, disputes may arise as to the rights in related or resulting know-how and inventions. Litigation may be necessary to defend against these claims. There is no guarantee of success in defending these claims, and even if we are successful, litigation could result in substantial cost and be a distraction to our management and other employees.</w:t>
      </w:r>
    </w:p>
    <w:p>
      <w:pPr>
        <w:pStyle w:val="TextBody"/>
        <w:spacing w:lineRule="auto" w:line="312" w:before="360" w:after="0"/>
        <w:jc w:val="left"/>
        <w:rPr>
          <w:rFonts w:ascii="Times New Roman" w:hAnsi="Times New Roman"/>
          <w:b/>
          <w:i/>
          <w:sz w:val="20"/>
        </w:rPr>
      </w:pPr>
      <w:r>
        <w:rPr>
          <w:rFonts w:ascii="Times New Roman" w:hAnsi="Times New Roman"/>
          <w:b/>
          <w:i/>
          <w:sz w:val="20"/>
        </w:rPr>
        <w:t>We may be subject to claims challenging the inventorship or ownership of our patents and other intellectual property.</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may also be subject to claims that former employees, collaborators, or other third parties have an ownership interest in our current or future patents, patent applications, or other intellectual property, including as an inventor or co-inventor. We may be subject to ownership or inventorship disputes in the future arising, for example, from conflicting obligations of consultants, contractors or others who are involved in developing our products.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pStyle w:val="TextBody"/>
        <w:spacing w:lineRule="auto" w:line="312" w:before="240" w:after="0"/>
        <w:jc w:val="left"/>
        <w:rPr>
          <w:rFonts w:ascii="Times New Roman" w:hAnsi="Times New Roman"/>
          <w:sz w:val="20"/>
        </w:rPr>
      </w:pPr>
      <w:r>
        <w:rPr>
          <w:rFonts w:ascii="Times New Roman" w:hAnsi="Times New Roman"/>
          <w:b w:val="false"/>
          <w:sz w:val="20"/>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 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81</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independent sales representatives. A loss of key personnel or their work product could hamper or prevent our ability to commercialize our products, which could have an adverse effect on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If our trademarks and tradenames are not adequately protected, then we may not be able to build name recognition in our markets and our business may be adversely affected.</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use our trademarks, service marks, tradenames and brand names to distinguish our products from the products of our competitors, and have registered or applied to register these trademarks. Our trademarks or trade names may be challenged, infringed, circumvented, declared generic or determined to be violating or infringing on other marks. We cannot assure you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applications and to seek to cancel trademark registrations. Opposition or cancellation proceedings may be filed against our trademark filings in these agencies, and such filings may not survive such proceedings. Our competitors may also infringe or otherwise violate our trademarks and we may not have adequate resources to enforce our trademarks, which may have a material adverse effect on our business.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the event that our trademarks are successfully challenged, we could be forced to rebrand our products, which could result in loss of brand recognition and could require us to devote resources towards advertising and marketing new brands.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financial condition and results of operations may be adversely affected.</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have become aware of a third party’s use of and pending U.S. application for the TEARCLEAR trademark in connection with ophthalmic pharmaceuticals, which we believe may be an infringement of our TEARCARE trademark. We are currently considering taking action against this third-party, which may include filing a complaint for trademark infringement in federal court.</w:t>
      </w:r>
    </w:p>
    <w:p>
      <w:pPr>
        <w:pStyle w:val="TextBody"/>
        <w:spacing w:lineRule="auto" w:line="312" w:before="360" w:after="0"/>
        <w:jc w:val="left"/>
        <w:rPr>
          <w:rFonts w:ascii="Times New Roman" w:hAnsi="Times New Roman"/>
          <w:b/>
          <w:i/>
          <w:sz w:val="20"/>
        </w:rPr>
      </w:pPr>
      <w:r>
        <w:rPr>
          <w:rFonts w:ascii="Times New Roman" w:hAnsi="Times New Roman"/>
          <w:b/>
          <w:i/>
          <w:sz w:val="20"/>
        </w:rPr>
        <w:t>Intellectual property rights do not necessarily address all potential threats.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 or current or future collaborators, might not have been the first to make the inventions covered by the issued patent or pending patent application that we license or may own in the future;</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 or current or future collaborators, might not have been the first to file patent applications covering certain of our or their inventions;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Others may independently develop similar or alternative technologies or duplicate any of our technologies without infringing, misappropriating or otherwise violating our intellectual property rights;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It is possible that our pending patent applications or those that we may own in the future will not lead to issued patents;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Issued patents that we hold rights to may be held invalid or unenforceable, including as a result of legal challenges by our competitors;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82</w:t>
      </w:r>
    </w:p>
    <w:p>
      <w:pPr>
        <w:pStyle w:val="HorizontalLine"/>
        <w:rPr/>
      </w:pPr>
      <w:r>
        <w:rPr/>
      </w:r>
    </w:p>
    <w:p>
      <w:pPr>
        <w:pStyle w:val="TextBody"/>
        <w:spacing w:lineRule="auto" w:line="312" w:before="0" w:after="0"/>
        <w:jc w:val="left"/>
        <w:rPr/>
      </w:pPr>
      <w:r>
        <w:rPr/>
        <w:t> </w:t>
      </w:r>
    </w:p>
    <w:p>
      <w:pPr>
        <w:pStyle w:val="TextBody"/>
        <w:spacing w:lineRule="auto" w:line="312" w:before="0" w:after="0"/>
        <w:jc w:val="left"/>
        <w:rPr/>
      </w:pPr>
      <w:r>
        <w:rPr/>
        <w:t> </w:t>
      </w:r>
    </w:p>
    <w:tbl>
      <w:tblPr>
        <w:tblW w:w="6924" w:type="dxa"/>
        <w:jc w:val="left"/>
        <w:tblInd w:w="0" w:type="dxa"/>
        <w:tblCellMar>
          <w:top w:w="28" w:type="dxa"/>
          <w:left w:w="28" w:type="dxa"/>
          <w:bottom w:w="28" w:type="dxa"/>
          <w:right w:w="28" w:type="dxa"/>
        </w:tblCellMar>
      </w:tblPr>
      <w:tblGrid>
        <w:gridCol w:w="161"/>
        <w:gridCol w:w="256"/>
        <w:gridCol w:w="146"/>
        <w:gridCol w:w="636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6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6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 may not develop additional proprietary technologies that are patentable;</w:t>
            </w:r>
          </w:p>
        </w:tc>
      </w:tr>
    </w:tbl>
    <w:p>
      <w:pPr>
        <w:pStyle w:val="TextBody"/>
        <w:spacing w:lineRule="auto" w:line="312" w:before="0" w:after="0"/>
        <w:jc w:val="left"/>
        <w:rPr/>
      </w:pPr>
      <w:r>
        <w:rPr/>
        <w:t> </w:t>
      </w:r>
    </w:p>
    <w:tbl>
      <w:tblPr>
        <w:tblW w:w="4704" w:type="dxa"/>
        <w:jc w:val="left"/>
        <w:tblInd w:w="0" w:type="dxa"/>
        <w:tblCellMar>
          <w:top w:w="28" w:type="dxa"/>
          <w:left w:w="28" w:type="dxa"/>
          <w:bottom w:w="28" w:type="dxa"/>
          <w:right w:w="28" w:type="dxa"/>
        </w:tblCellMar>
      </w:tblPr>
      <w:tblGrid>
        <w:gridCol w:w="161"/>
        <w:gridCol w:w="256"/>
        <w:gridCol w:w="146"/>
        <w:gridCol w:w="414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14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patents of others may harm our business; and</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 may choose not to file a patent in order to maintain certain trade secrets or know-how, and a third party may subsequently file a patent covering such intellectual property.</w:t>
            </w:r>
          </w:p>
        </w:tc>
      </w:tr>
    </w:tbl>
    <w:p>
      <w:pPr>
        <w:pStyle w:val="TextBody"/>
        <w:spacing w:lineRule="auto" w:line="312" w:before="240" w:after="0"/>
        <w:jc w:val="left"/>
        <w:rPr>
          <w:rFonts w:ascii="Times New Roman" w:hAnsi="Times New Roman"/>
          <w:b w:val="false"/>
          <w:sz w:val="20"/>
        </w:rPr>
      </w:pPr>
      <w:r>
        <w:rPr>
          <w:rFonts w:ascii="Times New Roman" w:hAnsi="Times New Roman"/>
          <w:b w:val="false"/>
          <w:sz w:val="20"/>
        </w:rPr>
        <w:t>Should any of these events occur, they could have a material adverse effect on our business, financial condition, results of operations and prospects.</w:t>
      </w:r>
    </w:p>
    <w:p>
      <w:pPr>
        <w:pStyle w:val="TextBody"/>
        <w:spacing w:lineRule="auto" w:line="312" w:before="360" w:after="0"/>
        <w:jc w:val="left"/>
        <w:rPr>
          <w:rFonts w:ascii="Times New Roman" w:hAnsi="Times New Roman"/>
          <w:b/>
          <w:sz w:val="20"/>
        </w:rPr>
      </w:pPr>
      <w:r>
        <w:rPr>
          <w:rFonts w:ascii="Times New Roman" w:hAnsi="Times New Roman"/>
          <w:b/>
          <w:sz w:val="20"/>
        </w:rPr>
        <w:t>Risks Related to Government Regulation</w:t>
      </w:r>
    </w:p>
    <w:p>
      <w:pPr>
        <w:pStyle w:val="TextBody"/>
        <w:spacing w:lineRule="auto" w:line="312" w:before="120" w:after="0"/>
        <w:jc w:val="left"/>
        <w:rPr>
          <w:rFonts w:ascii="Times New Roman" w:hAnsi="Times New Roman"/>
          <w:b/>
          <w:i/>
          <w:sz w:val="20"/>
        </w:rPr>
      </w:pPr>
      <w:r>
        <w:rPr>
          <w:rFonts w:ascii="Times New Roman" w:hAnsi="Times New Roman"/>
          <w:b/>
          <w:i/>
          <w:sz w:val="20"/>
        </w:rPr>
        <w:t>Our products, business practices, and operations are subject to extensive government regulation and oversight in the United States and elsewhere.</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products are regulated as medical devices by the FDA. We and our products are subject to extensive regulation in the United States and elsewhere, including by state agencies, the FDA and the FDA’s foreign counterparts. The FDA and foreign regulatory agencies regulate, among other things, with respect to medical devices: design, development, manufacturing and release; laboratory, preclinical and clinical testing; labeling, packaging, content and language of instructions for use and storage; product safety and efficacy; establishment registration and device listing; marketing, sales and distribution; pre-market clearance and approval; service operations; record 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law and regulations to which we are subject are complex, burdensome to understand and apply and have tended to become more stringent over time. Legal and regulatory changes could result in restrictions on our ability to carry on or expand our operations, higher than anticipated costs or lower than anticipated sales. The FDA enforces these regulatory requirements through, among other means, periodic (unannounced) inspections and periodic reviews of public marketing and promotion materials. We do not know whether we will be found compliant in connection with any future FDA or foreign inspections or reviews. Failure to comply with applicable regulations could jeopardize our ability to sell our products and result in enforcement actions such as: warning letters; untitled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w:t>
      </w:r>
    </w:p>
    <w:p>
      <w:pPr>
        <w:pStyle w:val="TextBody"/>
        <w:spacing w:lineRule="auto" w:line="312" w:before="360" w:after="0"/>
        <w:jc w:val="left"/>
        <w:rPr>
          <w:rFonts w:ascii="Times New Roman" w:hAnsi="Times New Roman"/>
          <w:b/>
          <w:i/>
          <w:sz w:val="20"/>
        </w:rPr>
      </w:pPr>
      <w:r>
        <w:rPr>
          <w:rFonts w:ascii="Times New Roman" w:hAnsi="Times New Roman"/>
          <w:b/>
          <w:i/>
          <w:sz w:val="20"/>
        </w:rPr>
        <w:t>We may not receive, or may be delayed in receiving, the necessary clearances, certifications or approvals for our future products or modifications to our current products, and failure to timely obtain necessary clearances, certifications or approvals for our future products or modifications to our current products would adversely affect our ability to grow our business.</w:t>
      </w:r>
    </w:p>
    <w:p>
      <w:pPr>
        <w:pStyle w:val="TextBody"/>
        <w:spacing w:lineRule="auto" w:line="312" w:before="120" w:after="0"/>
        <w:jc w:val="left"/>
        <w:rPr>
          <w:rFonts w:ascii="Times New Roman" w:hAnsi="Times New Roman"/>
          <w:sz w:val="20"/>
        </w:rPr>
      </w:pPr>
      <w:r>
        <w:rPr>
          <w:rFonts w:ascii="Times New Roman" w:hAnsi="Times New Roman"/>
          <w:b w:val="false"/>
          <w:sz w:val="20"/>
        </w:rPr>
        <w:t>In the U.S., before we can market a new medical device, or a new use of, new claim for or significant modification to an existing product, we must first receive either clearance under Section 510(k) of the FDCA or approval of a pre-market approval application, or PMA,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83</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data. The PMA process is typically required for devices that are deemed to pose the greatest risk, such as life-sustaining, life-supporting or implantable devices.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Modifications to products that are approved through a PMA application generally require FDA approval. Similarly, certain modifications made to products cleared through a 510(k) may require a new 510(k) clearance. Both the PMA approval and the 510(k) clearance process can be expensive, lengthy and uncertain.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submitted to the FDA.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the U.S., we have obtained clearance from the FDA of OMNI through the 510(k) clearance process. We also market TearCare as a 510(k)-exempt device and intend to submit a 510(k) premarket notification seeking an expanded label for the device in the future. Any further modification to these products or their intended uses may require us to submit a new 510(k) premarket notification and obtain clearance, or submit a PMA and obtain FDA approval prior to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in the future that we believe do not require a new 510(k) clearance or approval of a PMA. If the FDA disagrees with our determination and requires us to submit new 510(k) notifications or PMA applications for modifications to our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FDA can delay, limit or deny clearance or approval of a device for many reasons, including:</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inability to demonstrate to the satisfaction of the FDA that our products are safe or effective for their intended uses;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disagreement of the FDA with the design or conduct of our clinical trials or the interpretation of data from preclinical studies or clinical trials;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221"/>
        <w:gridCol w:w="256"/>
        <w:gridCol w:w="146"/>
        <w:gridCol w:w="9582"/>
      </w:tblGrid>
      <w:tr>
        <w:trPr/>
        <w:tc>
          <w:tcPr>
            <w:tcW w:w="22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582" w:type="dxa"/>
            <w:tcBorders/>
            <w:shd w:fill="auto" w:val="clear"/>
            <w:vAlign w:val="center"/>
          </w:tcPr>
          <w:p>
            <w:pPr>
              <w:pStyle w:val="TableContents"/>
              <w:spacing w:before="0" w:after="283"/>
              <w:rPr>
                <w:sz w:val="4"/>
                <w:szCs w:val="4"/>
              </w:rPr>
            </w:pPr>
            <w:r>
              <w:rPr>
                <w:sz w:val="4"/>
                <w:szCs w:val="4"/>
              </w:rPr>
            </w:r>
          </w:p>
        </w:tc>
      </w:tr>
      <w:tr>
        <w:trPr/>
        <w:tc>
          <w:tcPr>
            <w:tcW w:w="22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58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Serious and unexpected adverse device effects experienced by participants in our clinical trials;</w:t>
            </w:r>
          </w:p>
        </w:tc>
      </w:tr>
      <w:tr>
        <w:trPr/>
        <w:tc>
          <w:tcPr>
            <w:tcW w:w="22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12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582" w:type="dxa"/>
            <w:tcBorders/>
            <w:shd w:fill="auto" w:val="clear"/>
            <w:vAlign w:val="center"/>
          </w:tcPr>
          <w:p>
            <w:pPr>
              <w:pStyle w:val="TableContents"/>
              <w:spacing w:lineRule="auto" w:line="312" w:before="120" w:after="0"/>
              <w:ind w:left="0" w:right="0" w:hanging="0"/>
              <w:jc w:val="left"/>
              <w:rPr>
                <w:rFonts w:ascii="Times New Roman" w:hAnsi="Times New Roman"/>
                <w:b w:val="false"/>
                <w:sz w:val="20"/>
              </w:rPr>
            </w:pPr>
            <w:r>
              <w:rPr>
                <w:rFonts w:ascii="Times New Roman" w:hAnsi="Times New Roman"/>
                <w:b w:val="false"/>
                <w:sz w:val="20"/>
              </w:rPr>
              <w:t>The data from our preclinical studies and clinical trials may be insufficient to support clearance or approval, where required;</w:t>
            </w:r>
          </w:p>
        </w:tc>
      </w:tr>
    </w:tbl>
    <w:p>
      <w:pPr>
        <w:pStyle w:val="TextBody"/>
        <w:spacing w:lineRule="auto" w:line="312" w:before="0" w:after="0"/>
        <w:jc w:val="left"/>
        <w:rPr/>
      </w:pPr>
      <w:r>
        <w:rPr/>
        <w:t> </w:t>
      </w:r>
    </w:p>
    <w:tbl>
      <w:tblPr>
        <w:tblW w:w="8514" w:type="dxa"/>
        <w:jc w:val="left"/>
        <w:tblInd w:w="0" w:type="dxa"/>
        <w:tblCellMar>
          <w:top w:w="28" w:type="dxa"/>
          <w:left w:w="28" w:type="dxa"/>
          <w:bottom w:w="28" w:type="dxa"/>
          <w:right w:w="28" w:type="dxa"/>
        </w:tblCellMar>
      </w:tblPr>
      <w:tblGrid>
        <w:gridCol w:w="161"/>
        <w:gridCol w:w="256"/>
        <w:gridCol w:w="146"/>
        <w:gridCol w:w="795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5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95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inability to demonstrate that the clinical and other benefits of the device outweigh the risks;</w:t>
            </w:r>
          </w:p>
        </w:tc>
      </w:tr>
    </w:tbl>
    <w:p>
      <w:pPr>
        <w:pStyle w:val="TextBody"/>
        <w:spacing w:lineRule="auto" w:line="312" w:before="0" w:after="0"/>
        <w:jc w:val="left"/>
        <w:rPr/>
      </w:pPr>
      <w:r>
        <w:rPr/>
        <w:t> </w:t>
      </w:r>
    </w:p>
    <w:tbl>
      <w:tblPr>
        <w:tblW w:w="7989" w:type="dxa"/>
        <w:jc w:val="left"/>
        <w:tblInd w:w="0" w:type="dxa"/>
        <w:tblCellMar>
          <w:top w:w="28" w:type="dxa"/>
          <w:left w:w="28" w:type="dxa"/>
          <w:bottom w:w="28" w:type="dxa"/>
          <w:right w:w="28" w:type="dxa"/>
        </w:tblCellMar>
      </w:tblPr>
      <w:tblGrid>
        <w:gridCol w:w="161"/>
        <w:gridCol w:w="256"/>
        <w:gridCol w:w="146"/>
        <w:gridCol w:w="74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4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4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manufacturing process or facilities we use may not meet applicable requirements; and</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potential for approval policies or regulations of the FDA to change significantly in a manner rendering our clinical data or regulatory filings insufficient for clearance or approval.</w:t>
            </w:r>
          </w:p>
        </w:tc>
      </w:tr>
    </w:tbl>
    <w:p>
      <w:pPr>
        <w:pStyle w:val="TextBody"/>
        <w:spacing w:lineRule="auto" w:line="312" w:before="240" w:after="0"/>
        <w:jc w:val="left"/>
        <w:rPr>
          <w:rFonts w:ascii="Times New Roman" w:hAnsi="Times New Roman"/>
          <w:sz w:val="20"/>
        </w:rPr>
      </w:pPr>
      <w:r>
        <w:rPr>
          <w:rFonts w:ascii="Times New Roman" w:hAnsi="Times New Roman"/>
          <w:b w:val="false"/>
          <w:sz w:val="20"/>
        </w:rPr>
        <w:t>In order to sell our products in member states of the EU, our products must comply with the essential requirements of the EU Medical Devices Directive (Council Directive 93/42/EEC). Compliance with these requirements is a prerequisite to be able to affix the CE mark to our products, without which they cannot be sold or marketed in the EU. To demonstrate compliance with the essential requirements we must undergo a conformity assessment procedure, which varies according to the type of medical device and its (risk) classification. Except for low-risk medical devices (Class I non-sterile, non-measuring devices), where the manufacturer can issue an EC</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84</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Declaration of Conformity based on a self-assessment of the conformity of its products with the essential requirements of the EU Medical Devices Directive, a conformity assessment procedure requires the intervention of an organization accredited or designated by a member state of the EU to conduct conformity assessments, or a Notified Body. Depending on the relevant conformity assessment procedure, the Notified Body would typically audit and examine the technical file and the quality system for the manufacture, design and final inspection of our devices. The Notified Body issues a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As a general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 If we fail to remain in compliance with applicable European laws and directives and corresponding EU member state laws, we would be unable to continue to affix the CE mark to our products, which would prevent us from selling them within the EU.</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aforementioned EU rules are generally applicable in the European Economic Area, or EEA, which consists of the 27 EU member states plus Norway, Liechtenstein and Iceland. Non-compliance with the above requirements would also prevent us from selling our products in these three countries.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Following the end of the “Brexit” Transition Period, from January 1, 2021 onwards, the MHRA will be responsible for the UK medical device market. The new regulations will require medical devices to be registered with the MHRA (but manufacturers will be given a grace period of four to 12 months to comply with the new registration process). Manufacturers based outside the UK will need to appoint a UK Responsible Person to register devices with the MHRA in line with the grace periods. By July 1, 2023, in the UK (England, Scotland, and Wales), all medical devices will require a UKCA (UK Conformity Assessed) mark but CE marks issued by EU Notified Bodies will remain valid until this time. However, UKCA marking alone will not be recognized in the EU. The rules for placing medical devices on the Northern Ireland market will differ from those in the UK. Compliance with this legislation is a prerequisite to be able to affix the UKCA mark to our products, without which they cannot be sold or marketed in the UK.</w:t>
      </w:r>
    </w:p>
    <w:p>
      <w:pPr>
        <w:pStyle w:val="TextBody"/>
        <w:spacing w:lineRule="auto" w:line="312" w:before="360" w:after="0"/>
        <w:jc w:val="left"/>
        <w:rPr>
          <w:rFonts w:ascii="Times New Roman" w:hAnsi="Times New Roman"/>
          <w:b/>
          <w:i/>
          <w:sz w:val="20"/>
        </w:rPr>
      </w:pPr>
      <w:r>
        <w:rPr>
          <w:rFonts w:ascii="Times New Roman" w:hAnsi="Times New Roman"/>
          <w:b/>
          <w:i/>
          <w:sz w:val="20"/>
        </w:rPr>
        <w:t>We may incur significant liability if it is determined that we are promoting off-label uses of our products in violation of federal and state regulations in the United States or elsewhere.</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FDA and other regulatory authorities strictly regulate the promotional claims that may be made about medical devices. In particular, the FDA requires that medical devices be labeled, advertised and promoted only in accordance with their approved or cleared indications for use (or, in the case of products which are exempt from premarket review, in accordance with the regulations pertaining to such premarket clearance-exempt product classification). Similar limitations are imposed through certain national and international requirements outside of the U.S.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currently market TearCare as a Class II, 510(k)-exempt powered heating pad. We intend to seek FDA clearance of TearCare for an expanded indication for use in the second half of 2021. However, the FDA may determine that the clinical data we have provided or will provide is insufficient to support this indication and therefore not grant or delay clearance. For example, in January 2021, the FDA requested that we provide additional information in connection with such submission, and we are currently in the process of collecting and analyzing the requested additional data. Further, the FDA may disagree with our belief that our existing indication is broad enough to include the delivery of localized heat where the current medical community recommends application of a warm compress, such as MGD, DED, and blepharitis, in which case the FDA could assert that we are marketing the product in a manner that causes the product not to be exempt from premarket clearance.</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85</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FDA does not generally regulate the behavior of physicians in their choice of treatments. While physicians may choose to use medical devices for uses that are not described in the product’s labeling and for uses that differ from those authorized by the FDA, our promotional materials, promotional activities and training methods must comply with applicable FDA regulations and other applicable federal, state and foreign laws and regulations, including the prohibition on the promotion of off-label uses of our products.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If the FDA or equivalent foreign authorities determine that our labeling, promotional materials or other communications (including communications by our employees or other agents) constitute promotion of an off-label use, they could request or require that we modify our promotional materials or subject us to regulatory or enforcement actions, including the issuance of a warning letter or untitled letter, suspension or withdrawal of a product from the market, or requiring a recall or institution of fines, which could result in the disgorgement of money, operating restrictions, injunctions, civil fines and criminal penalties. It is also possible that other federal, state or foreign enforcement authorities might take action if they consider our promotional or training materials to constitute promotion of an off-label use, which could result in significant fines or penalties, such as laws prohibiting false or fraudulent claims for payment of government funds, such as the U.S. federal False Claims Act. In that event, our reputation could be damaged and adoption of our products could be impaired.</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Notwithstanding the regulatory restrictions on off-label promotion, the FDA and other regulatory authorities allow medical device companies to engage in truthful, non-misleading and non-promotional scientific exchange concerning their products. If the FDA or other regulatory or enforcement authorities determine that our communications regarding our marketed products are not in compliance with the relevant regulatory requirements and that we have improperly promoted off-label uses, we may be subject to significant liability, including civil, criminal and administrative penalties.</w:t>
      </w:r>
    </w:p>
    <w:p>
      <w:pPr>
        <w:pStyle w:val="TextBody"/>
        <w:spacing w:lineRule="auto" w:line="312" w:before="360" w:after="0"/>
        <w:jc w:val="left"/>
        <w:rPr>
          <w:rFonts w:ascii="Times New Roman" w:hAnsi="Times New Roman"/>
          <w:b/>
          <w:i/>
          <w:sz w:val="20"/>
        </w:rPr>
      </w:pPr>
      <w:r>
        <w:rPr>
          <w:rFonts w:ascii="Times New Roman" w:hAnsi="Times New Roman"/>
          <w:b/>
          <w:i/>
          <w:sz w:val="20"/>
        </w:rPr>
        <w:t>Failure to comply with post-marketing regulatory requirements could subject us to enforcement actions, including substantial penalties, and might require us to recall or withdraw a product from the market.</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Even though we have obtained FDA clearance for OMNI and currently market TearCare in the U.S. pursuant to a 510(k) exemption, we are subject to ongoing and pervasive regulatory requirements governing, among other things, the manufacture, marketing, advertising, medical device reporting, sale, promotion, import, export, registration, and listing of devices. For example, we must submit periodic reports to the FDA as a condition of 510(k) clearance. These reports include information about failures and certain adverse events associated with the device after its clearance. Failure to submit such reports, or failure to submit the reports in a timely manner, could result in enforcement action by the FDA. Following its review of the periodic reports, the FDA might ask for additional information or initiate further investigation. In addition, we must maintain an active registration of our facilities and listing of our products in order to legally market them in the United States. If the FDA were to disagree with our product listing or otherwise take issue with our registration and listing compliance, it could result in delisting of our products or other enforcement action resulting in potential inability to market our products. For example, in October 2020, the FDA communicated to us that TearCare may not be eligible for an exemption from 510(k) clearance. In response to that communication, among other things, we submitted a 510(k) premarket notification seeking clearance for TearCare in November 2020. The FDA requested several safety tests and modifications to this submission which we believe would have required additional time to complete beyond the designated review process. We voluntarily withdrew this submission in May 2021 to allow us to comply with the FDA’s requests in a comprehensive manner. We intend to resubmit the 510(k) premarket notification for an expanded indication for use in the second half of 2021.</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regulations to which we are subject are complex and have become more stringent over time. Regulatory changes could result in restrictions on our ability to continue or expand our operations, higher than anticipated costs, or lower than anticipated sales. Even after we have obtained the proper regulatory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w:t>
      </w:r>
    </w:p>
    <w:p>
      <w:pPr>
        <w:pStyle w:val="TextBody"/>
        <w:spacing w:lineRule="auto" w:line="312" w:before="0" w:after="0"/>
        <w:jc w:val="left"/>
        <w:rPr/>
      </w:pPr>
      <w:r>
        <w:rPr/>
        <w:t> </w:t>
      </w:r>
    </w:p>
    <w:tbl>
      <w:tblPr>
        <w:tblW w:w="4944" w:type="dxa"/>
        <w:jc w:val="left"/>
        <w:tblInd w:w="0" w:type="dxa"/>
        <w:tblCellMar>
          <w:top w:w="28" w:type="dxa"/>
          <w:left w:w="28" w:type="dxa"/>
          <w:bottom w:w="28" w:type="dxa"/>
          <w:right w:w="28" w:type="dxa"/>
        </w:tblCellMar>
      </w:tblPr>
      <w:tblGrid>
        <w:gridCol w:w="161"/>
        <w:gridCol w:w="256"/>
        <w:gridCol w:w="146"/>
        <w:gridCol w:w="438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8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3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Untitled letters, warning letters or adverse publicity;</w:t>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86</w:t>
      </w:r>
    </w:p>
    <w:p>
      <w:pPr>
        <w:pStyle w:val="HorizontalLine"/>
        <w:rPr/>
      </w:pPr>
      <w:r>
        <w:rPr/>
      </w:r>
    </w:p>
    <w:p>
      <w:pPr>
        <w:pStyle w:val="TextBody"/>
        <w:spacing w:lineRule="auto" w:line="312" w:before="0" w:after="0"/>
        <w:jc w:val="left"/>
        <w:rPr/>
      </w:pPr>
      <w:r>
        <w:rPr/>
        <w:t> </w:t>
      </w:r>
    </w:p>
    <w:tbl>
      <w:tblPr>
        <w:tblW w:w="5139" w:type="dxa"/>
        <w:jc w:val="left"/>
        <w:tblInd w:w="0" w:type="dxa"/>
        <w:tblCellMar>
          <w:top w:w="28" w:type="dxa"/>
          <w:left w:w="28" w:type="dxa"/>
          <w:bottom w:w="28" w:type="dxa"/>
          <w:right w:w="28" w:type="dxa"/>
        </w:tblCellMar>
      </w:tblPr>
      <w:tblGrid>
        <w:gridCol w:w="161"/>
        <w:gridCol w:w="256"/>
        <w:gridCol w:w="146"/>
        <w:gridCol w:w="457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57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Fines, injunctions, consent decrees and civil penalties;</w:t>
            </w:r>
          </w:p>
        </w:tc>
      </w:tr>
    </w:tbl>
    <w:p>
      <w:pPr>
        <w:pStyle w:val="TextBody"/>
        <w:spacing w:lineRule="auto" w:line="312" w:before="0" w:after="0"/>
        <w:jc w:val="left"/>
        <w:rPr/>
      </w:pPr>
      <w:r>
        <w:rPr/>
        <w:t> </w:t>
      </w:r>
    </w:p>
    <w:tbl>
      <w:tblPr>
        <w:tblW w:w="7854" w:type="dxa"/>
        <w:jc w:val="left"/>
        <w:tblInd w:w="0" w:type="dxa"/>
        <w:tblCellMar>
          <w:top w:w="28" w:type="dxa"/>
          <w:left w:w="28" w:type="dxa"/>
          <w:bottom w:w="28" w:type="dxa"/>
          <w:right w:w="28" w:type="dxa"/>
        </w:tblCellMar>
      </w:tblPr>
      <w:tblGrid>
        <w:gridCol w:w="161"/>
        <w:gridCol w:w="256"/>
        <w:gridCol w:w="146"/>
        <w:gridCol w:w="729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2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2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Recalls, termination of distribution, administrative detention, or seizure of our products;</w:t>
            </w:r>
          </w:p>
        </w:tc>
      </w:tr>
    </w:tbl>
    <w:p>
      <w:pPr>
        <w:pStyle w:val="TextBody"/>
        <w:spacing w:lineRule="auto" w:line="312" w:before="0" w:after="0"/>
        <w:jc w:val="left"/>
        <w:rPr/>
      </w:pPr>
      <w:r>
        <w:rPr/>
        <w:t> </w:t>
      </w:r>
    </w:p>
    <w:tbl>
      <w:tblPr>
        <w:tblW w:w="5289" w:type="dxa"/>
        <w:jc w:val="left"/>
        <w:tblInd w:w="0" w:type="dxa"/>
        <w:tblCellMar>
          <w:top w:w="28" w:type="dxa"/>
          <w:left w:w="28" w:type="dxa"/>
          <w:bottom w:w="28" w:type="dxa"/>
          <w:right w:w="28" w:type="dxa"/>
        </w:tblCellMar>
      </w:tblPr>
      <w:tblGrid>
        <w:gridCol w:w="161"/>
        <w:gridCol w:w="256"/>
        <w:gridCol w:w="146"/>
        <w:gridCol w:w="47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7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7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Customer notifications or repair, replacement or refunds;</w:t>
            </w:r>
          </w:p>
        </w:tc>
      </w:tr>
    </w:tbl>
    <w:p>
      <w:pPr>
        <w:pStyle w:val="TextBody"/>
        <w:spacing w:lineRule="auto" w:line="312" w:before="0" w:after="0"/>
        <w:jc w:val="left"/>
        <w:rPr/>
      </w:pPr>
      <w:r>
        <w:rPr/>
        <w:t> </w:t>
      </w:r>
    </w:p>
    <w:tbl>
      <w:tblPr>
        <w:tblW w:w="6879" w:type="dxa"/>
        <w:jc w:val="left"/>
        <w:tblInd w:w="0" w:type="dxa"/>
        <w:tblCellMar>
          <w:top w:w="28" w:type="dxa"/>
          <w:left w:w="28" w:type="dxa"/>
          <w:bottom w:w="28" w:type="dxa"/>
          <w:right w:w="28" w:type="dxa"/>
        </w:tblCellMar>
      </w:tblPr>
      <w:tblGrid>
        <w:gridCol w:w="161"/>
        <w:gridCol w:w="256"/>
        <w:gridCol w:w="146"/>
        <w:gridCol w:w="631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1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Operating restrictions or partial suspension or total shutdown of production;</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Delays in or refusal to grant our requests for future clearances or approvals or foreign clearance, certification or approval of new products, new intended uses, or modifications to existing products;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Withdrawals or suspensions of 510(k) clearances, or requirements for new 510(k) clearances, resulting in prohibitions on sales of our products pending such further clearance;</w:t>
            </w:r>
          </w:p>
        </w:tc>
      </w:tr>
    </w:tbl>
    <w:p>
      <w:pPr>
        <w:pStyle w:val="TextBody"/>
        <w:spacing w:lineRule="auto" w:line="312" w:before="0" w:after="0"/>
        <w:jc w:val="left"/>
        <w:rPr/>
      </w:pPr>
      <w:r>
        <w:rPr/>
        <w:t> </w:t>
      </w:r>
    </w:p>
    <w:tbl>
      <w:tblPr>
        <w:tblW w:w="9864" w:type="dxa"/>
        <w:jc w:val="left"/>
        <w:tblInd w:w="0" w:type="dxa"/>
        <w:tblCellMar>
          <w:top w:w="28" w:type="dxa"/>
          <w:left w:w="28" w:type="dxa"/>
          <w:bottom w:w="28" w:type="dxa"/>
          <w:right w:w="28" w:type="dxa"/>
        </w:tblCellMar>
      </w:tblPr>
      <w:tblGrid>
        <w:gridCol w:w="161"/>
        <w:gridCol w:w="256"/>
        <w:gridCol w:w="146"/>
        <w:gridCol w:w="930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0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30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FDA refusal to issue certificates to foreign governments needed to export products for sale in other countries; and</w:t>
            </w:r>
          </w:p>
        </w:tc>
      </w:tr>
    </w:tbl>
    <w:p>
      <w:pPr>
        <w:pStyle w:val="TextBody"/>
        <w:spacing w:lineRule="auto" w:line="312" w:before="0" w:after="0"/>
        <w:jc w:val="left"/>
        <w:rPr/>
      </w:pPr>
      <w:r>
        <w:rPr/>
        <w:t> </w:t>
      </w:r>
    </w:p>
    <w:tbl>
      <w:tblPr>
        <w:tblW w:w="2484" w:type="dxa"/>
        <w:jc w:val="left"/>
        <w:tblInd w:w="0" w:type="dxa"/>
        <w:tblCellMar>
          <w:top w:w="28" w:type="dxa"/>
          <w:left w:w="28" w:type="dxa"/>
          <w:bottom w:w="28" w:type="dxa"/>
          <w:right w:w="28" w:type="dxa"/>
        </w:tblCellMar>
      </w:tblPr>
      <w:tblGrid>
        <w:gridCol w:w="161"/>
        <w:gridCol w:w="256"/>
        <w:gridCol w:w="146"/>
        <w:gridCol w:w="192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19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Criminal prosecution.</w:t>
            </w:r>
          </w:p>
        </w:tc>
      </w:tr>
    </w:tbl>
    <w:p>
      <w:pPr>
        <w:pStyle w:val="TextBody"/>
        <w:spacing w:lineRule="auto" w:line="312" w:before="240" w:after="0"/>
        <w:jc w:val="left"/>
        <w:rPr>
          <w:rFonts w:ascii="Times New Roman" w:hAnsi="Times New Roman"/>
          <w:b w:val="false"/>
          <w:sz w:val="20"/>
        </w:rPr>
      </w:pPr>
      <w:r>
        <w:rPr>
          <w:rFonts w:ascii="Times New Roman" w:hAnsi="Times New Roman"/>
          <w:b w:val="false"/>
          <w:sz w:val="20"/>
        </w:rPr>
        <w:t>Any of these sanctions could result in higher than anticipated costs or lower than anticipated sales and have a material adverse effect on our reputation, business, financial condition and results of operations. In addition, the FDA may change its clearance policies, adopt additional regulations or revise existing regulations, or take other actions, which may prevent or delay clearance or approval of our future products under development or impact our ability to modify our currently cleared or 510(k)-exempt products on a timely basis. Such policy or regulatory changes could impose additional requirements upon us that could delay our ability to obtain new clearances or approvals, increase the costs of compliance or restrict our ability to maintain our clearances of our current products.</w:t>
      </w:r>
    </w:p>
    <w:p>
      <w:pPr>
        <w:pStyle w:val="TextBody"/>
        <w:spacing w:lineRule="auto" w:line="312" w:before="360" w:after="0"/>
        <w:jc w:val="left"/>
        <w:rPr>
          <w:rFonts w:ascii="Times New Roman" w:hAnsi="Times New Roman"/>
          <w:b/>
          <w:i/>
          <w:sz w:val="20"/>
        </w:rPr>
      </w:pPr>
      <w:r>
        <w:rPr>
          <w:rFonts w:ascii="Times New Roman" w:hAnsi="Times New Roman"/>
          <w:b/>
          <w:i/>
          <w:sz w:val="20"/>
        </w:rPr>
        <w:t>Our products must be manufactured in accordance with federal, state and foreign regulations, and we could be forced to recall our devices or terminate production if we fail to comply with these regulations.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methods used in, and the facilities used for, the manufacture of our products must comply with the FDA’s QSR and the European Union Medical Devices Directive (Council Directive 93/42/EEC), both of which are complex regulatory schemes that cover the procedures and documentation of the design, testing, production, process controls, quality assurance, labeling, packaging, handling, storage, distribution, installation, servicing and shipping of medical devices. Furthermore, we are required to maintain, and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various laws and regulations of foreign countries governing manufacturing and a requirement for adherence to industry standards of the International Standards Organization, or ISO, in connection with our medical device operations outside of the United States.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clearances or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have received ISO 13485:2016 certification for our quality management system. ISO certification generally includes recertification audits every third year, scheduled annual surveillance audits and periodic unannounced audits.</w:t>
      </w:r>
    </w:p>
    <w:p>
      <w:pPr>
        <w:pStyle w:val="TextBody"/>
        <w:spacing w:lineRule="auto" w:line="312" w:before="240" w:after="0"/>
        <w:jc w:val="left"/>
        <w:rPr>
          <w:rFonts w:ascii="Times New Roman" w:hAnsi="Times New Roman"/>
          <w:sz w:val="20"/>
        </w:rPr>
      </w:pPr>
      <w:r>
        <w:rPr>
          <w:rFonts w:ascii="Times New Roman" w:hAnsi="Times New Roman"/>
          <w:b w:val="false"/>
          <w:sz w:val="20"/>
        </w:rPr>
        <w:t>We can provide no assurance that we will be found to remain in compliance with the QSR or ISO standards upon a regulator’s review. If the FDA or other regulator, inspects any of our manufacturers’ facilities and discovers compliance problems, we may have to cease manufacturing and product distribution until we can take the appropriate remedial steps to correct the audit findings. Any of the actions noted above could significantly and negatively affect supply of our products. Taking corrective action may be expensive, time-consuming and a</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87</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distraction for management. If any of these events occurs, our reputation could be harmed, we could be exposed to product liability claims and we could lose customers and experience reduced sales and increased costs.</w:t>
      </w:r>
    </w:p>
    <w:p>
      <w:pPr>
        <w:pStyle w:val="TextBody"/>
        <w:spacing w:lineRule="auto" w:line="312" w:before="360" w:after="0"/>
        <w:jc w:val="left"/>
        <w:rPr>
          <w:rFonts w:ascii="Times New Roman" w:hAnsi="Times New Roman"/>
          <w:b/>
          <w:i/>
          <w:sz w:val="20"/>
        </w:rPr>
      </w:pPr>
      <w:r>
        <w:rPr>
          <w:rFonts w:ascii="Times New Roman" w:hAnsi="Times New Roman"/>
          <w:b/>
          <w:i/>
          <w:sz w:val="20"/>
        </w:rPr>
        <w:t>Our products may cause or contribute to adverse medical events or be subject to failures or malfunctions that we are required to report to the FDA (or similar foreign authorities), and if we fail to do so, we would be subject to sanctions that could negatively affect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are subject to the FDA’s medical device reporting regulations and similar foreign regulations, which require us to report to the FDA (and other foreign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based on the date we become aware of the adverse event as well as on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or its foreign counterparts could take action, including warning letters, untitled letters, administrative actions, criminal prosecution, imposition of civil monetary penalties, revocation of device clearance or approval, seizure of our products or delay in clearance or approval of future products, which could have a negative impact on us.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If we initiate a correction or removal for our products to reduce a risk to health posed by them or to remedy a violation of law that may present a risk to health, we would be required to submit a report to the FDA and may be required to submit similar notifications to other regulatory authorities. This report could lead to increased scrutiny by the FDA, other foreign regulatory agencies and our customers regarding the quality and safety of our products. Furthermore, the submission of these reports, to the extent made publicly available in accordance with FDA regulations, could be used by competitors against us or otherwise publicized and cause physicians to delay or cancel product orders, which will harm our reputation.</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If we assess a potential quality issue or complaint as not requiring either a field action or regulatory notification, regulators may review documentation of that decision during a subsequent audit. If regulators disagree with our decision, or take issue with either our investigation process or the resulting documentation, regulatory agencies may impose sanctions and we may be subject to regulatory enforcement actions, including warning letters, all of which will negatively affect our business, financial condition and results of operations.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Depending on the corrective action we take to redress a product’s deficiencies or defects, the FDA or FDA’s foreign counterparts may require, or we may decide, that we will need to obtain new clearances, certifications or approvals for the device before we may market or distribute the corrected device. Seeking such clearances, certifications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pStyle w:val="TextBody"/>
        <w:spacing w:lineRule="auto" w:line="312" w:before="240" w:after="0"/>
        <w:jc w:val="left"/>
        <w:rPr>
          <w:rFonts w:ascii="Times New Roman" w:hAnsi="Times New Roman"/>
          <w:sz w:val="20"/>
        </w:rPr>
      </w:pPr>
      <w:r>
        <w:rPr>
          <w:rFonts w:ascii="Times New Roman" w:hAnsi="Times New Roman"/>
          <w:b w:val="false"/>
          <w:sz w:val="20"/>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88</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will negatively affect our reputation,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If we do not obtain and maintain applicable regulatory registrations, clearances, certifications or approvals for our products, we will be unable to market and sell our products outside of the U.S.</w:t>
      </w:r>
    </w:p>
    <w:p>
      <w:pPr>
        <w:pStyle w:val="TextBody"/>
        <w:spacing w:lineRule="auto" w:line="312" w:before="120" w:after="0"/>
        <w:jc w:val="left"/>
        <w:rPr>
          <w:rFonts w:ascii="Times New Roman" w:hAnsi="Times New Roman"/>
          <w:sz w:val="20"/>
        </w:rPr>
      </w:pPr>
      <w:r>
        <w:rPr>
          <w:rFonts w:ascii="Times New Roman" w:hAnsi="Times New Roman"/>
          <w:b w:val="false"/>
          <w:sz w:val="20"/>
        </w:rPr>
        <w:t>We intend to expand our sales operations outside of the U.S. Sales of our products outside of the U.S. are subject to foreign regulatory requirements that vary widely from country to country. In addition, the FDA regulates exports of medical devices from the U.S. While the regulations of some countries may not impose barriers to marketing and selling our products or only require notification, others require that we obtain the clearance or approval of a specified regulatory body. Complying with foreign regulatory requirements, including obtaining registrations, clearances, certifications or approvals, can be expensive and time-consuming, and we may not receive regulatory clearances, certifications or approvals in each country in which we plan to market our products or we may be unable to do so on a timely basis. The time required to obtain registrations, clearances, certifications or approvals, if required by other countries, may be longer than that required for FDA clearance or approval, and requirements for such registrations, clearances, certifications or approvals may significantly differ from FDA requirements. If we modify our products, we may need to apply for regulatory clearances or approvals before we are permitted to sell the modified product.</w:t>
      </w:r>
      <w:r>
        <w:rPr>
          <w:rFonts w:ascii="Times New Roman" w:hAnsi="Times New Roman"/>
          <w:sz w:val="20"/>
        </w:rPr>
        <w:t xml:space="preserve">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we may not continue to meet the quality and safety standards required to maintain the authorizations that we have received. If we are unable to maintain our authorizations in a particular country, we will no longer be able to sell the applicable product in that country.</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Regulatory clearance or approval by the FDA does not ensure registration, clearance, certification or approval by regulatory authorities in other countries, and registration, clearance, certification or approval by one or more foreign regulatory authorities does not ensure registration, clearance, certification or approval by regulatory authorities in other foreign countries or by the FDA. However, a failure or delay in obtaining registration or regulatory clearance, certification or approval in one country may have a negative effect on the regulatory process in others.</w:t>
      </w:r>
    </w:p>
    <w:p>
      <w:pPr>
        <w:pStyle w:val="TextBody"/>
        <w:spacing w:lineRule="auto" w:line="312" w:before="360" w:after="0"/>
        <w:jc w:val="left"/>
        <w:rPr>
          <w:rFonts w:ascii="Times New Roman" w:hAnsi="Times New Roman"/>
          <w:b/>
          <w:i/>
          <w:sz w:val="20"/>
        </w:rPr>
      </w:pPr>
      <w:r>
        <w:rPr>
          <w:rFonts w:ascii="Times New Roman" w:hAnsi="Times New Roman"/>
          <w:b/>
          <w:i/>
          <w:sz w:val="20"/>
        </w:rPr>
        <w:t>The clinical trial or investigation process is lengthy and expensive with uncertain outcomes. Results of earlier studies may not be predictive of future clinical trial or investigation results, or the safety or efficacy profile for such products for such uses. Further, we may incur significant fines, penalties and other liabilities if it is determined that we are failing or have failed to comply with applicable regulatory requirements for the conduct of our clinical trials.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Clinical testing is difficult to design and implement, can take many years, can be expensive and carries uncertain outcomes. The results of preclinical studies and clinical trials and investigations of our products conducted to date and ongoing or future studies, trials and investigations of our current, planned or future products may not be predictive of the results of later clinical trials or investigations, and interim results of a clinical trial or investigation do not necessarily predict final results. Our interpretation of data and results from our clinical trials or investigations does not ensure that we will achieve similar results in future clinical trials or investigations. In addition, preclinical and clinical data are often susceptible to various interpretations and analyses, and many companies that have believed their products performed satisfactorily in preclinical studies and earlier clinical trials or investigations have nonetheless failed to produce strong results in later clinical trials or investigations. Products in later stages of clinical trials or investigations may fail to show the desired safety and efficacy despite having progressed through nonclinical studies and earlier clinical trials or investigations. We incur substantial expense for, and devote significant time to, clinical trials or investigations but cannot be certain that such trials will yield positive results relating to our products. Failure can occur at any stage of clinical testing. Our clinical trials or investigations may produce negative or inconclusive results, and we may decide, or regulators may require us, to conduct additional clinical and non-clinical testing in addition to those we have planned.</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89</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initiation and completion of any of our clinical trials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 may be required to submit an Investigational Device Exemption, or IDE, application to the FDA, which must become effective prior to commencing certain human clinical trials of medical devices, and the FDA may reject our IDE application and notify us that we may not begin clinical trials;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Regulators and other comparable foreign regulatory authorities may disagree as to the design or conduct of our clinical trials or investigations;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Regulators and/or institutional review boards, or IRBs, or other reviewing bodies may not authorize us or our investigators to commence a clinical trial or investigation, or to conduct or continue a clinical trial or investigation at a prospective or specific trial site;</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 may not reach agreement on acceptable terms with prospective contract research organizations, or CROs, and clinical trial sites, the terms of which can be subject to extensive negotiation and may vary significantly among different CROs and trial sites;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Clinical trials or investigations may produce negative or inconclusive results, and we may decide, or regulators may require us, to conduct additional clinical trials or investigations or abandon product development programs;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number of subjects or patients required for clinical trials may be larger than we anticipate, enrollment in these clinical trials or investigations may be insufficient or slower than we anticipate, and the number of clinical trials or investigations being conducted at any given time may be high and result in fewer available patients for any given clinical trial, or patients may drop out of these clinical trials or investigations at a higher rate than we anticipate;</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third-party contractors, including those manufacturing products or conducting clinical trials or investigations on our behalf, may fail to comply with regulatory requirements or meet their contractual obligations to us in a timely manner, or at all;</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 might have to suspend or terminate clinical trials or investigations for various reasons, including difficulties in patient enrollment or a finding that the subjects are being exposed to unacceptable health risks;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 may have to amend clinical trial or investigation protocols or conduct additional studies to reflect changes in regulatory requirements or guidance, which we may be required to submit to an IRB or other reviewing bodies and/or regulatory authorities for re-examination;</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Regulators, IRBs or other reviewing bodies, or other parties may require or recommend that we or our investigators suspend or terminate clinical research for various reasons, including safety signals or noncompliance with regulatory requirements;</w:t>
            </w:r>
          </w:p>
        </w:tc>
      </w:tr>
    </w:tbl>
    <w:p>
      <w:pPr>
        <w:pStyle w:val="TextBody"/>
        <w:spacing w:lineRule="auto" w:line="312" w:before="0" w:after="0"/>
        <w:jc w:val="left"/>
        <w:rPr/>
      </w:pPr>
      <w:r>
        <w:rPr/>
        <w:t> </w:t>
      </w:r>
    </w:p>
    <w:tbl>
      <w:tblPr>
        <w:tblW w:w="6954" w:type="dxa"/>
        <w:jc w:val="left"/>
        <w:tblInd w:w="0" w:type="dxa"/>
        <w:tblCellMar>
          <w:top w:w="28" w:type="dxa"/>
          <w:left w:w="28" w:type="dxa"/>
          <w:bottom w:w="28" w:type="dxa"/>
          <w:right w:w="28" w:type="dxa"/>
        </w:tblCellMar>
      </w:tblPr>
      <w:tblGrid>
        <w:gridCol w:w="161"/>
        <w:gridCol w:w="256"/>
        <w:gridCol w:w="146"/>
        <w:gridCol w:w="639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39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cost of clinical trials or investigations may be greater than we anticipate;</w:t>
            </w:r>
          </w:p>
        </w:tc>
      </w:tr>
    </w:tbl>
    <w:p>
      <w:pPr>
        <w:pStyle w:val="TextBody"/>
        <w:spacing w:lineRule="auto" w:line="312" w:before="0" w:after="0"/>
        <w:jc w:val="left"/>
        <w:rPr/>
      </w:pPr>
      <w:r>
        <w:rPr/>
        <w:t> </w:t>
      </w:r>
    </w:p>
    <w:tbl>
      <w:tblPr>
        <w:tblW w:w="9099" w:type="dxa"/>
        <w:jc w:val="left"/>
        <w:tblInd w:w="0" w:type="dxa"/>
        <w:tblCellMar>
          <w:top w:w="28" w:type="dxa"/>
          <w:left w:w="28" w:type="dxa"/>
          <w:bottom w:w="28" w:type="dxa"/>
          <w:right w:w="28" w:type="dxa"/>
        </w:tblCellMar>
      </w:tblPr>
      <w:tblGrid>
        <w:gridCol w:w="161"/>
        <w:gridCol w:w="256"/>
        <w:gridCol w:w="146"/>
        <w:gridCol w:w="853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53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53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Clinical sites may not adhere to our clinical protocol or may drop out of a clinical trial or investigation;</w:t>
            </w:r>
          </w:p>
        </w:tc>
      </w:tr>
    </w:tbl>
    <w:p>
      <w:pPr>
        <w:pStyle w:val="TextBody"/>
        <w:spacing w:lineRule="auto" w:line="312" w:before="0" w:after="0"/>
        <w:jc w:val="left"/>
        <w:rPr/>
      </w:pPr>
      <w:r>
        <w:rPr/>
        <w:t> </w:t>
      </w:r>
    </w:p>
    <w:tbl>
      <w:tblPr>
        <w:tblW w:w="7644" w:type="dxa"/>
        <w:jc w:val="left"/>
        <w:tblInd w:w="0" w:type="dxa"/>
        <w:tblCellMar>
          <w:top w:w="28" w:type="dxa"/>
          <w:left w:w="28" w:type="dxa"/>
          <w:bottom w:w="28" w:type="dxa"/>
          <w:right w:w="28" w:type="dxa"/>
        </w:tblCellMar>
      </w:tblPr>
      <w:tblGrid>
        <w:gridCol w:w="161"/>
        <w:gridCol w:w="256"/>
        <w:gridCol w:w="146"/>
        <w:gridCol w:w="708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08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08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We may be unable to recruit a sufficient number of clinical trial or investigation sites;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or investigations may be insufficient, inadequate or not available at an acceptable cost, or we may experience interruptions in supply;</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Approval policies or regulations of the FDA or applicable foreign regulatory agencies may change in a manner rendering our clinical data insufficient for approval; and</w:t>
            </w:r>
          </w:p>
        </w:tc>
      </w:tr>
    </w:tbl>
    <w:p>
      <w:pPr>
        <w:pStyle w:val="TextBody"/>
        <w:spacing w:lineRule="auto" w:line="312" w:before="0" w:after="0"/>
        <w:jc w:val="left"/>
        <w:rPr/>
      </w:pPr>
      <w:r>
        <w:rPr/>
        <w:t> </w:t>
      </w:r>
    </w:p>
    <w:tbl>
      <w:tblPr>
        <w:tblW w:w="8784" w:type="dxa"/>
        <w:jc w:val="left"/>
        <w:tblInd w:w="0" w:type="dxa"/>
        <w:tblCellMar>
          <w:top w:w="28" w:type="dxa"/>
          <w:left w:w="28" w:type="dxa"/>
          <w:bottom w:w="28" w:type="dxa"/>
          <w:right w:w="28" w:type="dxa"/>
        </w:tblCellMar>
      </w:tblPr>
      <w:tblGrid>
        <w:gridCol w:w="161"/>
        <w:gridCol w:w="256"/>
        <w:gridCol w:w="146"/>
        <w:gridCol w:w="822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22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current or future products may have undesirable side effects or other unexpected characteristics.</w:t>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90</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disruptions caused by the COVID-19 pandemic may increase the likelihood that we encounter such difficulties or delays in our planned and ongoing clinical trials or investigations. If COVID-19 continues to spread, we may experience disruptions that could have a material adverse impact on our clinical trial plans and timelines, including:</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Delays in receiving authorizations from local regulatory authorities to initiate planned clinical trials or investigations;</w:t>
            </w:r>
          </w:p>
        </w:tc>
      </w:tr>
    </w:tbl>
    <w:p>
      <w:pPr>
        <w:pStyle w:val="TextBody"/>
        <w:spacing w:lineRule="auto" w:line="312" w:before="0" w:after="0"/>
        <w:jc w:val="left"/>
        <w:rPr/>
      </w:pPr>
      <w:r>
        <w:rPr/>
        <w:t> </w:t>
      </w:r>
    </w:p>
    <w:tbl>
      <w:tblPr>
        <w:tblW w:w="7209" w:type="dxa"/>
        <w:jc w:val="left"/>
        <w:tblInd w:w="0" w:type="dxa"/>
        <w:tblCellMar>
          <w:top w:w="28" w:type="dxa"/>
          <w:left w:w="28" w:type="dxa"/>
          <w:bottom w:w="28" w:type="dxa"/>
          <w:right w:w="28" w:type="dxa"/>
        </w:tblCellMar>
      </w:tblPr>
      <w:tblGrid>
        <w:gridCol w:w="161"/>
        <w:gridCol w:w="256"/>
        <w:gridCol w:w="146"/>
        <w:gridCol w:w="664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64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Delays or difficulties in enrolling patients in our clinical trials or investigations;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Delays or difficulties in clinical site initiation, including difficulties in recruiting clinical site investigators and clinical site staff;</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Delays in clinical sites receiving the supplies and materials needed to conduct our clinical trials, including interruptions in global shipping that may affect the transport of clinical trial materials;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Changes in local regulations as part of a response to the COVID-19 pandemic which may require us to change the ways in which our clinical trials or investigations are conducted, which may result in unexpected costs, or to discontinue the clinical trials or investigations altogether;</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Diversion of healthcare resources away from the conduct of clinical trials or investigations, including the diversion of hospitals serving as our clinical trial sites and hospital staff supporting the conduct of our clinical trials or investigations;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Interruption of key clinical trial or investigation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Risk that participants enrolled in our clinical trials or investigations will contract COVID-19 while the clinical trial or investigation is ongoing, which could impact the results of the clinical trial or investigation, including by increasing the number of observed adverse events;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Delays in necessary interactions with local regulators, ethics committees and other third parties and contractors due to limitations in employee resources or forced furlough of government employees;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Limitations in employee resources that would otherwise be focused on the conduct of our clinical trials or investigations, including because of sickness of employees or their families or the desire of employees to avoid contact with large groups of people; and</w:t>
            </w:r>
          </w:p>
        </w:tc>
      </w:tr>
    </w:tbl>
    <w:p>
      <w:pPr>
        <w:pStyle w:val="TextBody"/>
        <w:spacing w:lineRule="auto" w:line="312" w:before="0" w:after="0"/>
        <w:jc w:val="left"/>
        <w:rPr/>
      </w:pPr>
      <w:r>
        <w:rPr/>
        <w:t> </w:t>
      </w:r>
    </w:p>
    <w:tbl>
      <w:tblPr>
        <w:tblW w:w="8349" w:type="dxa"/>
        <w:jc w:val="left"/>
        <w:tblInd w:w="0" w:type="dxa"/>
        <w:tblCellMar>
          <w:top w:w="28" w:type="dxa"/>
          <w:left w:w="28" w:type="dxa"/>
          <w:bottom w:w="28" w:type="dxa"/>
          <w:right w:w="28" w:type="dxa"/>
        </w:tblCellMar>
      </w:tblPr>
      <w:tblGrid>
        <w:gridCol w:w="161"/>
        <w:gridCol w:w="256"/>
        <w:gridCol w:w="146"/>
        <w:gridCol w:w="778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78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77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Refusal of the FDA to accept data from clinical trials or investigations in affected geographies.</w:t>
            </w:r>
          </w:p>
        </w:tc>
      </w:tr>
    </w:tbl>
    <w:p>
      <w:pPr>
        <w:pStyle w:val="TextBody"/>
        <w:spacing w:lineRule="auto" w:line="312" w:before="240" w:after="0"/>
        <w:jc w:val="left"/>
        <w:rPr>
          <w:rFonts w:ascii="Times New Roman" w:hAnsi="Times New Roman"/>
          <w:b w:val="false"/>
          <w:sz w:val="20"/>
        </w:rPr>
      </w:pPr>
      <w:r>
        <w:rPr>
          <w:rFonts w:ascii="Times New Roman" w:hAnsi="Times New Roman"/>
          <w:b w:val="false"/>
          <w:sz w:val="20"/>
        </w:rPr>
        <w:t>Any of these factors may significantly harm our business, financial condition and prospects. In addition, many of the factors that cause, or lead to, a delay in the commencement or completion of clinical trials or investigations may also ultimately lead to the denial of regulatory approval of our product candidates, which may also significantly harm our business, financial condition and prospects.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Patient enrollment in clinical trials or investigations and completion of patient follow-up depend on many factors, including the size of the patient population, the nature of the trial protocol, the proximity of patients to clinical sites, the eligibility criteria for the clinical trial or investigation, patient compliance, competing clinical trials or investigations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or investigations if the trial protocol requires them to undergo extensive post-treatment procedures, monitoring or follow-up to assess the safety and efficacy of a product, or they may be persuaded to participate in contemporaneous clinical trials of a competitor’s product. In addition, patients participating in our clinical trials or investigations may drop out before completion of the trial or experience adverse medical events unrelated to our products. Delays in patient enrollment or failure of patients to continue to participate in a clinical trial or investigation may delay commencement or completion of the clinical trial or investigation, cause an increase in the costs of the clinical trial or investigation and delays, or result in the failure of the clinical trial.</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91</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Clinical trials and investigations must be conducted in accordance with the regulations of the FDA and other applicable regulatory authorities’ legal requirements, regulations or guidelines, and are subject to oversight by these governmental agencies and IRBs or other regulatory bodies at the medical institutions where the clinical trials or investigations are conducted. In addition, clinical trials and investigations must be conducted with supplies of our devices produced under QSR requirements and other regulations. Further, clinical trials of medical devices for investigational uses must be conducted in accordance with the FDA’s IDE regulations, which govern investigational device labeling, prohibit promotion of the device for investigational uses, and specify an array of recordkeeping, reporting and monitoring responsibilities of study sponsors and study investigators.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For certain devices which present a “significant risk” to human health, as defined by the FDA, the FDA requires the device sponsor to submit an IDE application to the FDA, which must become effective prior to commencing clinical trials. The FDA’s IDE regulations, among other things, govern investigational device labeling, prohibit promotion of the investigational device, and specify an array of recordkeeping, reporting and monitoring responsibilities of study sponsors and study investigators. Further, clinical trials of investigational devices which are non-significant risk devices must still comply with applicable regulatory requirements, including abbreviated IDE requirements, such as ensuring that investigators obtain informed consent, and labeling and record-keeping requirements. Regardless of the degree of risk presented by the medical device, clinical studies must be approved by, and conducted under the oversight of, an Institutional Review Board, or IRB, for each clinical site. We have in the past, and may in the future, conduct clinical trials and investigations that do not comply with all applicable regulations of the FDA and other applicable regulatory authorities’ legal requirements, regulations or guidelines. For example, we did not seek an IDE from the FDA for the conduct of the GEMINI trial, but instead submitted a justification to the IRB that OMNI was a non-significant risk device. The non-significant risk justification and informed consent documents for the GEMINI trial both initially described the trial as a post-market trial. Subsequently, we amended the study protocol and obtained informed consent for a revised description of the trial. Even if we conclude that the conduct of any of our clinical trials or investigations comply with the applicable requirements, regulations or guidelines, there can be no guarantee that the FDA or other applicable regulatory authorities will agree with such conclusion. The FDA may conclude that our ongoing or planned clinical studies require the submission and approval of an IDE, which would require us to devote additional resources to ensuring compliance with IDE requirements in the conduct of our clinical programs.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If the FDA determines that we have failed to comply with applicable regulatory requirements for the conduct of our clinical trials and investigations, the FDA may refuse to accept any data generated from such clinical trials and investigations in any future premarket applications, and may take a variety of other compliance or enforcement actions, which may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suspensions of current product clearances or approvals and criminal prosecution.</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Furthermore, we may rely on CROs, and clinical trial sites to ensure the proper and timely conduct of our clinical trials or investigations and we may have limited influence over their actual performance. We depend on our collaborators and on medical institutions and CROs to conduct our clinical trials or investigations in compliance with good clinical practice, or GCP, requirements. To the extent our collaborators or the CROs fail to enroll participants for our clinical trials and investigations, fail to conduct the study to GCP standards or are delayed for a significant time in the execution of trials, including achieving full enrollment, we may be affected by increased costs, program delays or both. In addition, clinical trials and investigations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Even if our future products are cleared or approved in the U.S., commercialization of our products in foreign countries would require clearance, certification or approval by regulatory authorities in those countries. Clearance, certification or approval procedures vary among jurisdictions and can involve requirements and administrative review periods different from, and greater than, those in the U.S., including additional preclinical studies or clinical trials or investigations. Any of these occurrences could have an adverse effect on our business, financial condition and results of operations.</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92</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i/>
          <w:sz w:val="20"/>
        </w:rPr>
      </w:pPr>
      <w:r>
        <w:rPr>
          <w:rFonts w:ascii="Times New Roman" w:hAnsi="Times New Roman"/>
          <w:b/>
          <w:i/>
          <w:sz w:val="20"/>
        </w:rPr>
        <w:t>Changes in funding for, or disruptions caused by global health concerns impacting, the FDA and other government agencies could hinder their ability to hire and retain key leadership and other personnel, or otherwise prevent new products and services from being developed, cleared or approved or commercialized in a timely manner, which could negatively impact our business.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Disruptions at the FDA and other agencies may also slow the time necessary for new devices to be reviewed and/or approved or cleared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Separately, in response to the COVID-19 pandemic, on March 10, 2020, the FDA announced its intention to postpone inspections of foreign manufacturing facilities and products,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Other regulatory authorities may adopt similar restrictions or other policy measures in response to the COVID-19 pandemic.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the European Union, Notified Bodies must be officially designated to certify products and services in accordance with the EU Medical Devices Regulation. Notified Bodies which have applied for designation under the EU Medical Devices Regulation are currently undergoing such designation assessments. Only a few Notified Bodies have been designated so far and the COVID-19 pandemic has significantly slowed down their designation process. Without EU Medical Devices Regulation designation, Notified Bodies may not yet start certifying devices in accordance with the new Regulation. This situation could impact the way we are conducting our business and lead to delays in recertification and compliance with the EU Medical Devices Regulation.</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Under normal circumstances, medical devices manufacturers must undergo on-site audits by Notified Bodies in order to maintain their CE-mark certifications per the requirements of the EU Medical Devices Directive. As many CE-mark certifications will become void as part of the transition to the EU Medical Devices Regulation, Notified Bodies also have to start certifying medical devices in accordance with the EU Medical Devices Regulation. As another consequence of the COVID-19 pandemic, on-site Notified Bodies’ audits have not been feasible due to quarantine and travel restrictions and most of them have been postponed. Even though some specific measures have been implemented to determine whether remote audits can be conducted or be supplemented with an on-site audit once travel restrictions are lifted, this situation could significantly impact the ability of Notified Bodies to timely review and process our regulatory submissions, which could have a material adverse effect on our business.</w:t>
      </w:r>
    </w:p>
    <w:p>
      <w:pPr>
        <w:pStyle w:val="TextBody"/>
        <w:spacing w:lineRule="auto" w:line="312" w:before="360" w:after="0"/>
        <w:jc w:val="left"/>
        <w:rPr>
          <w:rFonts w:ascii="Times New Roman" w:hAnsi="Times New Roman"/>
          <w:b/>
          <w:i/>
          <w:sz w:val="20"/>
        </w:rPr>
      </w:pPr>
      <w:r>
        <w:rPr>
          <w:rFonts w:ascii="Times New Roman" w:hAnsi="Times New Roman"/>
          <w:b/>
          <w:i/>
          <w:sz w:val="20"/>
        </w:rPr>
        <w:t>We are subject to certain federal, state and foreign fraud and abuse laws, health information privacy and security laws and transparency laws that could subject us to substantial penalties. Additionally, any challenge to or investigation into our practices under these laws could cause adverse publicity and be costly to respond to, and thus could harm our business.</w:t>
      </w:r>
    </w:p>
    <w:p>
      <w:pPr>
        <w:pStyle w:val="TextBody"/>
        <w:spacing w:lineRule="auto" w:line="312" w:before="120" w:after="0"/>
        <w:jc w:val="left"/>
        <w:rPr>
          <w:rFonts w:ascii="Times New Roman" w:hAnsi="Times New Roman"/>
          <w:sz w:val="20"/>
        </w:rPr>
      </w:pPr>
      <w:r>
        <w:rPr>
          <w:rFonts w:ascii="Times New Roman" w:hAnsi="Times New Roman"/>
          <w:b w:val="false"/>
          <w:sz w:val="20"/>
        </w:rPr>
        <w:t>There are numerous U.S. federal and state, as well as foreign, laws pertaining to healthcare fraud and abuse, including anti-kickback, false claims and physician transparency laws. Our business practices and relationships with providers are subject to scrutiny under these laws. We may also be subject to privacy and security regulation related</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93</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to patient, customer, employee and other third-party information by both the federal government and the states and foreign jurisdictions in which we conduct our business. The healthcare laws and regulations that may affect our ability to operate include, but are not limited to:</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 The U.S. government has interpreted this law broadly and has historically applied the law to the marketing and sales activities of manufacturers. Moreover, the government may assert that a claim including items or services resulting from a violation of the federal Anti-Kickback Statute constitutes a false or fraudulent claim for purposes of the federal civil False Claims Act. Violations of the federal False Claims Act may result in significant civil monetary penalties, plus up to three times the remuneration involved. Violations of the Anti-Kickback Statute can result in criminal penalties, including significant criminal fines and imprisonment of up to 10 years. Similarly, violations can result in exclusion from participation in government healthcare programs, including Medicare and Medicaid;</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federal civil and criminal false claims laws and civil monetary penalties laws, including the federal civil False Claims Act, which prohibit, among other things, individuals or entities from knowingly presenting, or causing to be presented, claims for payment from Medicare, Medicaid or other federal healthcare programs that are false or fraudulent. These laws can apply to manufacturers who provide information on coverage, coding, and reimbursement of their products to persons who bill third-party payors.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significant civil fines and penalties for each false claim, plus treble damages, and exclude the entity from participation in Medicare, Medicaid and other federal healthcare programs;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Health Insurance Portability and Accountability Act of 1996, or 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94</w:t>
      </w:r>
    </w:p>
    <w:p>
      <w:pPr>
        <w:pStyle w:val="HorizontalLine"/>
        <w:rPr/>
      </w:pPr>
      <w:r>
        <w:rPr/>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federal Physician Payments Sunshine Act which requires certain applicable manufacturers of drugs, devices, biologics and medical supplies for which payment is available under Medicare, Medicaid or the Children’s Health Insurance Program, or CHIP, to report annually to the DHHS Centers for Medicare and Medicaid Services, or CMS, information related to payments and other transfers of value to physicians, which is defined broadly to include other healthcare providers and teaching hospitals, and applicable manufacturers and group purchasing organizations, to report annually ownership and investment interests held by physicians and their immediate family members. Additionally, on October 25, 2018, President Trump signed into law the “Substance Use-Disorder Prevention that Promoted Opioid Recovery and Treatment for Patients and Communities Act” which in part (under a provision entitled “Fighting the Opioid Epidemic with Sunshine”) extends the reporting and transparency requirements for physicians in the Physician Payments Sunshine Act to physician assistants, nurse practitioners, and other mid-level practitioners (with reporting requirements going into effect in 2022 for payments made in 2021). Applicable manufacturers are required to submit annual reports to CMS. Failure to submit required information may result in significant civil monetary penalties (and additional penalties for “knowing failures”), for all payments, transfers of value or ownership or investment interests that are not timely, accurately, and completely reported in an annual submission, and may result in liability under other federal laws or regulations;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HIPAA, as amended by the Health Information Technology for Economic and Clinical Health Act of 2009, or HITECH Act, and their respective implementing regulations, which impose requirements on certain covered healthcare providers, health plans and healthcare clearinghouses as well as their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 Failure to comply with the HIPAA privacy and security standards can result in significant civil monetary penalties, and, in certain circumstances, criminal penalties with fines and/or imprisonment. State attorneys general can also bring a civil action to enjoin a HIPAA violation or to obtain statutory damages on behalf of residents of his or her state;</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FDCA, which prohibits, among other things, the adulteration or misbranding of drugs, biologics and medical devices;</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Federal and state laws and regulations regarding billing and claims payment applicable to our products and regulatory agencies enforcing those laws and regulations; and</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consumer protection and unfair competition laws, which broadly regulate marketplace activities and activities that potentially harm customers, foreign and state laws, including the EU General Data Protection Regulation, or GDPR, governing the privacy and security of personal (including health) information in certain circumstances, many of which differ from each other in significant ways and may not have the same effect, thus complicating compliance efforts; and state laws related to insurance fraud in the case of claims involving private insurers.</w:t>
            </w:r>
          </w:p>
        </w:tc>
      </w:tr>
    </w:tbl>
    <w:p>
      <w:pPr>
        <w:pStyle w:val="TextBody"/>
        <w:spacing w:lineRule="auto" w:line="312" w:before="240" w:after="0"/>
        <w:jc w:val="left"/>
        <w:rPr>
          <w:rFonts w:ascii="Times New Roman" w:hAnsi="Times New Roman"/>
          <w:sz w:val="20"/>
        </w:rPr>
      </w:pPr>
      <w:r>
        <w:rPr>
          <w:rFonts w:ascii="Times New Roman" w:hAnsi="Times New Roman"/>
          <w:b w:val="false"/>
          <w:sz w:val="20"/>
        </w:rPr>
        <w:t>These laws and regulations, among other things, constrain our business, marketing and other promotional and research activities by limiting the kinds of financial arrangements, including sales programs, we may have with hospitals, ambulatory surgery centers, physicians or other potential purchasers of our products. We have entered into consulting agreements with physicians, including some who have ownership interests in us, which could be viewed as influencing the purchase of or use of our products in procedures they perform. Compensation under some of these arrangements includes the provision of stock or stock options.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r>
        <w:rPr>
          <w:rFonts w:ascii="Times New Roman" w:hAnsi="Times New Roman"/>
          <w:sz w:val="20"/>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95</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Any action brought against us for violations of these laws or regulations, even if successfully defended, could cause us to incur significant legal expenses and divert our management’s attention from the operation of our business. We may be subject to private qui tam actions brought by individual whistleblowers on behalf of the federal or state governments, with potential liability under the federal False Claims Act including mandatory treble damages and significant per-claim penalties.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financial condition and results of operations. Even an unsuccessful challenge or investigation into our practices could cause adverse publicity, and be costly to respond to.</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Our activities, including those relating to providing billing, coding, coverage and reimbursement information about procedures using our products to our customers and the sale and marketing of our products, may be subject to scrutiny under these laws. The growth of our business and sales organization and our expansion outside of the United States may increase the potential of violating these laws or our internal policies and procedures.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significant penalties, including significant criminal, civil, and administrative penalties, damages, fines, exclusion from participation in government programs, such as Medicare and Medicaid, imprisonment, contractual damages, reputation harm and disgorgement and we could be required to curtail, restructure or cease our operations. Any of the foregoing consequences will negatively affect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We are subject to governmental regulations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 Ensuring compliance with such laws could also impair our efforts to maintain and expand our customer base, and thereby decrease our revenue.</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In the conduct of our business, we may at times process personal data, including health-related personal data. The U.S. federal government and various states have adopted or proposed laws, regulations, guidelines and rules for the collection, distribution, use and storage of personal information of individuals. We may also be subject to U.S. federal rules, regulations and guidance concerning data security for medical devices, including guidance from the FDA. According to the Federal Trade Commission, or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State privacy and security laws vary from state to state and, in some cases, can impose more restrictive requirements than U.S. federal law.</w:t>
      </w:r>
    </w:p>
    <w:p>
      <w:pPr>
        <w:pStyle w:val="TextBody"/>
        <w:spacing w:lineRule="auto" w:line="312" w:before="240" w:after="0"/>
        <w:jc w:val="left"/>
        <w:rPr>
          <w:rFonts w:ascii="Times New Roman" w:hAnsi="Times New Roman"/>
          <w:sz w:val="20"/>
        </w:rPr>
      </w:pPr>
      <w:r>
        <w:rPr>
          <w:rFonts w:ascii="Times New Roman" w:hAnsi="Times New Roman"/>
          <w:b w:val="false"/>
          <w:sz w:val="20"/>
        </w:rPr>
        <w:t>In addition, certain state and non-U.S. laws, such as the European Union General Data Protection Regulation (2016/679), or GDPR, govern the privacy and security of personal (including health) data in certain circumstances, some of which are more stringent than U.S. federal law and many of which differ from each other in significant ways and may not have the same effect, thus complicating compliance efforts. The GDPR is directly applicable in each member state and is extended to the EEA. Failure to comply with these laws, where applicable, can result in the imposition of significant civil and/or criminal penalties and private litigation. Where state laws are more protective, we must comply with the stricter provisions. In addition to fines and penalties that may be imposed for failure to comply with state law, some states also provide for private rights of action to individuals for misuse of personal</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96</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information. For example, California enacted the California Consumer Privacy Act, or CCPA, on June 28, 2018, which went into effect on January 1, 2020. The CCPA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Europe, the GDPR went into effect on May 25, 2018 and introduces strict requirements for processing the personal data of European Union data subjects. Companies that must comply with the GDPR face increased compliance obligations and risk, including more robust regulatory enforcement of data protection requirements and potential fines for noncompliance of up to €20 million or 4% of the annual global revenues of the preceding financial year of the noncompliant company, whichever is greater.</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Further, from January 1, 2021, companies have to comply with the GDPR and also the United Kingdom General Data Protection Regulation, or the UK GDPR, which, together with the amended UK Data Protection Act 2018, retains the GDPR in UK national law. The UK GDPR mirrors the fines under the GDPR, i.e., fines up to the greater of €20 million (£17.5 million) or 4% of global turnover. The relationship between the United Kingdom and the European Union in relation to certain aspects of data protection law remains unclear, and it is also unclear how United Kingdom data protection laws and regulations will develop in the medium to longer term, and how data transfers to and from the United Kingdom will be regulated in the long term. These changes will lead to additional costs and increase our overall risk exposure. Currently there is a four to six month grace period agreed in the EU and United Kingdom Trade and Cooperation Agreement, ending June 30, 2021 at the latest, whilst the parties discuss an adequacy decision. The European Commission published a draft adequacy decision on February 19, 2021. If adopted, the decision will enable data transfers from EU member states to the United Kingdom for a four-year period, subject to subsequent extensions.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Any actual or perceived failure by us or the third parties with whom we work to comply with privacy or security laws, policies, legal obligations or industry standards, or any security incident that results in the unauthorized release or transfer of personally identifiable information, may result in governmental enforcement actions and investigations including by European Data Protection Authorities and U.S. federal and state regulatory authorities, fines and penalties, litigation and/or adverse publicity, including by consumer advocacy groups, and could cause our customers, their patients and other healthcare professionals to lose trust in us, which could harm our reputation and have a material adverse effect on our business, financial condition and results of operations.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cannot assure you that any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storage and transmission of such information. Increasing use of social media could also give rise to liability, breaches of data security or reputational damage.</w:t>
      </w:r>
    </w:p>
    <w:p>
      <w:pPr>
        <w:pStyle w:val="TextBody"/>
        <w:spacing w:lineRule="auto" w:line="312" w:before="240" w:after="0"/>
        <w:jc w:val="left"/>
        <w:rPr>
          <w:rFonts w:ascii="Times New Roman" w:hAnsi="Times New Roman"/>
          <w:sz w:val="20"/>
        </w:rPr>
      </w:pPr>
      <w:r>
        <w:rPr>
          <w:rFonts w:ascii="Times New Roman" w:hAnsi="Times New Roman"/>
          <w:b w:val="false"/>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97</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privacy and security concerns, even if unfounded, could result in additional cost and liability to us, damage our reputation, and adversely affect our business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Our employees, consultants, and other commercial partners may engage in misconduct or other improper activities, including non-compliance with regulatory standards and requirements.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We are exposed to the risk that our employees, consultants, distributors and other commercial partners and business associates may engage in fraudulent or other illegal activity. Misconduct by these parties could include intentional, reckless or negligent conduct or other unauthorized activities that violate federal and/or state laws and regulations, such as laws or regulations requiring the reporting of true, complete and accurate information to such regulators, manufacturing standards, healthcare fraud and abuse laws and regulations in the U.S. and internationally or laws that require the true, complete and accurate reporting of financial information or data. In particular, sales, marketing and business arrangements in the healthcare industry, including the sale of medical devices,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It is not always possible to identify and deter misconduct by our employees, consultants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operations, any of which could adversely affect our business, financial condition and results of operations. Whether or not we are successful in defending against such actions or investigations, we could incur substantial costs, including legal fees and reputational harm, and divert the attention of management in defending ourselves against any of these claims or investigations.</w:t>
      </w:r>
    </w:p>
    <w:p>
      <w:pPr>
        <w:pStyle w:val="TextBody"/>
        <w:spacing w:lineRule="auto" w:line="312" w:before="360" w:after="0"/>
        <w:jc w:val="left"/>
        <w:rPr>
          <w:rFonts w:ascii="Times New Roman" w:hAnsi="Times New Roman"/>
          <w:b/>
          <w:i/>
          <w:sz w:val="20"/>
        </w:rPr>
      </w:pPr>
      <w:r>
        <w:rPr>
          <w:rFonts w:ascii="Times New Roman" w:hAnsi="Times New Roman"/>
          <w:b/>
          <w:i/>
          <w:sz w:val="20"/>
        </w:rPr>
        <w:t>Compliance with environmental laws and regulations could be expensive, and the failure to comply with these laws and regulations could subject us to significant liability.</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Our research and development operations involve the use of hazardous substances, such as isopropyl alcohol and various adhesives. We are subject to a variety of federal, state, local and foreign environmental laws and regulations relating to the storage, use, handling, generation, manufacture, treatment, discharge and disposal of, hazardous substances. Our products may also contain hazardous substances, and they are subject to laws and regulations relating to labelling requirements and to their sale, collection, recycling, treatment, storage and disposal. Compliance with these laws and regulations may be expensive and noncompliance could result in substantial fines and penalties. Environmental laws and regulations also impose liability for the remediation of releases of hazardous substances into the environment and for personal injuries resulting from exposure to hazardous substances, and they can give rise to substantial remediation costs and to third-party claims, including for property damage and personal injury. Liability under environmental laws and regulations can be joint and several and without regard to fault or negligence, and they tend to become more stringent over time, imposing greater compliance costs and increased risks and penalties associated with violations. We cannot assure you that violations of these laws and regulations, or releases of or exposure to hazardous substances, will not occur in the future or have not occurred in the past, including as a result of human error, accidents, equipment failure or other causes. The costs of complying with environmental laws and regulations, and liabilities that may be imposed for violating them, or for remediation obligations or responding to third-party claims, could negatively affect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Healthcare policy changes, including recently enacted legislation reforming the U.S. healthcare system, could harm our business, financial condition and results of operations.</w:t>
      </w:r>
    </w:p>
    <w:p>
      <w:pPr>
        <w:pStyle w:val="TextBody"/>
        <w:spacing w:lineRule="auto" w:line="312" w:before="120" w:after="0"/>
        <w:jc w:val="left"/>
        <w:rPr>
          <w:rFonts w:ascii="Times New Roman" w:hAnsi="Times New Roman"/>
          <w:sz w:val="20"/>
        </w:rPr>
      </w:pPr>
      <w:r>
        <w:rPr>
          <w:rFonts w:ascii="Times New Roman" w:hAnsi="Times New Roman"/>
          <w:b w:val="false"/>
          <w:sz w:val="20"/>
        </w:rPr>
        <w:t>In the U.S., there have been and continue to be a number of legislative initiatives to contain healthcare costs.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98</w:t>
      </w:r>
    </w:p>
    <w:p>
      <w:pPr>
        <w:pStyle w:val="HorizontalLine"/>
        <w:rPr/>
      </w:pPr>
      <w:r>
        <w:rPr/>
      </w:r>
    </w:p>
    <w:p>
      <w:pPr>
        <w:pStyle w:val="TextBody"/>
        <w:spacing w:lineRule="auto" w:line="312" w:before="0" w:after="0"/>
        <w:jc w:val="left"/>
        <w:rPr/>
      </w:pPr>
      <w:r>
        <w:rPr/>
        <w:t> </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 The Affordable Care Act, or ACA, made a number of substantial changes in the way healthcare is financed by both governmental and private insurers. Among other ways in which it may affect our business, the ACA:</w:t>
      </w:r>
    </w:p>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Imposed a new federal excise tax on the sale of certain medical devices, which was suspended, effective January 1, 2016, and permanently repealed in December 2019;</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Established a new Patient-Centered Outcomes Research Institute to oversee and identify priorities in comparative clinical effectiveness research in an effort to coordinate and develop such research;</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Implemented payment system reforms including a national pilot program on payment bundling to encourage hospitals, physicians and other providers to improve the coordination, quality and efficiency of certain healthcare services through bundled payment models; and</w:t>
            </w:r>
          </w:p>
        </w:tc>
      </w:tr>
    </w:tbl>
    <w:p>
      <w:pPr>
        <w:pStyle w:val="TextBody"/>
        <w:spacing w:lineRule="auto" w:line="312" w:before="0" w:after="0"/>
        <w:jc w:val="left"/>
        <w:rPr/>
      </w:pPr>
      <w:r>
        <w:rPr/>
        <w:t> </w:t>
      </w:r>
    </w:p>
    <w:tbl>
      <w:tblPr>
        <w:tblW w:w="5259" w:type="dxa"/>
        <w:jc w:val="left"/>
        <w:tblInd w:w="0" w:type="dxa"/>
        <w:tblCellMar>
          <w:top w:w="28" w:type="dxa"/>
          <w:left w:w="28" w:type="dxa"/>
          <w:bottom w:w="28" w:type="dxa"/>
          <w:right w:w="28" w:type="dxa"/>
        </w:tblCellMar>
      </w:tblPr>
      <w:tblGrid>
        <w:gridCol w:w="161"/>
        <w:gridCol w:w="256"/>
        <w:gridCol w:w="146"/>
        <w:gridCol w:w="469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9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469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Expanded the eligibility criteria for Medicaid programs.</w:t>
            </w:r>
          </w:p>
        </w:tc>
      </w:tr>
    </w:tbl>
    <w:p>
      <w:pPr>
        <w:pStyle w:val="TextBody"/>
        <w:spacing w:lineRule="auto" w:line="312" w:before="240" w:after="0"/>
        <w:jc w:val="left"/>
        <w:rPr>
          <w:rFonts w:ascii="Times New Roman" w:hAnsi="Times New Roman"/>
          <w:b w:val="false"/>
          <w:sz w:val="20"/>
        </w:rPr>
      </w:pPr>
      <w:r>
        <w:rPr>
          <w:rFonts w:ascii="Times New Roman" w:hAnsi="Times New Roman"/>
          <w:b w:val="false"/>
          <w:sz w:val="20"/>
        </w:rPr>
        <w:t>Since its enactment, there have been judicial and Congressional challenges to certain aspects of the ACA, and we expect there will be additional challenges and amendments to the ACA in the future. By way of example, the Tax Cuts and Jobs Act of 2017, or TCJA, was enacted, which, among other things, removes penalties for not complying with the individual mandate to carry health insurance. On June 17, 2021, the U.S. Supreme Court dismissed the most recent judicial challenge to the ACA brought by several states without specifically ruling on the constitutionality of the ACA. It is unclear how healthcare reform measures of the Biden administration or other efforts, if any, to challenge, repeal or replace the ACA will impact the law and our business. Any expansion in the government’s role in the U.S. healthcare industry may result in decreased profits to us, lower reimbursement by payors for procedures using OMNI, and/or reduced medical procedure volumes, any of which may have a material adverse effect on our business, financial condition or results of operations.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In addition, other legislative changes have been proposed and adopted since the Affordable Care Act was enacted. The Budget Control Act of 2011, among other things, reduced Medicare payments to providers by 2% per fiscal year, effective on April 1, 2013 and, due to subsequent legislative amendments to the statute, will remain in effect through 2030, with the exception of a temporary suspension from May 1, 2020 through March 31, 2021, unless additional Congressional action is taken. Additionally, the American Taxpayer Relief Act of 2012, among other things, reduced Medicare payments to several providers, including hospitals, and increased the statute of limitations period for the government to recover overpayments to providers from three to five years. The Medicare Access and CHIP Reauthorization Act of 2015, or MACRA, enacted on April 16, 2015, repealed the formula by which Medicare made annual payment adjustments to physicians and replaced the former formula with fixed annual updates and a new system of incentive payments that are based on various performance measures and physicians’ participation in alternative payment models such as accountable care organizations. It is unclear what effect new quality and payment programs, such as MACRA, may have on our business, financial condition, results of operations or cash flows.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expect additional state and federal healthcare policies and reform measures to be adopted in the future, any of which could limit reimbursement for healthcare products and services or otherwise result in reduced demand for our products or additional pricing pressure and have a material adverse effect on our industry generally and on our customers. We cannot predict what other healthcare programs and regulations will ultimately be implemented at the federal or state level or the effect of any future legislation or regulation in the U.S. may negatively affect our business, financial condition and results of operations. The continuing efforts of the government, insurance companies, managed care organizations and other payors of healthcare services to contain or reduce costs of healthcare may adversely affect:</w:t>
      </w:r>
    </w:p>
    <w:p>
      <w:pPr>
        <w:pStyle w:val="TextBody"/>
        <w:spacing w:lineRule="auto" w:line="312" w:before="0" w:after="0"/>
        <w:jc w:val="left"/>
        <w:rPr/>
      </w:pPr>
      <w:r>
        <w:rPr/>
        <w:t> </w:t>
      </w:r>
    </w:p>
    <w:tbl>
      <w:tblPr>
        <w:tblW w:w="5829" w:type="dxa"/>
        <w:jc w:val="left"/>
        <w:tblInd w:w="0" w:type="dxa"/>
        <w:tblCellMar>
          <w:top w:w="28" w:type="dxa"/>
          <w:left w:w="28" w:type="dxa"/>
          <w:bottom w:w="28" w:type="dxa"/>
          <w:right w:w="28" w:type="dxa"/>
        </w:tblCellMar>
      </w:tblPr>
      <w:tblGrid>
        <w:gridCol w:w="161"/>
        <w:gridCol w:w="256"/>
        <w:gridCol w:w="146"/>
        <w:gridCol w:w="526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526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ability to set a price that we believe is fair for our products;</w:t>
            </w:r>
          </w:p>
        </w:tc>
      </w:tr>
    </w:tbl>
    <w:p>
      <w:pPr>
        <w:pStyle w:val="TextBody"/>
        <w:spacing w:lineRule="auto" w:line="312" w:before="0" w:after="0"/>
        <w:jc w:val="left"/>
        <w:rPr/>
      </w:pPr>
      <w:r>
        <w:rPr/>
        <w:t> </w:t>
      </w:r>
    </w:p>
    <w:tbl>
      <w:tblPr>
        <w:tblW w:w="6669" w:type="dxa"/>
        <w:jc w:val="left"/>
        <w:tblInd w:w="0" w:type="dxa"/>
        <w:tblCellMar>
          <w:top w:w="28" w:type="dxa"/>
          <w:left w:w="28" w:type="dxa"/>
          <w:bottom w:w="28" w:type="dxa"/>
          <w:right w:w="28" w:type="dxa"/>
        </w:tblCellMar>
      </w:tblPr>
      <w:tblGrid>
        <w:gridCol w:w="161"/>
        <w:gridCol w:w="256"/>
        <w:gridCol w:w="146"/>
        <w:gridCol w:w="610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0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610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Our ability to generate revenue and achieve or maintain profitability; and</w:t>
            </w:r>
          </w:p>
        </w:tc>
      </w:tr>
    </w:tbl>
    <w:p>
      <w:pPr>
        <w:pStyle w:val="TextBody"/>
        <w:spacing w:lineRule="auto" w:line="312" w:before="0" w:after="0"/>
        <w:jc w:val="left"/>
        <w:rPr/>
      </w:pPr>
      <w:r>
        <w:rPr/>
        <w:t> </w:t>
      </w:r>
    </w:p>
    <w:tbl>
      <w:tblPr>
        <w:tblW w:w="2874" w:type="dxa"/>
        <w:jc w:val="left"/>
        <w:tblInd w:w="0" w:type="dxa"/>
        <w:tblCellMar>
          <w:top w:w="28" w:type="dxa"/>
          <w:left w:w="28" w:type="dxa"/>
          <w:bottom w:w="28" w:type="dxa"/>
          <w:right w:w="28" w:type="dxa"/>
        </w:tblCellMar>
      </w:tblPr>
      <w:tblGrid>
        <w:gridCol w:w="161"/>
        <w:gridCol w:w="256"/>
        <w:gridCol w:w="146"/>
        <w:gridCol w:w="231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2311"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The availability of capital.</w:t>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99</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Any changes of, or uncertainty with respect to, future coverage or reimbursement rates could affect demand for our products, which in turn could impact our ability to successfully commercialize these devices and could have a material adverse effect on our business, financial condition and results of operations.</w:t>
      </w:r>
    </w:p>
    <w:p>
      <w:pPr>
        <w:pStyle w:val="TextBody"/>
        <w:spacing w:lineRule="auto" w:line="312" w:before="360" w:after="0"/>
        <w:jc w:val="left"/>
        <w:rPr>
          <w:rFonts w:ascii="Times New Roman" w:hAnsi="Times New Roman"/>
          <w:b/>
          <w:i/>
          <w:sz w:val="20"/>
        </w:rPr>
      </w:pPr>
      <w:r>
        <w:rPr>
          <w:rFonts w:ascii="Times New Roman" w:hAnsi="Times New Roman"/>
          <w:b/>
          <w:i/>
          <w:sz w:val="20"/>
        </w:rPr>
        <w:t>Our ability to continue sales of our products in the European Union may be materially impaired if we do not take necessary steps to comply with the certification requirements of the new EU Medical Devices Regulation.</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On May 25, 2017, the EU Medical Devices Regulation (Regulation 2017/745) entered into force, which repeals and replaces the EU Medical Devices Directive. Unlike directives, which must be implemented into the national laws of the EU member states, regulations are directly applicable (i.e., without the need for adoption of EU member state laws implementing them) in all EU member states and are intended to eliminate current differences in the regulation of medical devices among EU member states. The Medical Devices Regulation, among other things, is intended to establish a uniform, transparent, predictable and sustainable regulatory framework across the EU for medical devices and ensure a high level of safety and health while supporting innovation.</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Medical Devices Regulation was originally intended to become effective three years after publication, but in April 2020 the transition period was extended by the European Parliament and the Council of the EU by an additional year, until May 26, 2021. Devices lawfully placed on the market pursuant to the EU Medical Devices Directive prior to May 26, 2021 may generally continue to be made available on the market or put into service until May 26, 2025. Once effective, the new regulations will among other things:</w:t>
      </w:r>
    </w:p>
    <w:p>
      <w:pPr>
        <w:pStyle w:val="TextBody"/>
        <w:spacing w:lineRule="auto" w:line="312" w:before="0" w:after="0"/>
        <w:jc w:val="left"/>
        <w:rPr/>
      </w:pPr>
      <w:r>
        <w:rPr/>
        <w:t> </w:t>
      </w:r>
    </w:p>
    <w:tbl>
      <w:tblPr>
        <w:tblW w:w="9189" w:type="dxa"/>
        <w:jc w:val="left"/>
        <w:tblInd w:w="0" w:type="dxa"/>
        <w:tblCellMar>
          <w:top w:w="28" w:type="dxa"/>
          <w:left w:w="28" w:type="dxa"/>
          <w:bottom w:w="28" w:type="dxa"/>
          <w:right w:w="28" w:type="dxa"/>
        </w:tblCellMar>
      </w:tblPr>
      <w:tblGrid>
        <w:gridCol w:w="161"/>
        <w:gridCol w:w="256"/>
        <w:gridCol w:w="146"/>
        <w:gridCol w:w="862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6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862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Strengthen the rules on placing devices on the market and reinforce surveillance once they are available;</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Establish explicit provisions on manufacturers’ responsibilities for the follow-up of the quality, performance and safety of devices placed on the market;</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Improve the traceability of medical devices throughout the supply chain to the end-user or patient through a unique identification number;</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Set up a central database to provide patients, healthcare professionals and the public with comprehensive information on products available in the EU; and</w:t>
            </w:r>
          </w:p>
        </w:tc>
      </w:tr>
    </w:tbl>
    <w:p>
      <w:pPr>
        <w:pStyle w:val="TextBody"/>
        <w:spacing w:lineRule="auto" w:line="312"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312" w:before="0" w:after="0"/>
              <w:ind w:left="0" w:right="0" w:hanging="0"/>
              <w:jc w:val="left"/>
              <w:rPr/>
            </w:pPr>
            <w:r>
              <w:rPr/>
              <w:t> </w:t>
            </w:r>
          </w:p>
        </w:tc>
        <w:tc>
          <w:tcPr>
            <w:tcW w:w="25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w:t>
            </w:r>
          </w:p>
        </w:tc>
        <w:tc>
          <w:tcPr>
            <w:tcW w:w="146" w:type="dxa"/>
            <w:tcBorders/>
            <w:shd w:fill="auto" w:val="clear"/>
            <w:vAlign w:val="center"/>
          </w:tcPr>
          <w:p>
            <w:pPr>
              <w:pStyle w:val="TableContents"/>
              <w:spacing w:lineRule="auto" w:line="312" w:before="0" w:after="0"/>
              <w:ind w:left="0" w:right="0" w:hanging="0"/>
              <w:jc w:val="left"/>
              <w:rPr/>
            </w:pPr>
            <w:r>
              <w:rPr/>
              <w:t> </w:t>
            </w:r>
          </w:p>
        </w:tc>
        <w:tc>
          <w:tcPr>
            <w:tcW w:w="9642"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Strengthen the rules for the assessment of certain high-risk devices, which may have to undergo an additional check by experts before they are placed on the market.</w:t>
            </w:r>
          </w:p>
        </w:tc>
      </w:tr>
    </w:tbl>
    <w:p>
      <w:pPr>
        <w:pStyle w:val="TextBody"/>
        <w:spacing w:lineRule="auto" w:line="312" w:before="0" w:after="0"/>
        <w:jc w:val="left"/>
        <w:rPr/>
      </w:pPr>
      <w:r>
        <w:rPr/>
        <w:t> </w:t>
      </w:r>
    </w:p>
    <w:p>
      <w:pPr>
        <w:pStyle w:val="TextBody"/>
        <w:spacing w:lineRule="auto" w:line="312" w:before="80" w:after="0"/>
        <w:jc w:val="left"/>
        <w:rPr>
          <w:rFonts w:ascii="Times New Roman" w:hAnsi="Times New Roman"/>
          <w:b w:val="false"/>
          <w:sz w:val="20"/>
        </w:rPr>
      </w:pPr>
      <w:r>
        <w:rPr>
          <w:rFonts w:ascii="Times New Roman" w:hAnsi="Times New Roman"/>
          <w:b w:val="false"/>
          <w:sz w:val="20"/>
        </w:rPr>
        <w:t>These modifications may have an effect on the way we design and manufacture products and conduct our business in the EU and EEA (also including Norway, Liechtenstein and Iceland). For example, as a result of the transition towards the new regime, notified body review times have lengthened, and product introductions or modifications could be delayed or canceled, which could adversely affect our ability to grow our business.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EU-UK Trade and Cooperation Agreement, or TCA, came into effect on January 1, 2021. The TCA does not specifically refer to medical devices. However, as a result of Brexit, the EU Medical Devices Regulation will not be implemented in the UK, and previous legislation that mirrored the EU Medical Devices Regulation in the UK law has been revoked. The regulatory regime for medical devices in the UK will continue to be based on the requirements derived from current EU legislation, and the UK may choose to retain regulatory flexibility or align with the EU MDR going forward. CE markings will continue to be recognized in the UK, and certificates issued by EU-recognized Notified Bodies will be valid in the UK, until June 30, 2023. For medical devices placed on the UK market after this period, the UK Conformity Assessment (UKCA) marking will be mandatory. In contrast, UKCA marking and certificates issued by UK Notified Bodies will not be recognized on the EU market. The TCA does provide for cooperation and exchange of information in the area of product safety and compliance, including market surveillance, enforcement activities and measures, standardization related activities, exchanges of officials, and coordinated product recalls (or other similar actions). For medical devices that are locally manufactured but use components from other countries, the “rules of origin” criteria will need to be reviewed. Depending on which countries products will be ultimately sold in, manufacturers may start seeking alternative sources for components if this would allow them to benefit from no tariffs. The rules for placing medical devices on the Northern Ireland market will differ from those in the UK. These modifications may have an effect on the way we design and manufacture products and we conduct our business in these countries.</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100</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sz w:val="20"/>
        </w:rPr>
      </w:pPr>
      <w:r>
        <w:rPr>
          <w:rFonts w:ascii="Times New Roman" w:hAnsi="Times New Roman"/>
          <w:b/>
          <w:sz w:val="20"/>
        </w:rPr>
        <w:t>Risks Related to Our Common Stock</w:t>
      </w:r>
    </w:p>
    <w:p>
      <w:pPr>
        <w:pStyle w:val="TextBody"/>
        <w:spacing w:lineRule="auto" w:line="324" w:before="0" w:after="0"/>
        <w:jc w:val="left"/>
        <w:rPr/>
      </w:pPr>
      <w:r>
        <w:rPr/>
        <w:t> </w:t>
      </w:r>
    </w:p>
    <w:p>
      <w:pPr>
        <w:pStyle w:val="TextBody"/>
        <w:spacing w:lineRule="auto" w:line="324" w:before="0" w:after="0"/>
        <w:jc w:val="left"/>
        <w:rPr>
          <w:rFonts w:ascii="Times New Roman" w:hAnsi="Times New Roman"/>
          <w:b/>
          <w:i/>
          <w:sz w:val="20"/>
        </w:rPr>
      </w:pPr>
      <w:r>
        <w:rPr>
          <w:rFonts w:ascii="Times New Roman" w:hAnsi="Times New Roman"/>
          <w:b/>
          <w:i/>
          <w:sz w:val="20"/>
        </w:rPr>
        <w:t>The price of our common stock may fluctuate substantially or may decline regardless of our operating performance and you could lose all or part of your investment</w:t>
      </w:r>
    </w:p>
    <w:p>
      <w:pPr>
        <w:pStyle w:val="TextBody"/>
        <w:spacing w:lineRule="auto" w:line="324" w:before="0" w:after="0"/>
        <w:jc w:val="left"/>
        <w:rPr/>
      </w:pPr>
      <w:r>
        <w:rPr/>
        <w:t> </w:t>
      </w:r>
    </w:p>
    <w:p>
      <w:pPr>
        <w:pStyle w:val="TextBody"/>
        <w:spacing w:lineRule="auto" w:line="324" w:before="0" w:after="0"/>
        <w:jc w:val="left"/>
        <w:rPr>
          <w:rFonts w:ascii="Times New Roman" w:hAnsi="Times New Roman"/>
          <w:b w:val="false"/>
          <w:sz w:val="20"/>
        </w:rPr>
      </w:pPr>
      <w:r>
        <w:rPr>
          <w:rFonts w:ascii="Times New Roman" w:hAnsi="Times New Roman"/>
          <w:b w:val="false"/>
          <w:sz w:val="20"/>
        </w:rPr>
        <w:t>The market price of our common stock may be highly volatile and may fluctuate or decline substantially as a result of a variety of factors, some of which are beyond our control or are related in complex ways, including:</w:t>
      </w:r>
    </w:p>
    <w:p>
      <w:pPr>
        <w:pStyle w:val="TextBody"/>
        <w:spacing w:lineRule="atLeast" w:line="141" w:before="9" w:after="0"/>
        <w:jc w:val="left"/>
        <w:rPr/>
      </w:pPr>
      <w:r>
        <w:rPr/>
        <w:t> </w:t>
      </w:r>
    </w:p>
    <w:p>
      <w:pPr>
        <w:pStyle w:val="TextBody"/>
        <w:spacing w:lineRule="auto" w:line="312" w:before="0" w:after="0"/>
        <w:rPr/>
      </w:pPr>
      <w:r>
        <w:rPr/>
        <w:t></w:t>
      </w:r>
    </w:p>
    <w:p>
      <w:pPr>
        <w:pStyle w:val="TextBody"/>
        <w:spacing w:lineRule="auto" w:line="312" w:before="0" w:after="0"/>
        <w:rPr>
          <w:rFonts w:ascii="Times New Roman" w:hAnsi="Times New Roman"/>
          <w:b w:val="false"/>
          <w:sz w:val="20"/>
        </w:rPr>
      </w:pPr>
      <w:r>
        <w:rPr>
          <w:rFonts w:ascii="Times New Roman" w:hAnsi="Times New Roman"/>
          <w:b w:val="false"/>
          <w:sz w:val="20"/>
        </w:rPr>
        <w:t>Changes in analysts’ estimates, investors’ perceptions, recommendations by securities analysts or our failure to achieve analysts’ estimates;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Quarterly variations in our or our competitors’ results of operations;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Periodic fluctuations in our revenue, which could be due in part to the way in which we recognize revenue;</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financial projections we may provide to the public, any changes in these projections or our failure to meet these projections;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Future sales of our common stock or other securities, by us or our stockholders, as well as the anticipation of lock-up releases or lock-up waivers;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trading volume of our common stock;</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General market conditions and other factors unrelated to our operating performance or the operating performance of our competitors;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Changes in reimbursement by current or potential payors;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Changes in operating performance and stock market valuations of other technology companies generally, or those in the medical device industry in particular;</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Actual or anticipated changes in regulatory oversight of our products;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results of our clinical trials;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loss of key personnel, including changes in our board of directors and management;</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Product recalls or other problems associated with our products;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Legislation or regulation of our market;</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Lawsuits threatened or filed against us, including litigation by current or former employees alleging wrongful termination, sexual harassment, whistleblower or other claims;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announcement of new products or product enhancements by us or our competitors;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Announced or completed acquisitions of businesses or technologies by us or our competitors;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Announcements related to patents issued to us or our competitors and related litigation; and</w:t>
      </w:r>
    </w:p>
    <w:p>
      <w:pPr>
        <w:pStyle w:val="TextBody"/>
        <w:spacing w:lineRule="auto" w:line="312" w:before="120" w:after="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Developments in our industry.</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In addition, the trading prices for common stock of other medical device companies have been highly volatile as a result of the COVID-19 pandemic. The COVID-19 outbreak continues to rapidly evolve. The extent to which the outbreak may impact our business will depend on future developments, which are highly uncertain and cannot be predicted with confidence.</w:t>
      </w:r>
    </w:p>
    <w:p>
      <w:pPr>
        <w:pStyle w:val="TextBody"/>
        <w:spacing w:lineRule="auto" w:line="324" w:before="240" w:after="0"/>
        <w:jc w:val="left"/>
        <w:rPr>
          <w:rFonts w:ascii="Times New Roman" w:hAnsi="Times New Roman"/>
          <w:sz w:val="20"/>
        </w:rPr>
      </w:pPr>
      <w:r>
        <w:rPr>
          <w:rFonts w:ascii="Times New Roman" w:hAnsi="Times New Roman"/>
          <w:b w:val="false"/>
          <w:sz w:val="20"/>
        </w:rPr>
        <w:t>In recent years, the stock markets generally have experienced extreme price and volume fluctuations that have often been unrelated or disproportionate to the operating performance of listed companies. Broad market and industry factors may significantly affect the market price of our common stock, regardless of our actual operating performance.</w:t>
      </w:r>
      <w:r>
        <w:rPr>
          <w:rFonts w:ascii="Times New Roman" w:hAnsi="Times New Roman"/>
          <w:sz w:val="20"/>
        </w:rPr>
        <w:t xml:space="preserve"> </w:t>
      </w:r>
    </w:p>
    <w:p>
      <w:pPr>
        <w:pStyle w:val="TextBody"/>
        <w:spacing w:lineRule="auto" w:line="324" w:before="240" w:after="0"/>
        <w:jc w:val="left"/>
        <w:rPr>
          <w:rFonts w:ascii="Times New Roman" w:hAnsi="Times New Roman"/>
          <w:sz w:val="20"/>
        </w:rPr>
      </w:pPr>
      <w:r>
        <w:rPr>
          <w:rFonts w:ascii="Times New Roman" w:hAnsi="Times New Roman"/>
          <w:b w:val="false"/>
          <w:sz w:val="20"/>
        </w:rPr>
        <w:t>In addition, in the past, stockholders have instituted securities class action litigation following periods of market volatility. If we were to become involved in securities litigation, it could subject us to substantial costs,</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101</w:t>
      </w:r>
    </w:p>
    <w:p>
      <w:pPr>
        <w:pStyle w:val="HorizontalLine"/>
        <w:rPr/>
      </w:pPr>
      <w:r>
        <w:rPr/>
      </w:r>
    </w:p>
    <w:p>
      <w:pPr>
        <w:pStyle w:val="TextBody"/>
        <w:spacing w:lineRule="auto" w:line="312" w:before="0" w:after="0"/>
        <w:jc w:val="left"/>
        <w:rPr/>
      </w:pPr>
      <w:r>
        <w:rPr/>
        <w:t> </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divert resources and the attention of management from our business and harm our business, results of operations, financial condition and reputation. These factors may materially and adversely affect the market price of our common stock.</w:t>
      </w:r>
    </w:p>
    <w:p>
      <w:pPr>
        <w:pStyle w:val="TextBody"/>
        <w:spacing w:lineRule="auto" w:line="324" w:before="360" w:after="0"/>
        <w:jc w:val="left"/>
        <w:rPr>
          <w:rFonts w:ascii="Times New Roman" w:hAnsi="Times New Roman"/>
          <w:b/>
          <w:i/>
          <w:sz w:val="20"/>
        </w:rPr>
      </w:pPr>
      <w:r>
        <w:rPr>
          <w:rFonts w:ascii="Times New Roman" w:hAnsi="Times New Roman"/>
          <w:b/>
          <w:i/>
          <w:sz w:val="20"/>
        </w:rPr>
        <w:t>Securities analysts may not publish favorable research or reports about our business or may publish no information at all, which could cause our stock price or trading volume to decline.</w:t>
      </w:r>
    </w:p>
    <w:p>
      <w:pPr>
        <w:pStyle w:val="TextBody"/>
        <w:spacing w:lineRule="auto" w:line="324" w:before="120" w:after="0"/>
        <w:jc w:val="left"/>
        <w:rPr>
          <w:rFonts w:ascii="Times New Roman" w:hAnsi="Times New Roman"/>
          <w:b w:val="false"/>
          <w:sz w:val="20"/>
        </w:rPr>
      </w:pPr>
      <w:r>
        <w:rPr>
          <w:rFonts w:ascii="Times New Roman" w:hAnsi="Times New Roman"/>
          <w:b w:val="false"/>
          <w:sz w:val="20"/>
        </w:rPr>
        <w:t>Our stock price and trading volume may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If a trading market for our common stock develops, the trading market will be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common stock will have had relatively little experience with us or our industry,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We may also fail to meet the expectations of these analysts, leading to a reduction in the market price of our common stock. If one or more of these analysts cease coverage of us or fail to publish reports covering us regularly, we could lose visibility in the market, which in turn could cause our stock price or trading volume to decline.</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pStyle w:val="TextBody"/>
        <w:spacing w:lineRule="auto" w:line="324" w:before="360" w:after="0"/>
        <w:jc w:val="left"/>
        <w:rPr>
          <w:rFonts w:ascii="Times New Roman" w:hAnsi="Times New Roman"/>
          <w:b/>
          <w:i/>
          <w:sz w:val="20"/>
        </w:rPr>
      </w:pPr>
      <w:r>
        <w:rPr>
          <w:rFonts w:ascii="Times New Roman" w:hAnsi="Times New Roman"/>
          <w:b/>
          <w:i/>
          <w:sz w:val="20"/>
        </w:rPr>
        <w:t>We are an emerging growth company and a smaller reporting company and we cannot be certain if the reduced disclosure requirements applicable to us will make our common stock less attractive to investors.</w:t>
      </w:r>
    </w:p>
    <w:p>
      <w:pPr>
        <w:pStyle w:val="TextBody"/>
        <w:spacing w:lineRule="auto" w:line="324" w:before="120" w:after="0"/>
        <w:jc w:val="left"/>
        <w:rPr>
          <w:rFonts w:ascii="Times New Roman" w:hAnsi="Times New Roman"/>
          <w:b w:val="false"/>
          <w:sz w:val="20"/>
        </w:rPr>
      </w:pPr>
      <w:r>
        <w:rPr>
          <w:rFonts w:ascii="Times New Roman" w:hAnsi="Times New Roman"/>
          <w:b w:val="false"/>
          <w:sz w:val="20"/>
        </w:rPr>
        <w:t>We are an “emerging growth company,” as defined in the JOBS Act, and we take advantage of certain exemptions and relief from various reporting requirements that are applicable to other public companies that are not emerging growth companies. In particular, while we are an emerging growth company, we are not required to comply with the auditor attestation requirements of Section 404(b) of the Sarbanes-Oxley Act of 2002, or the Sarbanes-Oxley Act; we are exempt from any rules that could be adopted by the Public Company Accounting Oversight Board requiring mandatory audit firm rotations or a supplement to the auditor’s report on financial statements; we are subject to reduced disclosure obligations regarding executive compensation in our periodic reports and proxy statements; and we are not required to hold nonbinding advisory votes on executive compensation or stockholder approval of any golden parachute payments not previously approved.</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In addition, while we are an emerging growth company we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take advantage of this extended transition period and, as a result, our operating results and financial statements may not be comparable to the operating results and financial statements of companies who have adopted the new or revised accounting standards.</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We will remain an emerging growth company until the earlier of (1) December 31, 2026, (2) the last day of the fiscal year in which we have total annual gross revenue of at least $1.07 billion, (3) the last day of the fiscal year in which we are deemed to be a large accelerated filer, which requires the market value of our common stock that is held by non-affiliates to exceed $700.0 million as of the prior June 30th, or (4) the date on which we have issued more than $1.0 billion in non-convertible debt during the prior three-year period.</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102</w:t>
      </w:r>
    </w:p>
    <w:p>
      <w:pPr>
        <w:pStyle w:val="HorizontalLine"/>
        <w:rPr/>
      </w:pPr>
      <w:r>
        <w:rPr/>
      </w:r>
    </w:p>
    <w:p>
      <w:pPr>
        <w:pStyle w:val="TextBody"/>
        <w:spacing w:lineRule="auto" w:line="312" w:before="0" w:after="0"/>
        <w:jc w:val="left"/>
        <w:rPr/>
      </w:pPr>
      <w:r>
        <w:rPr/>
        <w:t> </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Investors may find our common stock less attractive to the extent we rely on the exemptions and relief granted by the JOBS Act. We have elected to take advantage of these exemptions and relief. If some investors find our common stock less attractive as a result, there may be a less active trading market for our common stock and our stock price may decline or become more volatile.</w:t>
      </w:r>
    </w:p>
    <w:p>
      <w:pPr>
        <w:pStyle w:val="TextBody"/>
        <w:spacing w:lineRule="auto" w:line="324" w:before="360" w:after="0"/>
        <w:jc w:val="left"/>
        <w:rPr>
          <w:rFonts w:ascii="Times New Roman" w:hAnsi="Times New Roman"/>
          <w:b/>
          <w:i/>
          <w:sz w:val="20"/>
        </w:rPr>
      </w:pPr>
      <w:r>
        <w:rPr>
          <w:rFonts w:ascii="Times New Roman" w:hAnsi="Times New Roman"/>
          <w:b/>
          <w:i/>
          <w:sz w:val="20"/>
        </w:rPr>
        <w:t>A significant portion of our total outstanding shares are restricted from immediate resale but may be sold into the market in the near future. This could cause the market price of our common stock to drop significantly, even if our business is doing well.</w:t>
      </w:r>
    </w:p>
    <w:p>
      <w:pPr>
        <w:pStyle w:val="TextBody"/>
        <w:spacing w:lineRule="atLeast" w:line="141" w:before="0" w:after="0"/>
        <w:jc w:val="left"/>
        <w:rPr/>
      </w:pPr>
      <w:r>
        <w:rPr/>
        <w:t> </w:t>
      </w:r>
    </w:p>
    <w:p>
      <w:pPr>
        <w:pStyle w:val="TextBody"/>
        <w:spacing w:lineRule="auto" w:line="324" w:before="0" w:after="0"/>
        <w:jc w:val="left"/>
        <w:rPr>
          <w:rFonts w:ascii="Times New Roman" w:hAnsi="Times New Roman"/>
          <w:b w:val="false"/>
          <w:sz w:val="20"/>
        </w:rPr>
      </w:pPr>
      <w:r>
        <w:rPr>
          <w:rFonts w:ascii="Times New Roman" w:hAnsi="Times New Roman"/>
          <w:b w:val="false"/>
          <w:sz w:val="20"/>
        </w:rPr>
        <w:t>Sales of a substantial number of shares of our common stock in the public market could occur at any time. These sales, or the perception in the market that the holders of a large number of shares intend to sell their shares, could result in a decrease in the market price of our common stock. We will have 45,266,436 shares of common stock outstanding based on the number of shares outstanding as of June 30, 2021. 35,266,436 shares are currently restricted as a result of vesting restrictions, securities laws or 180-day lock-up agreements (which may be waived, with or without notice, by Morgan Stanley &amp; Co. LLC and BofA Securities, Inc.). Moreover, holders of an aggregate of up to 17,213,910 shares of our common stock, including shares of our common stock issuable upon the conversion of the shares of our convertible preferred stock, will have rights, subject to some conditions, to require us to file registration statements covering their shares or to include their shares in registration statements that we may file for ourselves or other stockholders.</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We have also registered all shares of common stock that we may issue under our equity compensation plans. Once we register these shares, they can be freely sold in the public market, subject to volume limitations applicable to affiliates and the lock-up agreements described in the section of this prospectus entitled “Underwriters.”</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Sales of our common stock as restrictions end or pursuant to registration rights may make it more difficult for us to sell equity securities in the future at a time and at a price that we deem appropriate. These sales also could cause the price of our common stock to fall and make it more difficult for you to sell shares of our common stock.</w:t>
      </w:r>
    </w:p>
    <w:p>
      <w:pPr>
        <w:pStyle w:val="TextBody"/>
        <w:spacing w:lineRule="auto" w:line="324" w:before="360" w:after="120"/>
        <w:jc w:val="left"/>
        <w:rPr>
          <w:rFonts w:ascii="Times New Roman" w:hAnsi="Times New Roman"/>
          <w:b/>
          <w:i/>
          <w:sz w:val="20"/>
        </w:rPr>
      </w:pPr>
      <w:r>
        <w:rPr>
          <w:rFonts w:ascii="Times New Roman" w:hAnsi="Times New Roman"/>
          <w:b/>
          <w:i/>
          <w:sz w:val="20"/>
        </w:rPr>
        <w:t>Our directors, executive officers and principal stockholders have significant voting power and may take actions that may not be in the best interests of our other stockholders.</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As of June 30, 2021, our executive officers, directors and principal stockholders each holding more than 5% of our common stock will collectively control approximately 64.8% of our outstanding common stock (assuming no exercise of the underwriters’ option to purchase additional shares of common stock and that they do not purchase any shares in the Directed Share Program). As a result, these stockholders, if they act together, will be able to control the management and affairs of our company and most matters requiring stockholder approval, including the election of directors and approval of significant corporate transactions. This concentration of ownership may have the effect of delaying or preventing a change of control and might adversely affect the market price of our common stock. This concentration of ownership may not be in the best interests of our other stockholders.</w:t>
      </w:r>
    </w:p>
    <w:p>
      <w:pPr>
        <w:pStyle w:val="TextBody"/>
        <w:spacing w:lineRule="auto" w:line="324" w:before="360" w:after="120"/>
        <w:jc w:val="left"/>
        <w:rPr>
          <w:rFonts w:ascii="Times New Roman" w:hAnsi="Times New Roman"/>
          <w:b/>
          <w:i/>
          <w:sz w:val="20"/>
        </w:rPr>
      </w:pPr>
      <w:r>
        <w:rPr>
          <w:rFonts w:ascii="Times New Roman" w:hAnsi="Times New Roman"/>
          <w:b/>
          <w:i/>
          <w:sz w:val="20"/>
        </w:rPr>
        <w:t>We incur significant additional costs as a result of being a public company, and our management is required to devote substantial time to compliance with our public company responsibilities and corporate governance practices.</w:t>
      </w:r>
    </w:p>
    <w:p>
      <w:pPr>
        <w:pStyle w:val="TextBody"/>
        <w:spacing w:lineRule="auto" w:line="324" w:before="0" w:after="0"/>
        <w:jc w:val="left"/>
        <w:rPr>
          <w:rFonts w:ascii="Times New Roman" w:hAnsi="Times New Roman"/>
          <w:sz w:val="20"/>
        </w:rPr>
      </w:pPr>
      <w:r>
        <w:rPr>
          <w:rFonts w:ascii="Times New Roman" w:hAnsi="Times New Roman"/>
          <w:b w:val="false"/>
          <w:sz w:val="20"/>
        </w:rPr>
        <w:t>As a public company, we incur costs associated with corporate governance requirements, including rules and regulations of the SEC, under the Sarbanes-Oxley Act, the Dodd-Frank Wall Street Reform and Consumer</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103</w:t>
      </w:r>
    </w:p>
    <w:p>
      <w:pPr>
        <w:pStyle w:val="HorizontalLine"/>
        <w:rPr/>
      </w:pPr>
      <w:r>
        <w:rPr/>
      </w:r>
    </w:p>
    <w:p>
      <w:pPr>
        <w:pStyle w:val="TextBody"/>
        <w:spacing w:lineRule="auto" w:line="312" w:before="0" w:after="0"/>
        <w:jc w:val="left"/>
        <w:rPr/>
      </w:pPr>
      <w:r>
        <w:rPr/>
        <w:t> </w:t>
      </w:r>
    </w:p>
    <w:p>
      <w:pPr>
        <w:pStyle w:val="TextBody"/>
        <w:spacing w:lineRule="auto" w:line="324" w:before="0" w:after="0"/>
        <w:jc w:val="left"/>
        <w:rPr>
          <w:rFonts w:ascii="Times New Roman" w:hAnsi="Times New Roman"/>
          <w:b w:val="false"/>
          <w:sz w:val="20"/>
        </w:rPr>
      </w:pPr>
      <w:r>
        <w:rPr>
          <w:rFonts w:ascii="Times New Roman" w:hAnsi="Times New Roman"/>
          <w:b w:val="false"/>
          <w:sz w:val="20"/>
        </w:rPr>
        <w:t>Protection Act of 2010, and the Exchange Act, as well as the rules of Nasdaq. These rules and regulations are expected to significantly increase our accounting, legal and financial compliance costs and make some activities more time-consuming. We expect such expenses to further increase after we are no longer an emerging growth company. We also expect these rules and regulations to make it more expensive for us to maintain directors’ and officers’ liability insurance. As a result, it may be more difficult for us to attract and retain qualified persons to serve on our board of directors or as executive officers. Furthermore, these rules and regulations will increase our legal and financial compliance costs and will make some activities more time-consuming and costly. We cannot predict or estimate the amount of additional costs we will incur as a public company or the timing of such costs. Accordingly, increases in costs incurred as a result of becoming a publicly traded company may adversely affect our business, financial condition and results of operations.</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We may also be subject to more stringent state law requirements. For example, on September 30, 2018, California signed into law Senate Bill 826, which generally requires public companies with principal executive offices in California to have a minimum number of females on the company’s board of directors. By December 31, 2019, each public company with principal executive offices in California was required to have at least one female on its board of directors. By December 31, 2021, each public company is required to have at least two females on its board of directors if the company has at least five directors, and at least three females on its board of directors if the company has at least six directors. The new law does not provide a transition period for newly listed companies. We are currently compliant with the requirements, but there are no assurances that we will be compliant in the future. If we fail to comply with this new law, we could be fined by the California Secretary of State, with a $100,000 fine for the first violation and a $300,000 fine for each subsequent violation, and our reputation may be adversely affected. Further, in September 2020, California enacted AB 979 requiring public companies headquartered in California to maintain minimum representation on their boards of directors from members of underrepresented communities as follow: by the end of 2021, at least one director from an underrepresented community, by end of 2022, public company boards with more than four but fewer than nine members will be required to have at least two directors from underrepresented communities, and public company boards with nine or more members will be required to have at least three directors from underrepresented communities. Failure to achieve designated minimum levels in a timely manner exposes such companies to financial penalties and reputational harm. If we are unable to recruit, attract and/or retain qualified members of the board and meet the requirements of the California laws it may expose us to penalties and/or reputational harm.</w:t>
      </w:r>
    </w:p>
    <w:p>
      <w:pPr>
        <w:pStyle w:val="TextBody"/>
        <w:spacing w:lineRule="auto" w:line="324" w:before="360" w:after="120"/>
        <w:jc w:val="left"/>
        <w:rPr>
          <w:rFonts w:ascii="Times New Roman" w:hAnsi="Times New Roman"/>
          <w:b/>
          <w:i/>
          <w:sz w:val="20"/>
        </w:rPr>
      </w:pPr>
      <w:r>
        <w:rPr>
          <w:rFonts w:ascii="Times New Roman" w:hAnsi="Times New Roman"/>
          <w:b/>
          <w:i/>
          <w:sz w:val="20"/>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pStyle w:val="TextBody"/>
        <w:spacing w:lineRule="auto" w:line="324" w:before="0" w:after="0"/>
        <w:jc w:val="left"/>
        <w:rPr>
          <w:rFonts w:ascii="Times New Roman" w:hAnsi="Times New Roman"/>
          <w:b w:val="false"/>
          <w:sz w:val="20"/>
        </w:rPr>
      </w:pPr>
      <w:r>
        <w:rPr>
          <w:rFonts w:ascii="Times New Roman" w:hAnsi="Times New Roman"/>
          <w:b w:val="false"/>
          <w:sz w:val="20"/>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Although we will be required to disclose changes made in our internal controls and procedures on a quarterly basis, we are not required to make our first annual assessment of our internal control over financial reporting pursuant to Section 404 until the year following our first annual report required to be filed with the SEC.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At such time, our independent registered public accounting firm may issue a report that is adverse in the event material weaknesses have been identified in our internal control over financial reporting.</w:t>
      </w:r>
    </w:p>
    <w:p>
      <w:pPr>
        <w:pStyle w:val="TextBody"/>
        <w:spacing w:lineRule="auto" w:line="324" w:before="240" w:after="0"/>
        <w:jc w:val="left"/>
        <w:rPr>
          <w:rFonts w:ascii="Times New Roman" w:hAnsi="Times New Roman"/>
          <w:sz w:val="20"/>
        </w:rPr>
      </w:pPr>
      <w:r>
        <w:rPr>
          <w:rFonts w:ascii="Times New Roman" w:hAnsi="Times New Roman"/>
          <w:b w:val="false"/>
          <w:sz w:val="20"/>
        </w:rPr>
        <w:t>To comply with the requirements of being a public company, we need to undertake actions, such as implementing new internal controls and procedures and hiring additional accounting or internal audit staff. Testing and maintaining internal control can divert our management’s attention from other matters that are important to the operation of our business. In addition,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 requirements of Section 404 in a timely manner or</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104</w:t>
      </w:r>
    </w:p>
    <w:p>
      <w:pPr>
        <w:pStyle w:val="HorizontalLine"/>
        <w:rPr/>
      </w:pPr>
      <w:r>
        <w:rPr/>
      </w:r>
    </w:p>
    <w:p>
      <w:pPr>
        <w:pStyle w:val="TextBody"/>
        <w:spacing w:lineRule="auto" w:line="312" w:before="0" w:after="0"/>
        <w:jc w:val="left"/>
        <w:rPr/>
      </w:pPr>
      <w:r>
        <w:rPr/>
        <w:t> </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As a result, the market price of our common stock could be materially adversely affected.</w:t>
      </w:r>
    </w:p>
    <w:p>
      <w:pPr>
        <w:pStyle w:val="TextBody"/>
        <w:spacing w:lineRule="auto" w:line="324" w:before="360" w:after="120"/>
        <w:jc w:val="left"/>
        <w:rPr>
          <w:rFonts w:ascii="Times New Roman" w:hAnsi="Times New Roman"/>
          <w:b/>
          <w:i/>
          <w:sz w:val="20"/>
        </w:rPr>
      </w:pPr>
      <w:r>
        <w:rPr>
          <w:rFonts w:ascii="Times New Roman" w:hAnsi="Times New Roman"/>
          <w:b/>
          <w:i/>
          <w:sz w:val="20"/>
        </w:rPr>
        <w:t>Material weaknesses in our internal control over financial reporting may cause us to fail to timely and accurately report our financial results or result in a material misstatement of our financial statements.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In connection with the audit of our financial statements for the year ended December 31, 2020, we identified a material weakness in our internal controls due to a lack of sufficient full-time accounting personnel with requisite experience and deep technical accounting knowledge to (i) identify and resolve complex accounting issues under generally accepted accounting principles in the United States, or GAAP, and (ii) enable appropriate segregation of duties and reviews over the financial reviews over the financial close and reporting process.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We are evaluating and implementing additional internal controls and procedures to remediate this material weakness, however, we cannot assure you that these or other measures will fully remediate the material weakness in a timely manner or prevent future material weaknesses from occurring. As part of our remediation plan to address the material weakness identified above, we are actively working to hire additional accounting employees with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SEC or other regulatory authorities. If additional material weaknesses exist or are discovered in the future, and we are unable to remediate any such material weaknesses, our reputation, financial condition, and operating results could suffer.</w:t>
      </w:r>
    </w:p>
    <w:p>
      <w:pPr>
        <w:pStyle w:val="TextBody"/>
        <w:spacing w:lineRule="auto" w:line="312" w:before="360" w:after="0"/>
        <w:jc w:val="left"/>
        <w:rPr>
          <w:rFonts w:ascii="Times New Roman" w:hAnsi="Times New Roman"/>
          <w:sz w:val="20"/>
        </w:rPr>
      </w:pPr>
      <w:r>
        <w:rPr>
          <w:rFonts w:ascii="Times New Roman" w:hAnsi="Times New Roman"/>
          <w:b/>
          <w:i/>
          <w:sz w:val="20"/>
        </w:rPr>
        <w:t>Our disclosure controls and procedures may not prevent or detect all errors or acts of fraud.</w:t>
      </w:r>
      <w:r>
        <w:rPr>
          <w:rFonts w:ascii="Times New Roman" w:hAnsi="Times New Roman"/>
          <w:sz w:val="20"/>
        </w:rPr>
        <w:t xml:space="preserve"> </w:t>
      </w:r>
    </w:p>
    <w:p>
      <w:pPr>
        <w:pStyle w:val="TextBody"/>
        <w:spacing w:lineRule="auto" w:line="324" w:before="120" w:after="0"/>
        <w:jc w:val="left"/>
        <w:rPr>
          <w:rFonts w:ascii="Times New Roman" w:hAnsi="Times New Roman"/>
          <w:b w:val="false"/>
          <w:sz w:val="20"/>
        </w:rPr>
      </w:pPr>
      <w:r>
        <w:rPr>
          <w:rFonts w:ascii="Times New Roman" w:hAnsi="Times New Roman"/>
          <w:b w:val="false"/>
          <w:sz w:val="20"/>
        </w:rPr>
        <w:t>Upon the closing of the initial public offering of our common stock, we became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spacing w:lineRule="auto" w:line="324" w:before="360" w:after="0"/>
        <w:jc w:val="left"/>
        <w:rPr>
          <w:rFonts w:ascii="Times New Roman" w:hAnsi="Times New Roman"/>
          <w:b/>
          <w:i/>
          <w:sz w:val="20"/>
        </w:rPr>
      </w:pPr>
      <w:r>
        <w:rPr>
          <w:rFonts w:ascii="Times New Roman" w:hAnsi="Times New Roman"/>
          <w:b/>
          <w:i/>
          <w:sz w:val="20"/>
        </w:rPr>
        <w:t>Provisions in our corporate charter documents and under Delaware law could make an acquisition of our company, which may be beneficial to our stockholders, more difficult and may prevent attempts by our stockholders to replace or remove our current management.</w:t>
      </w:r>
    </w:p>
    <w:p>
      <w:pPr>
        <w:pStyle w:val="TextBody"/>
        <w:spacing w:lineRule="auto" w:line="324" w:before="120" w:after="0"/>
        <w:jc w:val="left"/>
        <w:rPr>
          <w:rFonts w:ascii="Times New Roman" w:hAnsi="Times New Roman"/>
          <w:sz w:val="20"/>
        </w:rPr>
      </w:pPr>
      <w:r>
        <w:rPr>
          <w:rFonts w:ascii="Times New Roman" w:hAnsi="Times New Roman"/>
          <w:b w:val="false"/>
          <w:sz w:val="20"/>
        </w:rPr>
        <w:t>Provisions in our restated certificate of incorporation and our restated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105</w:t>
      </w:r>
    </w:p>
    <w:p>
      <w:pPr>
        <w:pStyle w:val="HorizontalLine"/>
        <w:rPr/>
      </w:pPr>
      <w:r>
        <w:rPr/>
      </w:r>
    </w:p>
    <w:p>
      <w:pPr>
        <w:pStyle w:val="TextBody"/>
        <w:spacing w:lineRule="auto" w:line="312" w:before="0" w:after="0"/>
        <w:jc w:val="left"/>
        <w:rPr/>
      </w:pPr>
      <w:r>
        <w:rPr/>
        <w:t> </w:t>
      </w:r>
    </w:p>
    <w:p>
      <w:pPr>
        <w:pStyle w:val="TextBody"/>
        <w:spacing w:lineRule="auto" w:line="324" w:before="120" w:after="0"/>
        <w:jc w:val="left"/>
        <w:rPr>
          <w:rFonts w:ascii="Times New Roman" w:hAnsi="Times New Roman"/>
          <w:b w:val="false"/>
          <w:sz w:val="20"/>
        </w:rPr>
      </w:pPr>
      <w:r>
        <w:rPr>
          <w:rFonts w:ascii="Times New Roman" w:hAnsi="Times New Roman"/>
          <w:b w:val="false"/>
          <w:sz w:val="20"/>
        </w:rPr>
        <w:t>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A classified board of directors with three-year staggered terms, which may delay the ability of stockholders to change the membership of a majority of our board of directors;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No cumulative voting in the election of directors, which limits the ability of minority stockholders to elect director candidates;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ability of our board of directors to alter our bylaws without obtaining stockholder approval;</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A prohibition on stockholder action by written consent, which forces stockholder action to be taken at an annual or special meeting of our stockholders;</w:t>
      </w:r>
    </w:p>
    <w:p>
      <w:pPr>
        <w:pStyle w:val="TextBody"/>
        <w:spacing w:lineRule="auto" w:line="312" w:before="120" w:after="0"/>
        <w:rPr/>
      </w:pPr>
      <w:r>
        <w:rPr/>
        <w:t></w:t>
      </w:r>
    </w:p>
    <w:p>
      <w:pPr>
        <w:pStyle w:val="TextBody"/>
        <w:spacing w:lineRule="auto" w:line="312" w:before="120" w:after="0"/>
        <w:rPr>
          <w:rFonts w:ascii="Times New Roman" w:hAnsi="Times New Roman"/>
          <w:b w:val="false"/>
          <w:sz w:val="20"/>
        </w:rPr>
      </w:pPr>
      <w:r>
        <w:rPr>
          <w:rFonts w:ascii="Times New Roman" w:hAnsi="Times New Roman"/>
          <w:b w:val="false"/>
          <w:sz w:val="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pStyle w:val="TextBody"/>
        <w:spacing w:lineRule="auto" w:line="312" w:before="120" w:after="0"/>
        <w:rPr/>
      </w:pPr>
      <w:r>
        <w:rPr/>
        <w:t></w:t>
      </w:r>
    </w:p>
    <w:p>
      <w:pPr>
        <w:pStyle w:val="TextBody"/>
        <w:spacing w:lineRule="auto" w:line="312" w:before="120" w:after="283"/>
        <w:rPr>
          <w:rFonts w:ascii="Times New Roman" w:hAnsi="Times New Roman"/>
          <w:b w:val="false"/>
          <w:sz w:val="20"/>
        </w:rPr>
      </w:pPr>
      <w:r>
        <w:rPr>
          <w:rFonts w:ascii="Times New Roman" w:hAnsi="Times New Roman"/>
          <w:b w:val="false"/>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pStyle w:val="TextBody"/>
        <w:spacing w:lineRule="auto" w:line="324" w:before="360" w:after="0"/>
        <w:jc w:val="left"/>
        <w:rPr>
          <w:rFonts w:ascii="Times New Roman" w:hAnsi="Times New Roman"/>
          <w:b/>
          <w:i/>
          <w:sz w:val="20"/>
        </w:rPr>
      </w:pPr>
      <w:r>
        <w:rPr>
          <w:rFonts w:ascii="Times New Roman" w:hAnsi="Times New Roman"/>
          <w:b/>
          <w:i/>
          <w:sz w:val="20"/>
        </w:rPr>
        <w:t>Our restated certificate of incorporation designates specific courts as the exclusive forum for certain litigation that may be initiated by our stockholders, which could limit our stockholders’ ability to obtain a favorable judicial forum for disputes with us.</w:t>
      </w:r>
    </w:p>
    <w:p>
      <w:pPr>
        <w:pStyle w:val="TextBody"/>
        <w:spacing w:lineRule="atLeast" w:line="141" w:before="0" w:after="0"/>
        <w:jc w:val="left"/>
        <w:rPr/>
      </w:pPr>
      <w:r>
        <w:rPr/>
        <w:t> </w:t>
      </w:r>
    </w:p>
    <w:p>
      <w:pPr>
        <w:pStyle w:val="TextBody"/>
        <w:spacing w:lineRule="auto" w:line="324" w:before="0" w:after="0"/>
        <w:jc w:val="left"/>
        <w:rPr>
          <w:rFonts w:ascii="Times New Roman" w:hAnsi="Times New Roman"/>
          <w:sz w:val="20"/>
        </w:rPr>
      </w:pPr>
      <w:r>
        <w:rPr>
          <w:rFonts w:ascii="Times New Roman" w:hAnsi="Times New Roman"/>
          <w:b w:val="false"/>
          <w:sz w:val="20"/>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restated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106</w:t>
      </w:r>
    </w:p>
    <w:p>
      <w:pPr>
        <w:pStyle w:val="HorizontalLine"/>
        <w:rPr/>
      </w:pPr>
      <w:r>
        <w:rPr/>
      </w:r>
    </w:p>
    <w:p>
      <w:pPr>
        <w:pStyle w:val="TextBody"/>
        <w:spacing w:lineRule="auto" w:line="312" w:before="0" w:after="0"/>
        <w:jc w:val="left"/>
        <w:rPr/>
      </w:pPr>
      <w:r>
        <w:rPr/>
        <w:t> </w:t>
      </w:r>
    </w:p>
    <w:p>
      <w:pPr>
        <w:pStyle w:val="TextBody"/>
        <w:spacing w:lineRule="auto" w:line="324" w:before="0" w:after="0"/>
        <w:jc w:val="left"/>
        <w:rPr>
          <w:rFonts w:ascii="Times New Roman" w:hAnsi="Times New Roman"/>
          <w:b w:val="false"/>
          <w:sz w:val="20"/>
        </w:rPr>
      </w:pPr>
      <w:r>
        <w:rPr>
          <w:rFonts w:ascii="Times New Roman" w:hAnsi="Times New Roman"/>
          <w:b w:val="false"/>
          <w:sz w:val="20"/>
        </w:rPr>
        <w:t>capital stock shall be deemed to have notice of and to have consented to the provisions of our restated certificate of incorporation described above.</w:t>
      </w:r>
    </w:p>
    <w:p>
      <w:pPr>
        <w:pStyle w:val="TextBody"/>
        <w:spacing w:lineRule="auto" w:line="324" w:before="240" w:after="0"/>
        <w:jc w:val="left"/>
        <w:rPr>
          <w:rFonts w:ascii="Times New Roman" w:hAnsi="Times New Roman"/>
          <w:b w:val="false"/>
          <w:sz w:val="20"/>
        </w:rPr>
      </w:pPr>
      <w:r>
        <w:rPr>
          <w:rFonts w:ascii="Times New Roman" w:hAnsi="Times New Roman"/>
          <w:b w:val="false"/>
          <w:sz w:val="20"/>
        </w:rPr>
        <w:t>We believe these provisions benefit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provision may also have the effect of resulting in increased costs to a stockholder seeking to bring a claim against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107</w:t>
      </w:r>
    </w:p>
    <w:p>
      <w:pPr>
        <w:pStyle w:val="HorizontalLine"/>
        <w:rPr/>
      </w:pPr>
      <w:r>
        <w:rPr/>
      </w:r>
    </w:p>
    <w:p>
      <w:pPr>
        <w:pStyle w:val="TextBody"/>
        <w:spacing w:lineRule="auto" w:line="312" w:before="0" w:after="0"/>
        <w:jc w:val="left"/>
        <w:rPr/>
      </w:pPr>
      <w:r>
        <w:rPr/>
        <w:t> </w:t>
      </w:r>
    </w:p>
    <w:p>
      <w:pPr>
        <w:pStyle w:val="TextBody"/>
        <w:spacing w:lineRule="auto" w:line="312" w:before="360" w:after="0"/>
        <w:jc w:val="left"/>
        <w:rPr>
          <w:rFonts w:ascii="Times New Roman" w:hAnsi="Times New Roman"/>
          <w:b/>
          <w:sz w:val="20"/>
        </w:rPr>
      </w:pPr>
      <w:bookmarkStart w:id="16" w:name="item_2_unregistered_sales_of_equity"/>
      <w:bookmarkEnd w:id="16"/>
      <w:r>
        <w:rPr>
          <w:rFonts w:ascii="Times New Roman" w:hAnsi="Times New Roman"/>
          <w:b/>
          <w:sz w:val="20"/>
        </w:rPr>
        <w:t>Item 2. Unregistered Sales of Equity Securities and Use of Proceeds.</w:t>
      </w:r>
    </w:p>
    <w:p>
      <w:pPr>
        <w:pStyle w:val="TextBody"/>
        <w:spacing w:lineRule="auto" w:line="312" w:before="120" w:after="0"/>
        <w:jc w:val="left"/>
        <w:rPr>
          <w:rFonts w:ascii="Times New Roman" w:hAnsi="Times New Roman"/>
          <w:b/>
          <w:sz w:val="20"/>
        </w:rPr>
      </w:pPr>
      <w:r>
        <w:rPr>
          <w:rFonts w:ascii="Times New Roman" w:hAnsi="Times New Roman"/>
          <w:b/>
          <w:sz w:val="20"/>
        </w:rPr>
        <w:t>Use of Proceeds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On July 19, 2021, the Company closed its initial public offering (“IPO”) of its common stock in which the Company issued and sold 10,000,000 shares of its common stock, and sold an additional 1,500,000 shares of common stock upon the full exercise of the underwriters’ option to purchase additional shares at $24.00 per share, raising approximately $253.0 million in proceeds, net of underwriting discounts and commissions of $19.3 million and estimated offering costs of $3.7 million, of which $3.3 million were incurred as of June 30, 2021.</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 net proceeds from our IPO have been used and will be used, together with our cash and cash equivalents: (i) to fund ongoing and future clinical trials of OMNI and TearCare; (ii) to support the marketing and sales efforts for our products; (iii) for research and development; and (iii) for working capital and other general corporate purposes.</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There has been no material change in the intended use of proceeds from our IPO as described in our final prospectus filed with the SEC pursuant to Rule 424(b)(4) on July 14, 2021.</w:t>
      </w:r>
    </w:p>
    <w:p>
      <w:pPr>
        <w:pStyle w:val="TextBody"/>
        <w:spacing w:lineRule="auto" w:line="312" w:before="240" w:after="0"/>
        <w:jc w:val="left"/>
        <w:rPr>
          <w:rFonts w:ascii="Times New Roman" w:hAnsi="Times New Roman"/>
          <w:b w:val="false"/>
          <w:sz w:val="20"/>
        </w:rPr>
      </w:pPr>
      <w:r>
        <w:rPr>
          <w:rFonts w:ascii="Times New Roman" w:hAnsi="Times New Roman"/>
          <w:b w:val="false"/>
          <w:sz w:val="20"/>
        </w:rPr>
        <w:t>Set forth below is information regarding shares of capital stock issued by us within the past three years. Also included is the consideration received by us for such shares and information relating to the section of the Securities Act, or rule of the Securities and Exchange Commission, under which exemption from registration was claimed.</w:t>
      </w:r>
    </w:p>
    <w:p>
      <w:pPr>
        <w:pStyle w:val="TextBody"/>
        <w:spacing w:lineRule="auto" w:line="312" w:before="360" w:after="0"/>
        <w:jc w:val="left"/>
        <w:rPr>
          <w:rFonts w:ascii="Times New Roman" w:hAnsi="Times New Roman"/>
          <w:b/>
          <w:i/>
          <w:sz w:val="20"/>
        </w:rPr>
      </w:pPr>
      <w:r>
        <w:rPr>
          <w:rFonts w:ascii="Times New Roman" w:hAnsi="Times New Roman"/>
          <w:b/>
          <w:i/>
          <w:sz w:val="20"/>
        </w:rPr>
        <w:t>Recent Sales of Unregistered Securities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312" w:before="360" w:after="0"/>
        <w:jc w:val="left"/>
        <w:rPr>
          <w:rFonts w:ascii="Times New Roman" w:hAnsi="Times New Roman"/>
          <w:b/>
          <w:i/>
          <w:sz w:val="20"/>
        </w:rPr>
      </w:pPr>
      <w:r>
        <w:rPr>
          <w:rFonts w:ascii="Times New Roman" w:hAnsi="Times New Roman"/>
          <w:b/>
          <w:i/>
          <w:sz w:val="20"/>
        </w:rPr>
        <w:t>Issuer Purchases of Equity Securities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None.</w:t>
      </w:r>
    </w:p>
    <w:p>
      <w:pPr>
        <w:pStyle w:val="TextBody"/>
        <w:spacing w:lineRule="auto" w:line="312" w:before="360" w:after="0"/>
        <w:jc w:val="left"/>
        <w:rPr>
          <w:rFonts w:ascii="Times New Roman" w:hAnsi="Times New Roman"/>
          <w:b/>
          <w:sz w:val="20"/>
        </w:rPr>
      </w:pPr>
      <w:bookmarkStart w:id="17" w:name="item_3_defaults_upon_senior_securities"/>
      <w:bookmarkEnd w:id="17"/>
      <w:r>
        <w:rPr>
          <w:rFonts w:ascii="Times New Roman" w:hAnsi="Times New Roman"/>
          <w:b/>
          <w:sz w:val="20"/>
        </w:rPr>
        <w:t>Item 3. Defaults Upon Senior Securities.</w:t>
      </w:r>
    </w:p>
    <w:p>
      <w:pPr>
        <w:pStyle w:val="TextBody"/>
        <w:spacing w:lineRule="auto" w:line="312" w:before="120" w:after="0"/>
        <w:jc w:val="left"/>
        <w:rPr>
          <w:rFonts w:ascii="Times New Roman" w:hAnsi="Times New Roman"/>
          <w:sz w:val="20"/>
        </w:rPr>
      </w:pPr>
      <w:r>
        <w:rPr>
          <w:rFonts w:ascii="Times New Roman" w:hAnsi="Times New Roman"/>
          <w:b w:val="false"/>
          <w:sz w:val="20"/>
        </w:rPr>
        <w:t>None.</w:t>
      </w:r>
      <w:r>
        <w:rPr>
          <w:rFonts w:ascii="Times New Roman" w:hAnsi="Times New Roman"/>
          <w:sz w:val="20"/>
        </w:rPr>
        <w:t xml:space="preserve"> </w:t>
      </w:r>
    </w:p>
    <w:p>
      <w:pPr>
        <w:pStyle w:val="TextBody"/>
        <w:spacing w:lineRule="auto" w:line="312" w:before="360" w:after="0"/>
        <w:jc w:val="left"/>
        <w:rPr>
          <w:rFonts w:ascii="Times New Roman" w:hAnsi="Times New Roman"/>
          <w:b/>
          <w:sz w:val="20"/>
        </w:rPr>
      </w:pPr>
      <w:bookmarkStart w:id="18" w:name="item_4_mine_safety_disclosures"/>
      <w:bookmarkEnd w:id="18"/>
      <w:r>
        <w:rPr>
          <w:rFonts w:ascii="Times New Roman" w:hAnsi="Times New Roman"/>
          <w:b/>
          <w:sz w:val="20"/>
        </w:rPr>
        <w:t>Item 4. Mine Safety Disclosures.</w:t>
      </w:r>
    </w:p>
    <w:p>
      <w:pPr>
        <w:pStyle w:val="TextBody"/>
        <w:spacing w:lineRule="auto" w:line="312" w:before="120" w:after="0"/>
        <w:jc w:val="left"/>
        <w:rPr>
          <w:rFonts w:ascii="Times New Roman" w:hAnsi="Times New Roman"/>
          <w:sz w:val="20"/>
        </w:rPr>
      </w:pPr>
      <w:r>
        <w:rPr>
          <w:rFonts w:ascii="Times New Roman" w:hAnsi="Times New Roman"/>
          <w:b w:val="false"/>
          <w:sz w:val="20"/>
        </w:rPr>
        <w:t>Not applicable.</w:t>
      </w:r>
      <w:r>
        <w:rPr>
          <w:rFonts w:ascii="Times New Roman" w:hAnsi="Times New Roman"/>
          <w:sz w:val="20"/>
        </w:rPr>
        <w:t xml:space="preserve"> </w:t>
      </w:r>
    </w:p>
    <w:p>
      <w:pPr>
        <w:pStyle w:val="TextBody"/>
        <w:spacing w:lineRule="auto" w:line="312" w:before="360" w:after="0"/>
        <w:jc w:val="left"/>
        <w:rPr>
          <w:rFonts w:ascii="Times New Roman" w:hAnsi="Times New Roman"/>
          <w:b/>
          <w:sz w:val="20"/>
        </w:rPr>
      </w:pPr>
      <w:bookmarkStart w:id="19" w:name="item_5_other_information"/>
      <w:bookmarkEnd w:id="19"/>
      <w:r>
        <w:rPr>
          <w:rFonts w:ascii="Times New Roman" w:hAnsi="Times New Roman"/>
          <w:b/>
          <w:sz w:val="20"/>
        </w:rPr>
        <w:t>Item 5. Other Information.</w:t>
      </w:r>
    </w:p>
    <w:p>
      <w:pPr>
        <w:pStyle w:val="TextBody"/>
        <w:spacing w:lineRule="auto" w:line="312" w:before="120" w:after="0"/>
        <w:jc w:val="left"/>
        <w:rPr>
          <w:rFonts w:ascii="Times New Roman" w:hAnsi="Times New Roman"/>
          <w:sz w:val="20"/>
        </w:rPr>
      </w:pPr>
      <w:r>
        <w:rPr>
          <w:rFonts w:ascii="Times New Roman" w:hAnsi="Times New Roman"/>
          <w:b w:val="false"/>
          <w:sz w:val="20"/>
        </w:rPr>
        <w:t>None.</w:t>
      </w:r>
      <w:r>
        <w:rPr>
          <w:rFonts w:ascii="Times New Roman" w:hAnsi="Times New Roman"/>
          <w:sz w:val="20"/>
        </w:rPr>
        <w:t xml:space="preserve">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108</w:t>
      </w:r>
    </w:p>
    <w:p>
      <w:pPr>
        <w:pStyle w:val="HorizontalLine"/>
        <w:rPr/>
      </w:pPr>
      <w:r>
        <w:rPr/>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sz w:val="20"/>
        </w:rPr>
      </w:pPr>
      <w:bookmarkStart w:id="20" w:name="item_6_exhibits"/>
      <w:bookmarkEnd w:id="20"/>
      <w:r>
        <w:rPr>
          <w:rFonts w:ascii="Times New Roman" w:hAnsi="Times New Roman"/>
          <w:b/>
          <w:sz w:val="20"/>
        </w:rPr>
        <w:t>Item 6. Exhibits.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The following exhibits are filed or furnished as a part of, or incorporated by reference into, this Quarterly Report on Form 10-Q.</w:t>
      </w:r>
    </w:p>
    <w:p>
      <w:pPr>
        <w:pStyle w:val="TextBody"/>
        <w:spacing w:lineRule="auto" w:line="312" w:before="120" w:after="0"/>
        <w:jc w:val="left"/>
        <w:rPr/>
      </w:pPr>
      <w:r>
        <w:rPr/>
        <w:t> </w:t>
      </w:r>
    </w:p>
    <w:tbl>
      <w:tblPr>
        <w:tblW w:w="10205" w:type="dxa"/>
        <w:jc w:val="left"/>
        <w:tblInd w:w="0" w:type="dxa"/>
        <w:tblCellMar>
          <w:top w:w="28" w:type="dxa"/>
          <w:left w:w="28" w:type="dxa"/>
          <w:bottom w:w="28" w:type="dxa"/>
          <w:right w:w="28" w:type="dxa"/>
        </w:tblCellMar>
      </w:tblPr>
      <w:tblGrid>
        <w:gridCol w:w="888"/>
        <w:gridCol w:w="146"/>
        <w:gridCol w:w="3921"/>
        <w:gridCol w:w="146"/>
        <w:gridCol w:w="1331"/>
        <w:gridCol w:w="146"/>
        <w:gridCol w:w="711"/>
        <w:gridCol w:w="146"/>
        <w:gridCol w:w="676"/>
        <w:gridCol w:w="146"/>
        <w:gridCol w:w="621"/>
        <w:gridCol w:w="146"/>
        <w:gridCol w:w="1181"/>
      </w:tblGrid>
      <w:tr>
        <w:trPr/>
        <w:tc>
          <w:tcPr>
            <w:tcW w:w="88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Incorporated by Reference</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Exhibit Number</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center"/>
              <w:rPr>
                <w:rFonts w:ascii="Times New Roman" w:hAnsi="Times New Roman"/>
                <w:b/>
                <w:sz w:val="18"/>
              </w:rPr>
            </w:pPr>
            <w:r>
              <w:rPr>
                <w:rFonts w:ascii="Times New Roman" w:hAnsi="Times New Roman"/>
                <w:b/>
                <w:sz w:val="18"/>
              </w:rPr>
              <w:t>Exhibit Description</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Form</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File No.</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Exhibit</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Filing Date</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sz w:val="18"/>
              </w:rPr>
            </w:pPr>
            <w:r>
              <w:rPr>
                <w:rFonts w:ascii="Times New Roman" w:hAnsi="Times New Roman"/>
                <w:b/>
                <w:sz w:val="18"/>
              </w:rPr>
              <w:t>Filed/Furnished Herewith</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Restated Certificate of Incorporation of Sight Sciences, Inc.</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8-K</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001-40587</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7/19/21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Amended and Restated Bylaws of Sight Sciences, Inc.</w:t>
            </w:r>
          </w:p>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8-K</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001-40587</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7/19/21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3.3</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Form of Restated Certificate of Incorporation of the Registrant.</w:t>
            </w:r>
          </w:p>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333-257936</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3.3</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7/8/21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4.1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Third Amended and Restated Investors’ Rights Agreement, dated as of November 23, 2020, as amended.</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333-257320</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4.1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7/8/21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4.2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Specimen Stock Certificate evidencing the shares of common stock</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333-257320</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4.2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7/8/21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4.3</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Form of Warrant to Purchase Stock</w:t>
            </w:r>
          </w:p>
          <w:p>
            <w:pPr>
              <w:pStyle w:val="TableContents"/>
              <w:spacing w:lineRule="auto" w:line="312"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S-1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333-257320</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4.3</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6/23/21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2021 Incentive Award Plan and form of option agreements thereunder.</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333-257320</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7/8/21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10.3</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Non-Employee Director Compensation Program.</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S-1/A</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333-257320</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10.3</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7/8/21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rPr>
            </w:pPr>
            <w:r>
              <w:rPr>
                <w:rFonts w:ascii="Times New Roman" w:hAnsi="Times New Roman"/>
                <w:b w:val="false"/>
                <w:sz w:val="18"/>
              </w:rPr>
              <w:t>10.4</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sz w:val="20"/>
              </w:rPr>
            </w:pPr>
            <w:r>
              <w:rPr>
                <w:rFonts w:ascii="Times New Roman" w:hAnsi="Times New Roman"/>
                <w:b w:val="false"/>
                <w:sz w:val="18"/>
              </w:rPr>
              <w:t>2021 Employee Stock Purchase Plan</w:t>
            </w:r>
            <w:r>
              <w:rPr>
                <w:rFonts w:ascii="Times New Roman" w:hAnsi="Times New Roman"/>
                <w:b w:val="false"/>
                <w:sz w:val="18"/>
                <w:u w:val="single"/>
              </w:rPr>
              <w:t>.</w:t>
            </w:r>
          </w:p>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S-1/A</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333-257320</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10.4</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7/8/21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10.5</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Form of Indemnification Agreement for Directors and Officers.</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S-1/A</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333-257320</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10.5</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7/8/21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10.6</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Employment Agreement between the Registrant and Paul Badawi, dated July 7, 2021.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S-1/A</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333-257320</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10.11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7/8/21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10.7</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Employment Agreement between the Registrant and Shawn O’Neil, dated July 7, 2021.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S-1/A</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333-257320</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10.12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7/8/21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10.8</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Employment Agreement between the Registrant and Sam Park, dated July 7, 2021.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S-1/A</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333-257320</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10.13</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7/8/21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10.9</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Employment Agreement between the Registrant and David Badawi, M.D., dated July 7, 2021.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S-1/A</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333-257320</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10.14</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7/8/21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31.1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ght-20210630ex31_1.htm">
              <w:r>
                <w:rPr>
                  <w:rStyle w:val="InternetLink"/>
                  <w:rFonts w:ascii="Times New Roman" w:hAnsi="Times New Roman"/>
                  <w:b w:val="false"/>
                  <w:sz w:val="18"/>
                  <w:u w:val="single"/>
                </w:rPr>
                <w:t>Certification of Chief Executive Officer pursuant to Rule 13a-14(a)/15d-14(a).</w:t>
              </w:r>
            </w:hyperlink>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31.2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ght-20210630ex31_2.htm">
              <w:r>
                <w:rPr>
                  <w:rStyle w:val="InternetLink"/>
                  <w:rFonts w:ascii="Times New Roman" w:hAnsi="Times New Roman"/>
                  <w:b w:val="false"/>
                  <w:sz w:val="18"/>
                  <w:u w:val="single"/>
                </w:rPr>
                <w:t>Certification of Chief Financial Officer pursuant to Rule 13a-14(a)/15d-14(a).</w:t>
              </w:r>
            </w:hyperlink>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32.1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ght-20210630ex32_1.htm">
              <w:r>
                <w:rPr>
                  <w:rStyle w:val="InternetLink"/>
                  <w:rFonts w:ascii="Times New Roman" w:hAnsi="Times New Roman"/>
                  <w:b w:val="false"/>
                  <w:sz w:val="18"/>
                  <w:u w:val="single"/>
                </w:rPr>
                <w:t>Certification of Chief Executive Officer pursuant to 18 U.S.C. Section 1350.</w:t>
              </w:r>
            </w:hyperlink>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32.2</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hyperlink w:anchor="sght-20210630ex32_2.htm">
              <w:r>
                <w:rPr>
                  <w:rStyle w:val="InternetLink"/>
                  <w:rFonts w:ascii="Times New Roman" w:hAnsi="Times New Roman"/>
                  <w:b w:val="false"/>
                  <w:sz w:val="18"/>
                  <w:u w:val="single"/>
                </w:rPr>
                <w:t>Certification of Chief Financial Officer pursuant to 18 U.S.C. Section 1350.</w:t>
              </w:r>
            </w:hyperlink>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101.INS</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Inline XBRL Instance Document - the instance document does not appear in the Interactive Data File because its XBRL tags are embedded within the Inline XBRL document.</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101.SCH</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Inline XBRL Taxonomy Extension Schema Document</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101.CAL</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Inline XBRL Taxonomy Extension Calculation Linkbase Document</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101.DEF</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Inline XBRL Taxonomy Extension Definition Linkbase Document</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w:t>
            </w:r>
          </w:p>
        </w:tc>
      </w:tr>
      <w:tr>
        <w:trPr/>
        <w:tc>
          <w:tcPr>
            <w:tcW w:w="888"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101.LAB</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39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Inline XBRL Taxonomy Extension Label Linkbase Document</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33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7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7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2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1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w:t>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109</w:t>
      </w:r>
    </w:p>
    <w:p>
      <w:pPr>
        <w:pStyle w:val="HorizontalLine"/>
        <w:rPr/>
      </w:pPr>
      <w:r>
        <w:rPr/>
      </w:r>
    </w:p>
    <w:p>
      <w:pPr>
        <w:pStyle w:val="TextBody"/>
        <w:spacing w:lineRule="auto" w:line="312" w:before="0" w:after="0"/>
        <w:jc w:val="left"/>
        <w:rPr/>
      </w:pPr>
      <w:r>
        <w:rPr/>
        <w:t> </w:t>
      </w:r>
    </w:p>
    <w:tbl>
      <w:tblPr>
        <w:tblW w:w="8948" w:type="dxa"/>
        <w:jc w:val="left"/>
        <w:tblInd w:w="0" w:type="dxa"/>
        <w:tblCellMar>
          <w:top w:w="28" w:type="dxa"/>
          <w:left w:w="28" w:type="dxa"/>
          <w:bottom w:w="28" w:type="dxa"/>
          <w:right w:w="28" w:type="dxa"/>
        </w:tblCellMar>
      </w:tblPr>
      <w:tblGrid>
        <w:gridCol w:w="766"/>
        <w:gridCol w:w="146"/>
        <w:gridCol w:w="6481"/>
        <w:gridCol w:w="146"/>
        <w:gridCol w:w="146"/>
        <w:gridCol w:w="146"/>
        <w:gridCol w:w="146"/>
        <w:gridCol w:w="146"/>
        <w:gridCol w:w="146"/>
        <w:gridCol w:w="146"/>
        <w:gridCol w:w="146"/>
        <w:gridCol w:w="146"/>
        <w:gridCol w:w="241"/>
      </w:tblGrid>
      <w:tr>
        <w:trPr/>
        <w:tc>
          <w:tcPr>
            <w:tcW w:w="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7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101.PRE</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4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Inline XBRL Taxonomy Extension Presentation Linkbase Document</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2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w:t>
            </w:r>
          </w:p>
        </w:tc>
      </w:tr>
      <w:tr>
        <w:trPr/>
        <w:tc>
          <w:tcPr>
            <w:tcW w:w="76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104</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648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Cover Page Interactive Data File (formatted as Inline XBRL and contained in Exhibit 101)</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14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u w:val="single"/>
              </w:rPr>
            </w:pPr>
            <w:r>
              <w:rPr>
                <w:u w:val="single"/>
              </w:rPr>
              <w:t> </w:t>
            </w:r>
          </w:p>
        </w:tc>
        <w:tc>
          <w:tcPr>
            <w:tcW w:w="24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18"/>
                <w:u w:val="single"/>
              </w:rPr>
            </w:pPr>
            <w:r>
              <w:rPr>
                <w:rFonts w:ascii="Times New Roman" w:hAnsi="Times New Roman"/>
                <w:b w:val="false"/>
                <w:sz w:val="18"/>
                <w:u w:val="single"/>
              </w:rPr>
              <w:t>*</w:t>
            </w:r>
          </w:p>
        </w:tc>
      </w:tr>
    </w:tbl>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18"/>
        </w:rPr>
      </w:pPr>
      <w:r>
        <w:rPr>
          <w:rFonts w:ascii="Times New Roman" w:hAnsi="Times New Roman"/>
          <w:b w:val="false"/>
          <w:sz w:val="18"/>
        </w:rPr>
        <w:t>*             Filed herewith.</w:t>
      </w:r>
    </w:p>
    <w:p>
      <w:pPr>
        <w:pStyle w:val="TextBody"/>
        <w:spacing w:lineRule="auto" w:line="312" w:before="0" w:after="0"/>
        <w:jc w:val="left"/>
        <w:rPr>
          <w:rFonts w:ascii="Times New Roman" w:hAnsi="Times New Roman"/>
          <w:b w:val="false"/>
          <w:sz w:val="18"/>
        </w:rPr>
      </w:pPr>
      <w:r>
        <w:rPr>
          <w:rFonts w:ascii="Times New Roman" w:hAnsi="Times New Roman"/>
          <w:b w:val="false"/>
          <w:sz w:val="18"/>
        </w:rPr>
        <w:t>**           Furnished herewith.</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110</w:t>
      </w:r>
    </w:p>
    <w:p>
      <w:pPr>
        <w:pStyle w:val="HorizontalLine"/>
        <w:rPr/>
      </w:pPr>
      <w:r>
        <w:rPr/>
      </w:r>
    </w:p>
    <w:p>
      <w:pPr>
        <w:pStyle w:val="TextBody"/>
        <w:spacing w:lineRule="auto" w:line="312" w:before="0" w:after="0"/>
        <w:jc w:val="left"/>
        <w:rPr/>
      </w:pPr>
      <w:r>
        <w:rPr/>
        <w:t> </w:t>
      </w:r>
    </w:p>
    <w:p>
      <w:pPr>
        <w:pStyle w:val="TextBody"/>
        <w:spacing w:lineRule="auto" w:line="312" w:before="0" w:after="0"/>
        <w:jc w:val="center"/>
        <w:rPr>
          <w:rFonts w:ascii="Times New Roman" w:hAnsi="Times New Roman"/>
          <w:b/>
          <w:sz w:val="20"/>
        </w:rPr>
      </w:pPr>
      <w:bookmarkStart w:id="21" w:name="signatures"/>
      <w:bookmarkEnd w:id="21"/>
      <w:r>
        <w:rPr>
          <w:rFonts w:ascii="Times New Roman" w:hAnsi="Times New Roman"/>
          <w:b/>
          <w:sz w:val="20"/>
        </w:rPr>
        <w:t>SIGNATURES</w:t>
      </w:r>
    </w:p>
    <w:p>
      <w:pPr>
        <w:pStyle w:val="TextBody"/>
        <w:spacing w:lineRule="auto" w:line="312" w:before="120" w:after="0"/>
        <w:jc w:val="left"/>
        <w:rPr>
          <w:rFonts w:ascii="Times New Roman" w:hAnsi="Times New Roman"/>
          <w:b w:val="false"/>
          <w:sz w:val="20"/>
        </w:rPr>
      </w:pPr>
      <w:r>
        <w:rPr>
          <w:rFonts w:ascii="Times New Roman" w:hAnsi="Times New Roman"/>
          <w:b w:val="false"/>
          <w:sz w:val="20"/>
        </w:rPr>
        <w:t>Pursuant to the requirements of the Securities Exchange Act of 1934, the registrant has duly caused this report to be signed on its behalf by the undersigned thereunto duly authorized.</w:t>
      </w:r>
    </w:p>
    <w:p>
      <w:pPr>
        <w:pStyle w:val="TextBody"/>
        <w:spacing w:lineRule="auto" w:line="312" w:before="120" w:after="0"/>
        <w:jc w:val="left"/>
        <w:rPr/>
      </w:pPr>
      <w:r>
        <w:rPr/>
        <w:t> </w:t>
      </w:r>
    </w:p>
    <w:tbl>
      <w:tblPr>
        <w:tblW w:w="5197" w:type="dxa"/>
        <w:jc w:val="left"/>
        <w:tblInd w:w="0" w:type="dxa"/>
        <w:tblCellMar>
          <w:top w:w="28" w:type="dxa"/>
          <w:left w:w="28" w:type="dxa"/>
          <w:bottom w:w="28" w:type="dxa"/>
          <w:right w:w="28" w:type="dxa"/>
        </w:tblCellMar>
      </w:tblPr>
      <w:tblGrid>
        <w:gridCol w:w="1471"/>
        <w:gridCol w:w="109"/>
        <w:gridCol w:w="406"/>
        <w:gridCol w:w="3211"/>
      </w:tblGrid>
      <w:tr>
        <w:trPr/>
        <w:tc>
          <w:tcPr>
            <w:tcW w:w="14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211" w:type="dxa"/>
            <w:tcBorders/>
            <w:shd w:fill="auto" w:val="clear"/>
            <w:vAlign w:val="center"/>
          </w:tcPr>
          <w:p>
            <w:pPr>
              <w:pStyle w:val="TableContents"/>
              <w:spacing w:before="0" w:after="283"/>
              <w:rPr>
                <w:sz w:val="4"/>
                <w:szCs w:val="4"/>
              </w:rPr>
            </w:pPr>
            <w:r>
              <w:rPr>
                <w:sz w:val="4"/>
                <w:szCs w:val="4"/>
              </w:rPr>
            </w:r>
          </w:p>
        </w:tc>
      </w:tr>
      <w:tr>
        <w:trPr/>
        <w:tc>
          <w:tcPr>
            <w:tcW w:w="147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7" w:type="dxa"/>
            <w:gridSpan w:val="2"/>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SIGHT SCIENCES, INC</w:t>
            </w:r>
          </w:p>
        </w:tc>
      </w:tr>
      <w:tr>
        <w:trPr/>
        <w:tc>
          <w:tcPr>
            <w:tcW w:w="147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47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August 12, 2021</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By:</w:t>
            </w:r>
          </w:p>
        </w:tc>
        <w:tc>
          <w:tcPr>
            <w:tcW w:w="3211" w:type="dxa"/>
            <w:tcBorders>
              <w:bottom w:val="single" w:sz="2" w:space="0" w:color="000000"/>
            </w:tcBorders>
            <w:shd w:fill="auto" w:val="clear"/>
            <w:tcMar>
              <w:top w:w="0" w:type="dxa"/>
              <w:left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 Paul Badawi</w:t>
            </w:r>
          </w:p>
        </w:tc>
      </w:tr>
      <w:tr>
        <w:trPr/>
        <w:tc>
          <w:tcPr>
            <w:tcW w:w="147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32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Paul Badawi</w:t>
            </w:r>
          </w:p>
        </w:tc>
      </w:tr>
      <w:tr>
        <w:trPr/>
        <w:tc>
          <w:tcPr>
            <w:tcW w:w="147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1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President and Chief Executive Officer</w:t>
            </w:r>
          </w:p>
        </w:tc>
      </w:tr>
      <w:tr>
        <w:trPr/>
        <w:tc>
          <w:tcPr>
            <w:tcW w:w="1471" w:type="dxa"/>
            <w:tcBorders/>
            <w:shd w:fill="auto" w:val="clear"/>
            <w:tcMar>
              <w:top w:w="0" w:type="dxa"/>
              <w:left w:w="0" w:type="dxa"/>
              <w:bottom w:w="0" w:type="dxa"/>
              <w:right w:w="0" w:type="dxa"/>
            </w:tcMar>
            <w:vAlign w:val="center"/>
          </w:tcPr>
          <w:p>
            <w:pPr>
              <w:pStyle w:val="TableContents"/>
              <w:spacing w:lineRule="auto" w:line="312"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2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bl>
    <w:p>
      <w:pPr>
        <w:pStyle w:val="TextBody"/>
        <w:spacing w:lineRule="auto" w:line="312" w:before="0" w:after="0"/>
        <w:jc w:val="left"/>
        <w:rPr/>
      </w:pPr>
      <w:r>
        <w:rPr/>
        <w:t> </w:t>
      </w:r>
    </w:p>
    <w:p>
      <w:pPr>
        <w:pStyle w:val="TextBody"/>
        <w:spacing w:lineRule="auto" w:line="312" w:before="0" w:after="0"/>
        <w:jc w:val="center"/>
        <w:rPr/>
      </w:pPr>
      <w:r>
        <w:rPr/>
        <w:t> </w:t>
      </w:r>
    </w:p>
    <w:p>
      <w:pPr>
        <w:pStyle w:val="TextBody"/>
        <w:spacing w:lineRule="auto" w:line="312" w:before="0" w:after="0"/>
        <w:jc w:val="center"/>
        <w:rPr>
          <w:rFonts w:ascii="Times New Roman" w:hAnsi="Times New Roman"/>
          <w:b w:val="false"/>
          <w:sz w:val="20"/>
        </w:rPr>
      </w:pPr>
      <w:r>
        <w:rPr>
          <w:rFonts w:ascii="Times New Roman" w:hAnsi="Times New Roman"/>
          <w:b w:val="false"/>
          <w:sz w:val="20"/>
        </w:rPr>
        <w:t>111</w:t>
      </w:r>
    </w:p>
    <w:p>
      <w:pPr>
        <w:pStyle w:val="HorizontalLine"/>
        <w:rPr/>
      </w:pPr>
      <w:r>
        <w:rPr/>
      </w:r>
      <w:r>
        <w:br w:type="page"/>
      </w:r>
    </w:p>
    <w:p>
      <w:pPr>
        <w:pStyle w:val="TextBody"/>
        <w:spacing w:lineRule="auto" w:line="312" w:before="0" w:after="0"/>
        <w:jc w:val="left"/>
        <w:rPr/>
      </w:pPr>
      <w:bookmarkStart w:id="22" w:name="sght-20210630ex31_1.htm"/>
      <w:bookmarkStart w:id="23" w:name="kssght20210630ex31_1"/>
      <w:bookmarkEnd w:id="22"/>
      <w:bookmarkEnd w:id="23"/>
      <w:r>
        <w:rPr/>
        <w:t> </w:t>
      </w:r>
    </w:p>
    <w:p>
      <w:pPr>
        <w:pStyle w:val="TextBody"/>
        <w:spacing w:lineRule="auto" w:line="312" w:before="0" w:after="0"/>
        <w:jc w:val="right"/>
        <w:rPr/>
      </w:pPr>
      <w:r>
        <w:rPr/>
        <w:t> </w:t>
      </w:r>
    </w:p>
    <w:p>
      <w:pPr>
        <w:pStyle w:val="TextBody"/>
        <w:spacing w:lineRule="auto" w:line="312" w:before="0" w:after="0"/>
        <w:jc w:val="right"/>
        <w:rPr>
          <w:rFonts w:ascii="Times New Roman" w:hAnsi="Times New Roman"/>
          <w:b/>
          <w:sz w:val="20"/>
        </w:rPr>
      </w:pPr>
      <w:r>
        <w:rPr>
          <w:rFonts w:ascii="Times New Roman" w:hAnsi="Times New Roman"/>
          <w:b/>
          <w:sz w:val="20"/>
        </w:rPr>
        <w:t>Exhibit 31.1</w:t>
      </w:r>
    </w:p>
    <w:p>
      <w:pPr>
        <w:pStyle w:val="TextBody"/>
        <w:spacing w:lineRule="auto" w:line="312" w:before="0" w:after="0"/>
        <w:jc w:val="center"/>
        <w:rPr>
          <w:rFonts w:ascii="Times New Roman" w:hAnsi="Times New Roman"/>
          <w:b/>
          <w:sz w:val="20"/>
        </w:rPr>
      </w:pPr>
      <w:r>
        <w:rPr>
          <w:rFonts w:ascii="Times New Roman" w:hAnsi="Times New Roman"/>
          <w:b/>
          <w:sz w:val="20"/>
        </w:rPr>
        <w:t>Certification</w:t>
      </w:r>
    </w:p>
    <w:p>
      <w:pPr>
        <w:pStyle w:val="TextBody"/>
        <w:spacing w:lineRule="auto" w:line="312" w:before="0" w:after="0"/>
        <w:jc w:val="center"/>
        <w:rPr/>
      </w:pPr>
      <w:r>
        <w:rPr/>
        <w:t> </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 Paul Badawi, certify that:</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1.</w:t>
      </w:r>
    </w:p>
    <w:p>
      <w:pPr>
        <w:pStyle w:val="TextBody"/>
        <w:spacing w:lineRule="auto" w:line="312"/>
        <w:rPr>
          <w:rFonts w:ascii="Times New Roman" w:hAnsi="Times New Roman"/>
          <w:b w:val="false"/>
          <w:sz w:val="20"/>
        </w:rPr>
      </w:pPr>
      <w:r>
        <w:rPr>
          <w:rFonts w:ascii="Times New Roman" w:hAnsi="Times New Roman"/>
          <w:b w:val="false"/>
          <w:sz w:val="20"/>
        </w:rPr>
        <w:t>I have reviewed this Quarterly Report on Form 10-Q of Sight Sciences, Inc.;</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2.</w:t>
      </w:r>
    </w:p>
    <w:p>
      <w:pPr>
        <w:pStyle w:val="TextBody"/>
        <w:spacing w:lineRule="auto" w:line="312"/>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3.</w:t>
      </w:r>
    </w:p>
    <w:p>
      <w:pPr>
        <w:pStyle w:val="TextBody"/>
        <w:spacing w:lineRule="auto" w:line="312"/>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t xml:space="preserve">  </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4.</w:t>
      </w:r>
    </w:p>
    <w:p>
      <w:pPr>
        <w:pStyle w:val="TextBody"/>
        <w:spacing w:lineRule="auto" w:line="312" w:before="0" w:after="0"/>
        <w:rPr>
          <w:rFonts w:ascii="Times New Roman" w:hAnsi="Times New Roman"/>
          <w:b w:val="false"/>
          <w:sz w:val="20"/>
        </w:rPr>
      </w:pPr>
      <w:r>
        <w:rPr>
          <w:rFonts w:ascii="Times New Roman" w:hAnsi="Times New Roman"/>
          <w:b w:val="false"/>
          <w:sz w:val="20"/>
        </w:rPr>
        <w:t>The registrant’s other certifying officer and I are responsible for establishing and maintaining disclosure controls and procedures (as defined in Exchange Act Rules 13a-15(e) and 15d-15(e)) for the registrant and have: </w:t>
      </w:r>
    </w:p>
    <w:p>
      <w:pPr>
        <w:pStyle w:val="TextBody"/>
        <w:spacing w:lineRule="auto" w:line="312" w:before="0" w:after="0"/>
        <w:rPr>
          <w:rFonts w:ascii="Times New Roman" w:hAnsi="Times New Roman"/>
          <w:b w:val="false"/>
          <w:sz w:val="20"/>
        </w:rPr>
      </w:pPr>
      <w:r>
        <w:rPr>
          <w:rFonts w:ascii="Times New Roman" w:hAnsi="Times New Roman"/>
          <w:b w:val="false"/>
          <w:sz w:val="20"/>
        </w:rPr>
        <w:t>a)</w:t>
      </w:r>
    </w:p>
    <w:p>
      <w:pPr>
        <w:pStyle w:val="TextBody"/>
        <w:spacing w:lineRule="auto" w:line="312"/>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b)</w:t>
      </w:r>
    </w:p>
    <w:p>
      <w:pPr>
        <w:pStyle w:val="TextBody"/>
        <w:spacing w:lineRule="auto" w:line="312"/>
        <w:rPr>
          <w:rFonts w:ascii="Times New Roman" w:hAnsi="Times New Roman"/>
          <w:b w:val="false"/>
          <w:sz w:val="20"/>
        </w:rPr>
      </w:pPr>
      <w:r>
        <w:rPr>
          <w:rFonts w:ascii="Times New Roman" w:hAnsi="Times New Roman"/>
          <w:b w:val="false"/>
          <w:sz w:val="20"/>
        </w:rPr>
        <w:t>[omitted];</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c)</w:t>
      </w:r>
    </w:p>
    <w:p>
      <w:pPr>
        <w:pStyle w:val="TextBody"/>
        <w:spacing w:lineRule="auto" w:line="312"/>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t xml:space="preserve">   </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d)</w:t>
      </w:r>
    </w:p>
    <w:p>
      <w:pPr>
        <w:pStyle w:val="TextBody"/>
        <w:spacing w:lineRule="auto" w:line="312"/>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w:rPr/>
        <w:t xml:space="preserve">    </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5.</w:t>
      </w:r>
    </w:p>
    <w:p>
      <w:pPr>
        <w:pStyle w:val="TextBody"/>
        <w:spacing w:lineRule="auto" w:line="312"/>
        <w:rPr/>
      </w:pPr>
      <w:r>
        <w:rPr>
          <w:rFonts w:ascii="Times New Roman" w:hAnsi="Times New Roman"/>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r>
        <w:rPr/>
        <w:t xml:space="preserve">  </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a)</w:t>
      </w:r>
    </w:p>
    <w:p>
      <w:pPr>
        <w:pStyle w:val="TextBody"/>
        <w:spacing w:lineRule="auto" w:line="312"/>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b)</w:t>
      </w:r>
    </w:p>
    <w:p>
      <w:pPr>
        <w:pStyle w:val="TextBody"/>
        <w:spacing w:lineRule="auto" w:line="312"/>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312" w:before="0" w:after="0"/>
        <w:jc w:val="left"/>
        <w:rPr/>
      </w:pPr>
      <w:r>
        <w:rPr/>
        <w:t> </w:t>
      </w:r>
    </w:p>
    <w:p>
      <w:pPr>
        <w:pStyle w:val="TextBody"/>
        <w:pBdr>
          <w:bottom w:val="single" w:sz="6" w:space="1" w:color="000000"/>
        </w:pBdr>
        <w:spacing w:lineRule="atLeast" w:line="141" w:before="0" w:after="0"/>
        <w:jc w:val="left"/>
        <w:rPr/>
      </w:pPr>
      <w:r>
        <w:rPr/>
        <w:t> </w:t>
      </w:r>
    </w:p>
    <w:tbl>
      <w:tblPr>
        <w:tblW w:w="4363" w:type="dxa"/>
        <w:jc w:val="left"/>
        <w:tblInd w:w="0" w:type="dxa"/>
        <w:tblCellMar>
          <w:top w:w="28" w:type="dxa"/>
          <w:left w:w="28" w:type="dxa"/>
          <w:bottom w:w="28" w:type="dxa"/>
          <w:right w:w="28" w:type="dxa"/>
        </w:tblCellMar>
      </w:tblPr>
      <w:tblGrid>
        <w:gridCol w:w="2086"/>
        <w:gridCol w:w="2086"/>
        <w:gridCol w:w="191"/>
      </w:tblGrid>
      <w:tr>
        <w:trPr/>
        <w:tc>
          <w:tcPr>
            <w:tcW w:w="2086" w:type="dxa"/>
            <w:tcBorders/>
            <w:shd w:fill="auto" w:val="clear"/>
            <w:vAlign w:val="center"/>
          </w:tcPr>
          <w:p>
            <w:pPr>
              <w:pStyle w:val="TableContents"/>
              <w:spacing w:before="0" w:after="283"/>
              <w:rPr>
                <w:sz w:val="4"/>
                <w:szCs w:val="4"/>
              </w:rPr>
            </w:pPr>
            <w:r>
              <w:rPr>
                <w:sz w:val="4"/>
                <w:szCs w:val="4"/>
              </w:rPr>
            </w:r>
          </w:p>
        </w:tc>
        <w:tc>
          <w:tcPr>
            <w:tcW w:w="20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2086" w:type="dxa"/>
            <w:tcBorders/>
            <w:shd w:fill="auto" w:val="clear"/>
            <w:vAlign w:val="center"/>
          </w:tcPr>
          <w:p>
            <w:pPr>
              <w:pStyle w:val="TableContents"/>
              <w:spacing w:lineRule="auto" w:line="312" w:before="0" w:after="0"/>
              <w:ind w:left="0" w:right="0" w:hanging="0"/>
              <w:jc w:val="center"/>
              <w:rPr/>
            </w:pPr>
            <w:r>
              <w:rPr/>
              <w:t> </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2086" w:type="dxa"/>
            <w:tcBorders/>
            <w:shd w:fill="auto" w:val="clear"/>
            <w:vAlign w:val="center"/>
          </w:tcPr>
          <w:p>
            <w:pPr>
              <w:pStyle w:val="TableContents"/>
              <w:spacing w:lineRule="auto" w:line="312" w:before="0" w:after="0"/>
              <w:ind w:left="0" w:right="0" w:hanging="0"/>
              <w:jc w:val="left"/>
              <w:rPr/>
            </w:pPr>
            <w:r>
              <w:rPr/>
              <w:t> </w:t>
            </w:r>
          </w:p>
        </w:tc>
        <w:tc>
          <w:tcPr>
            <w:tcW w:w="208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 Paul Badawi</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2086" w:type="dxa"/>
            <w:tcBorders/>
            <w:shd w:fill="auto" w:val="clear"/>
            <w:vAlign w:val="center"/>
          </w:tcPr>
          <w:p>
            <w:pPr>
              <w:pStyle w:val="TableContents"/>
              <w:spacing w:lineRule="auto" w:line="312" w:before="0" w:after="0"/>
              <w:ind w:left="0" w:right="0" w:hanging="0"/>
              <w:jc w:val="left"/>
              <w:rPr/>
            </w:pPr>
            <w:r>
              <w:rPr/>
              <w:t> </w:t>
            </w:r>
          </w:p>
        </w:tc>
        <w:tc>
          <w:tcPr>
            <w:tcW w:w="208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Paul Badawi</w:t>
            </w:r>
          </w:p>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Chief Executive Officer</w:t>
            </w:r>
          </w:p>
        </w:tc>
        <w:tc>
          <w:tcPr>
            <w:tcW w:w="19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center"/>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16"/>
        </w:rPr>
      </w:pPr>
      <w:r>
        <w:rPr>
          <w:rFonts w:ascii="Times New Roman" w:hAnsi="Times New Roman"/>
          <w:b w:val="false"/>
          <w:sz w:val="16"/>
        </w:rPr>
        <w:t>|</w:t>
      </w:r>
    </w:p>
    <w:p>
      <w:pPr>
        <w:pStyle w:val="HorizontalLine"/>
        <w:rPr/>
      </w:pPr>
      <w:r>
        <w:rPr/>
      </w:r>
      <w:r>
        <w:br w:type="page"/>
      </w:r>
    </w:p>
    <w:p>
      <w:pPr>
        <w:pStyle w:val="TextBody"/>
        <w:spacing w:lineRule="auto" w:line="312" w:before="0" w:after="0"/>
        <w:jc w:val="left"/>
        <w:rPr/>
      </w:pPr>
      <w:bookmarkStart w:id="24" w:name="sght-20210630ex31_2.htm"/>
      <w:bookmarkStart w:id="25" w:name="kssght20210630ex31_2"/>
      <w:bookmarkEnd w:id="24"/>
      <w:bookmarkEnd w:id="25"/>
      <w:r>
        <w:rPr/>
        <w:t> </w:t>
      </w:r>
    </w:p>
    <w:p>
      <w:pPr>
        <w:pStyle w:val="TextBody"/>
        <w:spacing w:lineRule="auto" w:line="312" w:before="0" w:after="0"/>
        <w:jc w:val="right"/>
        <w:rPr>
          <w:rFonts w:ascii="Times New Roman" w:hAnsi="Times New Roman"/>
          <w:b/>
          <w:sz w:val="20"/>
        </w:rPr>
      </w:pPr>
      <w:r>
        <w:rPr>
          <w:rFonts w:ascii="Times New Roman" w:hAnsi="Times New Roman"/>
          <w:b/>
          <w:sz w:val="20"/>
        </w:rPr>
        <w:t>Exhibit 31.2</w:t>
      </w:r>
    </w:p>
    <w:p>
      <w:pPr>
        <w:pStyle w:val="TextBody"/>
        <w:spacing w:lineRule="auto" w:line="312" w:before="0" w:after="0"/>
        <w:jc w:val="center"/>
        <w:rPr>
          <w:rFonts w:ascii="Times New Roman" w:hAnsi="Times New Roman"/>
          <w:b/>
          <w:sz w:val="20"/>
        </w:rPr>
      </w:pPr>
      <w:r>
        <w:rPr>
          <w:rFonts w:ascii="Times New Roman" w:hAnsi="Times New Roman"/>
          <w:b/>
          <w:sz w:val="20"/>
        </w:rPr>
        <w:t>Certification</w:t>
      </w:r>
    </w:p>
    <w:p>
      <w:pPr>
        <w:pStyle w:val="TextBody"/>
        <w:spacing w:lineRule="auto" w:line="312" w:before="0" w:after="0"/>
        <w:jc w:val="left"/>
        <w:rPr>
          <w:rFonts w:ascii="Times New Roman" w:hAnsi="Times New Roman"/>
          <w:b w:val="false"/>
          <w:sz w:val="20"/>
        </w:rPr>
      </w:pPr>
      <w:r>
        <w:rPr>
          <w:rFonts w:ascii="Times New Roman" w:hAnsi="Times New Roman"/>
          <w:b w:val="false"/>
          <w:sz w:val="20"/>
        </w:rPr>
        <w:t>I, Jesse Selnick, certify that:</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1.</w:t>
      </w:r>
    </w:p>
    <w:p>
      <w:pPr>
        <w:pStyle w:val="TextBody"/>
        <w:spacing w:lineRule="auto" w:line="312"/>
        <w:rPr>
          <w:rFonts w:ascii="Times New Roman" w:hAnsi="Times New Roman"/>
          <w:b w:val="false"/>
          <w:sz w:val="20"/>
        </w:rPr>
      </w:pPr>
      <w:r>
        <w:rPr>
          <w:rFonts w:ascii="Times New Roman" w:hAnsi="Times New Roman"/>
          <w:b w:val="false"/>
          <w:sz w:val="20"/>
        </w:rPr>
        <w:t>I have reviewed this Quarterly Report on Form 10-Q of Sight Sciences, Inc.;</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2.</w:t>
      </w:r>
    </w:p>
    <w:p>
      <w:pPr>
        <w:pStyle w:val="TextBody"/>
        <w:spacing w:lineRule="auto" w:line="312"/>
        <w:rPr>
          <w:rFonts w:ascii="Times New Roman" w:hAnsi="Times New Roman"/>
          <w:b w:val="false"/>
          <w:sz w:val="20"/>
        </w:rPr>
      </w:pPr>
      <w:r>
        <w:rPr>
          <w:rFonts w:ascii="Times New Roman" w:hAnsi="Times New Roman"/>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3.</w:t>
      </w:r>
    </w:p>
    <w:p>
      <w:pPr>
        <w:pStyle w:val="TextBody"/>
        <w:spacing w:lineRule="auto" w:line="312"/>
        <w:rPr/>
      </w:pPr>
      <w:r>
        <w:rPr>
          <w:rFonts w:ascii="Times New Roman" w:hAnsi="Times New Roman"/>
          <w:b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t xml:space="preserve">  </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4.</w:t>
      </w:r>
    </w:p>
    <w:p>
      <w:pPr>
        <w:pStyle w:val="TextBody"/>
        <w:spacing w:lineRule="auto" w:line="312"/>
        <w:rPr/>
      </w:pPr>
      <w:r>
        <w:rPr>
          <w:rFonts w:ascii="Times New Roman" w:hAnsi="Times New Roman"/>
          <w:b w:val="false"/>
          <w:sz w:val="20"/>
        </w:rPr>
        <w:t>The registrant’s other certifying officer and I are responsible for establishing and maintaining disclosure controls and procedures (as defined in Exchange Act Rules 13a-15(e) and 15d-15(e)) for the registrant and have: </w:t>
      </w:r>
      <w:r>
        <w:rPr/>
        <w:t xml:space="preserve">  </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a)</w:t>
      </w:r>
    </w:p>
    <w:p>
      <w:pPr>
        <w:pStyle w:val="TextBody"/>
        <w:spacing w:lineRule="auto" w:line="312"/>
        <w:rPr>
          <w:rFonts w:ascii="Times New Roman" w:hAnsi="Times New Roman"/>
          <w:b w:val="false"/>
          <w:sz w:val="20"/>
        </w:rPr>
      </w:pPr>
      <w:r>
        <w:rPr>
          <w:rFonts w:ascii="Times New Roman" w:hAnsi="Times New Roman"/>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b)</w:t>
      </w:r>
    </w:p>
    <w:p>
      <w:pPr>
        <w:pStyle w:val="TextBody"/>
        <w:spacing w:lineRule="auto" w:line="312"/>
        <w:rPr>
          <w:rFonts w:ascii="Times New Roman" w:hAnsi="Times New Roman"/>
          <w:b w:val="false"/>
          <w:sz w:val="20"/>
        </w:rPr>
      </w:pPr>
      <w:r>
        <w:rPr>
          <w:rFonts w:ascii="Times New Roman" w:hAnsi="Times New Roman"/>
          <w:b w:val="false"/>
          <w:sz w:val="20"/>
        </w:rPr>
        <w:t>[omitted];</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c)</w:t>
      </w:r>
    </w:p>
    <w:p>
      <w:pPr>
        <w:pStyle w:val="TextBody"/>
        <w:spacing w:lineRule="auto" w:line="312"/>
        <w:rPr>
          <w:rFonts w:ascii="Times New Roman" w:hAnsi="Times New Roman"/>
          <w:b w:val="false"/>
          <w:sz w:val="20"/>
        </w:rPr>
      </w:pPr>
      <w:r>
        <w:rPr>
          <w:rFonts w:ascii="Times New Roman" w:hAnsi="Times New Roman"/>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d)</w:t>
      </w:r>
    </w:p>
    <w:p>
      <w:pPr>
        <w:pStyle w:val="TextBody"/>
        <w:spacing w:lineRule="auto" w:line="312"/>
        <w:rPr/>
      </w:pPr>
      <w:r>
        <w:rPr>
          <w:rFonts w:ascii="Times New Roman" w:hAnsi="Times New Roman"/>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w:rPr/>
        <w:t xml:space="preserve">   </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5.</w:t>
      </w:r>
    </w:p>
    <w:p>
      <w:pPr>
        <w:pStyle w:val="TextBody"/>
        <w:spacing w:lineRule="auto" w:line="312"/>
        <w:rPr>
          <w:rFonts w:ascii="Times New Roman" w:hAnsi="Times New Roman"/>
          <w:b w:val="false"/>
          <w:sz w:val="20"/>
        </w:rPr>
      </w:pPr>
      <w:r>
        <w:rPr>
          <w:rFonts w:ascii="Times New Roman" w:hAnsi="Times New Roman"/>
          <w:b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a)</w:t>
      </w:r>
    </w:p>
    <w:p>
      <w:pPr>
        <w:pStyle w:val="TextBody"/>
        <w:spacing w:lineRule="auto" w:line="312"/>
        <w:rPr>
          <w:rFonts w:ascii="Times New Roman" w:hAnsi="Times New Roman"/>
          <w:b w:val="false"/>
          <w:sz w:val="20"/>
        </w:rPr>
      </w:pPr>
      <w:r>
        <w:rPr>
          <w:rFonts w:ascii="Times New Roman" w:hAnsi="Times New Roman"/>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0"/>
        </w:rPr>
      </w:pPr>
      <w:r>
        <w:rPr>
          <w:rFonts w:ascii="Times New Roman" w:hAnsi="Times New Roman"/>
          <w:b w:val="false"/>
          <w:sz w:val="20"/>
        </w:rPr>
        <w:t>b)</w:t>
      </w:r>
    </w:p>
    <w:p>
      <w:pPr>
        <w:pStyle w:val="TextBody"/>
        <w:spacing w:lineRule="auto" w:line="312"/>
        <w:rPr>
          <w:rFonts w:ascii="Times New Roman" w:hAnsi="Times New Roman"/>
          <w:b w:val="false"/>
          <w:sz w:val="20"/>
        </w:rPr>
      </w:pPr>
      <w:r>
        <w:rPr>
          <w:rFonts w:ascii="Times New Roman" w:hAnsi="Times New Roman"/>
          <w:b w:val="false"/>
          <w:sz w:val="20"/>
        </w:rPr>
        <w:t>any fraud, whether or not material, that involves management or other employees who have a significant role in the registrant’s internal control over financial reporting.</w:t>
      </w:r>
    </w:p>
    <w:p>
      <w:pPr>
        <w:pStyle w:val="TextBody"/>
        <w:spacing w:lineRule="auto" w:line="312" w:before="0" w:after="0"/>
        <w:jc w:val="left"/>
        <w:rPr/>
      </w:pPr>
      <w:r>
        <w:rPr/>
        <w:t> </w:t>
      </w:r>
    </w:p>
    <w:p>
      <w:pPr>
        <w:pStyle w:val="TextBody"/>
        <w:pBdr>
          <w:bottom w:val="single" w:sz="6" w:space="1" w:color="000000"/>
        </w:pBdr>
        <w:spacing w:lineRule="atLeast" w:line="141" w:before="0" w:after="0"/>
        <w:jc w:val="left"/>
        <w:rPr/>
      </w:pPr>
      <w:r>
        <w:rPr/>
        <w:t> </w:t>
      </w:r>
    </w:p>
    <w:tbl>
      <w:tblPr>
        <w:tblW w:w="4708" w:type="dxa"/>
        <w:jc w:val="left"/>
        <w:tblInd w:w="0" w:type="dxa"/>
        <w:tblCellMar>
          <w:top w:w="28" w:type="dxa"/>
          <w:left w:w="28" w:type="dxa"/>
          <w:bottom w:w="28" w:type="dxa"/>
          <w:right w:w="28" w:type="dxa"/>
        </w:tblCellMar>
      </w:tblPr>
      <w:tblGrid>
        <w:gridCol w:w="2041"/>
        <w:gridCol w:w="2476"/>
        <w:gridCol w:w="191"/>
      </w:tblGrid>
      <w:tr>
        <w:trPr/>
        <w:tc>
          <w:tcPr>
            <w:tcW w:w="2041"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vAlign w:val="center"/>
          </w:tcPr>
          <w:p>
            <w:pPr>
              <w:pStyle w:val="TableContents"/>
              <w:spacing w:lineRule="auto" w:line="312" w:before="0" w:after="0"/>
              <w:ind w:left="0" w:right="0" w:hanging="0"/>
              <w:jc w:val="left"/>
              <w:rPr/>
            </w:pPr>
            <w:r>
              <w:rPr/>
              <w:t> </w:t>
            </w:r>
          </w:p>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Date:   August 12, 2021</w:t>
            </w:r>
          </w:p>
        </w:tc>
        <w:tc>
          <w:tcPr>
            <w:tcW w:w="2476" w:type="dxa"/>
            <w:tcBorders/>
            <w:shd w:fill="auto" w:val="clear"/>
            <w:vAlign w:val="center"/>
          </w:tcPr>
          <w:p>
            <w:pPr>
              <w:pStyle w:val="TableContents"/>
              <w:spacing w:lineRule="auto" w:line="312" w:before="0" w:after="0"/>
              <w:ind w:left="0" w:right="0" w:hanging="0"/>
              <w:jc w:val="center"/>
              <w:rPr/>
            </w:pPr>
            <w:r>
              <w:rPr/>
              <w:t> </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2041" w:type="dxa"/>
            <w:tcBorders/>
            <w:shd w:fill="auto" w:val="clear"/>
            <w:vAlign w:val="center"/>
          </w:tcPr>
          <w:p>
            <w:pPr>
              <w:pStyle w:val="TableContents"/>
              <w:spacing w:lineRule="auto" w:line="312" w:before="0" w:after="0"/>
              <w:ind w:left="0" w:right="0" w:hanging="0"/>
              <w:jc w:val="left"/>
              <w:rPr/>
            </w:pPr>
            <w:r>
              <w:rPr/>
              <w:t> </w:t>
            </w:r>
          </w:p>
        </w:tc>
        <w:tc>
          <w:tcPr>
            <w:tcW w:w="2476" w:type="dxa"/>
            <w:tcBorders/>
            <w:shd w:fill="auto" w:val="clear"/>
            <w:vAlign w:val="center"/>
          </w:tcPr>
          <w:p>
            <w:pPr>
              <w:pStyle w:val="TableContents"/>
              <w:spacing w:lineRule="auto" w:line="312" w:before="0" w:after="0"/>
              <w:ind w:left="0" w:right="0" w:hanging="0"/>
              <w:jc w:val="left"/>
              <w:rPr>
                <w:rFonts w:ascii="Times New Roman" w:hAnsi="Times New Roman"/>
                <w:b w:val="false"/>
                <w:sz w:val="20"/>
              </w:rPr>
            </w:pPr>
            <w:r>
              <w:rPr>
                <w:rFonts w:ascii="Times New Roman" w:hAnsi="Times New Roman"/>
                <w:b w:val="false"/>
                <w:sz w:val="20"/>
              </w:rPr>
              <w:t>/s/ Jesse Selnick</w:t>
            </w:r>
          </w:p>
        </w:tc>
        <w:tc>
          <w:tcPr>
            <w:tcW w:w="191" w:type="dxa"/>
            <w:tcBorders/>
            <w:shd w:fill="auto" w:val="clear"/>
            <w:vAlign w:val="center"/>
          </w:tcPr>
          <w:p>
            <w:pPr>
              <w:pStyle w:val="TableContents"/>
              <w:spacing w:lineRule="auto" w:line="312" w:before="0" w:after="0"/>
              <w:ind w:left="0" w:right="0" w:hanging="0"/>
              <w:jc w:val="left"/>
              <w:rPr/>
            </w:pPr>
            <w:r>
              <w:rPr/>
              <w:t> </w:t>
            </w:r>
          </w:p>
        </w:tc>
      </w:tr>
      <w:tr>
        <w:trPr/>
        <w:tc>
          <w:tcPr>
            <w:tcW w:w="2041" w:type="dxa"/>
            <w:tcBorders/>
            <w:shd w:fill="auto" w:val="clear"/>
            <w:vAlign w:val="center"/>
          </w:tcPr>
          <w:p>
            <w:pPr>
              <w:pStyle w:val="TableContents"/>
              <w:spacing w:lineRule="auto" w:line="312" w:before="0" w:after="0"/>
              <w:ind w:left="0" w:right="0" w:hanging="0"/>
              <w:jc w:val="center"/>
              <w:rPr/>
            </w:pPr>
            <w:r>
              <w:rPr/>
              <w:t> </w:t>
            </w:r>
          </w:p>
        </w:tc>
        <w:tc>
          <w:tcPr>
            <w:tcW w:w="2476" w:type="dxa"/>
            <w:tcBorders/>
            <w:shd w:fill="auto" w:val="clear"/>
            <w:vAlign w:val="center"/>
          </w:tcPr>
          <w:p>
            <w:pPr>
              <w:pStyle w:val="TableContents"/>
              <w:spacing w:lineRule="auto" w:line="312" w:before="0" w:after="0"/>
              <w:ind w:left="0" w:right="0" w:hanging="0"/>
              <w:jc w:val="left"/>
              <w:rPr>
                <w:rFonts w:ascii="Times New Roman" w:hAnsi="Times New Roman"/>
                <w:b/>
                <w:sz w:val="20"/>
              </w:rPr>
            </w:pPr>
            <w:r>
              <w:rPr>
                <w:rFonts w:ascii="Times New Roman" w:hAnsi="Times New Roman"/>
                <w:b/>
                <w:sz w:val="20"/>
              </w:rPr>
              <w:t>Jesse Selnick</w:t>
              <w:br/>
              <w:t>Chief Financial Officer</w:t>
            </w:r>
          </w:p>
          <w:p>
            <w:pPr>
              <w:pStyle w:val="TableContents"/>
              <w:spacing w:lineRule="auto" w:line="312" w:before="0" w:after="0"/>
              <w:ind w:left="0" w:right="0" w:hanging="0"/>
              <w:jc w:val="left"/>
              <w:rPr>
                <w:rFonts w:ascii="Times New Roman" w:hAnsi="Times New Roman"/>
                <w:b w:val="false"/>
                <w:i/>
                <w:sz w:val="20"/>
              </w:rPr>
            </w:pPr>
            <w:r>
              <w:rPr>
                <w:rFonts w:ascii="Times New Roman" w:hAnsi="Times New Roman"/>
                <w:b w:val="false"/>
                <w:i/>
                <w:sz w:val="20"/>
              </w:rPr>
              <w:t>(Principal Financial Officer)</w:t>
            </w:r>
          </w:p>
        </w:tc>
        <w:tc>
          <w:tcPr>
            <w:tcW w:w="191" w:type="dxa"/>
            <w:tcBorders/>
            <w:shd w:fill="auto" w:val="clear"/>
            <w:vAlign w:val="center"/>
          </w:tcPr>
          <w:p>
            <w:pPr>
              <w:pStyle w:val="TableContents"/>
              <w:spacing w:lineRule="auto" w:line="312" w:before="0" w:after="0"/>
              <w:ind w:left="0" w:right="0" w:hanging="0"/>
              <w:jc w:val="left"/>
              <w:rPr/>
            </w:pPr>
            <w:r>
              <w:rPr/>
              <w:t> </w:t>
            </w:r>
          </w:p>
        </w:tc>
      </w:tr>
    </w:tbl>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16"/>
        </w:rPr>
      </w:pPr>
      <w:r>
        <w:rPr>
          <w:rFonts w:ascii="Times New Roman" w:hAnsi="Times New Roman"/>
          <w:b w:val="false"/>
          <w:sz w:val="16"/>
        </w:rPr>
        <w:t>|</w:t>
      </w:r>
    </w:p>
    <w:p>
      <w:pPr>
        <w:pStyle w:val="HorizontalLine"/>
        <w:rPr/>
      </w:pPr>
      <w:r>
        <w:rPr/>
      </w:r>
      <w:r>
        <w:br w:type="page"/>
      </w:r>
    </w:p>
    <w:p>
      <w:pPr>
        <w:pStyle w:val="TextBody"/>
        <w:spacing w:lineRule="auto" w:line="312" w:before="0" w:after="0"/>
        <w:jc w:val="both"/>
        <w:rPr/>
      </w:pPr>
      <w:bookmarkStart w:id="26" w:name="sght-20210630ex32_1.htm"/>
      <w:bookmarkStart w:id="27" w:name="kssght20210630ex32_1"/>
      <w:bookmarkEnd w:id="26"/>
      <w:bookmarkEnd w:id="27"/>
      <w:r>
        <w:rPr/>
        <w:t> </w:t>
      </w:r>
    </w:p>
    <w:p>
      <w:pPr>
        <w:pStyle w:val="TextBody"/>
        <w:spacing w:lineRule="auto" w:line="312" w:before="0" w:after="0"/>
        <w:jc w:val="both"/>
        <w:rPr/>
      </w:pPr>
      <w:r>
        <w:rPr/>
        <w:t> </w:t>
      </w:r>
    </w:p>
    <w:p>
      <w:pPr>
        <w:pStyle w:val="TextBody"/>
        <w:spacing w:lineRule="auto" w:line="312" w:before="0" w:after="0"/>
        <w:jc w:val="right"/>
        <w:rPr>
          <w:rFonts w:ascii="Times New Roman" w:hAnsi="Times New Roman"/>
          <w:b/>
          <w:sz w:val="24"/>
        </w:rPr>
      </w:pPr>
      <w:r>
        <w:rPr>
          <w:rFonts w:ascii="Times New Roman" w:hAnsi="Times New Roman"/>
          <w:b/>
          <w:sz w:val="24"/>
        </w:rPr>
        <w:t>Exhibit 32.1</w:t>
      </w:r>
    </w:p>
    <w:p>
      <w:pPr>
        <w:pStyle w:val="TextBody"/>
        <w:spacing w:lineRule="auto" w:line="312" w:before="0" w:after="0"/>
        <w:jc w:val="center"/>
        <w:rPr>
          <w:rFonts w:ascii="Times New Roman" w:hAnsi="Times New Roman"/>
          <w:b/>
          <w:sz w:val="24"/>
        </w:rPr>
      </w:pPr>
      <w:r>
        <w:rPr>
          <w:rFonts w:ascii="Times New Roman" w:hAnsi="Times New Roman"/>
          <w:b/>
          <w:sz w:val="24"/>
        </w:rPr>
        <w:t>Certification of Chief Executive Officer</w:t>
      </w:r>
    </w:p>
    <w:p>
      <w:pPr>
        <w:pStyle w:val="TextBody"/>
        <w:spacing w:lineRule="auto" w:line="312" w:before="0" w:after="0"/>
        <w:jc w:val="both"/>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4"/>
        </w:rPr>
        <w:t>Pursuant to 18 U.S.C. § 1350, as created by Section 906 of the Sarbanes-Oxley Act of 2002, the undersigned officer of Sight Sciences, Inc. (the “</w:t>
      </w:r>
      <w:r>
        <w:rPr>
          <w:rFonts w:ascii="Times New Roman" w:hAnsi="Times New Roman"/>
          <w:b w:val="false"/>
          <w:sz w:val="24"/>
          <w:u w:val="single"/>
        </w:rPr>
        <w:t>Company</w:t>
      </w:r>
      <w:r>
        <w:rPr>
          <w:rFonts w:ascii="Times New Roman" w:hAnsi="Times New Roman"/>
          <w:sz w:val="20"/>
        </w:rPr>
        <w:t>”</w:t>
      </w:r>
      <w:r>
        <w:rPr>
          <w:rFonts w:ascii="Times New Roman" w:hAnsi="Times New Roman"/>
          <w:b w:val="false"/>
          <w:sz w:val="24"/>
        </w:rPr>
        <w:t>) hereby certifies that:</w:t>
      </w:r>
    </w:p>
    <w:p>
      <w:pPr>
        <w:pStyle w:val="TextBody"/>
        <w:spacing w:lineRule="auto" w:line="312" w:before="0" w:after="0"/>
        <w:jc w:val="both"/>
        <w:rPr/>
      </w:pPr>
      <w:r>
        <w:rPr/>
        <w:t> </w:t>
      </w:r>
    </w:p>
    <w:p>
      <w:pPr>
        <w:pStyle w:val="TextBody"/>
        <w:spacing w:lineRule="auto" w:line="312" w:before="0" w:after="0"/>
        <w:rPr>
          <w:rFonts w:ascii="Times New Roman" w:hAnsi="Times New Roman"/>
          <w:b w:val="false"/>
          <w:sz w:val="24"/>
        </w:rPr>
      </w:pPr>
      <w:r>
        <w:rPr>
          <w:rFonts w:ascii="Times New Roman" w:hAnsi="Times New Roman"/>
          <w:b w:val="false"/>
          <w:sz w:val="24"/>
        </w:rPr>
        <w:t>1.</w:t>
      </w:r>
    </w:p>
    <w:p>
      <w:pPr>
        <w:pStyle w:val="TextBody"/>
        <w:spacing w:lineRule="auto" w:line="312"/>
        <w:rPr/>
      </w:pPr>
      <w:r>
        <w:rPr>
          <w:rFonts w:ascii="Times New Roman" w:hAnsi="Times New Roman"/>
          <w:b w:val="false"/>
          <w:sz w:val="24"/>
        </w:rPr>
        <w:t>the Quarterly Report on Form 10-Q of the Company for the quarterly period ended June 30, 2021 (the “</w:t>
      </w:r>
      <w:r>
        <w:rPr>
          <w:rFonts w:ascii="Times New Roman" w:hAnsi="Times New Roman"/>
          <w:b w:val="false"/>
          <w:sz w:val="24"/>
          <w:u w:val="single"/>
        </w:rPr>
        <w:t>Report</w:t>
      </w:r>
      <w:r>
        <w:rPr/>
        <w:t>”</w:t>
      </w:r>
      <w:r>
        <w:rPr>
          <w:rFonts w:ascii="Times New Roman" w:hAnsi="Times New Roman"/>
          <w:b w:val="false"/>
          <w:sz w:val="24"/>
        </w:rPr>
        <w:t>) fully complies with the requirements of Section 13(a) or Section 15(d), as applicable, of the Securities Exchange Act of 1934, as amended; and</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4"/>
        </w:rPr>
      </w:pPr>
      <w:r>
        <w:rPr>
          <w:rFonts w:ascii="Times New Roman" w:hAnsi="Times New Roman"/>
          <w:b w:val="false"/>
          <w:sz w:val="24"/>
        </w:rPr>
        <w:t>2.</w:t>
      </w:r>
    </w:p>
    <w:p>
      <w:pPr>
        <w:pStyle w:val="TextBody"/>
        <w:spacing w:lineRule="auto" w:line="312"/>
        <w:rPr>
          <w:rFonts w:ascii="Times New Roman" w:hAnsi="Times New Roman"/>
          <w:b w:val="false"/>
          <w:sz w:val="24"/>
        </w:rPr>
      </w:pPr>
      <w:r>
        <w:rPr>
          <w:rFonts w:ascii="Times New Roman" w:hAnsi="Times New Roman"/>
          <w:b w:val="false"/>
          <w:sz w:val="24"/>
        </w:rPr>
        <w:t>the information contained in the Report fairly presents, in all material respects, the financial condition and results of operations of the Company.</w:t>
      </w:r>
    </w:p>
    <w:p>
      <w:pPr>
        <w:pStyle w:val="TextBody"/>
        <w:spacing w:lineRule="auto" w:line="312" w:before="0" w:after="0"/>
        <w:jc w:val="both"/>
        <w:rPr/>
      </w:pPr>
      <w:r>
        <w:rPr/>
        <w:t> </w:t>
      </w:r>
    </w:p>
    <w:p>
      <w:pPr>
        <w:pStyle w:val="TextBody"/>
        <w:spacing w:lineRule="auto" w:line="312" w:before="0" w:after="0"/>
        <w:jc w:val="both"/>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4"/>
        </w:rPr>
        <w:t xml:space="preserve">Dated: August 12, 2021 </w:t>
      </w:r>
      <w:r>
        <w:rPr>
          <w:rFonts w:ascii="Times New Roman" w:hAnsi="Times New Roman"/>
          <w:b w:val="false"/>
          <w:sz w:val="24"/>
          <w:u w:val="single"/>
        </w:rPr>
        <w:t xml:space="preserve">/s/ Paul Badawi </w:t>
      </w:r>
    </w:p>
    <w:p>
      <w:pPr>
        <w:pStyle w:val="TextBody"/>
        <w:spacing w:lineRule="auto" w:line="312" w:before="0" w:after="0"/>
        <w:jc w:val="both"/>
        <w:rPr>
          <w:rFonts w:ascii="Times New Roman" w:hAnsi="Times New Roman"/>
          <w:b w:val="false"/>
          <w:sz w:val="24"/>
        </w:rPr>
      </w:pPr>
      <w:r>
        <w:rPr>
          <w:rFonts w:ascii="Times New Roman" w:hAnsi="Times New Roman"/>
          <w:b w:val="false"/>
          <w:sz w:val="24"/>
        </w:rPr>
        <w:t>Paul Badawi</w:t>
      </w:r>
    </w:p>
    <w:p>
      <w:pPr>
        <w:pStyle w:val="TextBody"/>
        <w:spacing w:lineRule="auto" w:line="312" w:before="0" w:after="0"/>
        <w:jc w:val="both"/>
        <w:rPr>
          <w:rFonts w:ascii="Times New Roman" w:hAnsi="Times New Roman"/>
          <w:b w:val="false"/>
          <w:sz w:val="24"/>
        </w:rPr>
      </w:pPr>
      <w:r>
        <w:rPr>
          <w:rFonts w:ascii="Times New Roman" w:hAnsi="Times New Roman"/>
          <w:b w:val="false"/>
          <w:sz w:val="24"/>
        </w:rPr>
        <w:t>Chief Executive Officer</w:t>
      </w:r>
    </w:p>
    <w:p>
      <w:pPr>
        <w:pStyle w:val="TextBody"/>
        <w:spacing w:lineRule="auto" w:line="312" w:before="0" w:after="0"/>
        <w:jc w:val="both"/>
        <w:rPr/>
      </w:pPr>
      <w:r>
        <w:rPr/>
        <w:t> </w:t>
      </w:r>
    </w:p>
    <w:p>
      <w:pPr>
        <w:pStyle w:val="TextBody"/>
        <w:spacing w:lineRule="auto" w:line="312" w:before="0" w:after="0"/>
        <w:jc w:val="left"/>
        <w:rPr>
          <w:rFonts w:ascii="Times New Roman" w:hAnsi="Times New Roman"/>
          <w:b w:val="false"/>
          <w:sz w:val="24"/>
        </w:rPr>
      </w:pPr>
      <w:r>
        <w:rPr>
          <w:rFonts w:ascii="Times New Roman" w:hAnsi="Times New Roman"/>
          <w:b w:val="false"/>
          <w:sz w:val="24"/>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spacing w:lineRule="auto" w:line="312" w:before="0" w:after="0"/>
        <w:jc w:val="both"/>
        <w:rPr/>
      </w:pPr>
      <w:r>
        <w:rPr/>
        <w:t> </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tLeast" w:line="200" w:before="0" w:after="0"/>
        <w:jc w:val="left"/>
        <w:rPr/>
      </w:pPr>
      <w:r>
        <w:rPr/>
        <w:t> </w:t>
      </w:r>
    </w:p>
    <w:p>
      <w:pPr>
        <w:pStyle w:val="TextBody"/>
        <w:spacing w:lineRule="atLeast" w:line="260" w:before="0" w:after="0"/>
        <w:jc w:val="both"/>
        <w:rPr>
          <w:rFonts w:ascii="Times New Roman" w:hAnsi="Times New Roman"/>
          <w:b w:val="false"/>
          <w:sz w:val="16"/>
        </w:rPr>
      </w:pPr>
      <w:r>
        <w:rPr>
          <w:rFonts w:ascii="Times New Roman" w:hAnsi="Times New Roman"/>
          <w:b w:val="false"/>
          <w:sz w:val="16"/>
        </w:rPr>
        <w:t>| SV_DOCS\131912.1[W2000]||</w:t>
      </w:r>
    </w:p>
    <w:p>
      <w:pPr>
        <w:pStyle w:val="HorizontalLine"/>
        <w:rPr/>
      </w:pPr>
      <w:r>
        <w:rPr/>
      </w:r>
      <w:r>
        <w:br w:type="page"/>
      </w:r>
    </w:p>
    <w:p>
      <w:pPr>
        <w:pStyle w:val="TextBody"/>
        <w:spacing w:lineRule="auto" w:line="312" w:before="0" w:after="0"/>
        <w:jc w:val="both"/>
        <w:rPr/>
      </w:pPr>
      <w:bookmarkStart w:id="28" w:name="sght-20210630ex32_2.htm"/>
      <w:bookmarkStart w:id="29" w:name="kssght20210630ex32_2"/>
      <w:bookmarkEnd w:id="28"/>
      <w:bookmarkEnd w:id="29"/>
      <w:r>
        <w:rPr/>
        <w:t> </w:t>
      </w:r>
    </w:p>
    <w:p>
      <w:pPr>
        <w:pStyle w:val="TextBody"/>
        <w:spacing w:lineRule="auto" w:line="312" w:before="0" w:after="0"/>
        <w:jc w:val="both"/>
        <w:rPr/>
      </w:pPr>
      <w:r>
        <w:rPr/>
        <w:t> </w:t>
      </w:r>
    </w:p>
    <w:p>
      <w:pPr>
        <w:pStyle w:val="TextBody"/>
        <w:spacing w:lineRule="auto" w:line="312" w:before="0" w:after="0"/>
        <w:jc w:val="right"/>
        <w:rPr>
          <w:rFonts w:ascii="Times New Roman" w:hAnsi="Times New Roman"/>
          <w:b/>
          <w:sz w:val="24"/>
        </w:rPr>
      </w:pPr>
      <w:r>
        <w:rPr>
          <w:rFonts w:ascii="Times New Roman" w:hAnsi="Times New Roman"/>
          <w:b/>
          <w:sz w:val="24"/>
        </w:rPr>
        <w:t>Exhibit 32.2</w:t>
      </w:r>
    </w:p>
    <w:p>
      <w:pPr>
        <w:pStyle w:val="TextBody"/>
        <w:spacing w:lineRule="auto" w:line="312" w:before="0" w:after="0"/>
        <w:jc w:val="center"/>
        <w:rPr>
          <w:rFonts w:ascii="Times New Roman" w:hAnsi="Times New Roman"/>
          <w:b/>
          <w:sz w:val="24"/>
        </w:rPr>
      </w:pPr>
      <w:r>
        <w:rPr>
          <w:rFonts w:ascii="Times New Roman" w:hAnsi="Times New Roman"/>
          <w:b/>
          <w:sz w:val="24"/>
        </w:rPr>
        <w:t>Certification of Chief Financial Officer</w:t>
      </w:r>
    </w:p>
    <w:p>
      <w:pPr>
        <w:pStyle w:val="TextBody"/>
        <w:spacing w:lineRule="auto" w:line="312" w:before="0" w:after="0"/>
        <w:jc w:val="both"/>
        <w:rPr/>
      </w:pPr>
      <w:r>
        <w:rPr/>
        <w:t> </w:t>
      </w:r>
    </w:p>
    <w:p>
      <w:pPr>
        <w:pStyle w:val="TextBody"/>
        <w:spacing w:lineRule="auto" w:line="312" w:before="0" w:after="0"/>
        <w:jc w:val="left"/>
        <w:rPr>
          <w:rFonts w:ascii="Times New Roman" w:hAnsi="Times New Roman"/>
          <w:sz w:val="20"/>
        </w:rPr>
      </w:pPr>
      <w:r>
        <w:rPr>
          <w:rFonts w:ascii="Times New Roman" w:hAnsi="Times New Roman"/>
          <w:b w:val="false"/>
          <w:sz w:val="24"/>
        </w:rPr>
        <w:t>Pursuant to 18 U.S.C. § 1350, as created by Section 906 of the Sarbanes-Oxley Act of 2002, the undersigned officer of Sight Sciences, Inc.(the “</w:t>
      </w:r>
      <w:r>
        <w:rPr>
          <w:rFonts w:ascii="Times New Roman" w:hAnsi="Times New Roman"/>
          <w:b w:val="false"/>
          <w:sz w:val="24"/>
          <w:u w:val="single"/>
        </w:rPr>
        <w:t>Company</w:t>
      </w:r>
      <w:r>
        <w:rPr>
          <w:rFonts w:ascii="Times New Roman" w:hAnsi="Times New Roman"/>
          <w:sz w:val="20"/>
        </w:rPr>
        <w:t>”</w:t>
      </w:r>
      <w:r>
        <w:rPr>
          <w:rFonts w:ascii="Times New Roman" w:hAnsi="Times New Roman"/>
          <w:b w:val="false"/>
          <w:sz w:val="24"/>
        </w:rPr>
        <w:t>) hereby certifies that:</w:t>
      </w:r>
    </w:p>
    <w:p>
      <w:pPr>
        <w:pStyle w:val="TextBody"/>
        <w:spacing w:lineRule="auto" w:line="312" w:before="0" w:after="0"/>
        <w:jc w:val="both"/>
        <w:rPr/>
      </w:pPr>
      <w:r>
        <w:rPr/>
        <w:t> </w:t>
      </w:r>
    </w:p>
    <w:p>
      <w:pPr>
        <w:pStyle w:val="TextBody"/>
        <w:spacing w:lineRule="auto" w:line="312" w:before="0" w:after="0"/>
        <w:rPr>
          <w:rFonts w:ascii="Times New Roman" w:hAnsi="Times New Roman"/>
          <w:b w:val="false"/>
          <w:sz w:val="24"/>
        </w:rPr>
      </w:pPr>
      <w:r>
        <w:rPr>
          <w:rFonts w:ascii="Times New Roman" w:hAnsi="Times New Roman"/>
          <w:b w:val="false"/>
          <w:sz w:val="24"/>
        </w:rPr>
        <w:t>1.</w:t>
      </w:r>
    </w:p>
    <w:p>
      <w:pPr>
        <w:pStyle w:val="TextBody"/>
        <w:spacing w:lineRule="auto" w:line="312"/>
        <w:rPr/>
      </w:pPr>
      <w:r>
        <w:rPr>
          <w:rFonts w:ascii="Times New Roman" w:hAnsi="Times New Roman"/>
          <w:b w:val="false"/>
          <w:sz w:val="24"/>
        </w:rPr>
        <w:t>the Quarterly Report on Form 10-Q of the Company for the quarterly period ended June 30, 2021 (the “</w:t>
      </w:r>
      <w:r>
        <w:rPr>
          <w:rFonts w:ascii="Times New Roman" w:hAnsi="Times New Roman"/>
          <w:b w:val="false"/>
          <w:sz w:val="24"/>
          <w:u w:val="single"/>
        </w:rPr>
        <w:t>Report</w:t>
      </w:r>
      <w:r>
        <w:rPr/>
        <w:t>”</w:t>
      </w:r>
      <w:r>
        <w:rPr>
          <w:rFonts w:ascii="Times New Roman" w:hAnsi="Times New Roman"/>
          <w:b w:val="false"/>
          <w:sz w:val="24"/>
        </w:rPr>
        <w:t>) fully complies with the requirements of Section 13(a) or Section 15(d), as applicable, of the Securities Exchange Act of 1934, as amended; and</w:t>
      </w:r>
    </w:p>
    <w:p>
      <w:pPr>
        <w:pStyle w:val="TextBody"/>
        <w:spacing w:lineRule="auto" w:line="312" w:before="0" w:after="0"/>
        <w:jc w:val="left"/>
        <w:rPr/>
      </w:pPr>
      <w:r>
        <w:rPr/>
        <w:t> </w:t>
      </w:r>
    </w:p>
    <w:p>
      <w:pPr>
        <w:pStyle w:val="TextBody"/>
        <w:spacing w:lineRule="auto" w:line="312" w:before="0" w:after="0"/>
        <w:rPr>
          <w:rFonts w:ascii="Times New Roman" w:hAnsi="Times New Roman"/>
          <w:b w:val="false"/>
          <w:sz w:val="24"/>
        </w:rPr>
      </w:pPr>
      <w:r>
        <w:rPr>
          <w:rFonts w:ascii="Times New Roman" w:hAnsi="Times New Roman"/>
          <w:b w:val="false"/>
          <w:sz w:val="24"/>
        </w:rPr>
        <w:t>2.</w:t>
      </w:r>
    </w:p>
    <w:p>
      <w:pPr>
        <w:pStyle w:val="TextBody"/>
        <w:spacing w:lineRule="auto" w:line="312"/>
        <w:rPr>
          <w:rFonts w:ascii="Times New Roman" w:hAnsi="Times New Roman"/>
          <w:b w:val="false"/>
          <w:sz w:val="24"/>
        </w:rPr>
      </w:pPr>
      <w:r>
        <w:rPr>
          <w:rFonts w:ascii="Times New Roman" w:hAnsi="Times New Roman"/>
          <w:b w:val="false"/>
          <w:sz w:val="24"/>
        </w:rPr>
        <w:t>the information contained in the Report fairly presents, in all material respects, the financial condition and results of operations of the Company.</w:t>
      </w:r>
    </w:p>
    <w:p>
      <w:pPr>
        <w:pStyle w:val="TextBody"/>
        <w:spacing w:lineRule="auto" w:line="312" w:before="0" w:after="0"/>
        <w:jc w:val="both"/>
        <w:rPr/>
      </w:pPr>
      <w:r>
        <w:rPr/>
        <w:t> </w:t>
      </w:r>
    </w:p>
    <w:p>
      <w:pPr>
        <w:pStyle w:val="TextBody"/>
        <w:spacing w:lineRule="auto" w:line="312" w:before="0" w:after="0"/>
        <w:jc w:val="both"/>
        <w:rPr/>
      </w:pPr>
      <w:r>
        <w:rPr/>
        <w:t> </w:t>
      </w:r>
    </w:p>
    <w:p>
      <w:pPr>
        <w:pStyle w:val="TextBody"/>
        <w:spacing w:lineRule="auto" w:line="312" w:before="0" w:after="0"/>
        <w:jc w:val="both"/>
        <w:rPr/>
      </w:pPr>
      <w:r>
        <w:rPr/>
        <w:t> </w:t>
      </w:r>
    </w:p>
    <w:p>
      <w:pPr>
        <w:pStyle w:val="TextBody"/>
        <w:spacing w:lineRule="auto" w:line="312" w:before="0" w:after="0"/>
        <w:jc w:val="both"/>
        <w:rPr>
          <w:rFonts w:ascii="Times New Roman" w:hAnsi="Times New Roman"/>
          <w:sz w:val="20"/>
        </w:rPr>
      </w:pPr>
      <w:r>
        <w:rPr>
          <w:rFonts w:ascii="Times New Roman" w:hAnsi="Times New Roman"/>
          <w:b w:val="false"/>
          <w:sz w:val="24"/>
        </w:rPr>
        <w:t xml:space="preserve">Dated: August 12, 2021 </w:t>
      </w:r>
      <w:r>
        <w:rPr>
          <w:rFonts w:ascii="Times New Roman" w:hAnsi="Times New Roman"/>
          <w:b w:val="false"/>
          <w:sz w:val="24"/>
          <w:u w:val="single"/>
        </w:rPr>
        <w:t xml:space="preserve">/s/ Jesse Selnick </w:t>
      </w:r>
    </w:p>
    <w:p>
      <w:pPr>
        <w:pStyle w:val="TextBody"/>
        <w:spacing w:lineRule="auto" w:line="312" w:before="0" w:after="0"/>
        <w:jc w:val="both"/>
        <w:rPr>
          <w:rFonts w:ascii="Times New Roman" w:hAnsi="Times New Roman"/>
          <w:b w:val="false"/>
          <w:sz w:val="24"/>
        </w:rPr>
      </w:pPr>
      <w:r>
        <w:rPr>
          <w:rFonts w:ascii="Times New Roman" w:hAnsi="Times New Roman"/>
          <w:b w:val="false"/>
          <w:sz w:val="24"/>
        </w:rPr>
        <w:t>Jesse Selnick</w:t>
      </w:r>
    </w:p>
    <w:p>
      <w:pPr>
        <w:pStyle w:val="TextBody"/>
        <w:spacing w:lineRule="auto" w:line="312" w:before="0" w:after="0"/>
        <w:jc w:val="both"/>
        <w:rPr>
          <w:rFonts w:ascii="Times New Roman" w:hAnsi="Times New Roman"/>
          <w:b w:val="false"/>
          <w:sz w:val="24"/>
        </w:rPr>
      </w:pPr>
      <w:r>
        <w:rPr>
          <w:rFonts w:ascii="Times New Roman" w:hAnsi="Times New Roman"/>
          <w:b w:val="false"/>
          <w:sz w:val="24"/>
        </w:rPr>
        <w:t>Chief Financial Officer</w:t>
      </w:r>
    </w:p>
    <w:p>
      <w:pPr>
        <w:pStyle w:val="TextBody"/>
        <w:spacing w:lineRule="auto" w:line="312" w:before="0" w:after="0"/>
        <w:jc w:val="left"/>
        <w:rPr/>
      </w:pPr>
      <w:r>
        <w:rPr/>
        <w:t> </w:t>
      </w:r>
    </w:p>
    <w:p>
      <w:pPr>
        <w:pStyle w:val="TextBody"/>
        <w:spacing w:lineRule="auto" w:line="312" w:before="0" w:after="0"/>
        <w:jc w:val="left"/>
        <w:rPr>
          <w:rFonts w:ascii="Times New Roman" w:hAnsi="Times New Roman"/>
          <w:b w:val="false"/>
          <w:sz w:val="24"/>
        </w:rPr>
      </w:pPr>
      <w:r>
        <w:rPr>
          <w:rFonts w:ascii="Times New Roman" w:hAnsi="Times New Roman"/>
          <w:b w:val="false"/>
          <w:sz w:val="24"/>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spacing w:lineRule="auto" w:line="312" w:before="0" w:after="0"/>
        <w:jc w:val="left"/>
        <w:rPr/>
      </w:pPr>
      <w:r>
        <w:rPr/>
        <w:t> </w:t>
      </w:r>
    </w:p>
    <w:p>
      <w:pPr>
        <w:pStyle w:val="TextBody"/>
        <w:spacing w:lineRule="auto" w:line="312" w:before="0" w:after="0"/>
        <w:jc w:val="left"/>
        <w:rPr/>
      </w:pPr>
      <w:r>
        <w:rPr/>
        <w:t> </w:t>
      </w:r>
    </w:p>
    <w:p>
      <w:pPr>
        <w:pStyle w:val="TextBody"/>
        <w:spacing w:lineRule="atLeast" w:line="200" w:before="0" w:after="0"/>
        <w:jc w:val="left"/>
        <w:rPr/>
      </w:pPr>
      <w:r>
        <w:rPr/>
        <w:t> </w:t>
      </w:r>
    </w:p>
    <w:p>
      <w:pPr>
        <w:pStyle w:val="TextBody"/>
        <w:spacing w:lineRule="atLeast" w:line="260" w:before="0" w:after="0"/>
        <w:jc w:val="both"/>
        <w:rPr>
          <w:rFonts w:ascii="Times New Roman" w:hAnsi="Times New Roman"/>
          <w:b w:val="false"/>
          <w:sz w:val="16"/>
        </w:rPr>
      </w:pPr>
      <w:r>
        <w:rPr>
          <w:rFonts w:ascii="Times New Roman" w:hAnsi="Times New Roman"/>
          <w:b w:val="false"/>
          <w:sz w:val="16"/>
        </w:rPr>
        <w:t>| SV_DOCS\131912.1[W2000]||</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12</Pages>
  <Words>71962</Words>
  <CharactersWithSpaces>468322</CharactersWithSpaces>
  <Paragraphs>7412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