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13253</w:t>
            </w:r>
          </w:p>
        </w:tc>
        <w:tc>
          <w:tcPr>
            <w:tcW w:w="1377" w:type="dxa"/>
            <w:tcBorders/>
            <w:vAlign w:val="center"/>
          </w:tcPr>
          <w:p>
            <w:pPr>
              <w:pStyle w:val="TableContents"/>
              <w:bidi w:val="0"/>
              <w:spacing w:before="0" w:after="283"/>
              <w:jc w:val="left"/>
              <w:rPr/>
            </w:pPr>
            <w:r>
              <w:rPr/>
              <w:t>109974.72</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08/31/2026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13253</w:t>
            </w:r>
          </w:p>
        </w:tc>
        <w:tc>
          <w:tcPr>
            <w:tcW w:w="1046" w:type="dxa"/>
            <w:tcBorders/>
            <w:vAlign w:val="center"/>
          </w:tcPr>
          <w:p>
            <w:pPr>
              <w:pStyle w:val="TableContents"/>
              <w:bidi w:val="0"/>
              <w:spacing w:before="0" w:after="283"/>
              <w:jc w:val="left"/>
              <w:rPr/>
            </w:pPr>
            <w:r>
              <w:rPr/>
              <w:t>08/31/2026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07/06/2026</w:t>
            </w:r>
          </w:p>
        </w:tc>
        <w:tc>
          <w:tcPr>
            <w:tcW w:w="1570" w:type="dxa"/>
            <w:tcBorders/>
            <w:vAlign w:val="center"/>
          </w:tcPr>
          <w:p>
            <w:pPr>
              <w:pStyle w:val="TableContents"/>
              <w:bidi w:val="0"/>
              <w:spacing w:before="0" w:after="283"/>
              <w:jc w:val="left"/>
              <w:rPr/>
            </w:pPr>
            <w:r>
              <w:rPr/>
              <w:t>12733</w:t>
            </w:r>
          </w:p>
        </w:tc>
        <w:tc>
          <w:tcPr>
            <w:tcW w:w="1770" w:type="dxa"/>
            <w:tcBorders/>
            <w:vAlign w:val="center"/>
          </w:tcPr>
          <w:p>
            <w:pPr>
              <w:pStyle w:val="TableContents"/>
              <w:bidi w:val="0"/>
              <w:spacing w:before="0" w:after="283"/>
              <w:jc w:val="left"/>
              <w:rPr/>
            </w:pPr>
            <w:r>
              <w:rPr/>
              <w:t>70132.10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20918</w:t>
            </w:r>
          </w:p>
        </w:tc>
        <w:tc>
          <w:tcPr>
            <w:tcW w:w="1770" w:type="dxa"/>
            <w:tcBorders/>
            <w:vAlign w:val="center"/>
          </w:tcPr>
          <w:p>
            <w:pPr>
              <w:pStyle w:val="TableContents"/>
              <w:bidi w:val="0"/>
              <w:spacing w:before="0" w:after="283"/>
              <w:jc w:val="left"/>
              <w:rPr/>
            </w:pPr>
            <w:r>
              <w:rPr/>
              <w:t>165878.62</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70" w:type="dxa"/>
            <w:tcBorders/>
            <w:vAlign w:val="center"/>
          </w:tcPr>
          <w:p>
            <w:pPr>
              <w:pStyle w:val="TableContents"/>
              <w:bidi w:val="0"/>
              <w:spacing w:before="0" w:after="283"/>
              <w:jc w:val="left"/>
              <w:rPr/>
            </w:pPr>
            <w:r>
              <w:rPr/>
              <w:t>16302</w:t>
            </w:r>
          </w:p>
        </w:tc>
        <w:tc>
          <w:tcPr>
            <w:tcW w:w="1770" w:type="dxa"/>
            <w:tcBorders/>
            <w:vAlign w:val="center"/>
          </w:tcPr>
          <w:p>
            <w:pPr>
              <w:pStyle w:val="TableContents"/>
              <w:bidi w:val="0"/>
              <w:spacing w:before="0" w:after="283"/>
              <w:jc w:val="left"/>
              <w:rPr/>
            </w:pPr>
            <w:r>
              <w:rPr/>
              <w:t>133307.09</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08/13/2026</w:t>
            </w:r>
          </w:p>
        </w:tc>
        <w:tc>
          <w:tcPr>
            <w:tcW w:w="1570" w:type="dxa"/>
            <w:tcBorders/>
            <w:vAlign w:val="center"/>
          </w:tcPr>
          <w:p>
            <w:pPr>
              <w:pStyle w:val="TableContents"/>
              <w:bidi w:val="0"/>
              <w:spacing w:before="0" w:after="283"/>
              <w:jc w:val="left"/>
              <w:rPr/>
            </w:pPr>
            <w:r>
              <w:rPr/>
              <w:t>2500</w:t>
            </w:r>
          </w:p>
        </w:tc>
        <w:tc>
          <w:tcPr>
            <w:tcW w:w="1770" w:type="dxa"/>
            <w:tcBorders/>
            <w:vAlign w:val="center"/>
          </w:tcPr>
          <w:p>
            <w:pPr>
              <w:pStyle w:val="TableContents"/>
              <w:bidi w:val="0"/>
              <w:spacing w:before="0" w:after="283"/>
              <w:jc w:val="left"/>
              <w:rPr/>
            </w:pPr>
            <w:r>
              <w:rPr/>
              <w:t>20762.50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08/14/2026</w:t>
            </w:r>
          </w:p>
        </w:tc>
        <w:tc>
          <w:tcPr>
            <w:tcW w:w="1570" w:type="dxa"/>
            <w:tcBorders/>
            <w:vAlign w:val="center"/>
          </w:tcPr>
          <w:p>
            <w:pPr>
              <w:pStyle w:val="TableContents"/>
              <w:bidi w:val="0"/>
              <w:spacing w:before="0" w:after="283"/>
              <w:jc w:val="left"/>
              <w:rPr/>
            </w:pPr>
            <w:r>
              <w:rPr/>
              <w:t>48000</w:t>
            </w:r>
          </w:p>
        </w:tc>
        <w:tc>
          <w:tcPr>
            <w:tcW w:w="1770" w:type="dxa"/>
            <w:tcBorders/>
            <w:vAlign w:val="center"/>
          </w:tcPr>
          <w:p>
            <w:pPr>
              <w:pStyle w:val="TableContents"/>
              <w:bidi w:val="0"/>
              <w:spacing w:before="0" w:after="283"/>
              <w:jc w:val="left"/>
              <w:rPr/>
            </w:pPr>
            <w:r>
              <w:rPr/>
              <w:t>395880.00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08/17/2026</w:t>
            </w:r>
          </w:p>
        </w:tc>
        <w:tc>
          <w:tcPr>
            <w:tcW w:w="1570" w:type="dxa"/>
            <w:tcBorders/>
            <w:vAlign w:val="center"/>
          </w:tcPr>
          <w:p>
            <w:pPr>
              <w:pStyle w:val="TableContents"/>
              <w:bidi w:val="0"/>
              <w:spacing w:before="0" w:after="283"/>
              <w:jc w:val="left"/>
              <w:rPr/>
            </w:pPr>
            <w:r>
              <w:rPr/>
              <w:t>12014</w:t>
            </w:r>
          </w:p>
        </w:tc>
        <w:tc>
          <w:tcPr>
            <w:tcW w:w="1770" w:type="dxa"/>
            <w:tcBorders/>
            <w:vAlign w:val="center"/>
          </w:tcPr>
          <w:p>
            <w:pPr>
              <w:pStyle w:val="TableContents"/>
              <w:bidi w:val="0"/>
              <w:spacing w:before="0" w:after="283"/>
              <w:jc w:val="left"/>
              <w:rPr/>
            </w:pPr>
            <w:r>
              <w:rPr/>
              <w:t>97841.48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0"/>
              <w:jc w:val="left"/>
              <w:rPr/>
            </w:pPr>
            <w:r>
              <w:rPr/>
              <w:t xml:space="preserve">Sale includes an amount necessary to cover a tax obligation resulting from the settlement of a vested equity award distribution. </w:t>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/s/ Margaret Campbell,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3665</Characters>
  <CharactersWithSpaces>4315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